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rFonts w:hint="eastAsia"/>
        </w:rPr>
      </w:pPr>
    </w:p>
    <w:p>
      <w:pPr>
        <w:tabs>
          <w:tab w:val="clear" w:pos="426"/>
        </w:tabs>
        <w:rPr>
          <w:rFonts w:hint="eastAsia"/>
        </w:rPr>
      </w:pPr>
    </w:p>
    <w:p>
      <w:pPr>
        <w:tabs>
          <w:tab w:val="clear" w:pos="426"/>
        </w:tabs>
        <w:jc w:val="right"/>
        <w:rPr>
          <w:rFonts w:hint="eastAsia"/>
          <w:b/>
          <w:u w:val="single"/>
        </w:rPr>
      </w:pPr>
      <w:r>
        <w:t xml:space="preserve">                                                     </w:t>
      </w:r>
      <w:r>
        <w:rPr>
          <w:rFonts w:hint="eastAsia"/>
        </w:rPr>
        <w:t>项目编号：</w:t>
      </w:r>
      <w:r>
        <w:rPr>
          <w:b/>
          <w:u w:val="single"/>
        </w:rPr>
        <w:t>SSZX2024-400</w:t>
      </w:r>
    </w:p>
    <w:p>
      <w:pPr>
        <w:tabs>
          <w:tab w:val="clear" w:pos="426"/>
        </w:tabs>
        <w:rPr>
          <w:rFonts w:hint="eastAsia"/>
        </w:rPr>
      </w:pPr>
    </w:p>
    <w:p>
      <w:pPr>
        <w:tabs>
          <w:tab w:val="clear" w:pos="426"/>
        </w:tabs>
        <w:rPr>
          <w:rFonts w:hint="eastAsia"/>
        </w:rPr>
      </w:pPr>
    </w:p>
    <w:p>
      <w:pPr>
        <w:tabs>
          <w:tab w:val="clear" w:pos="426"/>
        </w:tabs>
        <w:rPr>
          <w:rFonts w:hint="eastAsia"/>
        </w:rPr>
      </w:pPr>
    </w:p>
    <w:p>
      <w:pPr>
        <w:widowControl w:val="0"/>
        <w:shd w:val="clear" w:color="auto" w:fill="auto"/>
        <w:tabs>
          <w:tab w:val="clear" w:pos="426"/>
        </w:tabs>
        <w:adjustRightInd/>
        <w:snapToGrid/>
        <w:spacing w:line="300" w:lineRule="auto"/>
        <w:jc w:val="center"/>
        <w:rPr>
          <w:rFonts w:hint="eastAsia" w:cs="Times New Roman"/>
          <w:spacing w:val="26"/>
          <w:kern w:val="2"/>
          <w:sz w:val="72"/>
          <w:szCs w:val="20"/>
        </w:rPr>
      </w:pPr>
    </w:p>
    <w:p>
      <w:pPr>
        <w:widowControl w:val="0"/>
        <w:shd w:val="clear" w:color="auto" w:fill="auto"/>
        <w:tabs>
          <w:tab w:val="clear" w:pos="426"/>
        </w:tabs>
        <w:adjustRightInd/>
        <w:snapToGrid/>
        <w:spacing w:line="300" w:lineRule="auto"/>
        <w:jc w:val="center"/>
        <w:rPr>
          <w:rFonts w:hint="eastAsia" w:cs="Times New Roman"/>
          <w:spacing w:val="26"/>
          <w:kern w:val="2"/>
          <w:sz w:val="72"/>
          <w:szCs w:val="20"/>
        </w:rPr>
      </w:pPr>
      <w:r>
        <w:rPr>
          <w:rFonts w:hint="eastAsia" w:cs="Times New Roman"/>
          <w:spacing w:val="26"/>
          <w:kern w:val="2"/>
          <w:sz w:val="72"/>
          <w:szCs w:val="20"/>
        </w:rPr>
        <w:t>招标文件</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jc w:val="center"/>
        <w:rPr>
          <w:rFonts w:ascii="黑体" w:hAnsi="Arial" w:eastAsia="黑体" w:cs="Arial"/>
          <w:sz w:val="52"/>
          <w:szCs w:val="52"/>
        </w:rPr>
      </w:pPr>
      <w:r>
        <w:rPr>
          <w:rFonts w:hint="eastAsia" w:ascii="黑体" w:hAnsi="Arial" w:eastAsia="黑体" w:cs="Arial"/>
          <w:sz w:val="52"/>
          <w:szCs w:val="52"/>
        </w:rPr>
        <w:t>【货物类】</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u w:val="single"/>
        </w:rPr>
      </w:pPr>
      <w:r>
        <w:rPr>
          <w:rFonts w:hint="eastAsia" w:cs="Times New Roman"/>
          <w:kern w:val="2"/>
          <w:sz w:val="30"/>
          <w:szCs w:val="20"/>
        </w:rPr>
        <w:t>项目名称：</w:t>
      </w:r>
      <w:r>
        <w:rPr>
          <w:rFonts w:hint="eastAsia" w:cs="Times New Roman"/>
          <w:kern w:val="2"/>
          <w:sz w:val="30"/>
          <w:szCs w:val="20"/>
          <w:u w:val="single"/>
        </w:rPr>
        <w:t>危险化学品粉尘检验类设备采购项目（第二次招标）</w:t>
      </w: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hint="eastAsia" w:cs="Times New Roman"/>
          <w:kern w:val="2"/>
          <w:sz w:val="30"/>
          <w:szCs w:val="20"/>
        </w:rPr>
      </w:pPr>
      <w:r>
        <w:rPr>
          <w:rFonts w:hint="eastAsia" w:cs="Times New Roman"/>
          <w:kern w:val="2"/>
          <w:sz w:val="30"/>
          <w:szCs w:val="20"/>
        </w:rPr>
        <w:t>采购人名称：</w:t>
      </w:r>
      <w:r>
        <w:rPr>
          <w:rFonts w:hint="eastAsia" w:cs="Times New Roman"/>
          <w:kern w:val="2"/>
          <w:sz w:val="30"/>
          <w:szCs w:val="20"/>
          <w:u w:val="single"/>
        </w:rPr>
        <w:t>深圳海关工业品检测技术中心</w:t>
      </w:r>
    </w:p>
    <w:p>
      <w:pPr>
        <w:widowControl w:val="0"/>
        <w:shd w:val="clear" w:color="auto" w:fill="auto"/>
        <w:tabs>
          <w:tab w:val="clear" w:pos="426"/>
        </w:tabs>
        <w:adjustRightInd/>
        <w:snapToGrid/>
        <w:spacing w:line="300" w:lineRule="auto"/>
        <w:ind w:left="1500" w:hanging="1500" w:hangingChars="500"/>
        <w:rPr>
          <w:rFonts w:hint="eastAsia"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hint="eastAsia"/>
        </w:rPr>
      </w:pPr>
      <w:r>
        <w:rPr>
          <w:rFonts w:hint="eastAsia" w:cs="Times New Roman"/>
          <w:kern w:val="2"/>
          <w:sz w:val="30"/>
          <w:szCs w:val="20"/>
        </w:rPr>
        <w:t>采购代理机构名称：</w:t>
      </w:r>
      <w:r>
        <w:rPr>
          <w:rFonts w:hint="eastAsia" w:cs="Times New Roman"/>
          <w:kern w:val="2"/>
          <w:sz w:val="30"/>
          <w:szCs w:val="20"/>
          <w:u w:val="single"/>
        </w:rPr>
        <w:t>深圳市深水水务咨询有限公司</w:t>
      </w:r>
    </w:p>
    <w:p>
      <w:pPr>
        <w:tabs>
          <w:tab w:val="clear" w:pos="426"/>
        </w:tabs>
        <w:jc w:val="center"/>
        <w:rPr>
          <w:rFonts w:hint="eastAsia"/>
          <w:sz w:val="32"/>
          <w:szCs w:val="32"/>
        </w:rPr>
      </w:pPr>
      <w:r>
        <w:br w:type="page"/>
      </w:r>
      <w:r>
        <w:rPr>
          <w:rFonts w:hint="eastAsia"/>
          <w:b/>
          <w:sz w:val="32"/>
          <w:szCs w:val="32"/>
        </w:rPr>
        <w:t>目</w:t>
      </w:r>
      <w:r>
        <w:rPr>
          <w:b/>
          <w:sz w:val="32"/>
          <w:szCs w:val="32"/>
        </w:rPr>
        <w:t xml:space="preserve">      </w:t>
      </w:r>
      <w:r>
        <w:rPr>
          <w:rFonts w:hint="eastAsia"/>
          <w:b/>
          <w:sz w:val="32"/>
          <w:szCs w:val="32"/>
        </w:rPr>
        <w:t>录</w:t>
      </w:r>
    </w:p>
    <w:p>
      <w:pPr>
        <w:pStyle w:val="71"/>
        <w:tabs>
          <w:tab w:val="right" w:leader="dot" w:pos="8788"/>
          <w:tab w:val="clear" w:pos="8789"/>
        </w:tabs>
        <w:spacing w:line="240" w:lineRule="auto"/>
        <w:ind w:left="0" w:leftChars="0"/>
        <w:rPr>
          <w:rFonts w:hint="eastAsia" w:ascii="黑体" w:hAnsi="黑体" w:eastAsia="黑体" w:cs="黑体"/>
          <w:b/>
          <w:bCs/>
          <w:caps/>
          <w:sz w:val="20"/>
          <w:szCs w:val="20"/>
        </w:rPr>
      </w:pPr>
      <w:r>
        <w:fldChar w:fldCharType="begin"/>
      </w:r>
      <w:r>
        <w:instrText xml:space="preserve"> TOC \o "1-3" \h \z \u </w:instrText>
      </w:r>
      <w:r>
        <w:fldChar w:fldCharType="separate"/>
      </w:r>
      <w:r>
        <w:fldChar w:fldCharType="begin"/>
      </w:r>
      <w:r>
        <w:instrText xml:space="preserve"> HYPERLINK \l "_Toc30794" </w:instrText>
      </w:r>
      <w:r>
        <w:fldChar w:fldCharType="separate"/>
      </w:r>
      <w:r>
        <w:rPr>
          <w:rFonts w:hint="eastAsia" w:ascii="黑体" w:hAnsi="黑体" w:eastAsia="黑体" w:cs="黑体"/>
          <w:b/>
          <w:bCs/>
          <w:caps/>
          <w:sz w:val="20"/>
          <w:szCs w:val="20"/>
        </w:rPr>
        <w:t>项目关键信息</w:t>
      </w:r>
      <w:r>
        <w:rPr>
          <w:rFonts w:ascii="黑体" w:hAnsi="黑体" w:eastAsia="黑体" w:cs="黑体"/>
          <w:b/>
          <w:bCs/>
          <w:caps/>
          <w:sz w:val="20"/>
          <w:szCs w:val="20"/>
        </w:rPr>
        <w:tab/>
      </w:r>
      <w:r>
        <w:rPr>
          <w:rFonts w:ascii="黑体" w:hAnsi="黑体" w:eastAsia="黑体" w:cs="黑体"/>
          <w:b/>
          <w:bCs/>
          <w:caps/>
          <w:sz w:val="20"/>
          <w:szCs w:val="20"/>
        </w:rPr>
        <w:fldChar w:fldCharType="begin"/>
      </w:r>
      <w:r>
        <w:rPr>
          <w:rFonts w:ascii="黑体" w:hAnsi="黑体" w:eastAsia="黑体" w:cs="黑体"/>
          <w:b/>
          <w:bCs/>
          <w:caps/>
          <w:sz w:val="20"/>
          <w:szCs w:val="20"/>
        </w:rPr>
        <w:instrText xml:space="preserve"> PAGEREF _Toc30794 \h </w:instrText>
      </w:r>
      <w:r>
        <w:rPr>
          <w:rFonts w:ascii="黑体" w:hAnsi="黑体" w:eastAsia="黑体" w:cs="黑体"/>
          <w:b/>
          <w:bCs/>
          <w:caps/>
          <w:sz w:val="20"/>
          <w:szCs w:val="20"/>
        </w:rPr>
        <w:fldChar w:fldCharType="separate"/>
      </w:r>
      <w:r>
        <w:rPr>
          <w:rFonts w:hint="eastAsia" w:ascii="黑体" w:hAnsi="黑体" w:eastAsia="黑体" w:cs="黑体"/>
          <w:b/>
          <w:bCs/>
          <w:caps/>
          <w:sz w:val="20"/>
          <w:szCs w:val="20"/>
        </w:rPr>
        <w:t>1</w:t>
      </w:r>
      <w:r>
        <w:rPr>
          <w:rFonts w:ascii="黑体" w:hAnsi="黑体" w:eastAsia="黑体" w:cs="黑体"/>
          <w:b/>
          <w:bCs/>
          <w:caps/>
          <w:sz w:val="20"/>
          <w:szCs w:val="20"/>
        </w:rPr>
        <w:fldChar w:fldCharType="end"/>
      </w:r>
      <w:r>
        <w:rPr>
          <w:rFonts w:ascii="黑体" w:hAnsi="黑体" w:eastAsia="黑体" w:cs="黑体"/>
          <w:b/>
          <w:bCs/>
          <w:caps/>
          <w:sz w:val="20"/>
          <w:szCs w:val="20"/>
        </w:rPr>
        <w:fldChar w:fldCharType="end"/>
      </w:r>
    </w:p>
    <w:p>
      <w:pPr>
        <w:pStyle w:val="57"/>
        <w:tabs>
          <w:tab w:val="right" w:leader="dot" w:pos="8788"/>
          <w:tab w:val="clear" w:pos="426"/>
          <w:tab w:val="clear" w:pos="8789"/>
        </w:tabs>
        <w:spacing w:line="240" w:lineRule="auto"/>
        <w:rPr>
          <w:rFonts w:hint="eastAsia" w:ascii="黑体" w:hAnsi="黑体" w:eastAsia="黑体" w:cs="黑体"/>
          <w:sz w:val="20"/>
          <w:szCs w:val="20"/>
        </w:rPr>
      </w:pPr>
      <w:r>
        <w:fldChar w:fldCharType="begin"/>
      </w:r>
      <w:r>
        <w:instrText xml:space="preserve"> HYPERLINK \l "_Toc18181" </w:instrText>
      </w:r>
      <w:r>
        <w:fldChar w:fldCharType="separate"/>
      </w:r>
      <w:r>
        <w:rPr>
          <w:rFonts w:hint="eastAsia" w:ascii="黑体" w:hAnsi="黑体" w:eastAsia="黑体" w:cs="黑体"/>
          <w:sz w:val="20"/>
          <w:szCs w:val="20"/>
        </w:rPr>
        <w:t>招标文件第一册（专用部分）</w:t>
      </w:r>
      <w:r>
        <w:rPr>
          <w:rFonts w:ascii="黑体" w:hAnsi="黑体" w:eastAsia="黑体" w:cs="黑体"/>
          <w:sz w:val="20"/>
          <w:szCs w:val="20"/>
        </w:rPr>
        <w:tab/>
      </w:r>
      <w:r>
        <w:rPr>
          <w:rFonts w:ascii="黑体" w:hAnsi="黑体" w:eastAsia="黑体" w:cs="黑体"/>
          <w:sz w:val="20"/>
          <w:szCs w:val="20"/>
        </w:rPr>
        <w:fldChar w:fldCharType="begin"/>
      </w:r>
      <w:r>
        <w:rPr>
          <w:rFonts w:ascii="黑体" w:hAnsi="黑体" w:eastAsia="黑体" w:cs="黑体"/>
          <w:sz w:val="20"/>
          <w:szCs w:val="20"/>
        </w:rPr>
        <w:instrText xml:space="preserve"> PAGEREF _Toc18181 \h </w:instrText>
      </w:r>
      <w:r>
        <w:rPr>
          <w:rFonts w:ascii="黑体" w:hAnsi="黑体" w:eastAsia="黑体" w:cs="黑体"/>
          <w:sz w:val="20"/>
          <w:szCs w:val="20"/>
        </w:rPr>
        <w:fldChar w:fldCharType="separate"/>
      </w:r>
      <w:r>
        <w:rPr>
          <w:rFonts w:hint="eastAsia" w:ascii="黑体" w:hAnsi="黑体" w:eastAsia="黑体" w:cs="黑体"/>
          <w:sz w:val="20"/>
          <w:szCs w:val="20"/>
        </w:rPr>
        <w:t>3</w:t>
      </w:r>
      <w:r>
        <w:rPr>
          <w:rFonts w:ascii="黑体" w:hAnsi="黑体" w:eastAsia="黑体" w:cs="黑体"/>
          <w:sz w:val="20"/>
          <w:szCs w:val="20"/>
        </w:rPr>
        <w:fldChar w:fldCharType="end"/>
      </w:r>
      <w:r>
        <w:rPr>
          <w:rFonts w:ascii="黑体" w:hAnsi="黑体" w:eastAsia="黑体" w:cs="黑体"/>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"_Toc7521" </w:instrText>
      </w:r>
      <w:r>
        <w:fldChar w:fldCharType="separate"/>
      </w:r>
      <w:r>
        <w:rPr>
          <w:rFonts w:hint="eastAsia"/>
          <w:b/>
          <w:bCs/>
          <w:sz w:val="20"/>
          <w:szCs w:val="20"/>
        </w:rPr>
        <w:t>第一章</w:t>
      </w:r>
      <w:r>
        <w:rPr>
          <w:b/>
          <w:bCs/>
          <w:sz w:val="20"/>
          <w:szCs w:val="20"/>
        </w:rPr>
        <w:t xml:space="preserve"> </w:t>
      </w:r>
      <w:r>
        <w:rPr>
          <w:rFonts w:hint="eastAsia"/>
          <w:b/>
          <w:bCs/>
          <w:sz w:val="20"/>
          <w:szCs w:val="20"/>
        </w:rPr>
        <w:t>投标邀请</w:t>
      </w:r>
      <w:r>
        <w:rPr>
          <w:b/>
          <w:bCs/>
          <w:sz w:val="20"/>
          <w:szCs w:val="20"/>
        </w:rPr>
        <w:tab/>
      </w:r>
      <w:r>
        <w:rPr>
          <w:b/>
          <w:bCs/>
          <w:sz w:val="20"/>
          <w:szCs w:val="20"/>
        </w:rPr>
        <w:fldChar w:fldCharType="begin"/>
      </w:r>
      <w:r>
        <w:rPr>
          <w:b/>
          <w:bCs/>
          <w:sz w:val="20"/>
          <w:szCs w:val="20"/>
        </w:rPr>
        <w:instrText xml:space="preserve"> PAGEREF _Toc7521 \h </w:instrText>
      </w:r>
      <w:r>
        <w:rPr>
          <w:b/>
          <w:bCs/>
          <w:sz w:val="20"/>
          <w:szCs w:val="20"/>
        </w:rPr>
        <w:fldChar w:fldCharType="separate"/>
      </w:r>
      <w:r>
        <w:rPr>
          <w:rFonts w:hint="eastAsia"/>
          <w:b/>
          <w:bCs/>
          <w:sz w:val="20"/>
          <w:szCs w:val="20"/>
        </w:rPr>
        <w:t>3</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"_Toc28816" </w:instrText>
      </w:r>
      <w:r>
        <w:fldChar w:fldCharType="separate"/>
      </w:r>
      <w:r>
        <w:rPr>
          <w:rFonts w:hint="eastAsia"/>
          <w:b/>
          <w:bCs/>
          <w:sz w:val="20"/>
          <w:szCs w:val="20"/>
        </w:rPr>
        <w:t>第二章</w:t>
      </w:r>
      <w:r>
        <w:rPr>
          <w:b/>
          <w:bCs/>
          <w:sz w:val="20"/>
          <w:szCs w:val="20"/>
        </w:rPr>
        <w:t xml:space="preserve"> </w:t>
      </w:r>
      <w:r>
        <w:rPr>
          <w:rFonts w:hint="eastAsia"/>
          <w:b/>
          <w:bCs/>
          <w:sz w:val="20"/>
          <w:szCs w:val="20"/>
        </w:rPr>
        <w:t>项目需求</w:t>
      </w:r>
      <w:r>
        <w:rPr>
          <w:b/>
          <w:bCs/>
          <w:sz w:val="20"/>
          <w:szCs w:val="20"/>
        </w:rPr>
        <w:tab/>
      </w:r>
      <w:r>
        <w:rPr>
          <w:b/>
          <w:bCs/>
          <w:sz w:val="20"/>
          <w:szCs w:val="20"/>
        </w:rPr>
        <w:fldChar w:fldCharType="begin"/>
      </w:r>
      <w:r>
        <w:rPr>
          <w:b/>
          <w:bCs/>
          <w:sz w:val="20"/>
          <w:szCs w:val="20"/>
        </w:rPr>
        <w:instrText xml:space="preserve"> PAGEREF _Toc28816 \h </w:instrText>
      </w:r>
      <w:r>
        <w:rPr>
          <w:b/>
          <w:bCs/>
          <w:sz w:val="20"/>
          <w:szCs w:val="20"/>
        </w:rPr>
        <w:fldChar w:fldCharType="separate"/>
      </w:r>
      <w:r>
        <w:rPr>
          <w:rFonts w:hint="eastAsia"/>
          <w:b/>
          <w:bCs/>
          <w:sz w:val="20"/>
          <w:szCs w:val="20"/>
        </w:rPr>
        <w:t>7</w:t>
      </w:r>
      <w:r>
        <w:rPr>
          <w:b/>
          <w:bCs/>
          <w:sz w:val="20"/>
          <w:szCs w:val="20"/>
        </w:rPr>
        <w:fldChar w:fldCharType="end"/>
      </w:r>
      <w:r>
        <w:rPr>
          <w:b/>
          <w:bCs/>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"_Toc23144" </w:instrText>
      </w:r>
      <w:r>
        <w:fldChar w:fldCharType="separate"/>
      </w:r>
      <w:r>
        <w:rPr>
          <w:rFonts w:hint="eastAsia"/>
          <w:i w:val="0"/>
          <w:iCs w:val="0"/>
          <w:sz w:val="20"/>
          <w:szCs w:val="20"/>
        </w:rPr>
        <w:t>一、</w:t>
      </w:r>
      <w:r>
        <w:rPr>
          <w:i w:val="0"/>
          <w:iCs w:val="0"/>
          <w:sz w:val="20"/>
          <w:szCs w:val="20"/>
        </w:rPr>
        <w:t xml:space="preserve"> </w:t>
      </w:r>
      <w:r>
        <w:rPr>
          <w:rFonts w:hint="eastAsia"/>
          <w:i w:val="0"/>
          <w:iCs w:val="0"/>
          <w:sz w:val="20"/>
          <w:szCs w:val="20"/>
        </w:rPr>
        <w:t>货物清单一览表</w:t>
      </w:r>
      <w:r>
        <w:rPr>
          <w:i w:val="0"/>
          <w:iCs w:val="0"/>
          <w:sz w:val="20"/>
          <w:szCs w:val="20"/>
        </w:rPr>
        <w:tab/>
      </w:r>
      <w:r>
        <w:rPr>
          <w:i w:val="0"/>
          <w:iCs w:val="0"/>
          <w:sz w:val="20"/>
          <w:szCs w:val="20"/>
        </w:rPr>
        <w:fldChar w:fldCharType="begin"/>
      </w:r>
      <w:r>
        <w:rPr>
          <w:i w:val="0"/>
          <w:iCs w:val="0"/>
          <w:sz w:val="20"/>
          <w:szCs w:val="20"/>
        </w:rPr>
        <w:instrText xml:space="preserve"> PAGEREF _Toc23144 \h </w:instrText>
      </w:r>
      <w:r>
        <w:rPr>
          <w:i w:val="0"/>
          <w:iCs w:val="0"/>
          <w:sz w:val="20"/>
          <w:szCs w:val="20"/>
        </w:rPr>
        <w:fldChar w:fldCharType="separate"/>
      </w:r>
      <w:r>
        <w:rPr>
          <w:rFonts w:hint="eastAsia"/>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"_Toc35" </w:instrText>
      </w:r>
      <w:r>
        <w:fldChar w:fldCharType="separate"/>
      </w:r>
      <w:r>
        <w:rPr>
          <w:rFonts w:hint="eastAsia"/>
          <w:i w:val="0"/>
          <w:iCs w:val="0"/>
          <w:sz w:val="20"/>
          <w:szCs w:val="20"/>
        </w:rPr>
        <w:t>二、</w:t>
      </w:r>
      <w:r>
        <w:rPr>
          <w:i w:val="0"/>
          <w:iCs w:val="0"/>
          <w:sz w:val="20"/>
          <w:szCs w:val="20"/>
        </w:rPr>
        <w:t xml:space="preserve"> </w:t>
      </w:r>
      <w:r>
        <w:rPr>
          <w:rFonts w:hint="eastAsia"/>
          <w:i w:val="0"/>
          <w:iCs w:val="0"/>
          <w:sz w:val="20"/>
          <w:szCs w:val="20"/>
        </w:rPr>
        <w:t>实质性响应条款</w:t>
      </w:r>
      <w:r>
        <w:rPr>
          <w:i w:val="0"/>
          <w:iCs w:val="0"/>
          <w:sz w:val="20"/>
          <w:szCs w:val="20"/>
        </w:rPr>
        <w:tab/>
      </w:r>
      <w:r>
        <w:rPr>
          <w:i w:val="0"/>
          <w:iCs w:val="0"/>
          <w:sz w:val="20"/>
          <w:szCs w:val="20"/>
        </w:rPr>
        <w:fldChar w:fldCharType="begin"/>
      </w:r>
      <w:r>
        <w:rPr>
          <w:i w:val="0"/>
          <w:iCs w:val="0"/>
          <w:sz w:val="20"/>
          <w:szCs w:val="20"/>
        </w:rPr>
        <w:instrText xml:space="preserve"> PAGEREF _Toc35 \h </w:instrText>
      </w:r>
      <w:r>
        <w:rPr>
          <w:i w:val="0"/>
          <w:iCs w:val="0"/>
          <w:sz w:val="20"/>
          <w:szCs w:val="20"/>
        </w:rPr>
        <w:fldChar w:fldCharType="separate"/>
      </w:r>
      <w:r>
        <w:rPr>
          <w:rFonts w:hint="eastAsia"/>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"_Toc31963" </w:instrText>
      </w:r>
      <w:r>
        <w:fldChar w:fldCharType="separate"/>
      </w:r>
      <w:r>
        <w:rPr>
          <w:rFonts w:hint="eastAsia"/>
          <w:i w:val="0"/>
          <w:iCs w:val="0"/>
          <w:sz w:val="20"/>
          <w:szCs w:val="20"/>
        </w:rPr>
        <w:t>三、</w:t>
      </w:r>
      <w:r>
        <w:rPr>
          <w:i w:val="0"/>
          <w:iCs w:val="0"/>
          <w:sz w:val="20"/>
          <w:szCs w:val="20"/>
        </w:rPr>
        <w:t xml:space="preserve"> </w:t>
      </w:r>
      <w:r>
        <w:rPr>
          <w:rFonts w:hint="eastAsia"/>
          <w:i w:val="0"/>
          <w:iCs w:val="0"/>
          <w:sz w:val="20"/>
          <w:szCs w:val="20"/>
        </w:rPr>
        <w:t>技术要求</w:t>
      </w:r>
      <w:r>
        <w:rPr>
          <w:i w:val="0"/>
          <w:iCs w:val="0"/>
          <w:sz w:val="20"/>
          <w:szCs w:val="20"/>
        </w:rPr>
        <w:t xml:space="preserve"> </w:t>
      </w:r>
      <w:r>
        <w:rPr>
          <w:i w:val="0"/>
          <w:iCs w:val="0"/>
          <w:sz w:val="20"/>
          <w:szCs w:val="20"/>
        </w:rPr>
        <w:tab/>
      </w:r>
      <w:r>
        <w:rPr>
          <w:i w:val="0"/>
          <w:iCs w:val="0"/>
          <w:sz w:val="20"/>
          <w:szCs w:val="20"/>
        </w:rPr>
        <w:fldChar w:fldCharType="begin"/>
      </w:r>
      <w:r>
        <w:rPr>
          <w:i w:val="0"/>
          <w:iCs w:val="0"/>
          <w:sz w:val="20"/>
          <w:szCs w:val="20"/>
        </w:rPr>
        <w:instrText xml:space="preserve"> PAGEREF _Toc31963 \h </w:instrText>
      </w:r>
      <w:r>
        <w:rPr>
          <w:i w:val="0"/>
          <w:iCs w:val="0"/>
          <w:sz w:val="20"/>
          <w:szCs w:val="20"/>
        </w:rPr>
        <w:fldChar w:fldCharType="separate"/>
      </w:r>
      <w:r>
        <w:rPr>
          <w:rFonts w:hint="eastAsia"/>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"_Toc13798" </w:instrText>
      </w:r>
      <w:r>
        <w:fldChar w:fldCharType="separate"/>
      </w:r>
      <w:r>
        <w:rPr>
          <w:rFonts w:hint="eastAsia"/>
          <w:i w:val="0"/>
          <w:iCs w:val="0"/>
          <w:sz w:val="20"/>
          <w:szCs w:val="20"/>
        </w:rPr>
        <w:t>四、</w:t>
      </w:r>
      <w:r>
        <w:rPr>
          <w:i w:val="0"/>
          <w:iCs w:val="0"/>
          <w:sz w:val="20"/>
          <w:szCs w:val="20"/>
        </w:rPr>
        <w:t xml:space="preserve"> </w:t>
      </w:r>
      <w:r>
        <w:rPr>
          <w:rFonts w:hint="eastAsia"/>
          <w:i w:val="0"/>
          <w:iCs w:val="0"/>
          <w:sz w:val="20"/>
          <w:szCs w:val="20"/>
        </w:rPr>
        <w:t>商务要求</w:t>
      </w:r>
      <w:r>
        <w:rPr>
          <w:i w:val="0"/>
          <w:iCs w:val="0"/>
          <w:sz w:val="20"/>
          <w:szCs w:val="20"/>
        </w:rPr>
        <w:tab/>
      </w:r>
      <w:r>
        <w:rPr>
          <w:i w:val="0"/>
          <w:iCs w:val="0"/>
          <w:sz w:val="20"/>
          <w:szCs w:val="20"/>
        </w:rPr>
        <w:fldChar w:fldCharType="begin"/>
      </w:r>
      <w:r>
        <w:rPr>
          <w:i w:val="0"/>
          <w:iCs w:val="0"/>
          <w:sz w:val="20"/>
          <w:szCs w:val="20"/>
        </w:rPr>
        <w:instrText xml:space="preserve"> PAGEREF _Toc13798 \h </w:instrText>
      </w:r>
      <w:r>
        <w:rPr>
          <w:i w:val="0"/>
          <w:iCs w:val="0"/>
          <w:sz w:val="20"/>
          <w:szCs w:val="20"/>
        </w:rPr>
        <w:fldChar w:fldCharType="separate"/>
      </w:r>
      <w:r>
        <w:rPr>
          <w:rFonts w:hint="eastAsia"/>
          <w:i w:val="0"/>
          <w:iCs w:val="0"/>
          <w:sz w:val="20"/>
          <w:szCs w:val="20"/>
        </w:rPr>
        <w:t>9</w:t>
      </w:r>
      <w:r>
        <w:rPr>
          <w:i w:val="0"/>
          <w:iCs w:val="0"/>
          <w:sz w:val="20"/>
          <w:szCs w:val="20"/>
        </w:rPr>
        <w:fldChar w:fldCharType="end"/>
      </w:r>
      <w:r>
        <w:rPr>
          <w:i w:val="0"/>
          <w:iCs w:val="0"/>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"_Toc2525" </w:instrText>
      </w:r>
      <w:r>
        <w:fldChar w:fldCharType="separate"/>
      </w:r>
      <w:r>
        <w:rPr>
          <w:rFonts w:hint="eastAsia"/>
          <w:b/>
          <w:bCs/>
          <w:sz w:val="20"/>
          <w:szCs w:val="20"/>
        </w:rPr>
        <w:t>第三章</w:t>
      </w:r>
      <w:r>
        <w:rPr>
          <w:b/>
          <w:bCs/>
          <w:sz w:val="20"/>
          <w:szCs w:val="20"/>
        </w:rPr>
        <w:t xml:space="preserve"> </w:t>
      </w:r>
      <w:r>
        <w:rPr>
          <w:rFonts w:hint="eastAsia"/>
          <w:b/>
          <w:bCs/>
          <w:sz w:val="20"/>
          <w:szCs w:val="20"/>
        </w:rPr>
        <w:t>特别说明</w:t>
      </w:r>
      <w:r>
        <w:rPr>
          <w:b/>
          <w:bCs/>
          <w:sz w:val="20"/>
          <w:szCs w:val="20"/>
        </w:rPr>
        <w:tab/>
      </w:r>
      <w:r>
        <w:rPr>
          <w:b/>
          <w:bCs/>
          <w:sz w:val="20"/>
          <w:szCs w:val="20"/>
        </w:rPr>
        <w:fldChar w:fldCharType="begin"/>
      </w:r>
      <w:r>
        <w:rPr>
          <w:b/>
          <w:bCs/>
          <w:sz w:val="20"/>
          <w:szCs w:val="20"/>
        </w:rPr>
        <w:instrText xml:space="preserve"> PAGEREF _Toc2525 \h </w:instrText>
      </w:r>
      <w:r>
        <w:rPr>
          <w:b/>
          <w:bCs/>
          <w:sz w:val="20"/>
          <w:szCs w:val="20"/>
        </w:rPr>
        <w:fldChar w:fldCharType="separate"/>
      </w:r>
      <w:r>
        <w:rPr>
          <w:rFonts w:hint="eastAsia"/>
          <w:b/>
          <w:bCs/>
          <w:sz w:val="20"/>
          <w:szCs w:val="20"/>
        </w:rPr>
        <w:t>12</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"_Toc21083" </w:instrText>
      </w:r>
      <w:r>
        <w:fldChar w:fldCharType="separate"/>
      </w:r>
      <w:r>
        <w:rPr>
          <w:rFonts w:hint="eastAsia"/>
          <w:b/>
          <w:bCs/>
          <w:sz w:val="20"/>
          <w:szCs w:val="20"/>
        </w:rPr>
        <w:t>第四章</w:t>
      </w:r>
      <w:r>
        <w:rPr>
          <w:b/>
          <w:bCs/>
          <w:sz w:val="20"/>
          <w:szCs w:val="20"/>
        </w:rPr>
        <w:t xml:space="preserve"> </w:t>
      </w:r>
      <w:r>
        <w:rPr>
          <w:rFonts w:hint="eastAsia"/>
          <w:b/>
          <w:bCs/>
          <w:sz w:val="20"/>
          <w:szCs w:val="20"/>
        </w:rPr>
        <w:t>资格审查和评标方法</w:t>
      </w:r>
      <w:r>
        <w:rPr>
          <w:b/>
          <w:bCs/>
          <w:sz w:val="20"/>
          <w:szCs w:val="20"/>
        </w:rPr>
        <w:tab/>
      </w:r>
      <w:r>
        <w:rPr>
          <w:b/>
          <w:bCs/>
          <w:sz w:val="20"/>
          <w:szCs w:val="20"/>
        </w:rPr>
        <w:fldChar w:fldCharType="begin"/>
      </w:r>
      <w:r>
        <w:rPr>
          <w:b/>
          <w:bCs/>
          <w:sz w:val="20"/>
          <w:szCs w:val="20"/>
        </w:rPr>
        <w:instrText xml:space="preserve"> PAGEREF _Toc21083 \h </w:instrText>
      </w:r>
      <w:r>
        <w:rPr>
          <w:b/>
          <w:bCs/>
          <w:sz w:val="20"/>
          <w:szCs w:val="20"/>
        </w:rPr>
        <w:fldChar w:fldCharType="separate"/>
      </w:r>
      <w:r>
        <w:rPr>
          <w:rFonts w:hint="eastAsia"/>
          <w:b/>
          <w:bCs/>
          <w:sz w:val="20"/>
          <w:szCs w:val="20"/>
        </w:rPr>
        <w:t>12</w:t>
      </w:r>
      <w:r>
        <w:rPr>
          <w:b/>
          <w:bCs/>
          <w:sz w:val="20"/>
          <w:szCs w:val="20"/>
        </w:rPr>
        <w:fldChar w:fldCharType="end"/>
      </w:r>
      <w:r>
        <w:rPr>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"_Toc26284" </w:instrText>
      </w:r>
      <w:r>
        <w:fldChar w:fldCharType="separate"/>
      </w:r>
      <w:r>
        <w:rPr>
          <w:rFonts w:hint="eastAsia"/>
          <w:i w:val="0"/>
          <w:iCs w:val="0"/>
          <w:smallCaps/>
          <w:sz w:val="20"/>
          <w:szCs w:val="20"/>
        </w:rPr>
        <w:t>前附表（一）资格审查表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_Toc26284 \h </w:instrText>
      </w:r>
      <w:r>
        <w:rPr>
          <w:i w:val="0"/>
          <w:iCs w:val="0"/>
          <w:smallCaps/>
          <w:sz w:val="20"/>
          <w:szCs w:val="20"/>
        </w:rPr>
        <w:fldChar w:fldCharType="separate"/>
      </w:r>
      <w:r>
        <w:rPr>
          <w:rFonts w:hint="eastAsia"/>
          <w:i w:val="0"/>
          <w:iCs w:val="0"/>
          <w:smallCaps/>
          <w:sz w:val="20"/>
          <w:szCs w:val="20"/>
        </w:rPr>
        <w:t>13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"_Toc27481" </w:instrText>
      </w:r>
      <w:r>
        <w:fldChar w:fldCharType="separate"/>
      </w:r>
      <w:r>
        <w:rPr>
          <w:rFonts w:hint="eastAsia"/>
          <w:i w:val="0"/>
          <w:iCs w:val="0"/>
          <w:smallCaps/>
          <w:sz w:val="20"/>
          <w:szCs w:val="20"/>
        </w:rPr>
        <w:t>前附表（二）符合性审查表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_Toc27481 \h </w:instrText>
      </w:r>
      <w:r>
        <w:rPr>
          <w:i w:val="0"/>
          <w:iCs w:val="0"/>
          <w:smallCaps/>
          <w:sz w:val="20"/>
          <w:szCs w:val="20"/>
        </w:rPr>
        <w:fldChar w:fldCharType="separate"/>
      </w:r>
      <w:r>
        <w:rPr>
          <w:rFonts w:hint="eastAsia"/>
          <w:i w:val="0"/>
          <w:iCs w:val="0"/>
          <w:smallCaps/>
          <w:sz w:val="20"/>
          <w:szCs w:val="20"/>
        </w:rPr>
        <w:t>14</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"_Toc23650" </w:instrText>
      </w:r>
      <w:r>
        <w:fldChar w:fldCharType="separate"/>
      </w:r>
      <w:r>
        <w:rPr>
          <w:rFonts w:hint="eastAsia"/>
          <w:i w:val="0"/>
          <w:iCs w:val="0"/>
          <w:smallCaps/>
          <w:sz w:val="20"/>
          <w:szCs w:val="20"/>
        </w:rPr>
        <w:t>前附表（三）综合评分法评分因素和权重分值表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_Toc23650 \h </w:instrText>
      </w:r>
      <w:r>
        <w:rPr>
          <w:i w:val="0"/>
          <w:iCs w:val="0"/>
          <w:smallCaps/>
          <w:sz w:val="20"/>
          <w:szCs w:val="20"/>
        </w:rPr>
        <w:fldChar w:fldCharType="separate"/>
      </w:r>
      <w:r>
        <w:rPr>
          <w:rFonts w:hint="eastAsia"/>
          <w:i w:val="0"/>
          <w:iCs w:val="0"/>
          <w:smallCaps/>
          <w:sz w:val="20"/>
          <w:szCs w:val="20"/>
        </w:rPr>
        <w:t>15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"_Toc75" </w:instrText>
      </w:r>
      <w:r>
        <w:fldChar w:fldCharType="separate"/>
      </w:r>
      <w:r>
        <w:rPr>
          <w:rFonts w:hint="eastAsia"/>
          <w:i w:val="0"/>
          <w:iCs w:val="0"/>
          <w:smallCaps/>
          <w:sz w:val="20"/>
          <w:szCs w:val="20"/>
        </w:rPr>
        <w:t>前附表（四）</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_Toc75 \h </w:instrText>
      </w:r>
      <w:r>
        <w:rPr>
          <w:i w:val="0"/>
          <w:iCs w:val="0"/>
          <w:smallCaps/>
          <w:sz w:val="20"/>
          <w:szCs w:val="20"/>
        </w:rPr>
        <w:fldChar w:fldCharType="separate"/>
      </w:r>
      <w:r>
        <w:rPr>
          <w:rFonts w:hint="eastAsia"/>
          <w:i w:val="0"/>
          <w:iCs w:val="0"/>
          <w:smallCaps/>
          <w:sz w:val="20"/>
          <w:szCs w:val="20"/>
        </w:rPr>
        <w:t>21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"_Toc4857" </w:instrText>
      </w:r>
      <w:r>
        <w:fldChar w:fldCharType="separate"/>
      </w:r>
      <w:r>
        <w:rPr>
          <w:i w:val="0"/>
          <w:iCs w:val="0"/>
          <w:smallCaps/>
          <w:sz w:val="20"/>
          <w:szCs w:val="20"/>
        </w:rPr>
        <w:t>1.</w:t>
      </w:r>
      <w:r>
        <w:rPr>
          <w:rFonts w:hint="eastAsia"/>
          <w:i w:val="0"/>
          <w:iCs w:val="0"/>
          <w:smallCaps/>
          <w:sz w:val="20"/>
          <w:szCs w:val="20"/>
        </w:rPr>
        <w:t>资格审查</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_Toc4857 \h </w:instrText>
      </w:r>
      <w:r>
        <w:rPr>
          <w:i w:val="0"/>
          <w:iCs w:val="0"/>
          <w:smallCaps/>
          <w:sz w:val="20"/>
          <w:szCs w:val="20"/>
        </w:rPr>
        <w:fldChar w:fldCharType="separate"/>
      </w:r>
      <w:r>
        <w:rPr>
          <w:rFonts w:hint="eastAsia"/>
          <w:i w:val="0"/>
          <w:iCs w:val="0"/>
          <w:smallCaps/>
          <w:sz w:val="20"/>
          <w:szCs w:val="20"/>
        </w:rPr>
        <w:t>21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"_Toc30051" </w:instrText>
      </w:r>
      <w:r>
        <w:fldChar w:fldCharType="separate"/>
      </w:r>
      <w:r>
        <w:rPr>
          <w:i w:val="0"/>
          <w:iCs w:val="0"/>
          <w:smallCaps/>
          <w:sz w:val="20"/>
          <w:szCs w:val="20"/>
        </w:rPr>
        <w:t>2.</w:t>
      </w:r>
      <w:r>
        <w:rPr>
          <w:rFonts w:hint="eastAsia"/>
          <w:i w:val="0"/>
          <w:iCs w:val="0"/>
          <w:smallCaps/>
          <w:sz w:val="20"/>
          <w:szCs w:val="20"/>
        </w:rPr>
        <w:t>评标方法</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_Toc30051 \h </w:instrText>
      </w:r>
      <w:r>
        <w:rPr>
          <w:i w:val="0"/>
          <w:iCs w:val="0"/>
          <w:smallCaps/>
          <w:sz w:val="20"/>
          <w:szCs w:val="20"/>
        </w:rPr>
        <w:fldChar w:fldCharType="separate"/>
      </w:r>
      <w:r>
        <w:rPr>
          <w:rFonts w:hint="eastAsia"/>
          <w:i w:val="0"/>
          <w:iCs w:val="0"/>
          <w:smallCaps/>
          <w:sz w:val="20"/>
          <w:szCs w:val="20"/>
        </w:rPr>
        <w:t>21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"_Toc32188" </w:instrText>
      </w:r>
      <w:r>
        <w:fldChar w:fldCharType="separate"/>
      </w:r>
      <w:r>
        <w:rPr>
          <w:i w:val="0"/>
          <w:iCs w:val="0"/>
          <w:smallCaps/>
          <w:sz w:val="20"/>
          <w:szCs w:val="20"/>
        </w:rPr>
        <w:t>3.</w:t>
      </w:r>
      <w:r>
        <w:rPr>
          <w:rFonts w:hint="eastAsia"/>
          <w:i w:val="0"/>
          <w:iCs w:val="0"/>
          <w:smallCaps/>
          <w:sz w:val="20"/>
          <w:szCs w:val="20"/>
        </w:rPr>
        <w:t>符合性审查</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_Toc32188 \h </w:instrText>
      </w:r>
      <w:r>
        <w:rPr>
          <w:i w:val="0"/>
          <w:iCs w:val="0"/>
          <w:smallCaps/>
          <w:sz w:val="20"/>
          <w:szCs w:val="20"/>
        </w:rPr>
        <w:fldChar w:fldCharType="separate"/>
      </w:r>
      <w:r>
        <w:rPr>
          <w:rFonts w:hint="eastAsia"/>
          <w:i w:val="0"/>
          <w:iCs w:val="0"/>
          <w:smallCaps/>
          <w:sz w:val="20"/>
          <w:szCs w:val="20"/>
        </w:rPr>
        <w:t>21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"_Toc6427" </w:instrText>
      </w:r>
      <w:r>
        <w:fldChar w:fldCharType="separate"/>
      </w:r>
      <w:r>
        <w:rPr>
          <w:i w:val="0"/>
          <w:iCs w:val="0"/>
          <w:smallCaps/>
          <w:sz w:val="20"/>
          <w:szCs w:val="20"/>
        </w:rPr>
        <w:t>4.</w:t>
      </w:r>
      <w:r>
        <w:rPr>
          <w:rFonts w:hint="eastAsia"/>
          <w:i w:val="0"/>
          <w:iCs w:val="0"/>
          <w:smallCaps/>
          <w:sz w:val="20"/>
          <w:szCs w:val="20"/>
        </w:rPr>
        <w:t>比较与评价</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_Toc6427 \h </w:instrText>
      </w:r>
      <w:r>
        <w:rPr>
          <w:i w:val="0"/>
          <w:iCs w:val="0"/>
          <w:smallCaps/>
          <w:sz w:val="20"/>
          <w:szCs w:val="20"/>
        </w:rPr>
        <w:fldChar w:fldCharType="separate"/>
      </w:r>
      <w:r>
        <w:rPr>
          <w:rFonts w:hint="eastAsia"/>
          <w:i w:val="0"/>
          <w:iCs w:val="0"/>
          <w:smallCaps/>
          <w:sz w:val="20"/>
          <w:szCs w:val="20"/>
        </w:rPr>
        <w:t>22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"_Toc8235" </w:instrText>
      </w:r>
      <w:r>
        <w:fldChar w:fldCharType="separate"/>
      </w:r>
      <w:r>
        <w:rPr>
          <w:i w:val="0"/>
          <w:iCs w:val="0"/>
          <w:smallCaps/>
          <w:sz w:val="20"/>
          <w:szCs w:val="20"/>
        </w:rPr>
        <w:t>5.</w:t>
      </w:r>
      <w:r>
        <w:rPr>
          <w:rFonts w:hint="eastAsia"/>
          <w:i w:val="0"/>
          <w:iCs w:val="0"/>
          <w:smallCaps/>
          <w:sz w:val="20"/>
          <w:szCs w:val="20"/>
        </w:rPr>
        <w:t>编写评标报告</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_Toc8235 \h </w:instrText>
      </w:r>
      <w:r>
        <w:rPr>
          <w:i w:val="0"/>
          <w:iCs w:val="0"/>
          <w:smallCaps/>
          <w:sz w:val="20"/>
          <w:szCs w:val="20"/>
        </w:rPr>
        <w:fldChar w:fldCharType="separate"/>
      </w:r>
      <w:r>
        <w:rPr>
          <w:rFonts w:hint="eastAsia"/>
          <w:i w:val="0"/>
          <w:iCs w:val="0"/>
          <w:smallCaps/>
          <w:sz w:val="20"/>
          <w:szCs w:val="20"/>
        </w:rPr>
        <w:t>23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"_Toc23581" </w:instrText>
      </w:r>
      <w:r>
        <w:fldChar w:fldCharType="separate"/>
      </w:r>
      <w:r>
        <w:rPr>
          <w:i w:val="0"/>
          <w:iCs w:val="0"/>
          <w:smallCaps/>
          <w:sz w:val="20"/>
          <w:szCs w:val="20"/>
        </w:rPr>
        <w:t>6.</w:t>
      </w:r>
      <w:r>
        <w:rPr>
          <w:rFonts w:hint="eastAsia"/>
          <w:i w:val="0"/>
          <w:iCs w:val="0"/>
          <w:smallCaps/>
          <w:sz w:val="20"/>
          <w:szCs w:val="20"/>
        </w:rPr>
        <w:t>评标委员会对招标失败的论证意见</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_Toc23581 \h </w:instrText>
      </w:r>
      <w:r>
        <w:rPr>
          <w:i w:val="0"/>
          <w:iCs w:val="0"/>
          <w:smallCaps/>
          <w:sz w:val="20"/>
          <w:szCs w:val="20"/>
        </w:rPr>
        <w:fldChar w:fldCharType="separate"/>
      </w:r>
      <w:r>
        <w:rPr>
          <w:rFonts w:hint="eastAsia"/>
          <w:i w:val="0"/>
          <w:iCs w:val="0"/>
          <w:smallCaps/>
          <w:sz w:val="20"/>
          <w:szCs w:val="20"/>
        </w:rPr>
        <w:t>23</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"_Toc24275" </w:instrText>
      </w:r>
      <w:r>
        <w:fldChar w:fldCharType="separate"/>
      </w:r>
      <w:r>
        <w:rPr>
          <w:rFonts w:hint="eastAsia"/>
          <w:b/>
          <w:bCs/>
          <w:sz w:val="20"/>
          <w:szCs w:val="20"/>
        </w:rPr>
        <w:t>第五章</w:t>
      </w:r>
      <w:r>
        <w:rPr>
          <w:b/>
          <w:bCs/>
          <w:sz w:val="20"/>
          <w:szCs w:val="20"/>
        </w:rPr>
        <w:t xml:space="preserve"> </w:t>
      </w:r>
      <w:r>
        <w:rPr>
          <w:rFonts w:hint="eastAsia"/>
          <w:b/>
          <w:bCs/>
          <w:sz w:val="20"/>
          <w:szCs w:val="20"/>
        </w:rPr>
        <w:t>合同文本</w:t>
      </w:r>
      <w:r>
        <w:rPr>
          <w:b/>
          <w:bCs/>
          <w:sz w:val="20"/>
          <w:szCs w:val="20"/>
        </w:rPr>
        <w:tab/>
      </w:r>
      <w:r>
        <w:rPr>
          <w:b/>
          <w:bCs/>
          <w:sz w:val="20"/>
          <w:szCs w:val="20"/>
        </w:rPr>
        <w:fldChar w:fldCharType="begin"/>
      </w:r>
      <w:r>
        <w:rPr>
          <w:b/>
          <w:bCs/>
          <w:sz w:val="20"/>
          <w:szCs w:val="20"/>
        </w:rPr>
        <w:instrText xml:space="preserve"> PAGEREF _Toc24275 \h </w:instrText>
      </w:r>
      <w:r>
        <w:rPr>
          <w:b/>
          <w:bCs/>
          <w:sz w:val="20"/>
          <w:szCs w:val="20"/>
        </w:rPr>
        <w:fldChar w:fldCharType="separate"/>
      </w:r>
      <w:r>
        <w:rPr>
          <w:rFonts w:hint="eastAsia"/>
          <w:b/>
          <w:bCs/>
          <w:sz w:val="20"/>
          <w:szCs w:val="20"/>
        </w:rPr>
        <w:t>24</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"_Toc30017" </w:instrText>
      </w:r>
      <w:r>
        <w:fldChar w:fldCharType="separate"/>
      </w:r>
      <w:r>
        <w:rPr>
          <w:rFonts w:hint="eastAsia"/>
          <w:b/>
          <w:bCs/>
          <w:sz w:val="20"/>
          <w:szCs w:val="20"/>
        </w:rPr>
        <w:t>第六章</w:t>
      </w:r>
      <w:r>
        <w:rPr>
          <w:b/>
          <w:bCs/>
          <w:sz w:val="20"/>
          <w:szCs w:val="20"/>
        </w:rPr>
        <w:t xml:space="preserve"> </w:t>
      </w:r>
      <w:r>
        <w:rPr>
          <w:rFonts w:hint="eastAsia"/>
          <w:b/>
          <w:bCs/>
          <w:sz w:val="20"/>
          <w:szCs w:val="20"/>
        </w:rPr>
        <w:t>投标资料表</w:t>
      </w:r>
      <w:r>
        <w:rPr>
          <w:b/>
          <w:bCs/>
          <w:sz w:val="20"/>
          <w:szCs w:val="20"/>
        </w:rPr>
        <w:tab/>
      </w:r>
      <w:r>
        <w:rPr>
          <w:b/>
          <w:bCs/>
          <w:sz w:val="20"/>
          <w:szCs w:val="20"/>
        </w:rPr>
        <w:fldChar w:fldCharType="begin"/>
      </w:r>
      <w:r>
        <w:rPr>
          <w:b/>
          <w:bCs/>
          <w:sz w:val="20"/>
          <w:szCs w:val="20"/>
        </w:rPr>
        <w:instrText xml:space="preserve"> PAGEREF _Toc30017 \h </w:instrText>
      </w:r>
      <w:r>
        <w:rPr>
          <w:b/>
          <w:bCs/>
          <w:sz w:val="20"/>
          <w:szCs w:val="20"/>
        </w:rPr>
        <w:fldChar w:fldCharType="separate"/>
      </w:r>
      <w:r>
        <w:rPr>
          <w:rFonts w:hint="eastAsia"/>
          <w:b/>
          <w:bCs/>
          <w:sz w:val="20"/>
          <w:szCs w:val="20"/>
        </w:rPr>
        <w:t>52</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"_Toc20407" </w:instrText>
      </w:r>
      <w:r>
        <w:fldChar w:fldCharType="separate"/>
      </w:r>
      <w:r>
        <w:rPr>
          <w:rFonts w:hint="eastAsia"/>
          <w:b/>
          <w:bCs/>
          <w:sz w:val="20"/>
          <w:szCs w:val="20"/>
        </w:rPr>
        <w:t>第七章</w:t>
      </w:r>
      <w:r>
        <w:rPr>
          <w:b/>
          <w:bCs/>
          <w:sz w:val="20"/>
          <w:szCs w:val="20"/>
        </w:rPr>
        <w:t xml:space="preserve"> </w:t>
      </w:r>
      <w:r>
        <w:rPr>
          <w:rFonts w:hint="eastAsia"/>
          <w:b/>
          <w:bCs/>
          <w:sz w:val="20"/>
          <w:szCs w:val="20"/>
        </w:rPr>
        <w:t>投标文件格式</w:t>
      </w:r>
      <w:r>
        <w:rPr>
          <w:b/>
          <w:bCs/>
          <w:sz w:val="20"/>
          <w:szCs w:val="20"/>
        </w:rPr>
        <w:tab/>
      </w:r>
      <w:r>
        <w:rPr>
          <w:b/>
          <w:bCs/>
          <w:sz w:val="20"/>
          <w:szCs w:val="20"/>
        </w:rPr>
        <w:fldChar w:fldCharType="begin"/>
      </w:r>
      <w:r>
        <w:rPr>
          <w:b/>
          <w:bCs/>
          <w:sz w:val="20"/>
          <w:szCs w:val="20"/>
        </w:rPr>
        <w:instrText xml:space="preserve"> PAGEREF _Toc20407 \h </w:instrText>
      </w:r>
      <w:r>
        <w:rPr>
          <w:b/>
          <w:bCs/>
          <w:sz w:val="20"/>
          <w:szCs w:val="20"/>
        </w:rPr>
        <w:fldChar w:fldCharType="separate"/>
      </w:r>
      <w:r>
        <w:rPr>
          <w:rFonts w:hint="eastAsia"/>
          <w:b/>
          <w:bCs/>
          <w:sz w:val="20"/>
          <w:szCs w:val="20"/>
        </w:rPr>
        <w:t>53</w:t>
      </w:r>
      <w:r>
        <w:rPr>
          <w:b/>
          <w:bCs/>
          <w:sz w:val="20"/>
          <w:szCs w:val="20"/>
        </w:rPr>
        <w:fldChar w:fldCharType="end"/>
      </w:r>
      <w:r>
        <w:rPr>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"_Toc15041" </w:instrText>
      </w:r>
      <w:r>
        <w:fldChar w:fldCharType="separate"/>
      </w:r>
      <w:r>
        <w:rPr>
          <w:rFonts w:hint="eastAsia"/>
          <w:i w:val="0"/>
          <w:iCs w:val="0"/>
          <w:smallCaps/>
          <w:sz w:val="20"/>
          <w:szCs w:val="20"/>
        </w:rPr>
        <w:t>投标文件编制说明</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_Toc15041 \h </w:instrText>
      </w:r>
      <w:r>
        <w:rPr>
          <w:i w:val="0"/>
          <w:iCs w:val="0"/>
          <w:smallCaps/>
          <w:sz w:val="20"/>
          <w:szCs w:val="20"/>
        </w:rPr>
        <w:fldChar w:fldCharType="separate"/>
      </w:r>
      <w:r>
        <w:rPr>
          <w:rFonts w:hint="eastAsia"/>
          <w:i w:val="0"/>
          <w:iCs w:val="0"/>
          <w:smallCaps/>
          <w:sz w:val="20"/>
          <w:szCs w:val="20"/>
        </w:rPr>
        <w:t>53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"_Toc20303" </w:instrText>
      </w:r>
      <w:r>
        <w:fldChar w:fldCharType="separate"/>
      </w:r>
      <w:r>
        <w:rPr>
          <w:rFonts w:hint="eastAsia"/>
          <w:i w:val="0"/>
          <w:iCs w:val="0"/>
          <w:smallCaps/>
          <w:sz w:val="20"/>
          <w:szCs w:val="20"/>
        </w:rPr>
        <w:t>格式</w:t>
      </w:r>
      <w:r>
        <w:rPr>
          <w:i w:val="0"/>
          <w:iCs w:val="0"/>
          <w:smallCaps/>
          <w:sz w:val="20"/>
          <w:szCs w:val="20"/>
        </w:rPr>
        <w:t>1</w:t>
      </w:r>
      <w:r>
        <w:rPr>
          <w:rFonts w:hint="eastAsia"/>
          <w:i w:val="0"/>
          <w:iCs w:val="0"/>
          <w:smallCaps/>
          <w:sz w:val="20"/>
          <w:szCs w:val="20"/>
        </w:rPr>
        <w:t>：投标函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_Toc20303 \h </w:instrText>
      </w:r>
      <w:r>
        <w:rPr>
          <w:i w:val="0"/>
          <w:iCs w:val="0"/>
          <w:smallCaps/>
          <w:sz w:val="20"/>
          <w:szCs w:val="20"/>
        </w:rPr>
        <w:fldChar w:fldCharType="separate"/>
      </w:r>
      <w:r>
        <w:rPr>
          <w:rFonts w:hint="eastAsia"/>
          <w:i w:val="0"/>
          <w:iCs w:val="0"/>
          <w:smallCaps/>
          <w:sz w:val="20"/>
          <w:szCs w:val="20"/>
        </w:rPr>
        <w:t>59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"_Toc469" </w:instrText>
      </w:r>
      <w:r>
        <w:fldChar w:fldCharType="separate"/>
      </w:r>
      <w:r>
        <w:rPr>
          <w:rFonts w:hint="eastAsia"/>
          <w:i w:val="0"/>
          <w:iCs w:val="0"/>
          <w:smallCaps/>
          <w:sz w:val="20"/>
          <w:szCs w:val="20"/>
        </w:rPr>
        <w:t>格式</w:t>
      </w:r>
      <w:r>
        <w:rPr>
          <w:i w:val="0"/>
          <w:iCs w:val="0"/>
          <w:smallCaps/>
          <w:sz w:val="20"/>
          <w:szCs w:val="20"/>
        </w:rPr>
        <w:t>2</w:t>
      </w:r>
      <w:r>
        <w:rPr>
          <w:rFonts w:hint="eastAsia"/>
          <w:i w:val="0"/>
          <w:iCs w:val="0"/>
          <w:smallCaps/>
          <w:sz w:val="20"/>
          <w:szCs w:val="20"/>
        </w:rPr>
        <w:t>：法定代表人（单位负责人）证明书</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_Toc469 \h </w:instrText>
      </w:r>
      <w:r>
        <w:rPr>
          <w:i w:val="0"/>
          <w:iCs w:val="0"/>
          <w:smallCaps/>
          <w:sz w:val="20"/>
          <w:szCs w:val="20"/>
        </w:rPr>
        <w:fldChar w:fldCharType="separate"/>
      </w:r>
      <w:r>
        <w:rPr>
          <w:rFonts w:hint="eastAsia"/>
          <w:i w:val="0"/>
          <w:iCs w:val="0"/>
          <w:smallCaps/>
          <w:sz w:val="20"/>
          <w:szCs w:val="20"/>
        </w:rPr>
        <w:t>60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"_Toc1571" </w:instrText>
      </w:r>
      <w:r>
        <w:fldChar w:fldCharType="separate"/>
      </w:r>
      <w:r>
        <w:rPr>
          <w:rFonts w:hint="eastAsia"/>
          <w:i w:val="0"/>
          <w:iCs w:val="0"/>
          <w:smallCaps/>
          <w:sz w:val="20"/>
          <w:szCs w:val="20"/>
        </w:rPr>
        <w:t>格式</w:t>
      </w:r>
      <w:r>
        <w:rPr>
          <w:i w:val="0"/>
          <w:iCs w:val="0"/>
          <w:smallCaps/>
          <w:sz w:val="20"/>
          <w:szCs w:val="20"/>
        </w:rPr>
        <w:t>3</w:t>
      </w:r>
      <w:r>
        <w:rPr>
          <w:rFonts w:hint="eastAsia"/>
          <w:i w:val="0"/>
          <w:iCs w:val="0"/>
          <w:smallCaps/>
          <w:sz w:val="20"/>
          <w:szCs w:val="20"/>
        </w:rPr>
        <w:t>：授权委托书</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_Toc1571 \h </w:instrText>
      </w:r>
      <w:r>
        <w:rPr>
          <w:i w:val="0"/>
          <w:iCs w:val="0"/>
          <w:smallCaps/>
          <w:sz w:val="20"/>
          <w:szCs w:val="20"/>
        </w:rPr>
        <w:fldChar w:fldCharType="separate"/>
      </w:r>
      <w:r>
        <w:rPr>
          <w:rFonts w:hint="eastAsia"/>
          <w:i w:val="0"/>
          <w:iCs w:val="0"/>
          <w:smallCaps/>
          <w:sz w:val="20"/>
          <w:szCs w:val="20"/>
        </w:rPr>
        <w:t>61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"_Toc8268" </w:instrText>
      </w:r>
      <w:r>
        <w:fldChar w:fldCharType="separate"/>
      </w:r>
      <w:r>
        <w:rPr>
          <w:rFonts w:hint="eastAsia"/>
          <w:i w:val="0"/>
          <w:iCs w:val="0"/>
          <w:smallCaps/>
          <w:sz w:val="20"/>
          <w:szCs w:val="20"/>
        </w:rPr>
        <w:t>格式</w:t>
      </w:r>
      <w:r>
        <w:rPr>
          <w:i w:val="0"/>
          <w:iCs w:val="0"/>
          <w:smallCaps/>
          <w:sz w:val="20"/>
          <w:szCs w:val="20"/>
        </w:rPr>
        <w:t>4</w:t>
      </w:r>
      <w:r>
        <w:rPr>
          <w:rFonts w:hint="eastAsia"/>
          <w:i w:val="0"/>
          <w:iCs w:val="0"/>
          <w:smallCaps/>
          <w:sz w:val="20"/>
          <w:szCs w:val="20"/>
        </w:rPr>
        <w:t>：资格条款偏离表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_Toc8268 \h </w:instrText>
      </w:r>
      <w:r>
        <w:rPr>
          <w:i w:val="0"/>
          <w:iCs w:val="0"/>
          <w:smallCaps/>
          <w:sz w:val="20"/>
          <w:szCs w:val="20"/>
        </w:rPr>
        <w:fldChar w:fldCharType="separate"/>
      </w:r>
      <w:r>
        <w:rPr>
          <w:rFonts w:hint="eastAsia"/>
          <w:i w:val="0"/>
          <w:iCs w:val="0"/>
          <w:smallCaps/>
          <w:sz w:val="20"/>
          <w:szCs w:val="20"/>
        </w:rPr>
        <w:t>62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"_Toc11397" </w:instrText>
      </w:r>
      <w:r>
        <w:fldChar w:fldCharType="separate"/>
      </w:r>
      <w:r>
        <w:rPr>
          <w:rFonts w:hint="eastAsia"/>
          <w:i w:val="0"/>
          <w:iCs w:val="0"/>
          <w:smallCaps/>
          <w:sz w:val="20"/>
          <w:szCs w:val="20"/>
        </w:rPr>
        <w:t>格式</w:t>
      </w:r>
      <w:r>
        <w:rPr>
          <w:i w:val="0"/>
          <w:iCs w:val="0"/>
          <w:smallCaps/>
          <w:sz w:val="20"/>
          <w:szCs w:val="20"/>
        </w:rPr>
        <w:t>5</w:t>
      </w:r>
      <w:r>
        <w:rPr>
          <w:rFonts w:hint="eastAsia"/>
          <w:i w:val="0"/>
          <w:iCs w:val="0"/>
          <w:smallCaps/>
          <w:sz w:val="20"/>
          <w:szCs w:val="20"/>
        </w:rPr>
        <w:t>：法人或者其他组织的营业执照等证明文件</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_Toc11397 \h </w:instrText>
      </w:r>
      <w:r>
        <w:rPr>
          <w:i w:val="0"/>
          <w:iCs w:val="0"/>
          <w:smallCaps/>
          <w:sz w:val="20"/>
          <w:szCs w:val="20"/>
        </w:rPr>
        <w:fldChar w:fldCharType="separate"/>
      </w:r>
      <w:r>
        <w:rPr>
          <w:rFonts w:hint="eastAsia"/>
          <w:i w:val="0"/>
          <w:iCs w:val="0"/>
          <w:smallCaps/>
          <w:sz w:val="20"/>
          <w:szCs w:val="20"/>
        </w:rPr>
        <w:t>64</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"_Toc18407" </w:instrText>
      </w:r>
      <w:r>
        <w:fldChar w:fldCharType="separate"/>
      </w:r>
      <w:r>
        <w:rPr>
          <w:rFonts w:hint="eastAsia"/>
          <w:i w:val="0"/>
          <w:iCs w:val="0"/>
          <w:smallCaps/>
          <w:sz w:val="20"/>
          <w:szCs w:val="20"/>
        </w:rPr>
        <w:t>格式</w:t>
      </w:r>
      <w:r>
        <w:rPr>
          <w:i w:val="0"/>
          <w:iCs w:val="0"/>
          <w:smallCaps/>
          <w:sz w:val="20"/>
          <w:szCs w:val="20"/>
        </w:rPr>
        <w:t>6</w:t>
      </w:r>
      <w:r>
        <w:rPr>
          <w:rFonts w:hint="eastAsia"/>
          <w:i w:val="0"/>
          <w:iCs w:val="0"/>
          <w:smallCaps/>
          <w:sz w:val="20"/>
          <w:szCs w:val="20"/>
        </w:rPr>
        <w:t>：投标人资格声明函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_Toc18407 \h </w:instrText>
      </w:r>
      <w:r>
        <w:rPr>
          <w:i w:val="0"/>
          <w:iCs w:val="0"/>
          <w:smallCaps/>
          <w:sz w:val="20"/>
          <w:szCs w:val="20"/>
        </w:rPr>
        <w:fldChar w:fldCharType="separate"/>
      </w:r>
      <w:r>
        <w:rPr>
          <w:rFonts w:hint="eastAsia"/>
          <w:i w:val="0"/>
          <w:iCs w:val="0"/>
          <w:smallCaps/>
          <w:sz w:val="20"/>
          <w:szCs w:val="20"/>
        </w:rPr>
        <w:t>65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"_Toc1290" </w:instrText>
      </w:r>
      <w:r>
        <w:fldChar w:fldCharType="separate"/>
      </w:r>
      <w:r>
        <w:rPr>
          <w:rFonts w:hint="eastAsia"/>
          <w:i w:val="0"/>
          <w:iCs w:val="0"/>
          <w:smallCaps/>
          <w:sz w:val="20"/>
          <w:szCs w:val="20"/>
        </w:rPr>
        <w:t>格式</w:t>
      </w:r>
      <w:r>
        <w:rPr>
          <w:i w:val="0"/>
          <w:iCs w:val="0"/>
          <w:smallCaps/>
          <w:sz w:val="20"/>
          <w:szCs w:val="20"/>
        </w:rPr>
        <w:t>7</w:t>
      </w:r>
      <w:r>
        <w:rPr>
          <w:rFonts w:hint="eastAsia"/>
          <w:i w:val="0"/>
          <w:iCs w:val="0"/>
          <w:smallCaps/>
          <w:sz w:val="20"/>
          <w:szCs w:val="20"/>
        </w:rPr>
        <w:t>：开标一览表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_Toc1290 \h </w:instrText>
      </w:r>
      <w:r>
        <w:rPr>
          <w:i w:val="0"/>
          <w:iCs w:val="0"/>
          <w:smallCaps/>
          <w:sz w:val="20"/>
          <w:szCs w:val="20"/>
        </w:rPr>
        <w:fldChar w:fldCharType="separate"/>
      </w:r>
      <w:r>
        <w:rPr>
          <w:rFonts w:hint="eastAsia"/>
          <w:i w:val="0"/>
          <w:iCs w:val="0"/>
          <w:smallCaps/>
          <w:sz w:val="20"/>
          <w:szCs w:val="20"/>
        </w:rPr>
        <w:t>67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"_Toc29048" </w:instrText>
      </w:r>
      <w:r>
        <w:fldChar w:fldCharType="separate"/>
      </w:r>
      <w:r>
        <w:rPr>
          <w:rFonts w:hint="eastAsia"/>
          <w:i w:val="0"/>
          <w:iCs w:val="0"/>
          <w:smallCaps/>
          <w:sz w:val="20"/>
          <w:szCs w:val="20"/>
        </w:rPr>
        <w:t>格式</w:t>
      </w:r>
      <w:r>
        <w:rPr>
          <w:i w:val="0"/>
          <w:iCs w:val="0"/>
          <w:smallCaps/>
          <w:sz w:val="20"/>
          <w:szCs w:val="20"/>
        </w:rPr>
        <w:t>8</w:t>
      </w:r>
      <w:r>
        <w:rPr>
          <w:rFonts w:hint="eastAsia"/>
          <w:i w:val="0"/>
          <w:iCs w:val="0"/>
          <w:smallCaps/>
          <w:sz w:val="20"/>
          <w:szCs w:val="20"/>
        </w:rPr>
        <w:t>：投标分项报价表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_Toc29048 \h </w:instrText>
      </w:r>
      <w:r>
        <w:rPr>
          <w:i w:val="0"/>
          <w:iCs w:val="0"/>
          <w:smallCaps/>
          <w:sz w:val="20"/>
          <w:szCs w:val="20"/>
        </w:rPr>
        <w:fldChar w:fldCharType="separate"/>
      </w:r>
      <w:r>
        <w:rPr>
          <w:rFonts w:hint="eastAsia"/>
          <w:i w:val="0"/>
          <w:iCs w:val="0"/>
          <w:smallCaps/>
          <w:sz w:val="20"/>
          <w:szCs w:val="20"/>
        </w:rPr>
        <w:t>68</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"_Toc2972" </w:instrText>
      </w:r>
      <w:r>
        <w:fldChar w:fldCharType="separate"/>
      </w:r>
      <w:r>
        <w:rPr>
          <w:rFonts w:hint="eastAsia"/>
          <w:i w:val="0"/>
          <w:iCs w:val="0"/>
          <w:smallCaps/>
          <w:sz w:val="20"/>
          <w:szCs w:val="20"/>
        </w:rPr>
        <w:t>格式</w:t>
      </w:r>
      <w:r>
        <w:rPr>
          <w:i w:val="0"/>
          <w:iCs w:val="0"/>
          <w:smallCaps/>
          <w:sz w:val="20"/>
          <w:szCs w:val="20"/>
        </w:rPr>
        <w:t>9</w:t>
      </w:r>
      <w:r>
        <w:rPr>
          <w:rFonts w:hint="eastAsia"/>
          <w:i w:val="0"/>
          <w:iCs w:val="0"/>
          <w:smallCaps/>
          <w:sz w:val="20"/>
          <w:szCs w:val="20"/>
        </w:rPr>
        <w:t>：技术规格偏离表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_Toc2972 \h </w:instrText>
      </w:r>
      <w:r>
        <w:rPr>
          <w:i w:val="0"/>
          <w:iCs w:val="0"/>
          <w:smallCaps/>
          <w:sz w:val="20"/>
          <w:szCs w:val="20"/>
        </w:rPr>
        <w:fldChar w:fldCharType="separate"/>
      </w:r>
      <w:r>
        <w:rPr>
          <w:rFonts w:hint="eastAsia"/>
          <w:i w:val="0"/>
          <w:iCs w:val="0"/>
          <w:smallCaps/>
          <w:sz w:val="20"/>
          <w:szCs w:val="20"/>
        </w:rPr>
        <w:t>69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"_Toc32278" </w:instrText>
      </w:r>
      <w:r>
        <w:fldChar w:fldCharType="separate"/>
      </w:r>
      <w:r>
        <w:rPr>
          <w:rFonts w:hint="eastAsia"/>
          <w:i w:val="0"/>
          <w:iCs w:val="0"/>
          <w:smallCaps/>
          <w:sz w:val="20"/>
          <w:szCs w:val="20"/>
        </w:rPr>
        <w:t>格式</w:t>
      </w:r>
      <w:r>
        <w:rPr>
          <w:i w:val="0"/>
          <w:iCs w:val="0"/>
          <w:smallCaps/>
          <w:sz w:val="20"/>
          <w:szCs w:val="20"/>
        </w:rPr>
        <w:t>10</w:t>
      </w:r>
      <w:r>
        <w:rPr>
          <w:rFonts w:hint="eastAsia"/>
          <w:i w:val="0"/>
          <w:iCs w:val="0"/>
          <w:smallCaps/>
          <w:sz w:val="20"/>
          <w:szCs w:val="20"/>
        </w:rPr>
        <w:t>：技术保障措施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_Toc32278 \h </w:instrText>
      </w:r>
      <w:r>
        <w:rPr>
          <w:i w:val="0"/>
          <w:iCs w:val="0"/>
          <w:smallCaps/>
          <w:sz w:val="20"/>
          <w:szCs w:val="20"/>
        </w:rPr>
        <w:fldChar w:fldCharType="separate"/>
      </w:r>
      <w:r>
        <w:rPr>
          <w:rFonts w:hint="eastAsia"/>
          <w:i w:val="0"/>
          <w:iCs w:val="0"/>
          <w:smallCaps/>
          <w:sz w:val="20"/>
          <w:szCs w:val="20"/>
        </w:rPr>
        <w:t>70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"_Toc1638" </w:instrText>
      </w:r>
      <w:r>
        <w:fldChar w:fldCharType="separate"/>
      </w:r>
      <w:r>
        <w:rPr>
          <w:rFonts w:hint="eastAsia"/>
          <w:i w:val="0"/>
          <w:iCs w:val="0"/>
          <w:smallCaps/>
          <w:sz w:val="20"/>
          <w:szCs w:val="20"/>
        </w:rPr>
        <w:t>格式</w:t>
      </w:r>
      <w:r>
        <w:rPr>
          <w:i w:val="0"/>
          <w:iCs w:val="0"/>
          <w:smallCaps/>
          <w:sz w:val="20"/>
          <w:szCs w:val="20"/>
        </w:rPr>
        <w:t>11</w:t>
      </w:r>
      <w:r>
        <w:rPr>
          <w:rFonts w:hint="eastAsia"/>
          <w:i w:val="0"/>
          <w:iCs w:val="0"/>
          <w:smallCaps/>
          <w:sz w:val="20"/>
          <w:szCs w:val="20"/>
        </w:rPr>
        <w:t>：售后服务方案</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_Toc1638 \h </w:instrText>
      </w:r>
      <w:r>
        <w:rPr>
          <w:i w:val="0"/>
          <w:iCs w:val="0"/>
          <w:smallCaps/>
          <w:sz w:val="20"/>
          <w:szCs w:val="20"/>
        </w:rPr>
        <w:fldChar w:fldCharType="separate"/>
      </w:r>
      <w:r>
        <w:rPr>
          <w:rFonts w:hint="eastAsia"/>
          <w:i w:val="0"/>
          <w:iCs w:val="0"/>
          <w:smallCaps/>
          <w:sz w:val="20"/>
          <w:szCs w:val="20"/>
        </w:rPr>
        <w:t>70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"_Toc9963" </w:instrText>
      </w:r>
      <w:r>
        <w:fldChar w:fldCharType="separate"/>
      </w:r>
      <w:r>
        <w:rPr>
          <w:rFonts w:hint="eastAsia"/>
          <w:i w:val="0"/>
          <w:iCs w:val="0"/>
          <w:smallCaps/>
          <w:sz w:val="20"/>
          <w:szCs w:val="20"/>
        </w:rPr>
        <w:t>格式</w:t>
      </w:r>
      <w:r>
        <w:rPr>
          <w:i w:val="0"/>
          <w:iCs w:val="0"/>
          <w:smallCaps/>
          <w:sz w:val="20"/>
          <w:szCs w:val="20"/>
        </w:rPr>
        <w:t>12</w:t>
      </w:r>
      <w:r>
        <w:rPr>
          <w:rFonts w:hint="eastAsia"/>
          <w:i w:val="0"/>
          <w:iCs w:val="0"/>
          <w:smallCaps/>
          <w:sz w:val="20"/>
          <w:szCs w:val="20"/>
        </w:rPr>
        <w:t>：商务条款偏离表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_Toc9963 \h </w:instrText>
      </w:r>
      <w:r>
        <w:rPr>
          <w:i w:val="0"/>
          <w:iCs w:val="0"/>
          <w:smallCaps/>
          <w:sz w:val="20"/>
          <w:szCs w:val="20"/>
        </w:rPr>
        <w:fldChar w:fldCharType="separate"/>
      </w:r>
      <w:r>
        <w:rPr>
          <w:rFonts w:hint="eastAsia"/>
          <w:i w:val="0"/>
          <w:iCs w:val="0"/>
          <w:smallCaps/>
          <w:sz w:val="20"/>
          <w:szCs w:val="20"/>
        </w:rPr>
        <w:t>71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"_Toc20206" </w:instrText>
      </w:r>
      <w:r>
        <w:fldChar w:fldCharType="separate"/>
      </w:r>
      <w:r>
        <w:rPr>
          <w:rFonts w:hint="eastAsia"/>
          <w:i w:val="0"/>
          <w:iCs w:val="0"/>
          <w:smallCaps/>
          <w:sz w:val="20"/>
          <w:szCs w:val="20"/>
        </w:rPr>
        <w:t>格式</w:t>
      </w:r>
      <w:r>
        <w:rPr>
          <w:i w:val="0"/>
          <w:iCs w:val="0"/>
          <w:smallCaps/>
          <w:sz w:val="20"/>
          <w:szCs w:val="20"/>
        </w:rPr>
        <w:t>13</w:t>
      </w:r>
      <w:r>
        <w:rPr>
          <w:rFonts w:hint="eastAsia"/>
          <w:i w:val="0"/>
          <w:iCs w:val="0"/>
          <w:smallCaps/>
          <w:sz w:val="20"/>
          <w:szCs w:val="20"/>
        </w:rPr>
        <w:t>：投标人综合概况简表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_Toc20206 \h </w:instrText>
      </w:r>
      <w:r>
        <w:rPr>
          <w:i w:val="0"/>
          <w:iCs w:val="0"/>
          <w:smallCaps/>
          <w:sz w:val="20"/>
          <w:szCs w:val="20"/>
        </w:rPr>
        <w:fldChar w:fldCharType="separate"/>
      </w:r>
      <w:r>
        <w:rPr>
          <w:rFonts w:hint="eastAsia"/>
          <w:i w:val="0"/>
          <w:iCs w:val="0"/>
          <w:smallCaps/>
          <w:sz w:val="20"/>
          <w:szCs w:val="20"/>
        </w:rPr>
        <w:t>72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"_Toc22622" </w:instrText>
      </w:r>
      <w:r>
        <w:fldChar w:fldCharType="separate"/>
      </w:r>
      <w:r>
        <w:rPr>
          <w:rFonts w:hint="eastAsia"/>
          <w:i w:val="0"/>
          <w:iCs w:val="0"/>
          <w:smallCaps/>
          <w:sz w:val="20"/>
          <w:szCs w:val="20"/>
        </w:rPr>
        <w:t>格式</w:t>
      </w:r>
      <w:r>
        <w:rPr>
          <w:i w:val="0"/>
          <w:iCs w:val="0"/>
          <w:smallCaps/>
          <w:sz w:val="20"/>
          <w:szCs w:val="20"/>
        </w:rPr>
        <w:t>14</w:t>
      </w:r>
      <w:r>
        <w:rPr>
          <w:rFonts w:hint="eastAsia"/>
          <w:i w:val="0"/>
          <w:iCs w:val="0"/>
          <w:smallCaps/>
          <w:sz w:val="20"/>
          <w:szCs w:val="20"/>
        </w:rPr>
        <w:t>：企业类型声明函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_Toc22622 \h </w:instrText>
      </w:r>
      <w:r>
        <w:rPr>
          <w:i w:val="0"/>
          <w:iCs w:val="0"/>
          <w:smallCaps/>
          <w:sz w:val="20"/>
          <w:szCs w:val="20"/>
        </w:rPr>
        <w:fldChar w:fldCharType="separate"/>
      </w:r>
      <w:r>
        <w:rPr>
          <w:rFonts w:hint="eastAsia"/>
          <w:i w:val="0"/>
          <w:iCs w:val="0"/>
          <w:smallCaps/>
          <w:sz w:val="20"/>
          <w:szCs w:val="20"/>
        </w:rPr>
        <w:t>73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"_Toc7439" </w:instrText>
      </w:r>
      <w:r>
        <w:fldChar w:fldCharType="separate"/>
      </w:r>
      <w:r>
        <w:rPr>
          <w:rFonts w:hint="eastAsia"/>
          <w:i w:val="0"/>
          <w:iCs w:val="0"/>
          <w:smallCaps/>
          <w:sz w:val="20"/>
          <w:szCs w:val="20"/>
        </w:rPr>
        <w:t>格式</w:t>
      </w:r>
      <w:r>
        <w:rPr>
          <w:i w:val="0"/>
          <w:iCs w:val="0"/>
          <w:smallCaps/>
          <w:sz w:val="20"/>
          <w:szCs w:val="20"/>
        </w:rPr>
        <w:t>15</w:t>
      </w:r>
      <w:r>
        <w:rPr>
          <w:rFonts w:hint="eastAsia"/>
          <w:i w:val="0"/>
          <w:iCs w:val="0"/>
          <w:smallCaps/>
          <w:sz w:val="20"/>
          <w:szCs w:val="20"/>
        </w:rPr>
        <w:t>：残疾人福利性单位声明函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_Toc7439 \h </w:instrText>
      </w:r>
      <w:r>
        <w:rPr>
          <w:i w:val="0"/>
          <w:iCs w:val="0"/>
          <w:smallCaps/>
          <w:sz w:val="20"/>
          <w:szCs w:val="20"/>
        </w:rPr>
        <w:fldChar w:fldCharType="separate"/>
      </w:r>
      <w:r>
        <w:rPr>
          <w:rFonts w:hint="eastAsia"/>
          <w:i w:val="0"/>
          <w:iCs w:val="0"/>
          <w:smallCaps/>
          <w:sz w:val="20"/>
          <w:szCs w:val="20"/>
        </w:rPr>
        <w:t>76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"_Toc15278" </w:instrText>
      </w:r>
      <w:r>
        <w:fldChar w:fldCharType="separate"/>
      </w:r>
      <w:r>
        <w:rPr>
          <w:rFonts w:hint="eastAsia"/>
          <w:i w:val="0"/>
          <w:iCs w:val="0"/>
          <w:smallCaps/>
          <w:sz w:val="20"/>
          <w:szCs w:val="20"/>
        </w:rPr>
        <w:t>格式</w:t>
      </w:r>
      <w:r>
        <w:rPr>
          <w:i w:val="0"/>
          <w:iCs w:val="0"/>
          <w:smallCaps/>
          <w:sz w:val="20"/>
          <w:szCs w:val="20"/>
        </w:rPr>
        <w:t>16</w:t>
      </w:r>
      <w:r>
        <w:rPr>
          <w:rFonts w:hint="eastAsia"/>
          <w:i w:val="0"/>
          <w:iCs w:val="0"/>
          <w:smallCaps/>
          <w:sz w:val="20"/>
          <w:szCs w:val="20"/>
        </w:rPr>
        <w:t>：同类项目业绩情况</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_Toc15278 \h </w:instrText>
      </w:r>
      <w:r>
        <w:rPr>
          <w:i w:val="0"/>
          <w:iCs w:val="0"/>
          <w:smallCaps/>
          <w:sz w:val="20"/>
          <w:szCs w:val="20"/>
        </w:rPr>
        <w:fldChar w:fldCharType="separate"/>
      </w:r>
      <w:r>
        <w:rPr>
          <w:rFonts w:hint="eastAsia"/>
          <w:i w:val="0"/>
          <w:iCs w:val="0"/>
          <w:smallCaps/>
          <w:sz w:val="20"/>
          <w:szCs w:val="20"/>
        </w:rPr>
        <w:t>77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rPr>
      </w:pPr>
      <w:r>
        <w:fldChar w:fldCharType="begin"/>
      </w:r>
      <w:r>
        <w:instrText xml:space="preserve"> HYPERLINK \l "_Toc10929" </w:instrText>
      </w:r>
      <w:r>
        <w:fldChar w:fldCharType="separate"/>
      </w:r>
      <w:r>
        <w:rPr>
          <w:rFonts w:hint="eastAsia"/>
          <w:i w:val="0"/>
          <w:iCs w:val="0"/>
          <w:smallCaps/>
          <w:sz w:val="20"/>
          <w:szCs w:val="20"/>
        </w:rPr>
        <w:t>格式</w:t>
      </w:r>
      <w:r>
        <w:rPr>
          <w:i w:val="0"/>
          <w:iCs w:val="0"/>
          <w:smallCaps/>
          <w:sz w:val="20"/>
          <w:szCs w:val="20"/>
        </w:rPr>
        <w:t>17</w:t>
      </w:r>
      <w:r>
        <w:rPr>
          <w:rFonts w:hint="eastAsia"/>
          <w:i w:val="0"/>
          <w:iCs w:val="0"/>
          <w:smallCaps/>
          <w:sz w:val="20"/>
          <w:szCs w:val="20"/>
        </w:rPr>
        <w:t>：相关认证情况</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_Toc10929 \h </w:instrText>
      </w:r>
      <w:r>
        <w:rPr>
          <w:i w:val="0"/>
          <w:iCs w:val="0"/>
          <w:smallCaps/>
          <w:sz w:val="20"/>
          <w:szCs w:val="20"/>
        </w:rPr>
        <w:fldChar w:fldCharType="separate"/>
      </w:r>
      <w:r>
        <w:rPr>
          <w:rFonts w:hint="eastAsia"/>
          <w:i w:val="0"/>
          <w:iCs w:val="0"/>
          <w:smallCaps/>
          <w:sz w:val="20"/>
          <w:szCs w:val="20"/>
        </w:rPr>
        <w:t>78</w:t>
      </w:r>
      <w:r>
        <w:rPr>
          <w:i w:val="0"/>
          <w:iCs w:val="0"/>
          <w:smallCaps/>
          <w:sz w:val="20"/>
          <w:szCs w:val="20"/>
        </w:rPr>
        <w:fldChar w:fldCharType="end"/>
      </w:r>
      <w:r>
        <w:rPr>
          <w:i w:val="0"/>
          <w:iCs w:val="0"/>
          <w:smallCaps/>
          <w:sz w:val="20"/>
          <w:szCs w:val="20"/>
        </w:rPr>
        <w:fldChar w:fldCharType="end"/>
      </w:r>
    </w:p>
    <w:p>
      <w:pPr>
        <w:pStyle w:val="57"/>
        <w:tabs>
          <w:tab w:val="right" w:leader="dot" w:pos="8788"/>
          <w:tab w:val="clear" w:pos="426"/>
          <w:tab w:val="clear" w:pos="8789"/>
        </w:tabs>
        <w:spacing w:line="240" w:lineRule="auto"/>
        <w:rPr>
          <w:rFonts w:hint="eastAsia" w:ascii="黑体" w:hAnsi="黑体" w:eastAsia="黑体" w:cs="黑体"/>
          <w:sz w:val="20"/>
          <w:szCs w:val="20"/>
        </w:rPr>
      </w:pPr>
      <w:r>
        <w:fldChar w:fldCharType="begin"/>
      </w:r>
      <w:r>
        <w:instrText xml:space="preserve"> HYPERLINK \l "_Toc2610" </w:instrText>
      </w:r>
      <w:r>
        <w:fldChar w:fldCharType="separate"/>
      </w:r>
      <w:r>
        <w:rPr>
          <w:rFonts w:hint="eastAsia" w:ascii="黑体" w:hAnsi="黑体" w:eastAsia="黑体" w:cs="黑体"/>
          <w:sz w:val="20"/>
          <w:szCs w:val="20"/>
        </w:rPr>
        <w:t>招标文件第二册（通用部分）</w:t>
      </w:r>
      <w:r>
        <w:rPr>
          <w:rFonts w:ascii="黑体" w:hAnsi="黑体" w:eastAsia="黑体" w:cs="黑体"/>
          <w:sz w:val="20"/>
          <w:szCs w:val="20"/>
        </w:rPr>
        <w:tab/>
      </w:r>
      <w:r>
        <w:rPr>
          <w:rFonts w:ascii="黑体" w:hAnsi="黑体" w:eastAsia="黑体" w:cs="黑体"/>
          <w:sz w:val="20"/>
          <w:szCs w:val="20"/>
        </w:rPr>
        <w:fldChar w:fldCharType="begin"/>
      </w:r>
      <w:r>
        <w:rPr>
          <w:rFonts w:ascii="黑体" w:hAnsi="黑体" w:eastAsia="黑体" w:cs="黑体"/>
          <w:sz w:val="20"/>
          <w:szCs w:val="20"/>
        </w:rPr>
        <w:instrText xml:space="preserve"> PAGEREF _Toc2610 \h </w:instrText>
      </w:r>
      <w:r>
        <w:rPr>
          <w:rFonts w:ascii="黑体" w:hAnsi="黑体" w:eastAsia="黑体" w:cs="黑体"/>
          <w:sz w:val="20"/>
          <w:szCs w:val="20"/>
        </w:rPr>
        <w:fldChar w:fldCharType="separate"/>
      </w:r>
      <w:r>
        <w:rPr>
          <w:rFonts w:hint="eastAsia" w:ascii="黑体" w:hAnsi="黑体" w:eastAsia="黑体" w:cs="黑体"/>
          <w:sz w:val="20"/>
          <w:szCs w:val="20"/>
        </w:rPr>
        <w:t>79</w:t>
      </w:r>
      <w:r>
        <w:rPr>
          <w:rFonts w:ascii="黑体" w:hAnsi="黑体" w:eastAsia="黑体" w:cs="黑体"/>
          <w:sz w:val="20"/>
          <w:szCs w:val="20"/>
        </w:rPr>
        <w:fldChar w:fldCharType="end"/>
      </w:r>
      <w:r>
        <w:rPr>
          <w:rFonts w:ascii="黑体" w:hAnsi="黑体" w:eastAsia="黑体" w:cs="黑体"/>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"_Toc32382" </w:instrText>
      </w:r>
      <w:r>
        <w:fldChar w:fldCharType="separate"/>
      </w:r>
      <w:r>
        <w:rPr>
          <w:rFonts w:hint="eastAsia"/>
          <w:b/>
          <w:bCs/>
          <w:sz w:val="20"/>
          <w:szCs w:val="20"/>
        </w:rPr>
        <w:t>第一章</w:t>
      </w:r>
      <w:r>
        <w:rPr>
          <w:b/>
          <w:bCs/>
          <w:sz w:val="20"/>
          <w:szCs w:val="20"/>
        </w:rPr>
        <w:t xml:space="preserve"> </w:t>
      </w:r>
      <w:r>
        <w:rPr>
          <w:rFonts w:hint="eastAsia"/>
          <w:b/>
          <w:bCs/>
          <w:sz w:val="20"/>
          <w:szCs w:val="20"/>
        </w:rPr>
        <w:t>总则</w:t>
      </w:r>
      <w:r>
        <w:rPr>
          <w:b/>
          <w:bCs/>
          <w:sz w:val="20"/>
          <w:szCs w:val="20"/>
        </w:rPr>
        <w:tab/>
      </w:r>
      <w:r>
        <w:rPr>
          <w:b/>
          <w:bCs/>
          <w:sz w:val="20"/>
          <w:szCs w:val="20"/>
        </w:rPr>
        <w:fldChar w:fldCharType="begin"/>
      </w:r>
      <w:r>
        <w:rPr>
          <w:b/>
          <w:bCs/>
          <w:sz w:val="20"/>
          <w:szCs w:val="20"/>
        </w:rPr>
        <w:instrText xml:space="preserve"> PAGEREF _Toc32382 \h </w:instrText>
      </w:r>
      <w:r>
        <w:rPr>
          <w:b/>
          <w:bCs/>
          <w:sz w:val="20"/>
          <w:szCs w:val="20"/>
        </w:rPr>
        <w:fldChar w:fldCharType="separate"/>
      </w:r>
      <w:r>
        <w:rPr>
          <w:rFonts w:hint="eastAsia"/>
          <w:b/>
          <w:bCs/>
          <w:sz w:val="20"/>
          <w:szCs w:val="20"/>
        </w:rPr>
        <w:t>79</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"_Toc24544" </w:instrText>
      </w:r>
      <w:r>
        <w:fldChar w:fldCharType="separate"/>
      </w:r>
      <w:r>
        <w:rPr>
          <w:rFonts w:hint="eastAsia"/>
          <w:b/>
          <w:bCs/>
          <w:sz w:val="20"/>
          <w:szCs w:val="20"/>
        </w:rPr>
        <w:t>第二章</w:t>
      </w:r>
      <w:r>
        <w:rPr>
          <w:b/>
          <w:bCs/>
          <w:sz w:val="20"/>
          <w:szCs w:val="20"/>
        </w:rPr>
        <w:t xml:space="preserve"> </w:t>
      </w:r>
      <w:r>
        <w:rPr>
          <w:rFonts w:hint="eastAsia"/>
          <w:b/>
          <w:bCs/>
          <w:sz w:val="20"/>
          <w:szCs w:val="20"/>
        </w:rPr>
        <w:t>招标文件</w:t>
      </w:r>
      <w:r>
        <w:rPr>
          <w:b/>
          <w:bCs/>
          <w:sz w:val="20"/>
          <w:szCs w:val="20"/>
        </w:rPr>
        <w:tab/>
      </w:r>
      <w:r>
        <w:rPr>
          <w:b/>
          <w:bCs/>
          <w:sz w:val="20"/>
          <w:szCs w:val="20"/>
        </w:rPr>
        <w:fldChar w:fldCharType="begin"/>
      </w:r>
      <w:r>
        <w:rPr>
          <w:b/>
          <w:bCs/>
          <w:sz w:val="20"/>
          <w:szCs w:val="20"/>
        </w:rPr>
        <w:instrText xml:space="preserve"> PAGEREF _Toc24544 \h </w:instrText>
      </w:r>
      <w:r>
        <w:rPr>
          <w:b/>
          <w:bCs/>
          <w:sz w:val="20"/>
          <w:szCs w:val="20"/>
        </w:rPr>
        <w:fldChar w:fldCharType="separate"/>
      </w:r>
      <w:r>
        <w:rPr>
          <w:rFonts w:hint="eastAsia"/>
          <w:b/>
          <w:bCs/>
          <w:sz w:val="20"/>
          <w:szCs w:val="20"/>
        </w:rPr>
        <w:t>81</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"_Toc23767" </w:instrText>
      </w:r>
      <w:r>
        <w:fldChar w:fldCharType="separate"/>
      </w:r>
      <w:r>
        <w:rPr>
          <w:rFonts w:hint="eastAsia"/>
          <w:b/>
          <w:bCs/>
          <w:sz w:val="20"/>
          <w:szCs w:val="20"/>
        </w:rPr>
        <w:t>第三章</w:t>
      </w:r>
      <w:r>
        <w:rPr>
          <w:b/>
          <w:bCs/>
          <w:sz w:val="20"/>
          <w:szCs w:val="20"/>
        </w:rPr>
        <w:t xml:space="preserve"> </w:t>
      </w:r>
      <w:r>
        <w:rPr>
          <w:rFonts w:hint="eastAsia"/>
          <w:b/>
          <w:bCs/>
          <w:sz w:val="20"/>
          <w:szCs w:val="20"/>
        </w:rPr>
        <w:t>投标文件的编制与递交</w:t>
      </w:r>
      <w:r>
        <w:rPr>
          <w:b/>
          <w:bCs/>
          <w:sz w:val="20"/>
          <w:szCs w:val="20"/>
        </w:rPr>
        <w:tab/>
      </w:r>
      <w:r>
        <w:rPr>
          <w:b/>
          <w:bCs/>
          <w:sz w:val="20"/>
          <w:szCs w:val="20"/>
        </w:rPr>
        <w:fldChar w:fldCharType="begin"/>
      </w:r>
      <w:r>
        <w:rPr>
          <w:b/>
          <w:bCs/>
          <w:sz w:val="20"/>
          <w:szCs w:val="20"/>
        </w:rPr>
        <w:instrText xml:space="preserve"> PAGEREF _Toc23767 \h </w:instrText>
      </w:r>
      <w:r>
        <w:rPr>
          <w:b/>
          <w:bCs/>
          <w:sz w:val="20"/>
          <w:szCs w:val="20"/>
        </w:rPr>
        <w:fldChar w:fldCharType="separate"/>
      </w:r>
      <w:r>
        <w:rPr>
          <w:rFonts w:hint="eastAsia"/>
          <w:b/>
          <w:bCs/>
          <w:sz w:val="20"/>
          <w:szCs w:val="20"/>
        </w:rPr>
        <w:t>83</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"_Toc11979" </w:instrText>
      </w:r>
      <w:r>
        <w:fldChar w:fldCharType="separate"/>
      </w:r>
      <w:r>
        <w:rPr>
          <w:rFonts w:hint="eastAsia"/>
          <w:b/>
          <w:bCs/>
          <w:sz w:val="20"/>
          <w:szCs w:val="20"/>
        </w:rPr>
        <w:t>第四章</w:t>
      </w:r>
      <w:r>
        <w:rPr>
          <w:b/>
          <w:bCs/>
          <w:sz w:val="20"/>
          <w:szCs w:val="20"/>
        </w:rPr>
        <w:t xml:space="preserve"> </w:t>
      </w:r>
      <w:r>
        <w:rPr>
          <w:rFonts w:hint="eastAsia"/>
          <w:b/>
          <w:bCs/>
          <w:sz w:val="20"/>
          <w:szCs w:val="20"/>
        </w:rPr>
        <w:t>开标</w:t>
      </w:r>
      <w:r>
        <w:rPr>
          <w:b/>
          <w:bCs/>
          <w:sz w:val="20"/>
          <w:szCs w:val="20"/>
        </w:rPr>
        <w:tab/>
      </w:r>
      <w:r>
        <w:rPr>
          <w:b/>
          <w:bCs/>
          <w:sz w:val="20"/>
          <w:szCs w:val="20"/>
        </w:rPr>
        <w:fldChar w:fldCharType="begin"/>
      </w:r>
      <w:r>
        <w:rPr>
          <w:b/>
          <w:bCs/>
          <w:sz w:val="20"/>
          <w:szCs w:val="20"/>
        </w:rPr>
        <w:instrText xml:space="preserve"> PAGEREF _Toc11979 \h </w:instrText>
      </w:r>
      <w:r>
        <w:rPr>
          <w:b/>
          <w:bCs/>
          <w:sz w:val="20"/>
          <w:szCs w:val="20"/>
        </w:rPr>
        <w:fldChar w:fldCharType="separate"/>
      </w:r>
      <w:r>
        <w:rPr>
          <w:rFonts w:hint="eastAsia"/>
          <w:b/>
          <w:bCs/>
          <w:sz w:val="20"/>
          <w:szCs w:val="20"/>
        </w:rPr>
        <w:t>87</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"_Toc6615" </w:instrText>
      </w:r>
      <w:r>
        <w:fldChar w:fldCharType="separate"/>
      </w:r>
      <w:r>
        <w:rPr>
          <w:rFonts w:hint="eastAsia"/>
          <w:b/>
          <w:bCs/>
          <w:sz w:val="20"/>
          <w:szCs w:val="20"/>
        </w:rPr>
        <w:t>第五章</w:t>
      </w:r>
      <w:r>
        <w:rPr>
          <w:b/>
          <w:bCs/>
          <w:sz w:val="20"/>
          <w:szCs w:val="20"/>
        </w:rPr>
        <w:t xml:space="preserve"> </w:t>
      </w:r>
      <w:r>
        <w:rPr>
          <w:rFonts w:hint="eastAsia"/>
          <w:b/>
          <w:bCs/>
          <w:sz w:val="20"/>
          <w:szCs w:val="20"/>
        </w:rPr>
        <w:t>评标要求</w:t>
      </w:r>
      <w:r>
        <w:rPr>
          <w:b/>
          <w:bCs/>
          <w:sz w:val="20"/>
          <w:szCs w:val="20"/>
        </w:rPr>
        <w:tab/>
      </w:r>
      <w:r>
        <w:rPr>
          <w:b/>
          <w:bCs/>
          <w:sz w:val="20"/>
          <w:szCs w:val="20"/>
        </w:rPr>
        <w:fldChar w:fldCharType="begin"/>
      </w:r>
      <w:r>
        <w:rPr>
          <w:b/>
          <w:bCs/>
          <w:sz w:val="20"/>
          <w:szCs w:val="20"/>
        </w:rPr>
        <w:instrText xml:space="preserve"> PAGEREF _Toc6615 \h </w:instrText>
      </w:r>
      <w:r>
        <w:rPr>
          <w:b/>
          <w:bCs/>
          <w:sz w:val="20"/>
          <w:szCs w:val="20"/>
        </w:rPr>
        <w:fldChar w:fldCharType="separate"/>
      </w:r>
      <w:r>
        <w:rPr>
          <w:rFonts w:hint="eastAsia"/>
          <w:b/>
          <w:bCs/>
          <w:sz w:val="20"/>
          <w:szCs w:val="20"/>
        </w:rPr>
        <w:t>88</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"_Toc17324" </w:instrText>
      </w:r>
      <w:r>
        <w:fldChar w:fldCharType="separate"/>
      </w:r>
      <w:r>
        <w:rPr>
          <w:rFonts w:hint="eastAsia"/>
          <w:b/>
          <w:bCs/>
          <w:sz w:val="20"/>
          <w:szCs w:val="20"/>
        </w:rPr>
        <w:t>第六章</w:t>
      </w:r>
      <w:r>
        <w:rPr>
          <w:b/>
          <w:bCs/>
          <w:sz w:val="20"/>
          <w:szCs w:val="20"/>
        </w:rPr>
        <w:t xml:space="preserve"> </w:t>
      </w:r>
      <w:r>
        <w:rPr>
          <w:rFonts w:hint="eastAsia"/>
          <w:b/>
          <w:bCs/>
          <w:sz w:val="20"/>
          <w:szCs w:val="20"/>
        </w:rPr>
        <w:t>评标程序及评标方法</w:t>
      </w:r>
      <w:r>
        <w:rPr>
          <w:b/>
          <w:bCs/>
          <w:sz w:val="20"/>
          <w:szCs w:val="20"/>
        </w:rPr>
        <w:tab/>
      </w:r>
      <w:r>
        <w:rPr>
          <w:b/>
          <w:bCs/>
          <w:sz w:val="20"/>
          <w:szCs w:val="20"/>
        </w:rPr>
        <w:fldChar w:fldCharType="begin"/>
      </w:r>
      <w:r>
        <w:rPr>
          <w:b/>
          <w:bCs/>
          <w:sz w:val="20"/>
          <w:szCs w:val="20"/>
        </w:rPr>
        <w:instrText xml:space="preserve"> PAGEREF _Toc17324 \h </w:instrText>
      </w:r>
      <w:r>
        <w:rPr>
          <w:b/>
          <w:bCs/>
          <w:sz w:val="20"/>
          <w:szCs w:val="20"/>
        </w:rPr>
        <w:fldChar w:fldCharType="separate"/>
      </w:r>
      <w:r>
        <w:rPr>
          <w:rFonts w:hint="eastAsia"/>
          <w:b/>
          <w:bCs/>
          <w:sz w:val="20"/>
          <w:szCs w:val="20"/>
        </w:rPr>
        <w:t>89</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"_Toc7218" </w:instrText>
      </w:r>
      <w:r>
        <w:fldChar w:fldCharType="separate"/>
      </w:r>
      <w:r>
        <w:rPr>
          <w:rFonts w:hint="eastAsia"/>
          <w:b/>
          <w:bCs/>
          <w:sz w:val="20"/>
          <w:szCs w:val="20"/>
        </w:rPr>
        <w:t>第七章</w:t>
      </w:r>
      <w:r>
        <w:rPr>
          <w:b/>
          <w:bCs/>
          <w:sz w:val="20"/>
          <w:szCs w:val="20"/>
        </w:rPr>
        <w:t xml:space="preserve"> </w:t>
      </w:r>
      <w:r>
        <w:rPr>
          <w:rFonts w:hint="eastAsia"/>
          <w:b/>
          <w:bCs/>
          <w:sz w:val="20"/>
          <w:szCs w:val="20"/>
        </w:rPr>
        <w:t>定标及公示</w:t>
      </w:r>
      <w:r>
        <w:rPr>
          <w:b/>
          <w:bCs/>
          <w:sz w:val="20"/>
          <w:szCs w:val="20"/>
        </w:rPr>
        <w:tab/>
      </w:r>
      <w:r>
        <w:rPr>
          <w:b/>
          <w:bCs/>
          <w:sz w:val="20"/>
          <w:szCs w:val="20"/>
        </w:rPr>
        <w:fldChar w:fldCharType="begin"/>
      </w:r>
      <w:r>
        <w:rPr>
          <w:b/>
          <w:bCs/>
          <w:sz w:val="20"/>
          <w:szCs w:val="20"/>
        </w:rPr>
        <w:instrText xml:space="preserve"> PAGEREF _Toc7218 \h </w:instrText>
      </w:r>
      <w:r>
        <w:rPr>
          <w:b/>
          <w:bCs/>
          <w:sz w:val="20"/>
          <w:szCs w:val="20"/>
        </w:rPr>
        <w:fldChar w:fldCharType="separate"/>
      </w:r>
      <w:r>
        <w:rPr>
          <w:rFonts w:hint="eastAsia"/>
          <w:b/>
          <w:bCs/>
          <w:sz w:val="20"/>
          <w:szCs w:val="20"/>
        </w:rPr>
        <w:t>92</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"_Toc3007" </w:instrText>
      </w:r>
      <w:r>
        <w:fldChar w:fldCharType="separate"/>
      </w:r>
      <w:r>
        <w:rPr>
          <w:rFonts w:hint="eastAsia"/>
          <w:b/>
          <w:bCs/>
          <w:sz w:val="20"/>
          <w:szCs w:val="20"/>
        </w:rPr>
        <w:t>第八章</w:t>
      </w:r>
      <w:r>
        <w:rPr>
          <w:b/>
          <w:bCs/>
          <w:sz w:val="20"/>
          <w:szCs w:val="20"/>
        </w:rPr>
        <w:t xml:space="preserve"> </w:t>
      </w:r>
      <w:r>
        <w:rPr>
          <w:rFonts w:hint="eastAsia"/>
          <w:b/>
          <w:bCs/>
          <w:sz w:val="20"/>
          <w:szCs w:val="20"/>
        </w:rPr>
        <w:t>公开招标失败的后续处理</w:t>
      </w:r>
      <w:r>
        <w:rPr>
          <w:b/>
          <w:bCs/>
          <w:sz w:val="20"/>
          <w:szCs w:val="20"/>
        </w:rPr>
        <w:tab/>
      </w:r>
      <w:r>
        <w:rPr>
          <w:b/>
          <w:bCs/>
          <w:sz w:val="20"/>
          <w:szCs w:val="20"/>
        </w:rPr>
        <w:fldChar w:fldCharType="begin"/>
      </w:r>
      <w:r>
        <w:rPr>
          <w:b/>
          <w:bCs/>
          <w:sz w:val="20"/>
          <w:szCs w:val="20"/>
        </w:rPr>
        <w:instrText xml:space="preserve"> PAGEREF _Toc3007 \h </w:instrText>
      </w:r>
      <w:r>
        <w:rPr>
          <w:b/>
          <w:bCs/>
          <w:sz w:val="20"/>
          <w:szCs w:val="20"/>
        </w:rPr>
        <w:fldChar w:fldCharType="separate"/>
      </w:r>
      <w:r>
        <w:rPr>
          <w:rFonts w:hint="eastAsia"/>
          <w:b/>
          <w:bCs/>
          <w:sz w:val="20"/>
          <w:szCs w:val="20"/>
        </w:rPr>
        <w:t>93</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"_Toc8231" </w:instrText>
      </w:r>
      <w:r>
        <w:fldChar w:fldCharType="separate"/>
      </w:r>
      <w:r>
        <w:rPr>
          <w:rFonts w:hint="eastAsia"/>
          <w:b/>
          <w:bCs/>
          <w:sz w:val="20"/>
          <w:szCs w:val="20"/>
        </w:rPr>
        <w:t>第九章</w:t>
      </w:r>
      <w:r>
        <w:rPr>
          <w:b/>
          <w:bCs/>
          <w:sz w:val="20"/>
          <w:szCs w:val="20"/>
        </w:rPr>
        <w:t xml:space="preserve"> </w:t>
      </w:r>
      <w:r>
        <w:rPr>
          <w:rFonts w:hint="eastAsia"/>
          <w:b/>
          <w:bCs/>
          <w:sz w:val="20"/>
          <w:szCs w:val="20"/>
        </w:rPr>
        <w:t>合同的授予与备案</w:t>
      </w:r>
      <w:r>
        <w:rPr>
          <w:b/>
          <w:bCs/>
          <w:sz w:val="20"/>
          <w:szCs w:val="20"/>
        </w:rPr>
        <w:tab/>
      </w:r>
      <w:r>
        <w:rPr>
          <w:b/>
          <w:bCs/>
          <w:sz w:val="20"/>
          <w:szCs w:val="20"/>
        </w:rPr>
        <w:fldChar w:fldCharType="begin"/>
      </w:r>
      <w:r>
        <w:rPr>
          <w:b/>
          <w:bCs/>
          <w:sz w:val="20"/>
          <w:szCs w:val="20"/>
        </w:rPr>
        <w:instrText xml:space="preserve"> PAGEREF _Toc8231 \h </w:instrText>
      </w:r>
      <w:r>
        <w:rPr>
          <w:b/>
          <w:bCs/>
          <w:sz w:val="20"/>
          <w:szCs w:val="20"/>
        </w:rPr>
        <w:fldChar w:fldCharType="separate"/>
      </w:r>
      <w:r>
        <w:rPr>
          <w:rFonts w:hint="eastAsia"/>
          <w:b/>
          <w:bCs/>
          <w:sz w:val="20"/>
          <w:szCs w:val="20"/>
        </w:rPr>
        <w:t>96</w:t>
      </w:r>
      <w:r>
        <w:rPr>
          <w:b/>
          <w:bCs/>
          <w:sz w:val="20"/>
          <w:szCs w:val="20"/>
        </w:rPr>
        <w:fldChar w:fldCharType="end"/>
      </w:r>
      <w:r>
        <w:rPr>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"_Toc3704" </w:instrText>
      </w:r>
      <w:r>
        <w:fldChar w:fldCharType="separate"/>
      </w:r>
      <w:r>
        <w:rPr>
          <w:rFonts w:hint="eastAsia"/>
          <w:b/>
          <w:bCs/>
          <w:sz w:val="20"/>
          <w:szCs w:val="20"/>
        </w:rPr>
        <w:t>第十章</w:t>
      </w:r>
      <w:r>
        <w:rPr>
          <w:b/>
          <w:bCs/>
          <w:sz w:val="20"/>
          <w:szCs w:val="20"/>
        </w:rPr>
        <w:t xml:space="preserve"> </w:t>
      </w:r>
      <w:r>
        <w:rPr>
          <w:rFonts w:hint="eastAsia"/>
          <w:b/>
          <w:bCs/>
          <w:sz w:val="20"/>
          <w:szCs w:val="20"/>
        </w:rPr>
        <w:t>质疑受理</w:t>
      </w:r>
      <w:r>
        <w:rPr>
          <w:b/>
          <w:bCs/>
          <w:sz w:val="20"/>
          <w:szCs w:val="20"/>
        </w:rPr>
        <w:tab/>
      </w:r>
      <w:r>
        <w:rPr>
          <w:b/>
          <w:bCs/>
          <w:sz w:val="20"/>
          <w:szCs w:val="20"/>
        </w:rPr>
        <w:fldChar w:fldCharType="begin"/>
      </w:r>
      <w:r>
        <w:rPr>
          <w:b/>
          <w:bCs/>
          <w:sz w:val="20"/>
          <w:szCs w:val="20"/>
        </w:rPr>
        <w:instrText xml:space="preserve"> PAGEREF _Toc3704 \h </w:instrText>
      </w:r>
      <w:r>
        <w:rPr>
          <w:b/>
          <w:bCs/>
          <w:sz w:val="20"/>
          <w:szCs w:val="20"/>
        </w:rPr>
        <w:fldChar w:fldCharType="separate"/>
      </w:r>
      <w:r>
        <w:rPr>
          <w:rFonts w:hint="eastAsia"/>
          <w:b/>
          <w:bCs/>
          <w:sz w:val="20"/>
          <w:szCs w:val="20"/>
        </w:rPr>
        <w:t>96</w:t>
      </w:r>
      <w:r>
        <w:rPr>
          <w:b/>
          <w:bCs/>
          <w:sz w:val="20"/>
          <w:szCs w:val="20"/>
        </w:rPr>
        <w:fldChar w:fldCharType="end"/>
      </w:r>
      <w:r>
        <w:rPr>
          <w:b/>
          <w:bCs/>
          <w:sz w:val="20"/>
          <w:szCs w:val="20"/>
        </w:rPr>
        <w:fldChar w:fldCharType="end"/>
      </w:r>
    </w:p>
    <w:p>
      <w:pPr>
        <w:pStyle w:val="57"/>
        <w:tabs>
          <w:tab w:val="right" w:leader="dot" w:pos="8788"/>
          <w:tab w:val="clear" w:pos="426"/>
          <w:tab w:val="clear" w:pos="8789"/>
        </w:tabs>
        <w:spacing w:line="240" w:lineRule="auto"/>
        <w:rPr>
          <w:rFonts w:hint="eastAsia" w:ascii="黑体" w:hAnsi="黑体" w:eastAsia="黑体" w:cs="黑体"/>
          <w:sz w:val="20"/>
          <w:szCs w:val="20"/>
        </w:rPr>
      </w:pPr>
      <w:r>
        <w:fldChar w:fldCharType="begin"/>
      </w:r>
      <w:r>
        <w:instrText xml:space="preserve"> HYPERLINK \l "_Toc732" </w:instrText>
      </w:r>
      <w:r>
        <w:fldChar w:fldCharType="separate"/>
      </w:r>
      <w:r>
        <w:rPr>
          <w:rFonts w:hint="eastAsia" w:ascii="黑体" w:hAnsi="黑体" w:eastAsia="黑体" w:cs="黑体"/>
          <w:sz w:val="20"/>
          <w:szCs w:val="20"/>
        </w:rPr>
        <w:t>招标代理服务取费说明</w:t>
      </w:r>
      <w:r>
        <w:rPr>
          <w:rFonts w:ascii="黑体" w:hAnsi="黑体" w:eastAsia="黑体" w:cs="黑体"/>
          <w:sz w:val="20"/>
          <w:szCs w:val="20"/>
        </w:rPr>
        <w:tab/>
      </w:r>
      <w:r>
        <w:rPr>
          <w:rFonts w:ascii="黑体" w:hAnsi="黑体" w:eastAsia="黑体" w:cs="黑体"/>
          <w:sz w:val="20"/>
          <w:szCs w:val="20"/>
        </w:rPr>
        <w:fldChar w:fldCharType="begin"/>
      </w:r>
      <w:r>
        <w:rPr>
          <w:rFonts w:ascii="黑体" w:hAnsi="黑体" w:eastAsia="黑体" w:cs="黑体"/>
          <w:sz w:val="20"/>
          <w:szCs w:val="20"/>
        </w:rPr>
        <w:instrText xml:space="preserve"> PAGEREF _Toc732 \h </w:instrText>
      </w:r>
      <w:r>
        <w:rPr>
          <w:rFonts w:ascii="黑体" w:hAnsi="黑体" w:eastAsia="黑体" w:cs="黑体"/>
          <w:sz w:val="20"/>
          <w:szCs w:val="20"/>
        </w:rPr>
        <w:fldChar w:fldCharType="separate"/>
      </w:r>
      <w:r>
        <w:rPr>
          <w:rFonts w:hint="eastAsia" w:ascii="黑体" w:hAnsi="黑体" w:eastAsia="黑体" w:cs="黑体"/>
          <w:sz w:val="20"/>
          <w:szCs w:val="20"/>
        </w:rPr>
        <w:t>99</w:t>
      </w:r>
      <w:r>
        <w:rPr>
          <w:rFonts w:ascii="黑体" w:hAnsi="黑体" w:eastAsia="黑体" w:cs="黑体"/>
          <w:sz w:val="20"/>
          <w:szCs w:val="20"/>
        </w:rPr>
        <w:fldChar w:fldCharType="end"/>
      </w:r>
      <w:r>
        <w:rPr>
          <w:rFonts w:ascii="黑体" w:hAnsi="黑体" w:eastAsia="黑体" w:cs="黑体"/>
          <w:sz w:val="20"/>
          <w:szCs w:val="20"/>
        </w:rPr>
        <w:fldChar w:fldCharType="end"/>
      </w:r>
    </w:p>
    <w:p>
      <w:pPr>
        <w:tabs>
          <w:tab w:val="right" w:leader="dot" w:pos="8820"/>
          <w:tab w:val="right" w:leader="dot" w:pos="9240"/>
          <w:tab w:val="clear" w:pos="426"/>
        </w:tabs>
        <w:spacing w:line="240" w:lineRule="auto"/>
        <w:rPr>
          <w:rFonts w:hint="eastAsia"/>
        </w:rPr>
      </w:pPr>
      <w:r>
        <w:fldChar w:fldCharType="end"/>
      </w:r>
    </w:p>
    <w:p>
      <w:pPr>
        <w:tabs>
          <w:tab w:val="clear" w:pos="426"/>
        </w:tabs>
        <w:spacing w:line="240" w:lineRule="auto"/>
        <w:rPr>
          <w:rFonts w:hint="eastAsia"/>
        </w:rPr>
        <w:sectPr>
          <w:pgSz w:w="11906" w:h="16838"/>
          <w:pgMar w:top="1134" w:right="1700" w:bottom="1134" w:left="1418" w:header="851" w:footer="992" w:gutter="0"/>
          <w:pgNumType w:start="0"/>
          <w:cols w:space="720" w:num="1"/>
          <w:titlePg/>
          <w:docGrid w:linePitch="462" w:charSpace="0"/>
        </w:sectPr>
      </w:pPr>
    </w:p>
    <w:p>
      <w:pPr>
        <w:pStyle w:val="62"/>
      </w:pPr>
      <w:bookmarkStart w:id="0" w:name="_Toc30794"/>
      <w:bookmarkStart w:id="1" w:name="_Toc432592808"/>
      <w:r>
        <w:rPr>
          <w:rFonts w:hint="eastAsia"/>
        </w:rPr>
        <w:t>项目关键信息</w:t>
      </w:r>
      <w:bookmarkEnd w:id="0"/>
      <w:bookmarkEnd w:id="1"/>
    </w:p>
    <w:tbl>
      <w:tblPr>
        <w:tblStyle w:val="8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项目编号</w:t>
            </w:r>
          </w:p>
        </w:tc>
        <w:tc>
          <w:tcPr>
            <w:tcW w:w="5968" w:type="dxa"/>
            <w:vAlign w:val="center"/>
          </w:tcPr>
          <w:p>
            <w:pPr>
              <w:tabs>
                <w:tab w:val="clear" w:pos="426"/>
              </w:tabs>
              <w:adjustRightInd/>
              <w:snapToGrid/>
              <w:spacing w:line="240" w:lineRule="auto"/>
              <w:rPr>
                <w:rFonts w:hint="eastAsia"/>
                <w:szCs w:val="21"/>
              </w:rPr>
            </w:pPr>
            <w:r>
              <w:rPr>
                <w:szCs w:val="21"/>
              </w:rPr>
              <w:t>SSZX2024-400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项目名称</w:t>
            </w:r>
          </w:p>
        </w:tc>
        <w:tc>
          <w:tcPr>
            <w:tcW w:w="5968" w:type="dxa"/>
            <w:vAlign w:val="center"/>
          </w:tcPr>
          <w:p>
            <w:pPr>
              <w:tabs>
                <w:tab w:val="clear" w:pos="426"/>
              </w:tabs>
              <w:adjustRightInd/>
              <w:snapToGrid/>
              <w:spacing w:line="240" w:lineRule="auto"/>
              <w:rPr>
                <w:rFonts w:hint="eastAsia"/>
                <w:szCs w:val="21"/>
              </w:rPr>
            </w:pPr>
            <w:r>
              <w:rPr>
                <w:rFonts w:hint="eastAsia"/>
                <w:szCs w:val="21"/>
              </w:rPr>
              <w:t>危险化学品粉尘检验类设备采购项目（第二次招标）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项目类型</w:t>
            </w:r>
          </w:p>
        </w:tc>
        <w:tc>
          <w:tcPr>
            <w:tcW w:w="5968" w:type="dxa"/>
            <w:vAlign w:val="center"/>
          </w:tcPr>
          <w:p>
            <w:pPr>
              <w:tabs>
                <w:tab w:val="clear" w:pos="426"/>
              </w:tabs>
              <w:adjustRightInd/>
              <w:snapToGrid/>
              <w:spacing w:line="240" w:lineRule="auto"/>
              <w:rPr>
                <w:rFonts w:hint="eastAsia"/>
                <w:szCs w:val="21"/>
              </w:rPr>
            </w:pPr>
            <w:r>
              <w:rPr>
                <w:rFonts w:hint="eastAsia"/>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采购方式</w:t>
            </w:r>
          </w:p>
        </w:tc>
        <w:tc>
          <w:tcPr>
            <w:tcW w:w="5968" w:type="dxa"/>
            <w:vAlign w:val="center"/>
          </w:tcPr>
          <w:p>
            <w:pPr>
              <w:tabs>
                <w:tab w:val="clear" w:pos="426"/>
              </w:tabs>
              <w:adjustRightInd/>
              <w:snapToGrid/>
              <w:spacing w:line="240" w:lineRule="auto"/>
              <w:rPr>
                <w:rFonts w:hint="eastAsia"/>
                <w:szCs w:val="21"/>
              </w:rPr>
            </w:pPr>
            <w:r>
              <w:rPr>
                <w:rFonts w:hint="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货币类型</w:t>
            </w:r>
          </w:p>
        </w:tc>
        <w:tc>
          <w:tcPr>
            <w:tcW w:w="5968" w:type="dxa"/>
            <w:vAlign w:val="center"/>
          </w:tcPr>
          <w:p>
            <w:pPr>
              <w:tabs>
                <w:tab w:val="clear" w:pos="426"/>
              </w:tabs>
              <w:adjustRightInd/>
              <w:snapToGrid/>
              <w:spacing w:line="240" w:lineRule="auto"/>
              <w:rPr>
                <w:rFonts w:hint="eastAsia"/>
                <w:szCs w:val="21"/>
              </w:rPr>
            </w:pPr>
            <w:r>
              <w:rPr>
                <w:rFonts w:hint="eastAsia"/>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预算金额</w:t>
            </w:r>
          </w:p>
        </w:tc>
        <w:tc>
          <w:tcPr>
            <w:tcW w:w="5968" w:type="dxa"/>
            <w:vAlign w:val="center"/>
          </w:tcPr>
          <w:p>
            <w:pPr>
              <w:tabs>
                <w:tab w:val="clear" w:pos="426"/>
              </w:tabs>
              <w:adjustRightInd/>
              <w:snapToGrid/>
              <w:spacing w:line="320" w:lineRule="exact"/>
              <w:rPr>
                <w:rFonts w:hint="eastAsia"/>
              </w:rPr>
            </w:pPr>
            <w:r>
              <w:rPr>
                <w:rFonts w:hint="eastAsia"/>
              </w:rPr>
              <w:t>总预算金额：￥</w:t>
            </w:r>
            <w:r>
              <w:t>780,000.00</w:t>
            </w:r>
            <w:r>
              <w:rPr>
                <w:rFonts w:hint="eastAsia"/>
              </w:rPr>
              <w:t>（人民币柒拾捌万元整）</w:t>
            </w:r>
          </w:p>
          <w:p>
            <w:pPr>
              <w:tabs>
                <w:tab w:val="clear" w:pos="426"/>
              </w:tabs>
              <w:adjustRightInd/>
              <w:snapToGrid/>
              <w:spacing w:line="320" w:lineRule="exact"/>
              <w:rPr>
                <w:rFonts w:hint="eastAsia"/>
              </w:rPr>
            </w:pPr>
            <w:r>
              <w:t>01</w:t>
            </w:r>
            <w:r>
              <w:rPr>
                <w:rFonts w:hint="eastAsia"/>
              </w:rPr>
              <w:t>包：￥</w:t>
            </w:r>
            <w:r>
              <w:t>480000.00</w:t>
            </w:r>
            <w:r>
              <w:rPr>
                <w:rFonts w:hint="eastAsia"/>
              </w:rPr>
              <w:t>元（人民币肆拾捌万元整）</w:t>
            </w:r>
          </w:p>
          <w:p>
            <w:pPr>
              <w:tabs>
                <w:tab w:val="clear" w:pos="426"/>
              </w:tabs>
              <w:adjustRightInd/>
              <w:snapToGrid/>
              <w:spacing w:line="320" w:lineRule="exact"/>
              <w:rPr>
                <w:rFonts w:hint="eastAsia"/>
              </w:rPr>
            </w:pPr>
            <w:r>
              <w:t>02</w:t>
            </w:r>
            <w:r>
              <w:rPr>
                <w:rFonts w:hint="eastAsia"/>
              </w:rPr>
              <w:t>包：￥</w:t>
            </w:r>
            <w:r>
              <w:t>300000.00</w:t>
            </w:r>
            <w:r>
              <w:rPr>
                <w:rFonts w:hint="eastAsia"/>
              </w:rPr>
              <w:t>元（人民币叁拾万元整</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最高限价</w:t>
            </w:r>
          </w:p>
        </w:tc>
        <w:tc>
          <w:tcPr>
            <w:tcW w:w="5968" w:type="dxa"/>
            <w:vAlign w:val="center"/>
          </w:tcPr>
          <w:p>
            <w:pPr>
              <w:tabs>
                <w:tab w:val="clear" w:pos="426"/>
              </w:tabs>
              <w:adjustRightInd/>
              <w:snapToGrid/>
              <w:spacing w:line="320" w:lineRule="exact"/>
              <w:rPr>
                <w:rFonts w:hint="eastAsia"/>
              </w:rPr>
            </w:pPr>
            <w:r>
              <w:rPr>
                <w:rFonts w:hint="eastAsia"/>
              </w:rPr>
              <w:t>￥</w:t>
            </w:r>
            <w:r>
              <w:t>780,000.00</w:t>
            </w:r>
            <w:r>
              <w:rPr>
                <w:rFonts w:hint="eastAsia"/>
              </w:rPr>
              <w:t>（人民币柒拾捌万元整）</w:t>
            </w:r>
          </w:p>
          <w:p>
            <w:pPr>
              <w:tabs>
                <w:tab w:val="clear" w:pos="426"/>
              </w:tabs>
              <w:adjustRightInd/>
              <w:snapToGrid/>
              <w:spacing w:line="320" w:lineRule="exact"/>
              <w:rPr>
                <w:rFonts w:hint="eastAsia"/>
              </w:rPr>
            </w:pPr>
            <w:r>
              <w:t>01</w:t>
            </w:r>
            <w:r>
              <w:rPr>
                <w:rFonts w:hint="eastAsia"/>
              </w:rPr>
              <w:t>包限价：￥</w:t>
            </w:r>
            <w:r>
              <w:t>480000.00</w:t>
            </w:r>
            <w:r>
              <w:rPr>
                <w:rFonts w:hint="eastAsia"/>
              </w:rPr>
              <w:t>元（人民币肆拾捌万元整）</w:t>
            </w:r>
          </w:p>
          <w:p>
            <w:pPr>
              <w:tabs>
                <w:tab w:val="clear" w:pos="426"/>
              </w:tabs>
              <w:adjustRightInd/>
              <w:snapToGrid/>
              <w:spacing w:line="320" w:lineRule="exact"/>
              <w:rPr>
                <w:rFonts w:hint="eastAsia"/>
              </w:rPr>
            </w:pPr>
            <w:r>
              <w:t>02</w:t>
            </w:r>
            <w:r>
              <w:rPr>
                <w:rFonts w:hint="eastAsia"/>
              </w:rPr>
              <w:t>包限价：￥</w:t>
            </w:r>
            <w:r>
              <w:t>300000.00</w:t>
            </w:r>
            <w:r>
              <w:rPr>
                <w:rFonts w:hint="eastAsia"/>
              </w:rPr>
              <w:t>元（人民币叁拾万元整）</w:t>
            </w:r>
          </w:p>
          <w:p>
            <w:pPr>
              <w:tabs>
                <w:tab w:val="clear" w:pos="426"/>
              </w:tabs>
              <w:adjustRightInd/>
              <w:snapToGrid/>
              <w:spacing w:line="320" w:lineRule="exact"/>
              <w:rPr>
                <w:rFonts w:hint="eastAsia"/>
              </w:rPr>
            </w:pPr>
            <w:r>
              <w:rPr>
                <w:rFonts w:hint="eastAsia"/>
              </w:rPr>
              <w:t>不符合报价要求的投标文件将做无效处理。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报价要求</w:t>
            </w:r>
          </w:p>
        </w:tc>
        <w:tc>
          <w:tcPr>
            <w:tcW w:w="5968" w:type="dxa"/>
            <w:vAlign w:val="center"/>
          </w:tcPr>
          <w:p>
            <w:pPr>
              <w:tabs>
                <w:tab w:val="clear" w:pos="426"/>
              </w:tabs>
              <w:adjustRightInd/>
              <w:snapToGrid/>
              <w:spacing w:line="320" w:lineRule="exact"/>
              <w:rPr>
                <w:rFonts w:hint="eastAsia"/>
              </w:rPr>
            </w:pPr>
            <w:r>
              <w:t>1.</w:t>
            </w:r>
            <w:r>
              <w:rPr>
                <w:rFonts w:hint="eastAsia"/>
              </w:rPr>
              <w:t>投标报价以人民币元为计算单位。</w:t>
            </w:r>
          </w:p>
          <w:p>
            <w:pPr>
              <w:tabs>
                <w:tab w:val="clear" w:pos="426"/>
              </w:tabs>
              <w:adjustRightInd/>
              <w:snapToGrid/>
              <w:spacing w:line="320" w:lineRule="exact"/>
              <w:rPr>
                <w:rFonts w:hint="eastAsia"/>
              </w:rPr>
            </w:pPr>
            <w:r>
              <w:t>2.</w:t>
            </w:r>
            <w:r>
              <w:rPr>
                <w:rFonts w:hint="eastAsia"/>
              </w:rPr>
              <w:t>本项目投标上限金额为本项目预算金额（包含分项预算、总预算金额）。</w:t>
            </w:r>
          </w:p>
          <w:p>
            <w:pPr>
              <w:tabs>
                <w:tab w:val="clear" w:pos="426"/>
              </w:tabs>
              <w:adjustRightInd/>
              <w:snapToGrid/>
              <w:spacing w:line="320" w:lineRule="exact"/>
              <w:rPr>
                <w:rFonts w:hint="eastAsia"/>
              </w:rPr>
            </w:pPr>
            <w:r>
              <w:t>3</w:t>
            </w:r>
            <w:r>
              <w:rPr>
                <w:rFonts w:hint="eastAsia"/>
              </w:rPr>
              <w:t>投标人报价应包含合同期内所有内容所产生的费用。</w:t>
            </w:r>
          </w:p>
          <w:p>
            <w:pPr>
              <w:tabs>
                <w:tab w:val="clear" w:pos="426"/>
              </w:tabs>
              <w:adjustRightInd/>
              <w:snapToGrid/>
              <w:spacing w:line="320" w:lineRule="exact"/>
              <w:rPr>
                <w:rFonts w:hint="eastAsia"/>
              </w:rPr>
            </w:pPr>
            <w:r>
              <w:t>4.</w:t>
            </w:r>
            <w:r>
              <w:rPr>
                <w:rFonts w:hint="eastAsia"/>
              </w:rPr>
              <w:t>投标人应充分了解任何其它足以影响投标报价的情况，任何因忽视或误解项目情况而导致的索赔或合同期限延长申请将不获批准。投标人在投标报价时，应充分考虑投标报价的风险。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评定分离</w:t>
            </w:r>
          </w:p>
        </w:tc>
        <w:tc>
          <w:tcPr>
            <w:tcW w:w="5968" w:type="dxa"/>
            <w:vAlign w:val="center"/>
          </w:tcPr>
          <w:p>
            <w:pPr>
              <w:tabs>
                <w:tab w:val="clear" w:pos="426"/>
              </w:tabs>
              <w:adjustRightInd/>
              <w:snapToGrid/>
              <w:spacing w:line="240" w:lineRule="auto"/>
              <w:rPr>
                <w:rFonts w:hint="eastAsia"/>
                <w:szCs w:val="21"/>
              </w:rPr>
            </w:pP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bCs/>
                <w:szCs w:val="21"/>
              </w:rPr>
            </w:pPr>
            <w:r>
              <w:rPr>
                <w:rFonts w:hint="eastAsia"/>
                <w:bCs/>
                <w:szCs w:val="21"/>
              </w:rPr>
              <w:t>评标方法</w:t>
            </w:r>
          </w:p>
        </w:tc>
        <w:tc>
          <w:tcPr>
            <w:tcW w:w="5968" w:type="dxa"/>
            <w:vAlign w:val="center"/>
          </w:tcPr>
          <w:p>
            <w:pPr>
              <w:tabs>
                <w:tab w:val="clear" w:pos="426"/>
              </w:tabs>
              <w:adjustRightInd/>
              <w:snapToGrid/>
              <w:spacing w:line="240" w:lineRule="auto"/>
              <w:rPr>
                <w:rFonts w:hint="eastAsia"/>
                <w:szCs w:val="21"/>
              </w:rPr>
            </w:pPr>
            <w:r>
              <w:rPr>
                <w:rFonts w:hint="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bCs/>
                <w:szCs w:val="21"/>
              </w:rPr>
            </w:pPr>
            <w:r>
              <w:rPr>
                <w:rFonts w:hint="eastAsia"/>
                <w:bCs/>
                <w:szCs w:val="21"/>
              </w:rPr>
              <w:t>定标方法</w:t>
            </w:r>
          </w:p>
        </w:tc>
        <w:tc>
          <w:tcPr>
            <w:tcW w:w="5968" w:type="dxa"/>
            <w:vAlign w:val="center"/>
          </w:tcPr>
          <w:p>
            <w:pPr>
              <w:tabs>
                <w:tab w:val="clear" w:pos="426"/>
              </w:tabs>
              <w:adjustRightInd/>
              <w:snapToGrid/>
              <w:spacing w:line="240" w:lineRule="auto"/>
              <w:rPr>
                <w:rFonts w:hint="eastAsia"/>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投标供应商的替代方案</w:t>
            </w:r>
          </w:p>
        </w:tc>
        <w:tc>
          <w:tcPr>
            <w:tcW w:w="5968" w:type="dxa"/>
            <w:vAlign w:val="center"/>
          </w:tcPr>
          <w:p>
            <w:pPr>
              <w:tabs>
                <w:tab w:val="clear" w:pos="426"/>
              </w:tabs>
              <w:adjustRightInd/>
              <w:snapToGrid/>
              <w:spacing w:line="240" w:lineRule="auto"/>
              <w:rPr>
                <w:rFonts w:hint="eastAsia"/>
                <w:szCs w:val="21"/>
                <w:u w:val="single"/>
              </w:rPr>
            </w:pPr>
            <w:r>
              <w:rPr>
                <w:rFonts w:hint="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投标有效期</w:t>
            </w:r>
          </w:p>
        </w:tc>
        <w:tc>
          <w:tcPr>
            <w:tcW w:w="5968" w:type="dxa"/>
            <w:vAlign w:val="center"/>
          </w:tcPr>
          <w:p>
            <w:pPr>
              <w:tabs>
                <w:tab w:val="clear" w:pos="426"/>
              </w:tabs>
              <w:adjustRightInd/>
              <w:snapToGrid/>
              <w:spacing w:line="240" w:lineRule="auto"/>
              <w:rPr>
                <w:rFonts w:hint="eastAsia"/>
                <w:szCs w:val="21"/>
              </w:rPr>
            </w:pPr>
            <w:r>
              <w:rPr>
                <w:szCs w:val="21"/>
              </w:rPr>
              <w:t>90</w:t>
            </w:r>
            <w:r>
              <w:rPr>
                <w:rFonts w:hint="eastAsia"/>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投标保证金</w:t>
            </w:r>
          </w:p>
        </w:tc>
        <w:tc>
          <w:tcPr>
            <w:tcW w:w="5968" w:type="dxa"/>
            <w:vAlign w:val="center"/>
          </w:tcPr>
          <w:p>
            <w:pPr>
              <w:tabs>
                <w:tab w:val="clear" w:pos="426"/>
              </w:tabs>
              <w:adjustRightInd/>
              <w:snapToGrid/>
              <w:spacing w:line="240" w:lineRule="auto"/>
              <w:rPr>
                <w:rFonts w:hint="eastAsia"/>
                <w:szCs w:val="21"/>
              </w:rPr>
            </w:pPr>
            <w:r>
              <w:rPr>
                <w:rFonts w:hint="eastAsia"/>
                <w:szCs w:val="21"/>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履约保证金</w:t>
            </w:r>
          </w:p>
        </w:tc>
        <w:tc>
          <w:tcPr>
            <w:tcW w:w="5968" w:type="dxa"/>
            <w:vAlign w:val="center"/>
          </w:tcPr>
          <w:p>
            <w:pPr>
              <w:tabs>
                <w:tab w:val="clear" w:pos="426"/>
              </w:tabs>
              <w:adjustRightInd/>
              <w:snapToGrid/>
              <w:spacing w:line="240" w:lineRule="auto"/>
              <w:rPr>
                <w:rFonts w:hint="eastAsia"/>
                <w:szCs w:val="21"/>
              </w:rPr>
            </w:pPr>
            <w:r>
              <w:rPr>
                <w:rFonts w:hint="eastAsia"/>
                <w:szCs w:val="21"/>
              </w:rPr>
              <w:t>■提交，履约保证金为合同金额的</w:t>
            </w:r>
            <w:r>
              <w:rPr>
                <w:szCs w:val="21"/>
              </w:rPr>
              <w:t>10%</w:t>
            </w:r>
            <w:r>
              <w:rPr>
                <w:rFonts w:hint="eastAsia"/>
                <w:szCs w:val="21"/>
              </w:rPr>
              <w:t>，提交形式：银行保函或银行电汇。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投标文件份数</w:t>
            </w:r>
          </w:p>
        </w:tc>
        <w:tc>
          <w:tcPr>
            <w:tcW w:w="5968" w:type="dxa"/>
            <w:vAlign w:val="center"/>
          </w:tcPr>
          <w:p>
            <w:pPr>
              <w:tabs>
                <w:tab w:val="clear" w:pos="426"/>
              </w:tabs>
              <w:adjustRightInd/>
              <w:snapToGrid/>
              <w:spacing w:line="240" w:lineRule="auto"/>
              <w:rPr>
                <w:rFonts w:hint="eastAsia"/>
                <w:szCs w:val="21"/>
              </w:rPr>
            </w:pPr>
            <w:r>
              <w:rPr>
                <w:rFonts w:hint="eastAsia"/>
                <w:szCs w:val="21"/>
              </w:rPr>
              <w:t>纸质投标文件一正、四副，开标信封一份</w:t>
            </w:r>
          </w:p>
          <w:p>
            <w:pPr>
              <w:tabs>
                <w:tab w:val="clear" w:pos="426"/>
              </w:tabs>
              <w:adjustRightInd/>
              <w:snapToGrid/>
              <w:spacing w:line="240" w:lineRule="auto"/>
              <w:rPr>
                <w:rFonts w:hint="eastAsia"/>
                <w:szCs w:val="21"/>
              </w:rPr>
            </w:pPr>
            <w:r>
              <w:rPr>
                <w:rFonts w:hint="eastAsia"/>
                <w:b/>
                <w:bCs/>
                <w:szCs w:val="21"/>
              </w:rPr>
              <w:t>备注：投标供应商制作标书时，若同时投标</w:t>
            </w:r>
            <w:r>
              <w:rPr>
                <w:b/>
                <w:bCs/>
                <w:szCs w:val="21"/>
              </w:rPr>
              <w:t>2</w:t>
            </w:r>
            <w:r>
              <w:rPr>
                <w:rFonts w:hint="eastAsia"/>
                <w:b/>
                <w:bCs/>
                <w:szCs w:val="21"/>
              </w:rPr>
              <w:t>个包，要求必须对</w:t>
            </w:r>
            <w:r>
              <w:rPr>
                <w:b/>
                <w:bCs/>
                <w:szCs w:val="21"/>
              </w:rPr>
              <w:t>2</w:t>
            </w:r>
            <w:r>
              <w:rPr>
                <w:rFonts w:hint="eastAsia"/>
                <w:b/>
                <w:bCs/>
                <w:szCs w:val="21"/>
              </w:rPr>
              <w:t>个包分别响应。每个包的投标文件以包为单位分开制作，按照本招标文件中的投标文件格式进行密封装订，并请注意填写封面投标包的相关信息。若只投标</w:t>
            </w:r>
            <w:r>
              <w:rPr>
                <w:b/>
                <w:bCs/>
                <w:szCs w:val="21"/>
              </w:rPr>
              <w:t>1</w:t>
            </w:r>
            <w:r>
              <w:rPr>
                <w:rFonts w:hint="eastAsia"/>
                <w:b/>
                <w:bCs/>
                <w:szCs w:val="21"/>
              </w:rPr>
              <w:t>个包，按照本招标文件中的投标文件格式进行密封装订，并请注意填写封面投标包的相关信息。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投标文件电子档</w:t>
            </w:r>
          </w:p>
        </w:tc>
        <w:tc>
          <w:tcPr>
            <w:tcW w:w="5968" w:type="dxa"/>
            <w:vAlign w:val="center"/>
          </w:tcPr>
          <w:p>
            <w:pPr>
              <w:tabs>
                <w:tab w:val="clear" w:pos="426"/>
              </w:tabs>
              <w:adjustRightInd/>
              <w:snapToGrid/>
              <w:spacing w:line="240" w:lineRule="auto"/>
              <w:rPr>
                <w:rFonts w:hint="eastAsia"/>
                <w:szCs w:val="21"/>
              </w:rPr>
            </w:pPr>
            <w:r>
              <w:rPr>
                <w:rFonts w:hint="eastAsia"/>
                <w:szCs w:val="21"/>
              </w:rPr>
              <w:t>电子光盘一张或</w:t>
            </w:r>
            <w:r>
              <w:rPr>
                <w:szCs w:val="21"/>
              </w:rPr>
              <w:t>U</w:t>
            </w:r>
            <w:r>
              <w:rPr>
                <w:rFonts w:hint="eastAsia"/>
                <w:szCs w:val="21"/>
              </w:rPr>
              <w:t>盘一个（</w:t>
            </w:r>
            <w:r>
              <w:rPr>
                <w:szCs w:val="21"/>
              </w:rPr>
              <w:t>WORD</w:t>
            </w:r>
            <w:r>
              <w:rPr>
                <w:rFonts w:hint="eastAsia"/>
                <w:szCs w:val="21"/>
              </w:rPr>
              <w:t>及投标文件正本盖章后的彩色扫描件，</w:t>
            </w:r>
            <w:r>
              <w:rPr>
                <w:szCs w:val="21"/>
              </w:rPr>
              <w:t>PDF</w:t>
            </w:r>
            <w:r>
              <w:rPr>
                <w:rFonts w:hint="eastAsia"/>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踏勘现场</w:t>
            </w:r>
          </w:p>
        </w:tc>
        <w:tc>
          <w:tcPr>
            <w:tcW w:w="5968" w:type="dxa"/>
            <w:vAlign w:val="center"/>
          </w:tcPr>
          <w:p>
            <w:pPr>
              <w:tabs>
                <w:tab w:val="clear" w:pos="426"/>
              </w:tabs>
              <w:adjustRightInd/>
              <w:snapToGrid/>
              <w:spacing w:line="240" w:lineRule="auto"/>
              <w:rPr>
                <w:rFonts w:hint="eastAsia"/>
                <w:szCs w:val="21"/>
              </w:rPr>
            </w:pPr>
            <w:r>
              <w:rPr>
                <w:rFonts w:hint="eastAsia"/>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投标供应商提出疑问截止时间</w:t>
            </w:r>
          </w:p>
        </w:tc>
        <w:tc>
          <w:tcPr>
            <w:tcW w:w="5968" w:type="dxa"/>
            <w:vAlign w:val="center"/>
          </w:tcPr>
          <w:p>
            <w:pPr>
              <w:tabs>
                <w:tab w:val="clear" w:pos="426"/>
              </w:tabs>
              <w:adjustRightInd/>
              <w:snapToGrid/>
              <w:spacing w:line="240" w:lineRule="auto"/>
              <w:rPr>
                <w:rFonts w:hint="eastAsia"/>
                <w:szCs w:val="21"/>
              </w:rPr>
            </w:pPr>
            <w:r>
              <w:rPr>
                <w:rFonts w:hint="eastAsia" w:asciiTheme="minorEastAsia" w:hAnsiTheme="minorEastAsia" w:eastAsiaTheme="minorEastAsia"/>
                <w:szCs w:val="21"/>
              </w:rPr>
              <w:t>在获取采购文件或者采购文件公告期限届满之日起</w:t>
            </w:r>
            <w:r>
              <w:rPr>
                <w:rFonts w:asciiTheme="minorEastAsia" w:hAnsiTheme="minorEastAsia" w:eastAsiaTheme="minorEastAsia"/>
                <w:szCs w:val="21"/>
              </w:rPr>
              <w:t>7个工作日内</w:t>
            </w:r>
            <w:r>
              <w:rPr>
                <w:rFonts w:hint="eastAsia" w:asciiTheme="minorEastAsia" w:hAnsiTheme="minorEastAsia" w:eastAsiaTheme="minorEastAsia"/>
                <w:szCs w:val="21"/>
              </w:rPr>
              <w:t>一次性提出针对同一采购程序环节的</w:t>
            </w:r>
            <w:r>
              <w:rPr>
                <w:rFonts w:asciiTheme="minorEastAsia" w:hAnsiTheme="minorEastAsia" w:eastAsiaTheme="minorEastAsia"/>
                <w:szCs w:val="21"/>
              </w:rPr>
              <w:t>采购文件提出质疑</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澄清或修补、答疑的期限</w:t>
            </w:r>
          </w:p>
        </w:tc>
        <w:tc>
          <w:tcPr>
            <w:tcW w:w="5968" w:type="dxa"/>
            <w:vAlign w:val="center"/>
          </w:tcPr>
          <w:p>
            <w:pPr>
              <w:tabs>
                <w:tab w:val="clear" w:pos="426"/>
              </w:tabs>
              <w:adjustRightInd/>
              <w:snapToGrid/>
              <w:spacing w:line="240" w:lineRule="auto"/>
              <w:rPr>
                <w:rFonts w:hint="eastAsia"/>
                <w:szCs w:val="21"/>
              </w:rPr>
            </w:pPr>
            <w:r>
              <w:rPr>
                <w:rFonts w:hint="eastAsia"/>
                <w:szCs w:val="21"/>
              </w:rPr>
              <w:t>截标之日（当日不计）</w:t>
            </w:r>
            <w:r>
              <w:rPr>
                <w:szCs w:val="21"/>
              </w:rPr>
              <w:t>15</w:t>
            </w:r>
            <w:r>
              <w:rPr>
                <w:rFonts w:hint="eastAsia"/>
                <w:szCs w:val="21"/>
              </w:rPr>
              <w:t>日前</w:t>
            </w:r>
            <w:r>
              <w:rPr>
                <w:szCs w:val="21"/>
                <w:u w:val="single"/>
              </w:rPr>
              <w:t>17</w:t>
            </w:r>
            <w:r>
              <w:rPr>
                <w:rFonts w:hint="eastAsia"/>
                <w:szCs w:val="21"/>
                <w:u w:val="single"/>
              </w:rPr>
              <w:t>：</w:t>
            </w:r>
            <w:r>
              <w:rPr>
                <w:szCs w:val="21"/>
                <w:u w:val="single"/>
              </w:rPr>
              <w:t>30</w:t>
            </w:r>
            <w:r>
              <w:rPr>
                <w:rFonts w:hint="eastAsia"/>
                <w:szCs w:val="21"/>
              </w:rPr>
              <w:t>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szCs w:val="21"/>
              </w:rPr>
            </w:pPr>
            <w:r>
              <w:rPr>
                <w:rFonts w:hint="eastAsia"/>
                <w:szCs w:val="21"/>
              </w:rPr>
              <w:t>招标代理服务费</w:t>
            </w:r>
          </w:p>
        </w:tc>
        <w:tc>
          <w:tcPr>
            <w:tcW w:w="5968" w:type="dxa"/>
            <w:vAlign w:val="center"/>
          </w:tcPr>
          <w:p>
            <w:pPr>
              <w:tabs>
                <w:tab w:val="clear" w:pos="426"/>
              </w:tabs>
              <w:adjustRightInd/>
              <w:snapToGrid/>
              <w:spacing w:line="240" w:lineRule="auto"/>
              <w:rPr>
                <w:rFonts w:hint="eastAsia"/>
                <w:szCs w:val="21"/>
              </w:rPr>
            </w:pPr>
            <w:r>
              <w:rPr>
                <w:rFonts w:hint="eastAsia"/>
                <w:szCs w:val="21"/>
              </w:rPr>
              <w:t>采购代理机构以各包中标金额为计算基数，按差额定率累进法计算，向各包中标供应商收取。招标代理服务费采用转账的方式，账户信息如下：户名：深圳市深水水务咨询有限公司；账号：</w:t>
            </w:r>
            <w:r>
              <w:rPr>
                <w:szCs w:val="21"/>
              </w:rPr>
              <w:t>443899991010003343618</w:t>
            </w:r>
            <w:r>
              <w:rPr>
                <w:rFonts w:hint="eastAsia"/>
                <w:szCs w:val="21"/>
              </w:rPr>
              <w:t>；开户行：交通银行深圳金叶支行。</w:t>
            </w:r>
          </w:p>
        </w:tc>
      </w:tr>
    </w:tbl>
    <w:p>
      <w:pPr>
        <w:widowControl w:val="0"/>
        <w:shd w:val="clear" w:color="auto" w:fill="auto"/>
        <w:adjustRightInd/>
        <w:snapToGrid/>
        <w:spacing w:line="240" w:lineRule="auto"/>
        <w:ind w:left="3040" w:hanging="3040" w:hangingChars="950"/>
        <w:rPr>
          <w:rFonts w:hint="eastAsia" w:cs="Times New Roman"/>
          <w:kern w:val="2"/>
          <w:sz w:val="32"/>
          <w:szCs w:val="20"/>
        </w:rPr>
      </w:pPr>
    </w:p>
    <w:p>
      <w:pPr>
        <w:pStyle w:val="81"/>
        <w:tabs>
          <w:tab w:val="clear" w:pos="426"/>
        </w:tabs>
      </w:pPr>
      <w:r>
        <w:br w:type="page"/>
      </w:r>
      <w:bookmarkStart w:id="2" w:name="_Toc18181"/>
      <w:r>
        <w:rPr>
          <w:rFonts w:hint="eastAsia"/>
        </w:rPr>
        <w:t>招标文件第一册（专用部分）</w:t>
      </w:r>
      <w:bookmarkEnd w:id="2"/>
    </w:p>
    <w:p>
      <w:pPr>
        <w:pStyle w:val="62"/>
      </w:pPr>
      <w:bookmarkStart w:id="3" w:name="_Toc265483798"/>
      <w:bookmarkStart w:id="4" w:name="_Toc432592813"/>
      <w:bookmarkStart w:id="5" w:name="_Toc7521"/>
      <w:r>
        <w:rPr>
          <w:rFonts w:hint="eastAsia"/>
        </w:rPr>
        <w:t>第一章</w:t>
      </w:r>
      <w:bookmarkEnd w:id="3"/>
      <w:bookmarkEnd w:id="4"/>
      <w:r>
        <w:t xml:space="preserve"> </w:t>
      </w:r>
      <w:r>
        <w:rPr>
          <w:rFonts w:hint="eastAsia"/>
        </w:rPr>
        <w:t>投标邀请</w:t>
      </w:r>
      <w:bookmarkEnd w:id="5"/>
    </w:p>
    <w:p>
      <w:pPr>
        <w:widowControl w:val="0"/>
        <w:pBdr>
          <w:top w:val="single" w:color="auto" w:sz="4" w:space="1"/>
          <w:left w:val="single" w:color="auto" w:sz="4" w:space="4"/>
          <w:bottom w:val="single" w:color="auto" w:sz="4" w:space="1"/>
          <w:right w:val="single" w:color="auto" w:sz="4" w:space="4"/>
        </w:pBdr>
        <w:shd w:val="clear" w:color="auto" w:fill="auto"/>
        <w:tabs>
          <w:tab w:val="clear" w:pos="426"/>
        </w:tabs>
        <w:adjustRightInd/>
        <w:snapToGrid/>
        <w:spacing w:line="240" w:lineRule="auto"/>
        <w:ind w:firstLine="420" w:firstLineChars="200"/>
        <w:rPr>
          <w:rFonts w:hint="eastAsia" w:cs="Times New Roman"/>
          <w:kern w:val="2"/>
          <w:szCs w:val="21"/>
        </w:rPr>
      </w:pPr>
      <w:bookmarkStart w:id="6" w:name="_Hlk62652657"/>
      <w:r>
        <w:rPr>
          <w:rFonts w:hint="eastAsia" w:cs="Times New Roman"/>
          <w:kern w:val="2"/>
          <w:szCs w:val="21"/>
        </w:rPr>
        <w:t>项目概况</w:t>
      </w:r>
    </w:p>
    <w:p>
      <w:pPr>
        <w:widowControl w:val="0"/>
        <w:pBdr>
          <w:top w:val="single" w:color="auto" w:sz="4" w:space="1"/>
          <w:left w:val="single" w:color="auto" w:sz="4" w:space="4"/>
          <w:bottom w:val="single" w:color="auto" w:sz="4" w:space="1"/>
          <w:right w:val="single" w:color="auto" w:sz="4" w:space="4"/>
        </w:pBdr>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危险化学品粉尘检验类设备采购项目（第二次招标）的潜在投标人应在深圳市罗湖区清水河街道清水河社区清水河一路</w:t>
      </w:r>
      <w:r>
        <w:rPr>
          <w:rFonts w:cs="Times New Roman"/>
          <w:kern w:val="2"/>
          <w:szCs w:val="21"/>
        </w:rPr>
        <w:t>112</w:t>
      </w:r>
      <w:r>
        <w:rPr>
          <w:rFonts w:hint="eastAsia" w:cs="Times New Roman"/>
          <w:kern w:val="2"/>
          <w:szCs w:val="21"/>
        </w:rPr>
        <w:t>号罗湖投资控股大厦裙楼</w:t>
      </w:r>
      <w:r>
        <w:rPr>
          <w:rFonts w:cs="Times New Roman"/>
          <w:kern w:val="2"/>
          <w:szCs w:val="21"/>
        </w:rPr>
        <w:t>401</w:t>
      </w:r>
      <w:r>
        <w:rPr>
          <w:rFonts w:hint="eastAsia" w:cs="Times New Roman"/>
          <w:kern w:val="2"/>
          <w:szCs w:val="21"/>
        </w:rPr>
        <w:t>获取招标文件，并于2024年12月10日</w:t>
      </w:r>
      <w:r>
        <w:rPr>
          <w:rFonts w:hint="eastAsia" w:cs="Times New Roman"/>
          <w:kern w:val="2"/>
          <w:szCs w:val="21"/>
          <w:lang w:val="en-US" w:eastAsia="zh-CN"/>
        </w:rPr>
        <w:t>14</w:t>
      </w:r>
      <w:r>
        <w:rPr>
          <w:rFonts w:hint="eastAsia" w:cs="Times New Roman"/>
          <w:kern w:val="2"/>
          <w:szCs w:val="21"/>
        </w:rPr>
        <w:t>点30分</w:t>
      </w:r>
      <w:r>
        <w:rPr>
          <w:rFonts w:hint="eastAsia" w:cs="Times New Roman"/>
          <w:bCs/>
          <w:kern w:val="2"/>
          <w:szCs w:val="21"/>
        </w:rPr>
        <w:t>（北京时间）前递交投标文件</w:t>
      </w:r>
      <w:r>
        <w:rPr>
          <w:rFonts w:hint="eastAsia" w:cs="Times New Roman"/>
          <w:kern w:val="2"/>
          <w:szCs w:val="21"/>
        </w:rPr>
        <w:t>。</w:t>
      </w:r>
    </w:p>
    <w:p>
      <w:pPr>
        <w:widowControl w:val="0"/>
        <w:shd w:val="clear" w:color="auto" w:fill="auto"/>
        <w:tabs>
          <w:tab w:val="clear" w:pos="426"/>
        </w:tabs>
        <w:adjustRightInd/>
        <w:snapToGrid/>
        <w:spacing w:line="240" w:lineRule="auto"/>
        <w:rPr>
          <w:rFonts w:hint="eastAsia" w:cs="Times New Roman"/>
          <w:kern w:val="2"/>
          <w:szCs w:val="21"/>
        </w:rPr>
      </w:pPr>
    </w:p>
    <w:p>
      <w:pPr>
        <w:spacing w:line="240" w:lineRule="auto"/>
        <w:rPr>
          <w:rFonts w:hint="eastAsia"/>
          <w:b/>
          <w:kern w:val="2"/>
          <w:szCs w:val="21"/>
        </w:rPr>
      </w:pPr>
      <w:bookmarkStart w:id="7" w:name="_Toc28359002"/>
      <w:bookmarkStart w:id="8" w:name="_Toc28359079"/>
      <w:bookmarkStart w:id="9" w:name="_Toc35393621"/>
      <w:bookmarkStart w:id="10" w:name="_Toc35393790"/>
      <w:bookmarkStart w:id="11" w:name="_Hlk24379207"/>
      <w:r>
        <w:rPr>
          <w:rFonts w:hint="eastAsia"/>
          <w:b/>
          <w:kern w:val="2"/>
          <w:szCs w:val="21"/>
        </w:rPr>
        <w:t>一、项目基本情况</w:t>
      </w:r>
      <w:bookmarkEnd w:id="7"/>
      <w:bookmarkEnd w:id="8"/>
      <w:bookmarkEnd w:id="9"/>
      <w:bookmarkEnd w:id="10"/>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项目编号：</w:t>
      </w:r>
      <w:r>
        <w:rPr>
          <w:rFonts w:cs="Times New Roman"/>
          <w:kern w:val="2"/>
          <w:szCs w:val="21"/>
        </w:rPr>
        <w:t>SSZX2024-400</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项目名称：危险化学品粉尘检验类设备采购项目（第二次招标）</w:t>
      </w:r>
    </w:p>
    <w:bookmarkEnd w:id="11"/>
    <w:p>
      <w:pPr>
        <w:widowControl w:val="0"/>
        <w:shd w:val="clear" w:color="auto" w:fill="auto"/>
        <w:tabs>
          <w:tab w:val="clear" w:pos="426"/>
        </w:tabs>
        <w:adjustRightInd/>
        <w:snapToGrid/>
        <w:spacing w:line="240" w:lineRule="auto"/>
        <w:ind w:firstLine="420" w:firstLineChars="200"/>
        <w:rPr>
          <w:rFonts w:hint="eastAsia"/>
          <w:szCs w:val="21"/>
        </w:rPr>
      </w:pPr>
      <w:r>
        <w:rPr>
          <w:rFonts w:hint="eastAsia" w:cs="Times New Roman"/>
          <w:kern w:val="2"/>
          <w:szCs w:val="21"/>
        </w:rPr>
        <w:t>预算金额：</w:t>
      </w:r>
      <w:r>
        <w:rPr>
          <w:rFonts w:cs="Times New Roman"/>
          <w:kern w:val="2"/>
          <w:szCs w:val="21"/>
        </w:rPr>
        <w:t>780,000.00</w:t>
      </w:r>
      <w:r>
        <w:rPr>
          <w:rFonts w:hint="eastAsia" w:cs="Times New Roman"/>
          <w:kern w:val="2"/>
          <w:szCs w:val="21"/>
        </w:rPr>
        <w:t>元</w:t>
      </w:r>
      <w:r>
        <w:rPr>
          <w:rFonts w:hint="eastAsia"/>
          <w:szCs w:val="21"/>
        </w:rPr>
        <w:t>（人民币）</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最高限价：</w:t>
      </w:r>
      <w:r>
        <w:rPr>
          <w:rFonts w:cs="Times New Roman"/>
          <w:kern w:val="2"/>
          <w:szCs w:val="21"/>
        </w:rPr>
        <w:t>780,000.00</w:t>
      </w:r>
      <w:r>
        <w:rPr>
          <w:rFonts w:hint="eastAsia" w:cs="Times New Roman"/>
          <w:kern w:val="2"/>
          <w:szCs w:val="21"/>
        </w:rPr>
        <w:t>元</w:t>
      </w:r>
      <w:r>
        <w:rPr>
          <w:rFonts w:hint="eastAsia"/>
          <w:szCs w:val="21"/>
        </w:rPr>
        <w:t>（人民币）</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采购需求：</w:t>
      </w:r>
    </w:p>
    <w:tbl>
      <w:tblPr>
        <w:tblStyle w:val="85"/>
        <w:tblW w:w="4996" w:type="pct"/>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818"/>
        <w:gridCol w:w="2423"/>
        <w:gridCol w:w="621"/>
        <w:gridCol w:w="581"/>
        <w:gridCol w:w="2025"/>
        <w:gridCol w:w="1222"/>
        <w:gridCol w:w="1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20" w:type="pct"/>
            <w:tcBorders>
              <w:top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包号</w:t>
            </w:r>
          </w:p>
        </w:tc>
        <w:tc>
          <w:tcPr>
            <w:tcW w:w="43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标的序号</w:t>
            </w:r>
          </w:p>
        </w:tc>
        <w:tc>
          <w:tcPr>
            <w:tcW w:w="12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标的名称</w:t>
            </w:r>
          </w:p>
        </w:tc>
        <w:tc>
          <w:tcPr>
            <w:tcW w:w="3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数量</w:t>
            </w: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单位</w:t>
            </w:r>
          </w:p>
        </w:tc>
        <w:tc>
          <w:tcPr>
            <w:tcW w:w="106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简要技术需求</w:t>
            </w:r>
          </w:p>
        </w:tc>
        <w:tc>
          <w:tcPr>
            <w:tcW w:w="6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备注</w:t>
            </w:r>
          </w:p>
        </w:tc>
        <w:tc>
          <w:tcPr>
            <w:tcW w:w="639" w:type="pct"/>
            <w:tcBorders>
              <w:top w:val="single" w:color="auto" w:sz="4" w:space="0"/>
              <w:left w:val="single" w:color="auto" w:sz="4" w:space="0"/>
              <w:bottom w:val="single" w:color="auto" w:sz="4" w:space="0"/>
            </w:tcBorders>
            <w:vAlign w:val="center"/>
          </w:tcPr>
          <w:p>
            <w:pPr>
              <w:spacing w:line="240" w:lineRule="auto"/>
              <w:jc w:val="center"/>
              <w:rPr>
                <w:rFonts w:hint="eastAsia"/>
                <w:szCs w:val="21"/>
              </w:rPr>
            </w:pPr>
            <w:r>
              <w:rPr>
                <w:rFonts w:hint="eastAsia"/>
                <w:szCs w:val="21"/>
              </w:rPr>
              <w:t>预算金额</w:t>
            </w:r>
          </w:p>
          <w:p>
            <w:pPr>
              <w:spacing w:line="240" w:lineRule="auto"/>
              <w:jc w:val="center"/>
              <w:rPr>
                <w:rFonts w:hint="eastAsia"/>
                <w:szCs w:val="21"/>
              </w:rPr>
            </w:pPr>
            <w:r>
              <w:rPr>
                <w:rFonts w:hint="eastAsia"/>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20" w:type="pct"/>
            <w:tcBorders>
              <w:top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01</w:t>
            </w:r>
          </w:p>
        </w:tc>
        <w:tc>
          <w:tcPr>
            <w:tcW w:w="43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1</w:t>
            </w:r>
          </w:p>
        </w:tc>
        <w:tc>
          <w:tcPr>
            <w:tcW w:w="12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粉尘云最低着火温度试验仪</w:t>
            </w:r>
          </w:p>
        </w:tc>
        <w:tc>
          <w:tcPr>
            <w:tcW w:w="3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1</w:t>
            </w: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1062" w:type="pct"/>
            <w:tcBorders>
              <w:top w:val="single" w:color="auto" w:sz="4" w:space="0"/>
              <w:left w:val="single" w:color="auto" w:sz="4" w:space="0"/>
              <w:bottom w:val="single" w:color="auto" w:sz="4" w:space="0"/>
              <w:right w:val="single" w:color="auto" w:sz="4" w:space="0"/>
            </w:tcBorders>
            <w:vAlign w:val="center"/>
          </w:tcPr>
          <w:p>
            <w:pPr>
              <w:pStyle w:val="426"/>
            </w:pPr>
            <w:r>
              <w:rPr>
                <w:rFonts w:hint="eastAsia" w:cs="Times New Roman"/>
                <w:kern w:val="2"/>
              </w:rPr>
              <w:t>粉尘云最低着火温度试验仪一台。</w:t>
            </w:r>
            <w:r>
              <w:rPr>
                <w:rFonts w:hint="eastAsia"/>
              </w:rPr>
              <w:t>详见招标文件项目需求书。</w:t>
            </w:r>
          </w:p>
        </w:tc>
        <w:tc>
          <w:tcPr>
            <w:tcW w:w="639" w:type="pct"/>
            <w:tcBorders>
              <w:top w:val="single" w:color="auto" w:sz="4" w:space="0"/>
              <w:left w:val="single" w:color="auto" w:sz="4" w:space="0"/>
              <w:bottom w:val="single" w:color="auto" w:sz="4" w:space="0"/>
              <w:right w:val="single" w:color="auto" w:sz="4" w:space="0"/>
            </w:tcBorders>
            <w:vAlign w:val="center"/>
          </w:tcPr>
          <w:p>
            <w:pPr>
              <w:pStyle w:val="426"/>
            </w:pPr>
            <w:bookmarkStart w:id="12" w:name="OLE_LINK3"/>
            <w:r>
              <w:rPr>
                <w:rFonts w:hint="eastAsia"/>
              </w:rPr>
              <w:t>拒绝进口</w:t>
            </w:r>
            <w:bookmarkEnd w:id="12"/>
          </w:p>
        </w:tc>
        <w:tc>
          <w:tcPr>
            <w:tcW w:w="639" w:type="pct"/>
            <w:tcBorders>
              <w:top w:val="single" w:color="auto" w:sz="4" w:space="0"/>
              <w:left w:val="single" w:color="auto" w:sz="4" w:space="0"/>
              <w:bottom w:val="single" w:color="auto" w:sz="4" w:space="0"/>
            </w:tcBorders>
            <w:vAlign w:val="center"/>
          </w:tcPr>
          <w:p>
            <w:pPr>
              <w:pStyle w:val="426"/>
            </w:pPr>
            <w:r>
              <w:t>480000.00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320" w:type="pct"/>
            <w:tcBorders>
              <w:top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02</w:t>
            </w:r>
          </w:p>
        </w:tc>
        <w:tc>
          <w:tcPr>
            <w:tcW w:w="43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2</w:t>
            </w:r>
          </w:p>
        </w:tc>
        <w:tc>
          <w:tcPr>
            <w:tcW w:w="12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粉尘云最小点火能试验仪</w:t>
            </w:r>
          </w:p>
        </w:tc>
        <w:tc>
          <w:tcPr>
            <w:tcW w:w="3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1</w:t>
            </w:r>
          </w:p>
        </w:tc>
        <w:tc>
          <w:tcPr>
            <w:tcW w:w="3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1062" w:type="pct"/>
            <w:tcBorders>
              <w:top w:val="single" w:color="auto" w:sz="4" w:space="0"/>
              <w:left w:val="single" w:color="auto" w:sz="4" w:space="0"/>
              <w:bottom w:val="single" w:color="auto" w:sz="4" w:space="0"/>
              <w:right w:val="single" w:color="auto" w:sz="4" w:space="0"/>
            </w:tcBorders>
            <w:vAlign w:val="center"/>
          </w:tcPr>
          <w:p>
            <w:pPr>
              <w:pStyle w:val="426"/>
              <w:rPr>
                <w:rFonts w:cs="Times New Roman"/>
                <w:kern w:val="2"/>
              </w:rPr>
            </w:pPr>
            <w:r>
              <w:rPr>
                <w:rFonts w:hint="eastAsia"/>
                <w:szCs w:val="21"/>
              </w:rPr>
              <w:t>粉尘云最小点火能试验仪</w:t>
            </w:r>
            <w:r>
              <w:rPr>
                <w:rFonts w:hint="eastAsia" w:cs="Times New Roman"/>
                <w:kern w:val="2"/>
              </w:rPr>
              <w:t>一台。</w:t>
            </w:r>
            <w:r>
              <w:rPr>
                <w:rFonts w:hint="eastAsia"/>
              </w:rPr>
              <w:t>详见招标文件项目需求书。</w:t>
            </w:r>
          </w:p>
        </w:tc>
        <w:tc>
          <w:tcPr>
            <w:tcW w:w="639" w:type="pct"/>
            <w:tcBorders>
              <w:top w:val="single" w:color="auto" w:sz="4" w:space="0"/>
              <w:left w:val="single" w:color="auto" w:sz="4" w:space="0"/>
              <w:bottom w:val="single" w:color="auto" w:sz="4" w:space="0"/>
              <w:right w:val="single" w:color="auto" w:sz="4" w:space="0"/>
            </w:tcBorders>
            <w:vAlign w:val="center"/>
          </w:tcPr>
          <w:p>
            <w:pPr>
              <w:pStyle w:val="426"/>
            </w:pPr>
            <w:r>
              <w:rPr>
                <w:rFonts w:hint="eastAsia"/>
              </w:rPr>
              <w:t>拒绝进口</w:t>
            </w:r>
          </w:p>
        </w:tc>
        <w:tc>
          <w:tcPr>
            <w:tcW w:w="639" w:type="pct"/>
            <w:tcBorders>
              <w:top w:val="single" w:color="auto" w:sz="4" w:space="0"/>
              <w:left w:val="single" w:color="auto" w:sz="4" w:space="0"/>
              <w:bottom w:val="single" w:color="auto" w:sz="4" w:space="0"/>
            </w:tcBorders>
            <w:vAlign w:val="center"/>
          </w:tcPr>
          <w:p>
            <w:pPr>
              <w:pStyle w:val="426"/>
            </w:pPr>
            <w:r>
              <w:t>300000.00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4360" w:type="pct"/>
            <w:gridSpan w:val="7"/>
            <w:tcBorders>
              <w:top w:val="single" w:color="auto" w:sz="4" w:space="0"/>
              <w:bottom w:val="single" w:color="auto" w:sz="4" w:space="0"/>
              <w:right w:val="single" w:color="auto" w:sz="4" w:space="0"/>
            </w:tcBorders>
            <w:vAlign w:val="center"/>
          </w:tcPr>
          <w:p>
            <w:pPr>
              <w:pStyle w:val="426"/>
            </w:pPr>
            <w:r>
              <w:rPr>
                <w:rFonts w:hint="eastAsia"/>
              </w:rPr>
              <w:t>合计</w:t>
            </w:r>
          </w:p>
        </w:tc>
        <w:tc>
          <w:tcPr>
            <w:tcW w:w="639" w:type="pct"/>
            <w:tcBorders>
              <w:top w:val="single" w:color="auto" w:sz="4" w:space="0"/>
              <w:left w:val="single" w:color="auto" w:sz="4" w:space="0"/>
              <w:bottom w:val="single" w:color="auto" w:sz="4" w:space="0"/>
            </w:tcBorders>
            <w:vAlign w:val="center"/>
          </w:tcPr>
          <w:p>
            <w:pPr>
              <w:pStyle w:val="426"/>
            </w:pPr>
            <w:r>
              <w:t>780,000.00</w:t>
            </w:r>
          </w:p>
        </w:tc>
      </w:tr>
    </w:tbl>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合同履行期限：自合同签定之日起</w:t>
      </w:r>
      <w:r>
        <w:rPr>
          <w:rFonts w:cs="Times New Roman"/>
          <w:kern w:val="2"/>
          <w:szCs w:val="21"/>
        </w:rPr>
        <w:t>60</w:t>
      </w:r>
      <w:r>
        <w:rPr>
          <w:rFonts w:hint="eastAsia" w:cs="Times New Roman"/>
          <w:kern w:val="2"/>
          <w:szCs w:val="21"/>
        </w:rPr>
        <w:t>日内。</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本项目（不接受）联合体投标。</w:t>
      </w:r>
      <w:bookmarkStart w:id="13" w:name="_Toc28359080"/>
      <w:bookmarkStart w:id="14" w:name="_Toc35393622"/>
      <w:bookmarkStart w:id="15" w:name="_Toc28359003"/>
      <w:bookmarkStart w:id="16" w:name="_Toc35393791"/>
    </w:p>
    <w:p>
      <w:pPr>
        <w:spacing w:line="240" w:lineRule="auto"/>
        <w:rPr>
          <w:rFonts w:hint="eastAsia"/>
          <w:b/>
          <w:kern w:val="2"/>
          <w:szCs w:val="21"/>
        </w:rPr>
      </w:pPr>
      <w:r>
        <w:rPr>
          <w:rFonts w:hint="eastAsia"/>
          <w:b/>
          <w:kern w:val="2"/>
          <w:szCs w:val="21"/>
        </w:rPr>
        <w:t>二、申请人的资格要求</w:t>
      </w:r>
      <w:bookmarkEnd w:id="13"/>
      <w:bookmarkEnd w:id="14"/>
      <w:bookmarkEnd w:id="15"/>
      <w:bookmarkEnd w:id="16"/>
      <w:r>
        <w:rPr>
          <w:rFonts w:hint="eastAsia"/>
          <w:b/>
          <w:kern w:val="2"/>
          <w:szCs w:val="21"/>
        </w:rPr>
        <w:t>：</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bookmarkStart w:id="17" w:name="_Toc35393792"/>
      <w:bookmarkStart w:id="18" w:name="_Toc35393623"/>
      <w:bookmarkStart w:id="19" w:name="_Toc28359004"/>
      <w:bookmarkStart w:id="20" w:name="_Toc28359081"/>
      <w:r>
        <w:rPr>
          <w:rFonts w:hAnsi="Times New Roman" w:cs="Times New Roman"/>
          <w:kern w:val="2"/>
          <w:szCs w:val="21"/>
        </w:rPr>
        <w:t>1.</w:t>
      </w:r>
      <w:r>
        <w:rPr>
          <w:rFonts w:hint="eastAsia" w:hAnsi="Times New Roman" w:cs="Times New Roman"/>
          <w:kern w:val="2"/>
          <w:szCs w:val="21"/>
        </w:rPr>
        <w:t>满足《中华人民共和国政府采购法》第二十二条规定（由供应商在《投标人资格声明函》中作出声明）。</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Ansi="Times New Roman" w:cs="Times New Roman"/>
          <w:kern w:val="2"/>
          <w:szCs w:val="21"/>
        </w:rPr>
        <w:t>2.</w:t>
      </w:r>
      <w:r>
        <w:rPr>
          <w:rFonts w:hint="eastAsia" w:hAnsi="Times New Roman" w:cs="Times New Roman"/>
          <w:kern w:val="2"/>
          <w:szCs w:val="21"/>
        </w:rPr>
        <w:t>落实政府采购政策需满足的资格要求：</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本项目不属于专门面向中小企业采购的项目。</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Ansi="Times New Roman" w:cs="Times New Roman"/>
          <w:kern w:val="2"/>
          <w:szCs w:val="21"/>
        </w:rPr>
        <w:t>3.</w:t>
      </w:r>
      <w:r>
        <w:rPr>
          <w:rFonts w:hint="eastAsia" w:hAnsi="Times New Roman" w:cs="Times New Roman"/>
          <w:kern w:val="2"/>
          <w:szCs w:val="21"/>
        </w:rPr>
        <w:t>本项目的特定资格要求：</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1</w:t>
      </w:r>
      <w:r>
        <w:rPr>
          <w:rFonts w:hint="eastAsia" w:hAnsi="Times New Roman" w:cs="Times New Roman"/>
          <w:kern w:val="2"/>
          <w:szCs w:val="21"/>
        </w:rPr>
        <w:t>）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2</w:t>
      </w:r>
      <w:r>
        <w:rPr>
          <w:rFonts w:hint="eastAsia" w:hAnsi="Times New Roman" w:cs="Times New Roman"/>
          <w:kern w:val="2"/>
          <w:szCs w:val="21"/>
        </w:rPr>
        <w:t>）本项目不接受投标人选用进口产品参与投标。（进口产品是指通过中国海关报关验收进入中国境内且产自境外的产品）。</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3</w:t>
      </w:r>
      <w:r>
        <w:rPr>
          <w:rFonts w:hint="eastAsia" w:hAnsi="Times New Roman" w:cs="Times New Roman"/>
          <w:kern w:val="2"/>
          <w:szCs w:val="21"/>
        </w:rPr>
        <w:t>）根据财库〔</w:t>
      </w:r>
      <w:r>
        <w:rPr>
          <w:rFonts w:hAnsi="Times New Roman" w:cs="Times New Roman"/>
          <w:kern w:val="2"/>
          <w:szCs w:val="21"/>
        </w:rPr>
        <w:t>2016</w:t>
      </w:r>
      <w:r>
        <w:rPr>
          <w:rFonts w:hint="eastAsia" w:hAnsi="Times New Roman" w:cs="Times New Roman"/>
          <w:kern w:val="2"/>
          <w:szCs w:val="21"/>
        </w:rPr>
        <w:t>〕</w:t>
      </w:r>
      <w:r>
        <w:rPr>
          <w:rFonts w:hAnsi="Times New Roman" w:cs="Times New Roman"/>
          <w:kern w:val="2"/>
          <w:szCs w:val="21"/>
        </w:rPr>
        <w:t>125</w:t>
      </w:r>
      <w:r>
        <w:rPr>
          <w:rFonts w:hint="eastAsia" w:hAnsi="Times New Roman" w:cs="Times New Roman"/>
          <w:kern w:val="2"/>
          <w:szCs w:val="21"/>
        </w:rPr>
        <w:t>号文的有关规定，投标人需未被列入失信被执行人、重大税收违法案件当事人名单、政府采购严重违法失信行为记录名单（提供书面《投标人资格声明函》加盖公章，采购代理机构将通过</w:t>
      </w:r>
      <w:r>
        <w:rPr>
          <w:rFonts w:hAnsi="Times New Roman" w:cs="Times New Roman"/>
          <w:kern w:val="2"/>
          <w:szCs w:val="21"/>
        </w:rPr>
        <w:t>“</w:t>
      </w:r>
      <w:r>
        <w:rPr>
          <w:rFonts w:hint="eastAsia" w:hAnsi="Times New Roman" w:cs="Times New Roman"/>
          <w:kern w:val="2"/>
          <w:szCs w:val="21"/>
        </w:rPr>
        <w:t>信用中国</w:t>
      </w:r>
      <w:r>
        <w:rPr>
          <w:rFonts w:hAnsi="Times New Roman" w:cs="Times New Roman"/>
          <w:kern w:val="2"/>
          <w:szCs w:val="21"/>
        </w:rPr>
        <w:t>”</w:t>
      </w:r>
      <w:r>
        <w:rPr>
          <w:rFonts w:hint="eastAsia" w:hAnsi="Times New Roman" w:cs="Times New Roman"/>
          <w:kern w:val="2"/>
          <w:szCs w:val="21"/>
        </w:rPr>
        <w:t>网站（</w:t>
      </w:r>
      <w:r>
        <w:rPr>
          <w:rFonts w:hAnsi="Times New Roman" w:cs="Times New Roman"/>
          <w:kern w:val="2"/>
          <w:szCs w:val="21"/>
        </w:rPr>
        <w:t>www.creditchina.gov.cn</w:t>
      </w:r>
      <w:r>
        <w:rPr>
          <w:rFonts w:hint="eastAsia" w:hAnsi="Times New Roman" w:cs="Times New Roman"/>
          <w:kern w:val="2"/>
          <w:szCs w:val="21"/>
        </w:rPr>
        <w:t>）、中国政府采购网（</w:t>
      </w:r>
      <w:r>
        <w:rPr>
          <w:rFonts w:hAnsi="Times New Roman" w:cs="Times New Roman"/>
          <w:kern w:val="2"/>
          <w:szCs w:val="21"/>
        </w:rPr>
        <w:t>www.ccgp.gov.cn</w:t>
      </w:r>
      <w:r>
        <w:rPr>
          <w:rFonts w:hint="eastAsia" w:hAnsi="Times New Roman" w:cs="Times New Roman"/>
          <w:kern w:val="2"/>
          <w:szCs w:val="21"/>
        </w:rPr>
        <w:t>）等渠道查询相关主体信用记录，并做好信用信息查询记录和证据留存，信用信息查询记录及相关证据将与其他采购文件一并保存）。</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4</w:t>
      </w:r>
      <w:r>
        <w:rPr>
          <w:rFonts w:hint="eastAsia" w:hAnsi="Times New Roman" w:cs="Times New Roman"/>
          <w:kern w:val="2"/>
          <w:szCs w:val="21"/>
        </w:rPr>
        <w:t>）投标人参与本项目投标前三年内，在经营活动中没有重大违法记录（提供《投标人资格声明函》，并加盖投标人公章）。</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5</w:t>
      </w:r>
      <w:r>
        <w:rPr>
          <w:rFonts w:hint="eastAsia" w:hAnsi="Times New Roman" w:cs="Times New Roman"/>
          <w:kern w:val="2"/>
          <w:szCs w:val="21"/>
        </w:rPr>
        <w:t>）投标人参与本项目投标近三年内，在经营活动中没有发生重大安全和质量事故（提供《投标人资格声明函》，并加盖投标人公章）。</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6</w:t>
      </w:r>
      <w:r>
        <w:rPr>
          <w:rFonts w:hint="eastAsia" w:hAnsi="Times New Roman" w:cs="Times New Roman"/>
          <w:kern w:val="2"/>
          <w:szCs w:val="21"/>
        </w:rPr>
        <w:t>）投标人参与本项目政府采购活动时不存在被有关部门禁止参与政府采购活动且在有效期内的情况（提供《投标人资格声明函》，并加盖投标人公章）。</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7</w:t>
      </w:r>
      <w:r>
        <w:rPr>
          <w:rFonts w:hint="eastAsia" w:hAnsi="Times New Roman" w:cs="Times New Roman"/>
          <w:kern w:val="2"/>
          <w:szCs w:val="21"/>
        </w:rPr>
        <w:t>）单位负责人为同一人或者存在直接控股、管理关系的不同供应商，不得参加同一合同项下的政府采购活动（提供《投标人资格声明函》，并加盖投标人公章，采购代理机构将通过国家企业信用信息公示系统（</w:t>
      </w:r>
      <w:r>
        <w:rPr>
          <w:rFonts w:hAnsi="Times New Roman" w:cs="Times New Roman"/>
          <w:kern w:val="2"/>
          <w:szCs w:val="21"/>
        </w:rPr>
        <w:t>https://www.gsxt.gov.cn/index.html</w:t>
      </w:r>
      <w:r>
        <w:rPr>
          <w:rFonts w:hint="eastAsia" w:hAnsi="Times New Roman" w:cs="Times New Roman"/>
          <w:kern w:val="2"/>
          <w:szCs w:val="21"/>
        </w:rPr>
        <w:t>）或机关赋码和事业单位登记管理网（</w:t>
      </w:r>
      <w:r>
        <w:rPr>
          <w:rFonts w:hAnsi="Times New Roman" w:cs="Times New Roman"/>
          <w:kern w:val="2"/>
          <w:szCs w:val="21"/>
        </w:rPr>
        <w:t>http://www.gjsy.gov.cn/sydwfrxxcx/</w:t>
      </w:r>
      <w:r>
        <w:rPr>
          <w:rFonts w:hint="eastAsia" w:hAnsi="Times New Roman" w:cs="Times New Roman"/>
          <w:kern w:val="2"/>
          <w:szCs w:val="21"/>
        </w:rPr>
        <w:t>）或全国社会组织信用信息公示平台（</w:t>
      </w:r>
      <w:r>
        <w:rPr>
          <w:rFonts w:hAnsi="Times New Roman" w:cs="Times New Roman"/>
          <w:kern w:val="2"/>
          <w:szCs w:val="21"/>
        </w:rPr>
        <w:t>https://xxgs.chinanpo.mca.gov.cn/gsxt/newList</w:t>
      </w:r>
      <w:r>
        <w:rPr>
          <w:rFonts w:hint="eastAsia" w:hAnsi="Times New Roman" w:cs="Times New Roman"/>
          <w:kern w:val="2"/>
          <w:szCs w:val="21"/>
        </w:rPr>
        <w:t>）网站查询投标人信息，并做好信用信息查询记录和证据留存，信用信息查询记录及相关证据将与其他采购文件一并保存，相关信息以截标当日的查询结果为准）。</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8</w:t>
      </w:r>
      <w:r>
        <w:rPr>
          <w:rFonts w:hint="eastAsia" w:hAnsi="Times New Roman" w:cs="Times New Roman"/>
          <w:kern w:val="2"/>
          <w:szCs w:val="21"/>
        </w:rPr>
        <w:t>）为采购项目提供整体设计、规范编制或者项目管理、监理、检测等服务的供应商，不得再参加该采购项目的其他采购活动（提供《投标人资格声明函》，并加盖投标人公章）。</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9</w:t>
      </w:r>
      <w:r>
        <w:rPr>
          <w:rFonts w:hint="eastAsia" w:hAnsi="Times New Roman" w:cs="Times New Roman"/>
          <w:kern w:val="2"/>
          <w:szCs w:val="21"/>
        </w:rPr>
        <w:t>）参与本项目政府采购活动不存在与其他采购参加人串通投标、隐瞒真实情况、提供虚假资料等违法违规情形（提供《投标人资格声明函》，并加盖投标人公章）</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10</w:t>
      </w:r>
      <w:r>
        <w:rPr>
          <w:rFonts w:hint="eastAsia" w:hAnsi="Times New Roman" w:cs="Times New Roman"/>
          <w:kern w:val="2"/>
          <w:szCs w:val="21"/>
        </w:rPr>
        <w:t>）本项目不接受联合体形式进行投标，不允许转包及分包。</w:t>
      </w:r>
    </w:p>
    <w:p>
      <w:pPr>
        <w:spacing w:line="240" w:lineRule="auto"/>
        <w:rPr>
          <w:rFonts w:hint="eastAsia"/>
          <w:b/>
          <w:kern w:val="2"/>
          <w:szCs w:val="21"/>
        </w:rPr>
      </w:pPr>
      <w:r>
        <w:rPr>
          <w:rFonts w:hint="eastAsia"/>
          <w:b/>
          <w:kern w:val="2"/>
          <w:szCs w:val="21"/>
        </w:rPr>
        <w:t>三、获取招标文件</w:t>
      </w:r>
      <w:bookmarkEnd w:id="17"/>
      <w:bookmarkEnd w:id="18"/>
      <w:bookmarkEnd w:id="19"/>
      <w:bookmarkEnd w:id="20"/>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时间：</w:t>
      </w:r>
      <w:r>
        <w:rPr>
          <w:rFonts w:hAnsi="Times New Roman" w:cs="Times New Roman"/>
          <w:kern w:val="2"/>
          <w:szCs w:val="21"/>
        </w:rPr>
        <w:t>2024</w:t>
      </w:r>
      <w:r>
        <w:rPr>
          <w:rFonts w:hint="eastAsia" w:hAnsi="Times New Roman" w:cs="Times New Roman"/>
          <w:kern w:val="2"/>
          <w:szCs w:val="21"/>
        </w:rPr>
        <w:t>年</w:t>
      </w:r>
      <w:r>
        <w:rPr>
          <w:rFonts w:hint="eastAsia" w:hAnsi="Times New Roman" w:cs="Times New Roman"/>
          <w:kern w:val="2"/>
          <w:szCs w:val="21"/>
          <w:lang w:val="en-US" w:eastAsia="zh-CN"/>
        </w:rPr>
        <w:t>11</w:t>
      </w:r>
      <w:r>
        <w:rPr>
          <w:rFonts w:hint="eastAsia" w:hAnsi="Times New Roman" w:cs="Times New Roman"/>
          <w:kern w:val="2"/>
          <w:szCs w:val="21"/>
        </w:rPr>
        <w:t>月</w:t>
      </w:r>
      <w:r>
        <w:rPr>
          <w:rFonts w:hint="eastAsia" w:hAnsi="Times New Roman" w:cs="Times New Roman"/>
          <w:kern w:val="2"/>
          <w:szCs w:val="21"/>
          <w:lang w:val="en-US" w:eastAsia="zh-CN"/>
        </w:rPr>
        <w:t>20</w:t>
      </w:r>
      <w:r>
        <w:rPr>
          <w:rFonts w:hint="eastAsia" w:hAnsi="Times New Roman" w:cs="Times New Roman"/>
          <w:kern w:val="2"/>
          <w:szCs w:val="21"/>
        </w:rPr>
        <w:t>日至</w:t>
      </w:r>
      <w:r>
        <w:rPr>
          <w:rFonts w:hAnsi="Times New Roman" w:cs="Times New Roman"/>
          <w:kern w:val="2"/>
          <w:szCs w:val="21"/>
        </w:rPr>
        <w:t>2024</w:t>
      </w:r>
      <w:r>
        <w:rPr>
          <w:rFonts w:hint="eastAsia" w:hAnsi="Times New Roman" w:cs="Times New Roman"/>
          <w:kern w:val="2"/>
          <w:szCs w:val="21"/>
        </w:rPr>
        <w:t>年</w:t>
      </w:r>
      <w:r>
        <w:rPr>
          <w:rFonts w:hint="eastAsia" w:hAnsi="Times New Roman" w:cs="Times New Roman"/>
          <w:kern w:val="2"/>
          <w:szCs w:val="21"/>
          <w:lang w:val="en-US" w:eastAsia="zh-CN"/>
        </w:rPr>
        <w:t>12</w:t>
      </w:r>
      <w:r>
        <w:rPr>
          <w:rFonts w:hint="eastAsia" w:hAnsi="Times New Roman" w:cs="Times New Roman"/>
          <w:kern w:val="2"/>
          <w:szCs w:val="21"/>
        </w:rPr>
        <w:t>月</w:t>
      </w:r>
      <w:r>
        <w:rPr>
          <w:rFonts w:hint="eastAsia" w:hAnsi="Times New Roman" w:cs="Times New Roman"/>
          <w:kern w:val="2"/>
          <w:szCs w:val="21"/>
          <w:lang w:val="en-US" w:eastAsia="zh-CN"/>
        </w:rPr>
        <w:t>3</w:t>
      </w:r>
      <w:r>
        <w:rPr>
          <w:rFonts w:hint="eastAsia" w:hAnsi="Times New Roman" w:cs="Times New Roman"/>
          <w:kern w:val="2"/>
          <w:szCs w:val="21"/>
        </w:rPr>
        <w:t>日，每天上午</w:t>
      </w:r>
      <w:r>
        <w:rPr>
          <w:rFonts w:hAnsi="Times New Roman" w:cs="Times New Roman"/>
          <w:kern w:val="2"/>
          <w:szCs w:val="21"/>
        </w:rPr>
        <w:t>9:00</w:t>
      </w:r>
      <w:r>
        <w:rPr>
          <w:rFonts w:hint="eastAsia" w:hAnsi="Times New Roman" w:cs="Times New Roman"/>
          <w:kern w:val="2"/>
          <w:szCs w:val="21"/>
        </w:rPr>
        <w:t>至</w:t>
      </w:r>
      <w:r>
        <w:rPr>
          <w:rFonts w:hAnsi="Times New Roman" w:cs="Times New Roman"/>
          <w:kern w:val="2"/>
          <w:szCs w:val="21"/>
        </w:rPr>
        <w:t>12:00</w:t>
      </w:r>
      <w:r>
        <w:rPr>
          <w:rFonts w:hint="eastAsia" w:hAnsi="Times New Roman" w:cs="Times New Roman"/>
          <w:kern w:val="2"/>
          <w:szCs w:val="21"/>
        </w:rPr>
        <w:t>，下午</w:t>
      </w:r>
      <w:r>
        <w:rPr>
          <w:rFonts w:hAnsi="Times New Roman" w:cs="Times New Roman"/>
          <w:kern w:val="2"/>
          <w:szCs w:val="21"/>
        </w:rPr>
        <w:t>14:00</w:t>
      </w:r>
      <w:r>
        <w:rPr>
          <w:rFonts w:hint="eastAsia" w:hAnsi="Times New Roman" w:cs="Times New Roman"/>
          <w:kern w:val="2"/>
          <w:szCs w:val="21"/>
        </w:rPr>
        <w:t>至</w:t>
      </w:r>
      <w:r>
        <w:rPr>
          <w:rFonts w:hAnsi="Times New Roman" w:cs="Times New Roman"/>
          <w:kern w:val="2"/>
          <w:szCs w:val="21"/>
        </w:rPr>
        <w:t>18:00</w:t>
      </w:r>
      <w:r>
        <w:rPr>
          <w:rFonts w:hint="eastAsia" w:hAnsi="Times New Roman" w:cs="Times New Roman"/>
          <w:kern w:val="2"/>
          <w:szCs w:val="21"/>
        </w:rPr>
        <w:t>（北京时间，法定节假日除外）</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地点：深圳市罗湖区清水河街道清水河社区清水河一路</w:t>
      </w:r>
      <w:r>
        <w:rPr>
          <w:rFonts w:hAnsi="Times New Roman" w:cs="Times New Roman"/>
          <w:kern w:val="2"/>
          <w:szCs w:val="21"/>
        </w:rPr>
        <w:t>112</w:t>
      </w:r>
      <w:r>
        <w:rPr>
          <w:rFonts w:hint="eastAsia" w:hAnsi="Times New Roman" w:cs="Times New Roman"/>
          <w:kern w:val="2"/>
          <w:szCs w:val="21"/>
        </w:rPr>
        <w:t>号罗湖投资控股大厦裙楼</w:t>
      </w:r>
      <w:r>
        <w:rPr>
          <w:rFonts w:hAnsi="Times New Roman" w:cs="Times New Roman"/>
          <w:kern w:val="2"/>
          <w:szCs w:val="21"/>
        </w:rPr>
        <w:t>401</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方式：现场购买。</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报名须提交：投标人的营业执照复印件；法定代表人（单位负责人）证明书原件、法定代表人（单位负责人）身份证复印件、授权委托书原件、被授权委托人身份证复印件、被授权委托人联系方式（电话、邮箱）。以上资料均需加盖公章，原件中标备查。</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售价：</w:t>
      </w:r>
      <w:r>
        <w:rPr>
          <w:rFonts w:hAnsi="Times New Roman" w:cs="Times New Roman"/>
          <w:kern w:val="2"/>
          <w:szCs w:val="21"/>
        </w:rPr>
        <w:t>500</w:t>
      </w:r>
      <w:r>
        <w:rPr>
          <w:rFonts w:hint="eastAsia" w:hAnsi="Times New Roman" w:cs="Times New Roman"/>
          <w:kern w:val="2"/>
          <w:szCs w:val="21"/>
        </w:rPr>
        <w:t>元</w:t>
      </w:r>
      <w:r>
        <w:rPr>
          <w:rFonts w:hAnsi="Times New Roman" w:cs="Times New Roman"/>
          <w:kern w:val="2"/>
          <w:szCs w:val="21"/>
        </w:rPr>
        <w:t>/</w:t>
      </w:r>
      <w:r>
        <w:rPr>
          <w:rFonts w:hint="eastAsia" w:hAnsi="Times New Roman" w:cs="Times New Roman"/>
          <w:kern w:val="2"/>
          <w:szCs w:val="21"/>
        </w:rPr>
        <w:t>份，本公告包含的招标文件售价总和</w:t>
      </w:r>
    </w:p>
    <w:p>
      <w:pPr>
        <w:spacing w:line="240" w:lineRule="auto"/>
        <w:rPr>
          <w:rFonts w:hint="eastAsia"/>
          <w:b/>
          <w:kern w:val="2"/>
          <w:szCs w:val="21"/>
        </w:rPr>
      </w:pPr>
      <w:bookmarkStart w:id="21" w:name="_Toc28359082"/>
      <w:bookmarkStart w:id="22" w:name="_Toc28359005"/>
      <w:bookmarkStart w:id="23" w:name="_Toc35393793"/>
      <w:bookmarkStart w:id="24" w:name="_Toc35393624"/>
      <w:r>
        <w:rPr>
          <w:rFonts w:hint="eastAsia"/>
          <w:b/>
          <w:kern w:val="2"/>
          <w:szCs w:val="21"/>
        </w:rPr>
        <w:t>四、提交投标文件</w:t>
      </w:r>
      <w:bookmarkEnd w:id="21"/>
      <w:bookmarkEnd w:id="22"/>
      <w:r>
        <w:rPr>
          <w:rFonts w:hint="eastAsia"/>
          <w:b/>
          <w:kern w:val="2"/>
          <w:szCs w:val="21"/>
        </w:rPr>
        <w:t>截止时间、开标时间和地点</w:t>
      </w:r>
      <w:bookmarkEnd w:id="23"/>
      <w:bookmarkEnd w:id="24"/>
    </w:p>
    <w:p>
      <w:pPr>
        <w:widowControl w:val="0"/>
        <w:shd w:val="clear" w:color="auto" w:fill="auto"/>
        <w:tabs>
          <w:tab w:val="clear" w:pos="426"/>
        </w:tabs>
        <w:adjustRightInd/>
        <w:snapToGrid/>
        <w:spacing w:line="240" w:lineRule="auto"/>
        <w:ind w:firstLine="420" w:firstLineChars="200"/>
        <w:rPr>
          <w:rFonts w:hint="eastAsia" w:cs="Times New Roman"/>
          <w:bCs/>
          <w:kern w:val="2"/>
          <w:szCs w:val="21"/>
        </w:rPr>
      </w:pPr>
      <w:r>
        <w:rPr>
          <w:rFonts w:hint="eastAsia" w:cs="Times New Roman"/>
          <w:bCs/>
          <w:kern w:val="2"/>
          <w:szCs w:val="21"/>
        </w:rPr>
        <w:t>提交投标文件截止时间：</w:t>
      </w:r>
      <w:r>
        <w:rPr>
          <w:rFonts w:cs="Times New Roman"/>
          <w:bCs/>
          <w:kern w:val="2"/>
          <w:szCs w:val="21"/>
        </w:rPr>
        <w:t>2024</w:t>
      </w:r>
      <w:r>
        <w:rPr>
          <w:rFonts w:hint="eastAsia" w:cs="Times New Roman"/>
          <w:bCs/>
          <w:kern w:val="2"/>
          <w:szCs w:val="21"/>
        </w:rPr>
        <w:t>年</w:t>
      </w:r>
      <w:r>
        <w:rPr>
          <w:rFonts w:hint="eastAsia" w:cs="Times New Roman"/>
          <w:kern w:val="2"/>
          <w:szCs w:val="21"/>
          <w:lang w:val="en-US" w:eastAsia="zh-CN"/>
        </w:rPr>
        <w:t>12</w:t>
      </w:r>
      <w:r>
        <w:rPr>
          <w:rFonts w:hint="eastAsia" w:cs="Times New Roman"/>
          <w:bCs/>
          <w:kern w:val="2"/>
          <w:szCs w:val="21"/>
        </w:rPr>
        <w:t>月</w:t>
      </w:r>
      <w:r>
        <w:rPr>
          <w:rFonts w:hint="eastAsia" w:cs="Times New Roman"/>
          <w:kern w:val="2"/>
          <w:szCs w:val="21"/>
          <w:lang w:val="en-US" w:eastAsia="zh-CN"/>
        </w:rPr>
        <w:t>10</w:t>
      </w:r>
      <w:r>
        <w:rPr>
          <w:rFonts w:hint="eastAsia" w:cs="Times New Roman"/>
          <w:bCs/>
          <w:kern w:val="2"/>
          <w:szCs w:val="21"/>
        </w:rPr>
        <w:t>日</w:t>
      </w:r>
      <w:r>
        <w:rPr>
          <w:rFonts w:hint="eastAsia" w:cs="Times New Roman"/>
          <w:bCs/>
          <w:kern w:val="2"/>
          <w:szCs w:val="21"/>
          <w:lang w:val="en-US" w:eastAsia="zh-CN"/>
        </w:rPr>
        <w:t>14</w:t>
      </w:r>
      <w:r>
        <w:rPr>
          <w:rFonts w:hint="eastAsia" w:cs="Times New Roman"/>
          <w:bCs/>
          <w:kern w:val="2"/>
          <w:szCs w:val="21"/>
        </w:rPr>
        <w:t>点</w:t>
      </w:r>
      <w:r>
        <w:rPr>
          <w:rFonts w:cs="Times New Roman"/>
          <w:bCs/>
          <w:kern w:val="2"/>
          <w:szCs w:val="21"/>
        </w:rPr>
        <w:t>30</w:t>
      </w:r>
      <w:r>
        <w:rPr>
          <w:rFonts w:hint="eastAsia" w:cs="Times New Roman"/>
          <w:bCs/>
          <w:kern w:val="2"/>
          <w:szCs w:val="21"/>
        </w:rPr>
        <w:t>分（北京时间）</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开标时间：</w:t>
      </w:r>
      <w:r>
        <w:rPr>
          <w:rFonts w:hAnsi="Times New Roman" w:cs="Times New Roman"/>
          <w:kern w:val="2"/>
          <w:szCs w:val="21"/>
        </w:rPr>
        <w:t>2024</w:t>
      </w:r>
      <w:r>
        <w:rPr>
          <w:rFonts w:hint="eastAsia" w:hAnsi="Times New Roman" w:cs="Times New Roman"/>
          <w:kern w:val="2"/>
          <w:szCs w:val="21"/>
        </w:rPr>
        <w:t>年</w:t>
      </w:r>
      <w:r>
        <w:rPr>
          <w:rFonts w:hint="eastAsia" w:hAnsi="Times New Roman" w:cs="Times New Roman"/>
          <w:kern w:val="2"/>
          <w:szCs w:val="21"/>
          <w:lang w:val="en-US" w:eastAsia="zh-CN"/>
        </w:rPr>
        <w:t>12</w:t>
      </w:r>
      <w:r>
        <w:rPr>
          <w:rFonts w:hint="eastAsia" w:hAnsi="Times New Roman" w:cs="Times New Roman"/>
          <w:kern w:val="2"/>
          <w:szCs w:val="21"/>
        </w:rPr>
        <w:t>月</w:t>
      </w:r>
      <w:r>
        <w:rPr>
          <w:rFonts w:hint="eastAsia" w:hAnsi="Times New Roman" w:cs="Times New Roman"/>
          <w:kern w:val="2"/>
          <w:szCs w:val="21"/>
          <w:lang w:val="en-US" w:eastAsia="zh-CN"/>
        </w:rPr>
        <w:t>10</w:t>
      </w:r>
      <w:r>
        <w:rPr>
          <w:rFonts w:hint="eastAsia" w:hAnsi="Times New Roman" w:cs="Times New Roman"/>
          <w:kern w:val="2"/>
          <w:szCs w:val="21"/>
        </w:rPr>
        <w:t>日</w:t>
      </w:r>
      <w:r>
        <w:rPr>
          <w:rFonts w:hint="eastAsia" w:hAnsi="Times New Roman" w:cs="Times New Roman"/>
          <w:kern w:val="2"/>
          <w:szCs w:val="21"/>
          <w:lang w:val="en-US" w:eastAsia="zh-CN"/>
        </w:rPr>
        <w:t>14</w:t>
      </w:r>
      <w:r>
        <w:rPr>
          <w:rFonts w:hint="eastAsia" w:hAnsi="Times New Roman" w:cs="Times New Roman"/>
          <w:kern w:val="2"/>
          <w:szCs w:val="21"/>
        </w:rPr>
        <w:t>点</w:t>
      </w:r>
      <w:r>
        <w:rPr>
          <w:rFonts w:hAnsi="Times New Roman" w:cs="Times New Roman"/>
          <w:kern w:val="2"/>
          <w:szCs w:val="21"/>
        </w:rPr>
        <w:t>30</w:t>
      </w:r>
      <w:r>
        <w:rPr>
          <w:rFonts w:hint="eastAsia" w:hAnsi="Times New Roman" w:cs="Times New Roman"/>
          <w:kern w:val="2"/>
          <w:szCs w:val="21"/>
        </w:rPr>
        <w:t>分（北京时间）</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地点：深圳市罗湖区清水河街道清水河社区清水河一路</w:t>
      </w:r>
      <w:r>
        <w:rPr>
          <w:rFonts w:cs="Times New Roman"/>
          <w:kern w:val="2"/>
          <w:szCs w:val="21"/>
        </w:rPr>
        <w:t>112</w:t>
      </w:r>
      <w:r>
        <w:rPr>
          <w:rFonts w:hint="eastAsia" w:cs="Times New Roman"/>
          <w:kern w:val="2"/>
          <w:szCs w:val="21"/>
        </w:rPr>
        <w:t>号罗湖投资控股大厦裙楼</w:t>
      </w:r>
      <w:r>
        <w:rPr>
          <w:rFonts w:cs="Times New Roman"/>
          <w:kern w:val="2"/>
          <w:szCs w:val="21"/>
        </w:rPr>
        <w:t>401</w:t>
      </w:r>
    </w:p>
    <w:p>
      <w:pPr>
        <w:spacing w:line="240" w:lineRule="auto"/>
        <w:rPr>
          <w:rFonts w:hint="eastAsia"/>
          <w:b/>
          <w:kern w:val="2"/>
          <w:szCs w:val="21"/>
        </w:rPr>
      </w:pPr>
      <w:bookmarkStart w:id="25" w:name="_Toc35393794"/>
      <w:bookmarkStart w:id="26" w:name="_Toc28359007"/>
      <w:bookmarkStart w:id="27" w:name="_Toc35393625"/>
      <w:bookmarkStart w:id="28" w:name="_Toc28359084"/>
      <w:r>
        <w:rPr>
          <w:rFonts w:hint="eastAsia"/>
          <w:b/>
          <w:kern w:val="2"/>
          <w:szCs w:val="21"/>
        </w:rPr>
        <w:t>五、公告期限</w:t>
      </w:r>
      <w:bookmarkEnd w:id="25"/>
      <w:bookmarkEnd w:id="26"/>
      <w:bookmarkEnd w:id="27"/>
      <w:bookmarkEnd w:id="28"/>
      <w:bookmarkStart w:id="203" w:name="_GoBack"/>
      <w:bookmarkEnd w:id="203"/>
    </w:p>
    <w:p>
      <w:pPr>
        <w:widowControl w:val="0"/>
        <w:shd w:val="clear" w:color="auto" w:fill="auto"/>
        <w:tabs>
          <w:tab w:val="clear" w:pos="426"/>
        </w:tabs>
        <w:adjustRightInd/>
        <w:snapToGrid/>
        <w:spacing w:line="240" w:lineRule="auto"/>
        <w:ind w:firstLine="420" w:firstLineChars="200"/>
        <w:rPr>
          <w:rFonts w:hint="eastAsia"/>
          <w:szCs w:val="21"/>
        </w:rPr>
      </w:pPr>
      <w:r>
        <w:rPr>
          <w:rFonts w:hint="eastAsia"/>
          <w:szCs w:val="21"/>
        </w:rPr>
        <w:t>自本公告发布之日起</w:t>
      </w:r>
      <w:r>
        <w:rPr>
          <w:szCs w:val="21"/>
        </w:rPr>
        <w:t>5</w:t>
      </w:r>
      <w:r>
        <w:rPr>
          <w:rFonts w:hint="eastAsia"/>
          <w:szCs w:val="21"/>
        </w:rPr>
        <w:t>个工作日。</w:t>
      </w:r>
      <w:bookmarkStart w:id="29" w:name="_Toc35393626"/>
      <w:bookmarkStart w:id="30" w:name="_Toc35393795"/>
    </w:p>
    <w:p>
      <w:pPr>
        <w:spacing w:line="240" w:lineRule="auto"/>
        <w:rPr>
          <w:rFonts w:hint="eastAsia"/>
          <w:b/>
          <w:kern w:val="2"/>
          <w:szCs w:val="21"/>
        </w:rPr>
      </w:pPr>
      <w:r>
        <w:rPr>
          <w:rFonts w:hint="eastAsia"/>
          <w:b/>
          <w:kern w:val="2"/>
          <w:szCs w:val="21"/>
        </w:rPr>
        <w:t>六、</w:t>
      </w:r>
      <w:bookmarkStart w:id="31" w:name="_Hlk155780018"/>
      <w:r>
        <w:rPr>
          <w:rFonts w:hint="eastAsia"/>
          <w:b/>
          <w:kern w:val="2"/>
          <w:szCs w:val="21"/>
        </w:rPr>
        <w:t>其他补充事宜</w:t>
      </w:r>
      <w:bookmarkEnd w:id="29"/>
      <w:bookmarkEnd w:id="30"/>
      <w:bookmarkEnd w:id="31"/>
    </w:p>
    <w:p>
      <w:pPr>
        <w:widowControl w:val="0"/>
        <w:shd w:val="clear" w:color="auto" w:fill="auto"/>
        <w:tabs>
          <w:tab w:val="clear" w:pos="426"/>
        </w:tabs>
        <w:adjustRightInd/>
        <w:snapToGrid/>
        <w:spacing w:line="240" w:lineRule="auto"/>
        <w:ind w:left="495"/>
        <w:rPr>
          <w:rFonts w:hint="eastAsia" w:cs="Times New Roman"/>
          <w:kern w:val="2"/>
          <w:szCs w:val="21"/>
        </w:rPr>
      </w:pPr>
      <w:r>
        <w:rPr>
          <w:rFonts w:cs="Times New Roman"/>
          <w:kern w:val="2"/>
          <w:szCs w:val="21"/>
        </w:rPr>
        <w:t>1.</w:t>
      </w:r>
      <w:r>
        <w:rPr>
          <w:rFonts w:hint="eastAsia" w:cs="Times New Roman"/>
          <w:kern w:val="2"/>
          <w:szCs w:val="21"/>
        </w:rPr>
        <w:t>答疑事项：</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w:t>
      </w:r>
      <w:r>
        <w:rPr>
          <w:rFonts w:cs="Times New Roman"/>
          <w:kern w:val="2"/>
          <w:szCs w:val="21"/>
        </w:rPr>
        <w:t>1</w:t>
      </w:r>
      <w:r>
        <w:rPr>
          <w:rFonts w:hint="eastAsia" w:cs="Times New Roman"/>
          <w:kern w:val="2"/>
          <w:szCs w:val="21"/>
        </w:rPr>
        <w:t>）本项目实行网下纸质答疑，凡对招标文件有任何疑问的（包括认为招标文件的技术指标或参数存在排他性或歧视性条款），请投标供应商在获取采购文件或者采购文件公告期限届满之日起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rPr>
        <w:t>7个工作日内</w:t>
      </w:r>
      <w:r>
        <w:rPr>
          <w:rFonts w:hint="eastAsia" w:asciiTheme="minorEastAsia" w:hAnsiTheme="minorEastAsia" w:eastAsiaTheme="minorEastAsia"/>
          <w:szCs w:val="21"/>
        </w:rPr>
        <w:t>一次性提出针对同一采购程序环节的</w:t>
      </w:r>
      <w:r>
        <w:rPr>
          <w:rFonts w:asciiTheme="minorEastAsia" w:hAnsiTheme="minorEastAsia" w:eastAsiaTheme="minorEastAsia"/>
          <w:szCs w:val="21"/>
        </w:rPr>
        <w:t>采购文件提出</w:t>
      </w:r>
      <w:r>
        <w:rPr>
          <w:rFonts w:cs="Times New Roman"/>
          <w:kern w:val="2"/>
          <w:szCs w:val="21"/>
        </w:rPr>
        <w:t>质疑</w:t>
      </w:r>
      <w:r>
        <w:rPr>
          <w:rFonts w:hint="eastAsia" w:cs="Times New Roman"/>
          <w:kern w:val="2"/>
          <w:szCs w:val="21"/>
        </w:rPr>
        <w:t>，根据《中华人民共和国政府采购法》第六章、《中华人民共和国政府采购法实施条例》的有关质疑的指引及要求填写质疑函件，并将质疑函件以及相关质疑内容的证明材料原件送达深圳市深水水务咨询有限公司，逾期不受理。</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w:t>
      </w:r>
      <w:r>
        <w:rPr>
          <w:rFonts w:cs="Times New Roman"/>
          <w:kern w:val="2"/>
          <w:szCs w:val="21"/>
        </w:rPr>
        <w:t>2</w:t>
      </w:r>
      <w:r>
        <w:rPr>
          <w:rFonts w:hint="eastAsia" w:cs="Times New Roman"/>
          <w:kern w:val="2"/>
          <w:szCs w:val="21"/>
        </w:rPr>
        <w:t>）投标供应商有义务在招标活动期间浏览本公告“六、其他补充事宜”中的相关网站，采购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w:t>
      </w:r>
      <w:r>
        <w:rPr>
          <w:rFonts w:hint="eastAsia" w:cs="Times New Roman"/>
          <w:kern w:val="2"/>
          <w:szCs w:val="21"/>
        </w:rPr>
        <w:t>投标文件提交方式补充说明：</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各投标人法定代表人或其授权代表可通过邮寄方式，按照规定的递交投标文件截止时间前向我公司邮寄投标文件，快递单上写明供应商名称、招标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cs="Times New Roman"/>
          <w:kern w:val="2"/>
          <w:szCs w:val="21"/>
        </w:rPr>
        <w:t>2.</w:t>
      </w:r>
      <w:r>
        <w:rPr>
          <w:rFonts w:hint="eastAsia" w:cs="Times New Roman"/>
          <w:kern w:val="2"/>
          <w:szCs w:val="21"/>
        </w:rPr>
        <w:t>特别说明：</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w:t>
      </w:r>
      <w:r>
        <w:rPr>
          <w:rFonts w:cs="Times New Roman"/>
          <w:kern w:val="2"/>
          <w:szCs w:val="21"/>
        </w:rPr>
        <w:t>1</w:t>
      </w:r>
      <w:r>
        <w:rPr>
          <w:rFonts w:hint="eastAsia" w:cs="Times New Roman"/>
          <w:kern w:val="2"/>
          <w:szCs w:val="21"/>
        </w:rPr>
        <w:t>）本项目共</w:t>
      </w:r>
      <w:r>
        <w:rPr>
          <w:rFonts w:cs="Times New Roman"/>
          <w:kern w:val="2"/>
          <w:szCs w:val="21"/>
        </w:rPr>
        <w:t>2</w:t>
      </w:r>
      <w:r>
        <w:rPr>
          <w:rFonts w:hint="eastAsia" w:cs="Times New Roman"/>
          <w:kern w:val="2"/>
          <w:szCs w:val="21"/>
        </w:rPr>
        <w:t>个包，包划分详见招标文件第二章项目需求</w:t>
      </w:r>
      <w:r>
        <w:rPr>
          <w:rFonts w:cs="Times New Roman"/>
          <w:kern w:val="2"/>
          <w:szCs w:val="21"/>
        </w:rPr>
        <w:t>-</w:t>
      </w:r>
      <w:r>
        <w:rPr>
          <w:rFonts w:hint="eastAsia" w:cs="Times New Roman"/>
          <w:kern w:val="2"/>
          <w:szCs w:val="21"/>
        </w:rPr>
        <w:t>一、货物清单一览表。</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w:t>
      </w:r>
      <w:r>
        <w:rPr>
          <w:rFonts w:cs="Times New Roman"/>
          <w:kern w:val="2"/>
          <w:szCs w:val="21"/>
        </w:rPr>
        <w:t>2</w:t>
      </w:r>
      <w:r>
        <w:rPr>
          <w:rFonts w:hint="eastAsia" w:cs="Times New Roman"/>
          <w:kern w:val="2"/>
          <w:szCs w:val="21"/>
        </w:rPr>
        <w:t>）本项目通过公开招标各包确定</w:t>
      </w:r>
      <w:r>
        <w:rPr>
          <w:rFonts w:cs="Times New Roman"/>
          <w:kern w:val="2"/>
          <w:szCs w:val="21"/>
        </w:rPr>
        <w:t>1</w:t>
      </w:r>
      <w:r>
        <w:rPr>
          <w:rFonts w:hint="eastAsia" w:cs="Times New Roman"/>
          <w:kern w:val="2"/>
          <w:szCs w:val="21"/>
        </w:rPr>
        <w:t>家中标供应商，投标供应商可选择</w:t>
      </w:r>
      <w:r>
        <w:rPr>
          <w:rFonts w:cs="Times New Roman"/>
          <w:kern w:val="2"/>
          <w:szCs w:val="21"/>
        </w:rPr>
        <w:t>1</w:t>
      </w:r>
      <w:r>
        <w:rPr>
          <w:rFonts w:hint="eastAsia" w:cs="Times New Roman"/>
          <w:kern w:val="2"/>
          <w:szCs w:val="21"/>
        </w:rPr>
        <w:t>个包或</w:t>
      </w:r>
      <w:r>
        <w:rPr>
          <w:rFonts w:cs="Times New Roman"/>
          <w:kern w:val="2"/>
          <w:szCs w:val="21"/>
        </w:rPr>
        <w:t>2</w:t>
      </w:r>
      <w:r>
        <w:rPr>
          <w:rFonts w:hint="eastAsia" w:cs="Times New Roman"/>
          <w:kern w:val="2"/>
          <w:szCs w:val="21"/>
        </w:rPr>
        <w:t>个包进行投标响应。</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w:t>
      </w:r>
      <w:r>
        <w:rPr>
          <w:rFonts w:cs="Times New Roman"/>
          <w:kern w:val="2"/>
          <w:szCs w:val="21"/>
        </w:rPr>
        <w:t>3</w:t>
      </w:r>
      <w:r>
        <w:rPr>
          <w:rFonts w:hint="eastAsia" w:cs="Times New Roman"/>
          <w:kern w:val="2"/>
          <w:szCs w:val="21"/>
        </w:rPr>
        <w:t>）评标委员会依次评审</w:t>
      </w:r>
      <w:r>
        <w:rPr>
          <w:rFonts w:cs="Times New Roman"/>
          <w:kern w:val="2"/>
          <w:szCs w:val="21"/>
        </w:rPr>
        <w:t>01</w:t>
      </w:r>
      <w:r>
        <w:rPr>
          <w:rFonts w:hint="eastAsia" w:cs="Times New Roman"/>
          <w:kern w:val="2"/>
          <w:szCs w:val="21"/>
        </w:rPr>
        <w:t>包、</w:t>
      </w:r>
      <w:r>
        <w:rPr>
          <w:rFonts w:cs="Times New Roman"/>
          <w:kern w:val="2"/>
          <w:szCs w:val="21"/>
        </w:rPr>
        <w:t>02</w:t>
      </w:r>
      <w:r>
        <w:rPr>
          <w:rFonts w:hint="eastAsia" w:cs="Times New Roman"/>
          <w:kern w:val="2"/>
          <w:szCs w:val="21"/>
        </w:rPr>
        <w:t>包。</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w:t>
      </w:r>
      <w:r>
        <w:rPr>
          <w:rFonts w:cs="Times New Roman"/>
          <w:kern w:val="2"/>
          <w:szCs w:val="21"/>
        </w:rPr>
        <w:t>4</w:t>
      </w:r>
      <w:r>
        <w:rPr>
          <w:rFonts w:hint="eastAsia" w:cs="Times New Roman"/>
          <w:kern w:val="2"/>
          <w:szCs w:val="21"/>
        </w:rPr>
        <w:t>）每个包由评标委员会推荐评标总得分前三名的投标供应商作为候选中标供应商，每个包评标总得分第一名的投标供应商作为对应包的中标供应商，</w:t>
      </w:r>
      <w:r>
        <w:rPr>
          <w:rFonts w:cs="Times New Roman"/>
          <w:kern w:val="2"/>
          <w:szCs w:val="21"/>
        </w:rPr>
        <w:t>01</w:t>
      </w:r>
      <w:r>
        <w:rPr>
          <w:rFonts w:hint="eastAsia" w:cs="Times New Roman"/>
          <w:kern w:val="2"/>
          <w:szCs w:val="21"/>
        </w:rPr>
        <w:t>包排名第一的中标供应商亦可作为</w:t>
      </w:r>
      <w:r>
        <w:rPr>
          <w:rFonts w:cs="Times New Roman"/>
          <w:kern w:val="2"/>
          <w:szCs w:val="21"/>
        </w:rPr>
        <w:t>02</w:t>
      </w:r>
      <w:r>
        <w:rPr>
          <w:rFonts w:hint="eastAsia" w:cs="Times New Roman"/>
          <w:kern w:val="2"/>
          <w:szCs w:val="21"/>
        </w:rPr>
        <w:t>包的中标供应商（兼投兼中原则）。</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cs="Times New Roman"/>
          <w:kern w:val="2"/>
          <w:szCs w:val="21"/>
        </w:rPr>
        <w:t>3.</w:t>
      </w:r>
      <w:r>
        <w:rPr>
          <w:rFonts w:hint="eastAsia" w:cs="Times New Roman"/>
          <w:kern w:val="2"/>
          <w:szCs w:val="21"/>
        </w:rPr>
        <w:t>信息发布平台：</w:t>
      </w:r>
    </w:p>
    <w:p>
      <w:pPr>
        <w:widowControl w:val="0"/>
        <w:shd w:val="clear" w:color="auto" w:fill="auto"/>
        <w:tabs>
          <w:tab w:val="clear" w:pos="426"/>
        </w:tabs>
        <w:adjustRightInd/>
        <w:snapToGrid/>
        <w:spacing w:line="240" w:lineRule="auto"/>
        <w:ind w:left="495"/>
        <w:rPr>
          <w:rFonts w:hint="eastAsia"/>
          <w:szCs w:val="21"/>
        </w:rPr>
      </w:pPr>
      <w:r>
        <w:rPr>
          <w:rFonts w:hint="eastAsia"/>
          <w:szCs w:val="21"/>
        </w:rPr>
        <w:t>深圳海关门户网（</w:t>
      </w:r>
      <w:r>
        <w:rPr>
          <w:szCs w:val="21"/>
        </w:rPr>
        <w:t>http://shenzhen.customs.gov.cn</w:t>
      </w:r>
      <w:r>
        <w:rPr>
          <w:rFonts w:hint="eastAsia"/>
          <w:szCs w:val="21"/>
        </w:rPr>
        <w:t>）；</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szCs w:val="21"/>
        </w:rPr>
        <w:t>采购代理机构官网（</w:t>
      </w:r>
      <w:r>
        <w:rPr>
          <w:szCs w:val="21"/>
        </w:rPr>
        <w:t>http://www.szsszx.com/</w:t>
      </w:r>
      <w:r>
        <w:rPr>
          <w:rFonts w:hint="eastAsia"/>
          <w:szCs w:val="21"/>
        </w:rPr>
        <w:t>）。</w:t>
      </w:r>
    </w:p>
    <w:p>
      <w:pPr>
        <w:spacing w:line="240" w:lineRule="auto"/>
        <w:rPr>
          <w:rFonts w:hint="eastAsia"/>
          <w:b/>
          <w:kern w:val="2"/>
          <w:szCs w:val="21"/>
        </w:rPr>
      </w:pPr>
      <w:bookmarkStart w:id="32" w:name="_Toc35393796"/>
      <w:bookmarkStart w:id="33" w:name="_Toc28359085"/>
      <w:bookmarkStart w:id="34" w:name="_Toc28359008"/>
      <w:bookmarkStart w:id="35" w:name="_Toc35393627"/>
      <w:r>
        <w:rPr>
          <w:rFonts w:hint="eastAsia"/>
          <w:b/>
          <w:kern w:val="2"/>
          <w:szCs w:val="21"/>
        </w:rPr>
        <w:t>七、对本次招标提出询问，请按以下方式联系</w:t>
      </w:r>
      <w:bookmarkEnd w:id="32"/>
      <w:bookmarkEnd w:id="33"/>
      <w:bookmarkEnd w:id="34"/>
      <w:bookmarkEnd w:id="35"/>
      <w:r>
        <w:rPr>
          <w:rFonts w:hint="eastAsia"/>
          <w:b/>
          <w:kern w:val="2"/>
          <w:szCs w:val="21"/>
        </w:rPr>
        <w:t>。</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cs="Times New Roman"/>
          <w:kern w:val="2"/>
          <w:szCs w:val="21"/>
        </w:rPr>
        <w:t>1.</w:t>
      </w:r>
      <w:r>
        <w:rPr>
          <w:rFonts w:hint="eastAsia" w:cs="Times New Roman"/>
          <w:kern w:val="2"/>
          <w:szCs w:val="21"/>
        </w:rPr>
        <w:t>采购人信息</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名称：深圳海关工业品检测技术中心</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地址：深圳市南山区蛇口工业八路</w:t>
      </w:r>
      <w:r>
        <w:rPr>
          <w:rFonts w:cs="Times New Roman"/>
          <w:kern w:val="2"/>
          <w:szCs w:val="21"/>
        </w:rPr>
        <w:t>289</w:t>
      </w:r>
      <w:r>
        <w:rPr>
          <w:rFonts w:hint="eastAsia" w:cs="Times New Roman"/>
          <w:kern w:val="2"/>
          <w:szCs w:val="21"/>
        </w:rPr>
        <w:t>号</w:t>
      </w:r>
    </w:p>
    <w:p>
      <w:pPr>
        <w:widowControl w:val="0"/>
        <w:shd w:val="clear" w:color="auto" w:fill="auto"/>
        <w:tabs>
          <w:tab w:val="clear" w:pos="426"/>
        </w:tabs>
        <w:adjustRightInd/>
        <w:snapToGrid/>
        <w:spacing w:line="240" w:lineRule="auto"/>
        <w:ind w:left="495"/>
        <w:rPr>
          <w:rFonts w:hint="eastAsia" w:cs="Times New Roman"/>
          <w:kern w:val="2"/>
          <w:szCs w:val="21"/>
        </w:rPr>
      </w:pPr>
      <w:bookmarkStart w:id="36" w:name="_Toc28359086"/>
      <w:bookmarkStart w:id="37" w:name="_Toc28359009"/>
      <w:r>
        <w:rPr>
          <w:rFonts w:hint="eastAsia" w:cs="Times New Roman"/>
          <w:kern w:val="2"/>
          <w:szCs w:val="21"/>
        </w:rPr>
        <w:t>联系方式：刘先生</w:t>
      </w:r>
      <w:r>
        <w:rPr>
          <w:rFonts w:cs="Times New Roman"/>
          <w:kern w:val="2"/>
          <w:szCs w:val="21"/>
        </w:rPr>
        <w:t>0755-84394179</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采购人监督投诉电话：</w:t>
      </w:r>
      <w:r>
        <w:rPr>
          <w:rFonts w:cs="Times New Roman"/>
          <w:kern w:val="2"/>
          <w:szCs w:val="21"/>
        </w:rPr>
        <w:t>0755-84398457</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cs="Times New Roman"/>
          <w:kern w:val="2"/>
          <w:szCs w:val="21"/>
        </w:rPr>
        <w:t>2.</w:t>
      </w:r>
      <w:r>
        <w:rPr>
          <w:rFonts w:hint="eastAsia" w:cs="Times New Roman"/>
          <w:kern w:val="2"/>
          <w:szCs w:val="21"/>
        </w:rPr>
        <w:t>采购代理机构信息</w:t>
      </w:r>
      <w:bookmarkEnd w:id="36"/>
      <w:bookmarkEnd w:id="37"/>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名称：深圳市深水水务咨询有限公司</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地址：深圳市罗湖区清水河街道清水河社区清水河一路</w:t>
      </w:r>
      <w:r>
        <w:rPr>
          <w:rFonts w:cs="Times New Roman"/>
          <w:kern w:val="2"/>
          <w:szCs w:val="21"/>
        </w:rPr>
        <w:t>112</w:t>
      </w:r>
      <w:r>
        <w:rPr>
          <w:rFonts w:hint="eastAsia" w:cs="Times New Roman"/>
          <w:kern w:val="2"/>
          <w:szCs w:val="21"/>
        </w:rPr>
        <w:t>号罗湖投资控股大厦裙楼</w:t>
      </w:r>
      <w:r>
        <w:rPr>
          <w:rFonts w:cs="Times New Roman"/>
          <w:kern w:val="2"/>
          <w:szCs w:val="21"/>
        </w:rPr>
        <w:t>401</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联系方式：庄晓琴</w:t>
      </w:r>
      <w:r>
        <w:rPr>
          <w:rFonts w:cs="Times New Roman"/>
          <w:kern w:val="2"/>
          <w:szCs w:val="21"/>
        </w:rPr>
        <w:t>0755-25165821/13688812350/Email</w:t>
      </w:r>
      <w:r>
        <w:rPr>
          <w:rFonts w:hint="eastAsia" w:cs="Times New Roman"/>
          <w:kern w:val="2"/>
          <w:szCs w:val="21"/>
        </w:rPr>
        <w:t>：</w:t>
      </w:r>
      <w:r>
        <w:rPr>
          <w:rFonts w:cs="Times New Roman"/>
          <w:kern w:val="2"/>
          <w:szCs w:val="21"/>
        </w:rPr>
        <w:t>498174886@qq.com</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cs="Times New Roman"/>
          <w:kern w:val="2"/>
          <w:szCs w:val="21"/>
        </w:rPr>
        <w:t>3.</w:t>
      </w:r>
      <w:r>
        <w:rPr>
          <w:rFonts w:hint="eastAsia" w:cs="Times New Roman"/>
          <w:kern w:val="2"/>
          <w:szCs w:val="21"/>
        </w:rPr>
        <w:t>项目联系方式</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项目联系人：庄晓琴、李夏冰</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电话：</w:t>
      </w:r>
      <w:r>
        <w:rPr>
          <w:rFonts w:cs="Times New Roman"/>
          <w:kern w:val="2"/>
          <w:szCs w:val="21"/>
        </w:rPr>
        <w:t>0755-25165821/13688812350</w:t>
      </w:r>
    </w:p>
    <w:p>
      <w:pPr>
        <w:spacing w:line="240" w:lineRule="auto"/>
        <w:ind w:firstLine="424" w:firstLineChars="202"/>
        <w:jc w:val="right"/>
        <w:rPr>
          <w:rFonts w:hint="eastAsia"/>
          <w:szCs w:val="21"/>
        </w:rPr>
      </w:pPr>
      <w:r>
        <w:rPr>
          <w:rFonts w:hint="eastAsia"/>
          <w:szCs w:val="21"/>
        </w:rPr>
        <w:t>深圳市深水水务咨询有限公司</w:t>
      </w:r>
    </w:p>
    <w:p>
      <w:pPr>
        <w:spacing w:line="240" w:lineRule="auto"/>
        <w:ind w:firstLine="424" w:firstLineChars="202"/>
        <w:jc w:val="right"/>
        <w:rPr>
          <w:rFonts w:hint="eastAsia"/>
          <w:szCs w:val="21"/>
        </w:rPr>
      </w:pPr>
      <w:r>
        <w:rPr>
          <w:szCs w:val="21"/>
        </w:rPr>
        <w:t>2024</w:t>
      </w:r>
      <w:r>
        <w:rPr>
          <w:rFonts w:hint="eastAsia"/>
          <w:szCs w:val="21"/>
        </w:rPr>
        <w:t>年</w:t>
      </w:r>
      <w:r>
        <w:rPr>
          <w:rFonts w:hint="eastAsia"/>
          <w:szCs w:val="21"/>
          <w:lang w:val="en-US" w:eastAsia="zh-CN"/>
        </w:rPr>
        <w:t>11</w:t>
      </w:r>
      <w:r>
        <w:rPr>
          <w:rFonts w:hint="eastAsia"/>
          <w:szCs w:val="21"/>
        </w:rPr>
        <w:t>月</w:t>
      </w:r>
      <w:r>
        <w:rPr>
          <w:rFonts w:hint="eastAsia"/>
          <w:szCs w:val="21"/>
          <w:lang w:val="en-US" w:eastAsia="zh-CN"/>
        </w:rPr>
        <w:t>19</w:t>
      </w:r>
      <w:r>
        <w:rPr>
          <w:rFonts w:hint="eastAsia"/>
          <w:szCs w:val="21"/>
        </w:rPr>
        <w:t>日</w:t>
      </w:r>
    </w:p>
    <w:bookmarkEnd w:id="6"/>
    <w:p>
      <w:pPr>
        <w:rPr>
          <w:rFonts w:hint="eastAsia"/>
        </w:rPr>
      </w:pPr>
      <w:r>
        <w:br w:type="page"/>
      </w:r>
    </w:p>
    <w:p>
      <w:pPr>
        <w:pStyle w:val="62"/>
      </w:pPr>
      <w:bookmarkStart w:id="38" w:name="_Toc28816"/>
      <w:r>
        <w:rPr>
          <w:rFonts w:hint="eastAsia"/>
        </w:rPr>
        <w:t>第二章</w:t>
      </w:r>
      <w:r>
        <w:t xml:space="preserve"> </w:t>
      </w:r>
      <w:r>
        <w:rPr>
          <w:rFonts w:hint="eastAsia"/>
        </w:rPr>
        <w:t>项目需求</w:t>
      </w:r>
      <w:bookmarkEnd w:id="38"/>
    </w:p>
    <w:p>
      <w:pPr>
        <w:numPr>
          <w:ilvl w:val="0"/>
          <w:numId w:val="2"/>
        </w:numPr>
        <w:adjustRightInd/>
        <w:snapToGrid/>
        <w:spacing w:before="280" w:after="290" w:line="377" w:lineRule="auto"/>
        <w:jc w:val="left"/>
        <w:outlineLvl w:val="2"/>
        <w:rPr>
          <w:rFonts w:hint="eastAsia"/>
          <w:b/>
          <w:sz w:val="24"/>
        </w:rPr>
      </w:pPr>
      <w:bookmarkStart w:id="39" w:name="_Toc150960244"/>
      <w:bookmarkStart w:id="40" w:name="_Toc151386154"/>
      <w:bookmarkStart w:id="41" w:name="_Toc23144"/>
      <w:bookmarkStart w:id="42" w:name="_Toc5227"/>
      <w:r>
        <w:rPr>
          <w:rFonts w:hint="eastAsia"/>
          <w:b/>
          <w:sz w:val="24"/>
        </w:rPr>
        <w:t>货物清单一览表</w:t>
      </w:r>
      <w:bookmarkEnd w:id="39"/>
      <w:bookmarkEnd w:id="40"/>
      <w:bookmarkEnd w:id="41"/>
      <w:bookmarkEnd w:id="42"/>
    </w:p>
    <w:tbl>
      <w:tblPr>
        <w:tblStyle w:val="85"/>
        <w:tblW w:w="4996" w:type="pct"/>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60"/>
        <w:gridCol w:w="775"/>
        <w:gridCol w:w="2752"/>
        <w:gridCol w:w="1392"/>
        <w:gridCol w:w="1392"/>
        <w:gridCol w:w="1394"/>
        <w:gridCol w:w="1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93" w:type="pct"/>
            <w:tcBorders>
              <w:top w:val="single" w:color="auto" w:sz="4" w:space="0"/>
              <w:bottom w:val="single" w:color="auto" w:sz="4" w:space="0"/>
              <w:right w:val="single" w:color="auto" w:sz="4" w:space="0"/>
            </w:tcBorders>
            <w:vAlign w:val="center"/>
          </w:tcPr>
          <w:p>
            <w:pPr>
              <w:spacing w:line="240" w:lineRule="auto"/>
              <w:jc w:val="center"/>
              <w:rPr>
                <w:rFonts w:hint="eastAsia"/>
                <w:b/>
                <w:bCs/>
                <w:szCs w:val="21"/>
              </w:rPr>
            </w:pPr>
            <w:r>
              <w:rPr>
                <w:rFonts w:hint="eastAsia"/>
                <w:b/>
                <w:bCs/>
                <w:szCs w:val="21"/>
              </w:rPr>
              <w:t>包号</w:t>
            </w:r>
          </w:p>
        </w:tc>
        <w:tc>
          <w:tcPr>
            <w:tcW w:w="40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rPr>
            </w:pPr>
            <w:r>
              <w:rPr>
                <w:rFonts w:hint="eastAsia"/>
                <w:b/>
                <w:bCs/>
                <w:szCs w:val="21"/>
              </w:rPr>
              <w:t>标的序号</w:t>
            </w:r>
          </w:p>
        </w:tc>
        <w:tc>
          <w:tcPr>
            <w:tcW w:w="14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rPr>
            </w:pPr>
            <w:r>
              <w:rPr>
                <w:rFonts w:hint="eastAsia"/>
                <w:b/>
                <w:bCs/>
                <w:szCs w:val="21"/>
              </w:rPr>
              <w:t>标的名称</w:t>
            </w:r>
          </w:p>
        </w:tc>
        <w:tc>
          <w:tcPr>
            <w:tcW w:w="7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rPr>
            </w:pPr>
            <w:r>
              <w:rPr>
                <w:rFonts w:hint="eastAsia"/>
                <w:b/>
                <w:bCs/>
                <w:szCs w:val="21"/>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rPr>
            </w:pPr>
            <w:r>
              <w:rPr>
                <w:rFonts w:hint="eastAsia"/>
                <w:b/>
                <w:bCs/>
                <w:szCs w:val="21"/>
              </w:rPr>
              <w:t>单位</w:t>
            </w:r>
          </w:p>
        </w:tc>
        <w:tc>
          <w:tcPr>
            <w:tcW w:w="7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szCs w:val="21"/>
              </w:rPr>
            </w:pPr>
            <w:r>
              <w:rPr>
                <w:rFonts w:hint="eastAsia"/>
                <w:b/>
                <w:bCs/>
                <w:szCs w:val="21"/>
              </w:rPr>
              <w:t>备注</w:t>
            </w:r>
          </w:p>
        </w:tc>
        <w:tc>
          <w:tcPr>
            <w:tcW w:w="678" w:type="pct"/>
            <w:tcBorders>
              <w:top w:val="single" w:color="auto" w:sz="4" w:space="0"/>
              <w:left w:val="single" w:color="auto" w:sz="4" w:space="0"/>
              <w:bottom w:val="single" w:color="auto" w:sz="4" w:space="0"/>
            </w:tcBorders>
            <w:vAlign w:val="center"/>
          </w:tcPr>
          <w:p>
            <w:pPr>
              <w:spacing w:line="240" w:lineRule="auto"/>
              <w:jc w:val="center"/>
              <w:rPr>
                <w:rFonts w:hint="eastAsia"/>
                <w:b/>
                <w:bCs/>
                <w:szCs w:val="21"/>
              </w:rPr>
            </w:pPr>
            <w:r>
              <w:rPr>
                <w:rFonts w:hint="eastAsia"/>
                <w:b/>
                <w:bCs/>
                <w:szCs w:val="21"/>
              </w:rPr>
              <w:t>预算金额</w:t>
            </w:r>
          </w:p>
          <w:p>
            <w:pPr>
              <w:spacing w:line="240" w:lineRule="auto"/>
              <w:jc w:val="center"/>
              <w:rPr>
                <w:rFonts w:hint="eastAsia"/>
                <w:b/>
                <w:bCs/>
                <w:szCs w:val="21"/>
              </w:rPr>
            </w:pPr>
            <w:r>
              <w:rPr>
                <w:rFonts w:hint="eastAsia"/>
                <w:b/>
                <w:bCs/>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93" w:type="pct"/>
            <w:tcBorders>
              <w:top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01</w:t>
            </w:r>
          </w:p>
        </w:tc>
        <w:tc>
          <w:tcPr>
            <w:tcW w:w="40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1</w:t>
            </w:r>
          </w:p>
        </w:tc>
        <w:tc>
          <w:tcPr>
            <w:tcW w:w="14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粉尘云最低着火温度试验仪</w:t>
            </w:r>
          </w:p>
        </w:tc>
        <w:tc>
          <w:tcPr>
            <w:tcW w:w="7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1</w:t>
            </w:r>
          </w:p>
        </w:tc>
        <w:tc>
          <w:tcPr>
            <w:tcW w:w="7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729" w:type="pct"/>
            <w:tcBorders>
              <w:top w:val="single" w:color="auto" w:sz="4" w:space="0"/>
              <w:left w:val="single" w:color="auto" w:sz="4" w:space="0"/>
              <w:bottom w:val="single" w:color="auto" w:sz="4" w:space="0"/>
              <w:right w:val="single" w:color="auto" w:sz="4" w:space="0"/>
            </w:tcBorders>
            <w:vAlign w:val="center"/>
          </w:tcPr>
          <w:p>
            <w:pPr>
              <w:pStyle w:val="426"/>
            </w:pPr>
            <w:r>
              <w:rPr>
                <w:rFonts w:hint="eastAsia"/>
              </w:rPr>
              <w:t>拒绝进口</w:t>
            </w:r>
          </w:p>
        </w:tc>
        <w:tc>
          <w:tcPr>
            <w:tcW w:w="678" w:type="pct"/>
            <w:tcBorders>
              <w:top w:val="single" w:color="auto" w:sz="4" w:space="0"/>
              <w:left w:val="single" w:color="auto" w:sz="4" w:space="0"/>
              <w:bottom w:val="single" w:color="auto" w:sz="4" w:space="0"/>
            </w:tcBorders>
            <w:vAlign w:val="center"/>
          </w:tcPr>
          <w:p>
            <w:pPr>
              <w:pStyle w:val="426"/>
            </w:pPr>
            <w:r>
              <w:t>480000.00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93" w:type="pct"/>
            <w:tcBorders>
              <w:top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02</w:t>
            </w:r>
          </w:p>
        </w:tc>
        <w:tc>
          <w:tcPr>
            <w:tcW w:w="40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2</w:t>
            </w:r>
          </w:p>
        </w:tc>
        <w:tc>
          <w:tcPr>
            <w:tcW w:w="14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粉尘云最小点火能试验仪</w:t>
            </w:r>
          </w:p>
        </w:tc>
        <w:tc>
          <w:tcPr>
            <w:tcW w:w="7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1</w:t>
            </w:r>
          </w:p>
        </w:tc>
        <w:tc>
          <w:tcPr>
            <w:tcW w:w="72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729" w:type="pct"/>
            <w:tcBorders>
              <w:top w:val="single" w:color="auto" w:sz="4" w:space="0"/>
              <w:left w:val="single" w:color="auto" w:sz="4" w:space="0"/>
              <w:bottom w:val="single" w:color="auto" w:sz="4" w:space="0"/>
              <w:right w:val="single" w:color="auto" w:sz="4" w:space="0"/>
            </w:tcBorders>
            <w:vAlign w:val="center"/>
          </w:tcPr>
          <w:p>
            <w:pPr>
              <w:pStyle w:val="426"/>
            </w:pPr>
            <w:r>
              <w:rPr>
                <w:rFonts w:hint="eastAsia"/>
              </w:rPr>
              <w:t>拒绝进口</w:t>
            </w:r>
          </w:p>
        </w:tc>
        <w:tc>
          <w:tcPr>
            <w:tcW w:w="678" w:type="pct"/>
            <w:tcBorders>
              <w:top w:val="single" w:color="auto" w:sz="4" w:space="0"/>
              <w:left w:val="single" w:color="auto" w:sz="4" w:space="0"/>
              <w:bottom w:val="single" w:color="auto" w:sz="4" w:space="0"/>
            </w:tcBorders>
            <w:vAlign w:val="center"/>
          </w:tcPr>
          <w:p>
            <w:pPr>
              <w:pStyle w:val="426"/>
            </w:pPr>
            <w:r>
              <w:t>300000.00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4322" w:type="pct"/>
            <w:gridSpan w:val="6"/>
            <w:tcBorders>
              <w:top w:val="single" w:color="auto" w:sz="4" w:space="0"/>
              <w:bottom w:val="single" w:color="auto" w:sz="4" w:space="0"/>
              <w:right w:val="single" w:color="auto" w:sz="4" w:space="0"/>
            </w:tcBorders>
            <w:vAlign w:val="center"/>
          </w:tcPr>
          <w:p>
            <w:pPr>
              <w:pStyle w:val="426"/>
            </w:pPr>
            <w:r>
              <w:rPr>
                <w:rFonts w:hint="eastAsia"/>
              </w:rPr>
              <w:t>合计</w:t>
            </w:r>
          </w:p>
        </w:tc>
        <w:tc>
          <w:tcPr>
            <w:tcW w:w="678" w:type="pct"/>
            <w:tcBorders>
              <w:top w:val="single" w:color="auto" w:sz="4" w:space="0"/>
              <w:left w:val="single" w:color="auto" w:sz="4" w:space="0"/>
              <w:bottom w:val="single" w:color="auto" w:sz="4" w:space="0"/>
            </w:tcBorders>
            <w:vAlign w:val="center"/>
          </w:tcPr>
          <w:p>
            <w:pPr>
              <w:pStyle w:val="426"/>
            </w:pPr>
            <w:r>
              <w:t>780,000.00</w:t>
            </w:r>
          </w:p>
        </w:tc>
      </w:tr>
    </w:tbl>
    <w:p>
      <w:pPr>
        <w:spacing w:line="276" w:lineRule="auto"/>
        <w:ind w:firstLine="420" w:firstLineChars="200"/>
        <w:rPr>
          <w:rFonts w:hint="eastAsia"/>
          <w:szCs w:val="21"/>
        </w:rPr>
      </w:pPr>
      <w:r>
        <w:rPr>
          <w:rFonts w:hint="eastAsia"/>
          <w:szCs w:val="21"/>
        </w:rPr>
        <w:t>备注：</w:t>
      </w:r>
    </w:p>
    <w:p>
      <w:pPr>
        <w:spacing w:line="276" w:lineRule="auto"/>
        <w:ind w:firstLine="420" w:firstLineChars="200"/>
        <w:rPr>
          <w:rFonts w:hint="eastAsia"/>
          <w:szCs w:val="21"/>
        </w:rPr>
      </w:pPr>
      <w:r>
        <w:rPr>
          <w:szCs w:val="21"/>
        </w:rPr>
        <w:t>1.</w:t>
      </w:r>
      <w:r>
        <w:rPr>
          <w:rFonts w:hint="eastAsia"/>
          <w:szCs w:val="21"/>
        </w:rPr>
        <w:t>注明“接受进口”的产品（产品名称）允许供应商选用进口产品参与投标，但不排斥国内产品。</w:t>
      </w:r>
    </w:p>
    <w:p>
      <w:pPr>
        <w:spacing w:line="276" w:lineRule="auto"/>
        <w:ind w:firstLine="420" w:firstLineChars="200"/>
        <w:rPr>
          <w:rFonts w:hint="eastAsia"/>
          <w:szCs w:val="21"/>
        </w:rPr>
      </w:pPr>
      <w:r>
        <w:rPr>
          <w:szCs w:val="21"/>
        </w:rPr>
        <w:t>2.</w:t>
      </w:r>
      <w:r>
        <w:rPr>
          <w:rFonts w:hint="eastAsia"/>
          <w:szCs w:val="21"/>
        </w:rPr>
        <w:t>注明“拒绝进口”的产品（产品名称）均不接受供应商选用进口产品参与投标。</w:t>
      </w:r>
    </w:p>
    <w:p>
      <w:pPr>
        <w:spacing w:line="276" w:lineRule="auto"/>
        <w:ind w:firstLine="420" w:firstLineChars="200"/>
        <w:rPr>
          <w:rFonts w:hint="eastAsia"/>
          <w:szCs w:val="21"/>
        </w:rPr>
      </w:pPr>
      <w:r>
        <w:rPr>
          <w:szCs w:val="21"/>
        </w:rPr>
        <w:t>3.</w:t>
      </w:r>
      <w:r>
        <w:rPr>
          <w:rFonts w:hint="eastAsia"/>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szCs w:val="21"/>
        </w:rPr>
        <w:t>2007</w:t>
      </w:r>
      <w:r>
        <w:rPr>
          <w:rFonts w:hint="eastAsia"/>
          <w:szCs w:val="21"/>
        </w:rPr>
        <w:t>〕</w:t>
      </w:r>
      <w:r>
        <w:rPr>
          <w:szCs w:val="21"/>
        </w:rPr>
        <w:t>119</w:t>
      </w:r>
      <w:r>
        <w:rPr>
          <w:rFonts w:hint="eastAsia"/>
          <w:szCs w:val="21"/>
        </w:rPr>
        <w:t>号文和财办库〔</w:t>
      </w:r>
      <w:r>
        <w:rPr>
          <w:szCs w:val="21"/>
        </w:rPr>
        <w:t>2008</w:t>
      </w:r>
      <w:r>
        <w:rPr>
          <w:rFonts w:hint="eastAsia"/>
          <w:szCs w:val="21"/>
        </w:rPr>
        <w:t>〕</w:t>
      </w:r>
      <w:r>
        <w:rPr>
          <w:szCs w:val="21"/>
        </w:rPr>
        <w:t>248</w:t>
      </w:r>
      <w:r>
        <w:rPr>
          <w:rFonts w:hint="eastAsia"/>
          <w:szCs w:val="21"/>
        </w:rPr>
        <w:t>号文的相关规定为准。</w:t>
      </w:r>
    </w:p>
    <w:p>
      <w:pPr>
        <w:spacing w:line="276" w:lineRule="auto"/>
        <w:ind w:firstLine="420" w:firstLineChars="200"/>
        <w:rPr>
          <w:rFonts w:hint="eastAsia"/>
          <w:szCs w:val="21"/>
        </w:rPr>
      </w:pPr>
      <w:r>
        <w:rPr>
          <w:bCs/>
          <w:szCs w:val="21"/>
        </w:rPr>
        <w:t>4.</w:t>
      </w:r>
      <w:r>
        <w:rPr>
          <w:rFonts w:hint="eastAsia"/>
          <w:szCs w:val="21"/>
        </w:rPr>
        <w:t>《货物清单一览表》不允许出现负偏离，否则将导致投标无效，以投标文件格式中的《货物说明一览表》为准。</w:t>
      </w:r>
    </w:p>
    <w:p>
      <w:pPr>
        <w:numPr>
          <w:ilvl w:val="0"/>
          <w:numId w:val="2"/>
        </w:numPr>
        <w:adjustRightInd/>
        <w:snapToGrid/>
        <w:spacing w:before="280" w:after="290" w:line="377" w:lineRule="auto"/>
        <w:jc w:val="left"/>
        <w:outlineLvl w:val="2"/>
        <w:rPr>
          <w:rFonts w:hint="eastAsia"/>
          <w:b/>
          <w:sz w:val="24"/>
        </w:rPr>
      </w:pPr>
      <w:bookmarkStart w:id="43" w:name="_Toc14828"/>
      <w:bookmarkStart w:id="44" w:name="_Toc151386155"/>
      <w:bookmarkStart w:id="45" w:name="_Toc35"/>
      <w:bookmarkStart w:id="46" w:name="_Toc150960245"/>
      <w:r>
        <w:rPr>
          <w:rFonts w:hint="eastAsia"/>
          <w:b/>
          <w:sz w:val="24"/>
        </w:rPr>
        <w:t>实质性响应条款</w:t>
      </w:r>
      <w:bookmarkEnd w:id="43"/>
      <w:bookmarkEnd w:id="44"/>
      <w:bookmarkEnd w:id="45"/>
      <w:bookmarkEnd w:id="46"/>
    </w:p>
    <w:tbl>
      <w:tblPr>
        <w:tblStyle w:val="85"/>
        <w:tblW w:w="4738"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589"/>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序号</w:t>
            </w:r>
          </w:p>
        </w:tc>
        <w:tc>
          <w:tcPr>
            <w:tcW w:w="876" w:type="pct"/>
            <w:vAlign w:val="center"/>
          </w:tcPr>
          <w:p>
            <w:pPr>
              <w:spacing w:line="240" w:lineRule="auto"/>
              <w:jc w:val="center"/>
              <w:rPr>
                <w:rFonts w:hint="eastAsia"/>
                <w:b/>
                <w:szCs w:val="21"/>
              </w:rPr>
            </w:pPr>
            <w:r>
              <w:rPr>
                <w:rFonts w:hint="eastAsia"/>
                <w:b/>
                <w:szCs w:val="21"/>
              </w:rPr>
              <w:t>目录</w:t>
            </w:r>
          </w:p>
        </w:tc>
        <w:tc>
          <w:tcPr>
            <w:tcW w:w="3704" w:type="pct"/>
            <w:vAlign w:val="center"/>
          </w:tcPr>
          <w:p>
            <w:pPr>
              <w:spacing w:line="240" w:lineRule="auto"/>
              <w:jc w:val="center"/>
              <w:rPr>
                <w:rFonts w:hint="eastAsia"/>
                <w:b/>
                <w:szCs w:val="21"/>
              </w:rPr>
            </w:pPr>
            <w:r>
              <w:rPr>
                <w:rFonts w:hint="eastAsia"/>
                <w:b/>
                <w:szCs w:val="21"/>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b/>
                <w:szCs w:val="21"/>
              </w:rPr>
              <w:t>1</w:t>
            </w:r>
          </w:p>
        </w:tc>
        <w:tc>
          <w:tcPr>
            <w:tcW w:w="876" w:type="pct"/>
            <w:vAlign w:val="center"/>
          </w:tcPr>
          <w:p>
            <w:pPr>
              <w:tabs>
                <w:tab w:val="clear" w:pos="426"/>
              </w:tabs>
              <w:spacing w:line="240" w:lineRule="auto"/>
              <w:jc w:val="left"/>
              <w:rPr>
                <w:rFonts w:hint="eastAsia" w:cs="Times New Roman"/>
                <w:kern w:val="2"/>
                <w:szCs w:val="21"/>
              </w:rPr>
            </w:pPr>
            <w:r>
              <w:rPr>
                <w:rFonts w:hint="eastAsia" w:cs="Times New Roman"/>
                <w:kern w:val="2"/>
                <w:szCs w:val="21"/>
              </w:rPr>
              <w:t>技术要求</w:t>
            </w:r>
          </w:p>
        </w:tc>
        <w:tc>
          <w:tcPr>
            <w:tcW w:w="3704" w:type="pct"/>
            <w:vAlign w:val="center"/>
          </w:tcPr>
          <w:p>
            <w:pPr>
              <w:spacing w:line="240" w:lineRule="auto"/>
              <w:rPr>
                <w:rFonts w:hint="eastAsia"/>
                <w:szCs w:val="21"/>
              </w:rPr>
            </w:pPr>
            <w:r>
              <w:rPr>
                <w:rFonts w:hint="eastAsia" w:cs="Times New Roman"/>
                <w:kern w:val="2"/>
                <w:szCs w:val="21"/>
              </w:rPr>
              <w:t>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b/>
                <w:szCs w:val="21"/>
              </w:rPr>
              <w:t>2</w:t>
            </w:r>
          </w:p>
        </w:tc>
        <w:tc>
          <w:tcPr>
            <w:tcW w:w="876" w:type="pct"/>
            <w:vAlign w:val="center"/>
          </w:tcPr>
          <w:p>
            <w:pPr>
              <w:tabs>
                <w:tab w:val="clear" w:pos="426"/>
              </w:tabs>
              <w:spacing w:line="240" w:lineRule="auto"/>
              <w:jc w:val="left"/>
              <w:rPr>
                <w:rFonts w:hint="eastAsia" w:cs="Times New Roman"/>
                <w:kern w:val="2"/>
                <w:szCs w:val="21"/>
              </w:rPr>
            </w:pPr>
            <w:r>
              <w:rPr>
                <w:rFonts w:hint="eastAsia" w:cs="Times New Roman"/>
                <w:kern w:val="2"/>
                <w:szCs w:val="21"/>
              </w:rPr>
              <w:t>商务要求</w:t>
            </w:r>
          </w:p>
        </w:tc>
        <w:tc>
          <w:tcPr>
            <w:tcW w:w="3704" w:type="pct"/>
            <w:vAlign w:val="center"/>
          </w:tcPr>
          <w:p>
            <w:pPr>
              <w:spacing w:line="240" w:lineRule="auto"/>
              <w:rPr>
                <w:rFonts w:hint="eastAsia"/>
                <w:szCs w:val="21"/>
              </w:rPr>
            </w:pPr>
            <w:r>
              <w:rPr>
                <w:rFonts w:hint="eastAsia" w:cs="Times New Roman"/>
                <w:kern w:val="2"/>
                <w:szCs w:val="21"/>
              </w:rPr>
              <w:t>带★内容。</w:t>
            </w:r>
          </w:p>
        </w:tc>
      </w:tr>
    </w:tbl>
    <w:p>
      <w:pPr>
        <w:spacing w:line="276" w:lineRule="auto"/>
        <w:ind w:firstLine="420" w:firstLineChars="200"/>
        <w:rPr>
          <w:rFonts w:hint="eastAsia"/>
          <w:bCs/>
          <w:szCs w:val="21"/>
        </w:rPr>
      </w:pPr>
      <w:r>
        <w:rPr>
          <w:rFonts w:hint="eastAsia"/>
          <w:bCs/>
          <w:szCs w:val="21"/>
        </w:rPr>
        <w:t>备注：</w:t>
      </w:r>
    </w:p>
    <w:p>
      <w:pPr>
        <w:spacing w:line="276" w:lineRule="auto"/>
        <w:ind w:firstLine="420" w:firstLineChars="200"/>
        <w:rPr>
          <w:rFonts w:hint="eastAsia"/>
          <w:bCs/>
          <w:szCs w:val="21"/>
        </w:rPr>
      </w:pPr>
      <w:r>
        <w:rPr>
          <w:bCs/>
          <w:szCs w:val="21"/>
        </w:rPr>
        <w:t>1.</w:t>
      </w:r>
      <w:r>
        <w:rPr>
          <w:rFonts w:hint="eastAsia"/>
          <w:bCs/>
          <w:szCs w:val="21"/>
        </w:rPr>
        <w:t>请各位投标人仔细核对：确保投标文件已按照招标文件要求，在招标文件规定的投标文件格式中的对应节点进行逐一响应，不允许有任何负偏离，否则将作投标无效处理。</w:t>
      </w:r>
    </w:p>
    <w:p>
      <w:pPr>
        <w:numPr>
          <w:ilvl w:val="0"/>
          <w:numId w:val="2"/>
        </w:numPr>
        <w:adjustRightInd/>
        <w:snapToGrid/>
        <w:spacing w:before="280" w:after="290" w:line="377" w:lineRule="auto"/>
        <w:jc w:val="left"/>
        <w:outlineLvl w:val="2"/>
        <w:rPr>
          <w:rFonts w:hint="eastAsia"/>
          <w:b/>
          <w:sz w:val="24"/>
        </w:rPr>
      </w:pPr>
      <w:bookmarkStart w:id="47" w:name="_Toc29273"/>
      <w:bookmarkStart w:id="48" w:name="_Toc150960246"/>
      <w:bookmarkStart w:id="49" w:name="_Toc151386156"/>
      <w:bookmarkStart w:id="50" w:name="_Toc31963"/>
      <w:r>
        <w:rPr>
          <w:rFonts w:hint="eastAsia"/>
          <w:b/>
          <w:sz w:val="24"/>
        </w:rPr>
        <w:t>技术要求</w:t>
      </w:r>
      <w:bookmarkEnd w:id="47"/>
      <w:bookmarkEnd w:id="48"/>
      <w:bookmarkEnd w:id="49"/>
      <w:bookmarkEnd w:id="50"/>
    </w:p>
    <w:p>
      <w:pPr>
        <w:widowControl w:val="0"/>
        <w:shd w:val="clear" w:color="auto" w:fill="auto"/>
        <w:tabs>
          <w:tab w:val="clear" w:pos="426"/>
        </w:tabs>
        <w:adjustRightInd/>
        <w:snapToGrid/>
        <w:spacing w:line="240" w:lineRule="auto"/>
        <w:ind w:firstLine="422" w:firstLineChars="200"/>
        <w:jc w:val="center"/>
        <w:rPr>
          <w:rFonts w:hint="eastAsia"/>
        </w:rPr>
      </w:pPr>
      <w:r>
        <w:rPr>
          <w:rFonts w:hint="eastAsia" w:cs="Times New Roman"/>
          <w:b/>
          <w:bCs/>
          <w:kern w:val="2"/>
          <w:szCs w:val="21"/>
        </w:rPr>
        <w:t>包号：</w:t>
      </w:r>
      <w:r>
        <w:rPr>
          <w:rFonts w:cs="Times New Roman"/>
          <w:b/>
          <w:bCs/>
          <w:kern w:val="2"/>
          <w:szCs w:val="21"/>
        </w:rPr>
        <w:t xml:space="preserve">01 </w:t>
      </w:r>
      <w:r>
        <w:rPr>
          <w:rFonts w:hint="eastAsia" w:cs="Times New Roman"/>
          <w:b/>
          <w:bCs/>
          <w:kern w:val="2"/>
          <w:szCs w:val="21"/>
        </w:rPr>
        <w:t>技术要求</w:t>
      </w:r>
    </w:p>
    <w:tbl>
      <w:tblPr>
        <w:tblStyle w:val="8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717"/>
        <w:gridCol w:w="811"/>
        <w:gridCol w:w="5628"/>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tcPr>
          <w:p>
            <w:pPr>
              <w:pStyle w:val="534"/>
              <w:spacing w:line="240" w:lineRule="auto"/>
              <w:jc w:val="center"/>
              <w:rPr>
                <w:rFonts w:hint="eastAsia"/>
                <w:b/>
                <w:bCs/>
                <w:sz w:val="21"/>
                <w:szCs w:val="21"/>
              </w:rPr>
            </w:pPr>
            <w:r>
              <w:rPr>
                <w:rFonts w:hint="eastAsia"/>
                <w:b/>
                <w:bCs/>
                <w:sz w:val="21"/>
                <w:szCs w:val="21"/>
              </w:rPr>
              <w:t>序号</w:t>
            </w:r>
          </w:p>
        </w:tc>
        <w:tc>
          <w:tcPr>
            <w:tcW w:w="898" w:type="pct"/>
          </w:tcPr>
          <w:p>
            <w:pPr>
              <w:pStyle w:val="534"/>
              <w:spacing w:line="240" w:lineRule="auto"/>
              <w:jc w:val="center"/>
              <w:rPr>
                <w:rFonts w:hint="eastAsia"/>
                <w:b/>
                <w:bCs/>
                <w:sz w:val="21"/>
                <w:szCs w:val="21"/>
              </w:rPr>
            </w:pPr>
            <w:r>
              <w:rPr>
                <w:rFonts w:hint="eastAsia"/>
                <w:b/>
                <w:bCs/>
                <w:sz w:val="21"/>
                <w:szCs w:val="21"/>
              </w:rPr>
              <w:t>货物名称</w:t>
            </w:r>
          </w:p>
        </w:tc>
        <w:tc>
          <w:tcPr>
            <w:tcW w:w="424" w:type="pct"/>
          </w:tcPr>
          <w:p>
            <w:pPr>
              <w:pStyle w:val="534"/>
              <w:spacing w:line="240" w:lineRule="auto"/>
              <w:ind w:firstLine="280"/>
              <w:jc w:val="center"/>
              <w:rPr>
                <w:rFonts w:hint="eastAsia"/>
                <w:b/>
                <w:bCs/>
                <w:sz w:val="21"/>
                <w:szCs w:val="21"/>
              </w:rPr>
            </w:pPr>
            <w:r>
              <w:rPr>
                <w:rFonts w:hint="eastAsia"/>
                <w:b/>
                <w:bCs/>
                <w:sz w:val="21"/>
                <w:szCs w:val="21"/>
              </w:rPr>
              <w:t>数量</w:t>
            </w:r>
          </w:p>
        </w:tc>
        <w:tc>
          <w:tcPr>
            <w:tcW w:w="2943" w:type="pct"/>
          </w:tcPr>
          <w:p>
            <w:pPr>
              <w:pStyle w:val="534"/>
              <w:spacing w:line="240" w:lineRule="auto"/>
              <w:jc w:val="center"/>
              <w:rPr>
                <w:rFonts w:hint="eastAsia"/>
                <w:b/>
                <w:bCs/>
                <w:sz w:val="21"/>
                <w:szCs w:val="21"/>
              </w:rPr>
            </w:pPr>
            <w:r>
              <w:rPr>
                <w:rFonts w:hint="eastAsia"/>
                <w:b/>
                <w:bCs/>
                <w:sz w:val="21"/>
                <w:szCs w:val="21"/>
              </w:rPr>
              <w:t>技术参数要求</w:t>
            </w:r>
          </w:p>
        </w:tc>
        <w:tc>
          <w:tcPr>
            <w:tcW w:w="479" w:type="pct"/>
          </w:tcPr>
          <w:p>
            <w:pPr>
              <w:pStyle w:val="534"/>
              <w:spacing w:line="240" w:lineRule="auto"/>
              <w:jc w:val="center"/>
              <w:rPr>
                <w:rFonts w:hint="eastAsia"/>
                <w:b/>
                <w:bCs/>
                <w:sz w:val="21"/>
                <w:szCs w:val="21"/>
                <w:lang w:val="en-US" w:eastAsia="zh-CN"/>
              </w:rPr>
            </w:pPr>
            <w:r>
              <w:rPr>
                <w:rFonts w:hint="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restart"/>
          </w:tcPr>
          <w:p>
            <w:pPr>
              <w:pStyle w:val="534"/>
              <w:tabs>
                <w:tab w:val="left" w:pos="508"/>
                <w:tab w:val="clear" w:pos="426"/>
              </w:tabs>
              <w:spacing w:line="240" w:lineRule="auto"/>
              <w:jc w:val="center"/>
              <w:rPr>
                <w:rFonts w:hint="eastAsia"/>
                <w:sz w:val="21"/>
                <w:szCs w:val="21"/>
                <w:lang w:val="en-US" w:eastAsia="zh-CN"/>
              </w:rPr>
            </w:pPr>
            <w:r>
              <w:rPr>
                <w:sz w:val="21"/>
                <w:szCs w:val="21"/>
                <w:lang w:val="en-US" w:eastAsia="zh-CN"/>
              </w:rPr>
              <w:t>1</w:t>
            </w:r>
          </w:p>
        </w:tc>
        <w:tc>
          <w:tcPr>
            <w:tcW w:w="898" w:type="pct"/>
            <w:vMerge w:val="restart"/>
          </w:tcPr>
          <w:p>
            <w:pPr>
              <w:pStyle w:val="534"/>
              <w:tabs>
                <w:tab w:val="left" w:pos="508"/>
                <w:tab w:val="clear" w:pos="426"/>
              </w:tabs>
              <w:spacing w:line="240" w:lineRule="auto"/>
              <w:jc w:val="center"/>
              <w:rPr>
                <w:rFonts w:hint="eastAsia"/>
                <w:sz w:val="21"/>
                <w:szCs w:val="21"/>
                <w:lang w:val="en-US" w:eastAsia="zh-CN"/>
              </w:rPr>
            </w:pPr>
            <w:r>
              <w:rPr>
                <w:rFonts w:hint="eastAsia"/>
                <w:sz w:val="21"/>
                <w:szCs w:val="21"/>
                <w:lang w:val="en-US" w:eastAsia="zh-CN"/>
              </w:rPr>
              <w:t>粉尘云最低着火温度试验仪</w:t>
            </w:r>
          </w:p>
        </w:tc>
        <w:tc>
          <w:tcPr>
            <w:tcW w:w="424" w:type="pct"/>
            <w:vMerge w:val="restart"/>
          </w:tcPr>
          <w:p>
            <w:pPr>
              <w:pStyle w:val="534"/>
              <w:tabs>
                <w:tab w:val="left" w:pos="508"/>
                <w:tab w:val="clear" w:pos="426"/>
              </w:tabs>
              <w:spacing w:line="240" w:lineRule="auto"/>
              <w:jc w:val="center"/>
              <w:rPr>
                <w:rFonts w:hint="eastAsia"/>
                <w:sz w:val="21"/>
                <w:szCs w:val="21"/>
                <w:lang w:val="en-US" w:eastAsia="zh-CN"/>
              </w:rPr>
            </w:pPr>
            <w:r>
              <w:rPr>
                <w:sz w:val="21"/>
                <w:szCs w:val="21"/>
                <w:lang w:val="en-US" w:eastAsia="zh-CN"/>
              </w:rPr>
              <w:t>1</w:t>
            </w:r>
            <w:r>
              <w:rPr>
                <w:rFonts w:hint="eastAsia"/>
                <w:sz w:val="21"/>
                <w:szCs w:val="21"/>
                <w:lang w:val="en-US" w:eastAsia="zh-CN"/>
              </w:rPr>
              <w:t>台</w:t>
            </w:r>
          </w:p>
        </w:tc>
        <w:tc>
          <w:tcPr>
            <w:tcW w:w="2943" w:type="pct"/>
          </w:tcPr>
          <w:p>
            <w:pPr>
              <w:pStyle w:val="534"/>
              <w:tabs>
                <w:tab w:val="left" w:pos="508"/>
                <w:tab w:val="clear" w:pos="426"/>
              </w:tabs>
              <w:spacing w:line="240" w:lineRule="auto"/>
              <w:jc w:val="left"/>
              <w:rPr>
                <w:rFonts w:hint="eastAsia"/>
                <w:sz w:val="21"/>
                <w:szCs w:val="21"/>
                <w:lang w:val="en-US" w:eastAsia="zh-CN"/>
              </w:rPr>
            </w:pPr>
            <w:r>
              <w:rPr>
                <w:rFonts w:hint="eastAsia"/>
                <w:sz w:val="21"/>
                <w:szCs w:val="21"/>
                <w:lang w:val="en-US" w:eastAsia="zh-CN"/>
              </w:rPr>
              <w:t>主要技术参数：</w:t>
            </w:r>
          </w:p>
        </w:tc>
        <w:tc>
          <w:tcPr>
            <w:tcW w:w="479" w:type="pct"/>
          </w:tcPr>
          <w:p>
            <w:pPr>
              <w:pStyle w:val="534"/>
              <w:tabs>
                <w:tab w:val="left" w:pos="508"/>
                <w:tab w:val="clear" w:pos="426"/>
              </w:tabs>
              <w:spacing w:line="240" w:lineRule="auto"/>
              <w:jc w:val="center"/>
              <w:rPr>
                <w:rFonts w:hint="eastAsia"/>
                <w:sz w:val="21"/>
                <w:szCs w:val="21"/>
                <w:lang w:val="en-US" w:eastAsia="zh-CN"/>
              </w:rPr>
            </w:pPr>
            <w:r>
              <w:rPr>
                <w:rFonts w:hint="eastAsia"/>
                <w:sz w:val="21"/>
                <w:szCs w:val="21"/>
                <w:lang w:val="en-US" w:eastAsia="zh-CN"/>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rPr>
            </w:pPr>
          </w:p>
        </w:tc>
        <w:tc>
          <w:tcPr>
            <w:tcW w:w="898" w:type="pct"/>
            <w:vMerge w:val="continue"/>
          </w:tcPr>
          <w:p>
            <w:pPr>
              <w:pStyle w:val="534"/>
              <w:tabs>
                <w:tab w:val="left" w:pos="508"/>
                <w:tab w:val="clear" w:pos="426"/>
              </w:tabs>
              <w:spacing w:line="240" w:lineRule="auto"/>
              <w:ind w:left="160"/>
              <w:rPr>
                <w:rFonts w:hint="eastAsia"/>
              </w:rPr>
            </w:pPr>
          </w:p>
        </w:tc>
        <w:tc>
          <w:tcPr>
            <w:tcW w:w="424" w:type="pct"/>
            <w:vMerge w:val="continue"/>
          </w:tcPr>
          <w:p>
            <w:pPr>
              <w:pStyle w:val="534"/>
              <w:tabs>
                <w:tab w:val="left" w:pos="508"/>
                <w:tab w:val="clear" w:pos="426"/>
              </w:tabs>
              <w:spacing w:line="240" w:lineRule="auto"/>
              <w:ind w:left="160"/>
              <w:rPr>
                <w:rFonts w:hint="eastAsia"/>
              </w:rPr>
            </w:pPr>
          </w:p>
        </w:tc>
        <w:tc>
          <w:tcPr>
            <w:tcW w:w="2943" w:type="pct"/>
          </w:tcPr>
          <w:p>
            <w:pPr>
              <w:pStyle w:val="534"/>
              <w:tabs>
                <w:tab w:val="left" w:pos="508"/>
                <w:tab w:val="clear" w:pos="426"/>
              </w:tabs>
              <w:spacing w:line="240" w:lineRule="auto"/>
              <w:ind w:left="160"/>
              <w:jc w:val="left"/>
              <w:rPr>
                <w:rFonts w:hint="eastAsia"/>
                <w:sz w:val="21"/>
                <w:szCs w:val="21"/>
                <w:lang w:val="en-US" w:eastAsia="zh-CN"/>
              </w:rPr>
            </w:pPr>
            <w:r>
              <w:rPr>
                <w:sz w:val="21"/>
                <w:szCs w:val="21"/>
                <w:lang w:val="en-US" w:eastAsia="zh-CN"/>
              </w:rPr>
              <w:t>1.</w:t>
            </w:r>
            <w:r>
              <w:rPr>
                <w:rFonts w:hint="eastAsia"/>
                <w:sz w:val="21"/>
                <w:szCs w:val="21"/>
                <w:lang w:val="en-US" w:eastAsia="zh-CN"/>
              </w:rPr>
              <w:t>技术指标</w:t>
            </w:r>
          </w:p>
        </w:tc>
        <w:tc>
          <w:tcPr>
            <w:tcW w:w="479" w:type="pct"/>
          </w:tcPr>
          <w:p>
            <w:pPr>
              <w:pStyle w:val="534"/>
              <w:tabs>
                <w:tab w:val="left" w:pos="508"/>
                <w:tab w:val="clear" w:pos="426"/>
              </w:tabs>
              <w:spacing w:line="240" w:lineRule="auto"/>
              <w:ind w:left="160"/>
              <w:jc w:val="center"/>
              <w:rPr>
                <w:rFonts w:hint="eastAsia"/>
                <w:sz w:val="21"/>
                <w:szCs w:val="21"/>
                <w:lang w:val="en-US" w:eastAsia="zh-CN"/>
              </w:rPr>
            </w:pPr>
            <w:r>
              <w:rPr>
                <w:rFonts w:hint="eastAsia"/>
                <w:sz w:val="21"/>
                <w:szCs w:val="21"/>
                <w:lang w:val="en-US" w:eastAsia="zh-CN"/>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rPr>
            </w:pPr>
          </w:p>
        </w:tc>
        <w:tc>
          <w:tcPr>
            <w:tcW w:w="898" w:type="pct"/>
            <w:vMerge w:val="continue"/>
          </w:tcPr>
          <w:p>
            <w:pPr>
              <w:pStyle w:val="534"/>
              <w:tabs>
                <w:tab w:val="left" w:pos="508"/>
                <w:tab w:val="clear" w:pos="426"/>
              </w:tabs>
              <w:spacing w:line="240" w:lineRule="auto"/>
              <w:ind w:left="160"/>
              <w:rPr>
                <w:rFonts w:hint="eastAsia"/>
              </w:rPr>
            </w:pPr>
          </w:p>
        </w:tc>
        <w:tc>
          <w:tcPr>
            <w:tcW w:w="424" w:type="pct"/>
            <w:vMerge w:val="continue"/>
          </w:tcPr>
          <w:p>
            <w:pPr>
              <w:pStyle w:val="534"/>
              <w:tabs>
                <w:tab w:val="left" w:pos="508"/>
                <w:tab w:val="clear" w:pos="426"/>
              </w:tabs>
              <w:spacing w:line="240" w:lineRule="auto"/>
              <w:ind w:left="160"/>
              <w:rPr>
                <w:rFonts w:hint="eastAsia"/>
              </w:rPr>
            </w:pPr>
          </w:p>
        </w:tc>
        <w:tc>
          <w:tcPr>
            <w:tcW w:w="2943" w:type="pct"/>
          </w:tcPr>
          <w:p>
            <w:pPr>
              <w:pStyle w:val="534"/>
              <w:tabs>
                <w:tab w:val="left" w:pos="508"/>
                <w:tab w:val="clear" w:pos="426"/>
              </w:tabs>
              <w:spacing w:line="240" w:lineRule="auto"/>
              <w:ind w:left="160"/>
              <w:jc w:val="left"/>
              <w:rPr>
                <w:rFonts w:hint="eastAsia"/>
                <w:b/>
                <w:bCs/>
                <w:sz w:val="21"/>
                <w:szCs w:val="21"/>
                <w:lang w:val="en-US" w:eastAsia="zh-CN"/>
              </w:rPr>
            </w:pPr>
            <w:r>
              <w:rPr>
                <w:rFonts w:hint="eastAsia"/>
                <w:b/>
                <w:bCs/>
                <w:sz w:val="21"/>
                <w:szCs w:val="21"/>
                <w:lang w:val="en-US" w:eastAsia="zh-CN"/>
              </w:rPr>
              <w:t>★</w:t>
            </w:r>
            <w:r>
              <w:rPr>
                <w:b/>
                <w:bCs/>
                <w:sz w:val="21"/>
                <w:szCs w:val="21"/>
                <w:lang w:val="en-US" w:eastAsia="zh-CN"/>
              </w:rPr>
              <w:t>1.1</w:t>
            </w:r>
            <w:r>
              <w:rPr>
                <w:rFonts w:hint="eastAsia"/>
                <w:b/>
                <w:bCs/>
                <w:sz w:val="21"/>
                <w:szCs w:val="21"/>
                <w:lang w:val="en-US" w:eastAsia="zh-CN"/>
              </w:rPr>
              <w:t>适用标准：</w:t>
            </w:r>
            <w:r>
              <w:rPr>
                <w:b/>
                <w:bCs/>
                <w:sz w:val="21"/>
                <w:szCs w:val="21"/>
                <w:lang w:val="en-US" w:eastAsia="zh-CN"/>
              </w:rPr>
              <w:t>GB/T 16429</w:t>
            </w:r>
            <w:r>
              <w:rPr>
                <w:rFonts w:hint="eastAsia"/>
                <w:b/>
                <w:bCs/>
                <w:sz w:val="21"/>
                <w:szCs w:val="21"/>
                <w:lang w:val="en-US" w:eastAsia="zh-CN"/>
              </w:rPr>
              <w:t>；</w:t>
            </w:r>
            <w:r>
              <w:rPr>
                <w:rFonts w:hint="eastAsia"/>
                <w:b/>
                <w:bCs/>
                <w:color w:val="FF0000"/>
                <w:sz w:val="21"/>
                <w:szCs w:val="21"/>
                <w:lang w:val="en-US" w:eastAsia="zh-CN"/>
              </w:rPr>
              <w:t>（提供网页截图(含网址）或使用说明书，所有资料均加盖投标人公章）</w:t>
            </w:r>
          </w:p>
          <w:p>
            <w:pPr>
              <w:pStyle w:val="534"/>
              <w:tabs>
                <w:tab w:val="left" w:pos="508"/>
                <w:tab w:val="clear" w:pos="426"/>
              </w:tabs>
              <w:spacing w:line="240" w:lineRule="auto"/>
              <w:ind w:left="160"/>
              <w:jc w:val="left"/>
              <w:rPr>
                <w:rFonts w:hint="eastAsia"/>
                <w:b/>
                <w:bCs/>
                <w:sz w:val="21"/>
                <w:szCs w:val="21"/>
                <w:lang w:val="en-US" w:eastAsia="zh-CN"/>
              </w:rPr>
            </w:pPr>
          </w:p>
        </w:tc>
        <w:tc>
          <w:tcPr>
            <w:tcW w:w="479" w:type="pct"/>
          </w:tcPr>
          <w:p>
            <w:pPr>
              <w:pStyle w:val="534"/>
              <w:tabs>
                <w:tab w:val="left" w:pos="508"/>
                <w:tab w:val="clear" w:pos="426"/>
              </w:tabs>
              <w:spacing w:line="240" w:lineRule="auto"/>
              <w:ind w:left="160"/>
              <w:jc w:val="center"/>
              <w:rPr>
                <w:rFonts w:hint="eastAsia"/>
                <w:b/>
                <w:bCs/>
                <w:sz w:val="21"/>
                <w:szCs w:val="21"/>
                <w:lang w:val="en-US" w:eastAsia="zh-CN"/>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rPr>
            </w:pPr>
          </w:p>
        </w:tc>
        <w:tc>
          <w:tcPr>
            <w:tcW w:w="898" w:type="pct"/>
            <w:vMerge w:val="continue"/>
          </w:tcPr>
          <w:p>
            <w:pPr>
              <w:pStyle w:val="534"/>
              <w:tabs>
                <w:tab w:val="left" w:pos="508"/>
                <w:tab w:val="clear" w:pos="426"/>
              </w:tabs>
              <w:spacing w:line="240" w:lineRule="auto"/>
              <w:ind w:left="160"/>
              <w:rPr>
                <w:rFonts w:hint="eastAsia"/>
              </w:rPr>
            </w:pPr>
          </w:p>
        </w:tc>
        <w:tc>
          <w:tcPr>
            <w:tcW w:w="424" w:type="pct"/>
            <w:vMerge w:val="continue"/>
          </w:tcPr>
          <w:p>
            <w:pPr>
              <w:pStyle w:val="534"/>
              <w:tabs>
                <w:tab w:val="left" w:pos="508"/>
                <w:tab w:val="clear" w:pos="426"/>
              </w:tabs>
              <w:spacing w:line="240" w:lineRule="auto"/>
              <w:ind w:left="160"/>
              <w:rPr>
                <w:rFonts w:hint="eastAsia"/>
              </w:rPr>
            </w:pPr>
          </w:p>
        </w:tc>
        <w:tc>
          <w:tcPr>
            <w:tcW w:w="2943" w:type="pct"/>
          </w:tcPr>
          <w:p>
            <w:pPr>
              <w:pStyle w:val="534"/>
              <w:tabs>
                <w:tab w:val="left" w:pos="508"/>
                <w:tab w:val="clear" w:pos="426"/>
              </w:tabs>
              <w:spacing w:line="240" w:lineRule="auto"/>
              <w:ind w:left="160"/>
              <w:jc w:val="left"/>
              <w:rPr>
                <w:rFonts w:hint="eastAsia"/>
                <w:b/>
                <w:bCs/>
                <w:sz w:val="21"/>
                <w:szCs w:val="21"/>
                <w:lang w:val="en-US"/>
              </w:rPr>
            </w:pPr>
            <w:r>
              <w:rPr>
                <w:rFonts w:hint="eastAsia"/>
                <w:b/>
                <w:bCs/>
                <w:sz w:val="21"/>
                <w:szCs w:val="21"/>
                <w:lang w:val="en-US"/>
              </w:rPr>
              <w:t>▲</w:t>
            </w:r>
            <w:r>
              <w:rPr>
                <w:b/>
                <w:bCs/>
                <w:sz w:val="21"/>
                <w:szCs w:val="21"/>
                <w:lang w:val="en-US"/>
              </w:rPr>
              <w:t>1.2</w:t>
            </w:r>
            <w:r>
              <w:rPr>
                <w:rFonts w:hint="eastAsia"/>
                <w:b/>
                <w:bCs/>
                <w:sz w:val="21"/>
                <w:szCs w:val="21"/>
                <w:lang w:val="en-US" w:eastAsia="zh-CN"/>
              </w:rPr>
              <w:t>适用标准</w:t>
            </w:r>
            <w:r>
              <w:rPr>
                <w:b/>
                <w:bCs/>
                <w:sz w:val="21"/>
                <w:szCs w:val="21"/>
                <w:lang w:val="en-US"/>
              </w:rPr>
              <w:t>ASTM</w:t>
            </w:r>
            <w:r>
              <w:rPr>
                <w:rFonts w:hint="eastAsia"/>
                <w:b/>
                <w:bCs/>
                <w:sz w:val="21"/>
                <w:szCs w:val="21"/>
                <w:lang w:val="en-US" w:eastAsia="zh-CN"/>
              </w:rPr>
              <w:t xml:space="preserve"> </w:t>
            </w:r>
            <w:r>
              <w:rPr>
                <w:b/>
                <w:bCs/>
                <w:sz w:val="21"/>
                <w:szCs w:val="21"/>
                <w:lang w:val="en-US"/>
              </w:rPr>
              <w:t>E1491-06</w:t>
            </w:r>
            <w:r>
              <w:rPr>
                <w:rFonts w:hint="eastAsia"/>
                <w:b/>
                <w:bCs/>
                <w:sz w:val="21"/>
                <w:szCs w:val="21"/>
                <w:lang w:val="en-US"/>
              </w:rPr>
              <w:t>、</w:t>
            </w:r>
            <w:r>
              <w:rPr>
                <w:b/>
                <w:bCs/>
                <w:sz w:val="21"/>
                <w:szCs w:val="21"/>
                <w:lang w:val="en-US"/>
              </w:rPr>
              <w:t>EN</w:t>
            </w:r>
            <w:r>
              <w:rPr>
                <w:rFonts w:hint="eastAsia"/>
                <w:b/>
                <w:bCs/>
                <w:sz w:val="21"/>
                <w:szCs w:val="21"/>
                <w:lang w:val="en-US" w:eastAsia="zh-CN"/>
              </w:rPr>
              <w:t xml:space="preserve"> </w:t>
            </w:r>
            <w:r>
              <w:rPr>
                <w:b/>
                <w:bCs/>
                <w:sz w:val="21"/>
                <w:szCs w:val="21"/>
                <w:lang w:val="en-US"/>
              </w:rPr>
              <w:t>50281-2-1</w:t>
            </w:r>
            <w:r>
              <w:rPr>
                <w:rFonts w:hint="eastAsia"/>
                <w:b/>
                <w:bCs/>
                <w:sz w:val="21"/>
                <w:szCs w:val="21"/>
                <w:lang w:val="en-US"/>
              </w:rPr>
              <w:t>、</w:t>
            </w:r>
            <w:r>
              <w:rPr>
                <w:b/>
                <w:bCs/>
                <w:sz w:val="21"/>
                <w:szCs w:val="21"/>
                <w:lang w:val="en-US"/>
              </w:rPr>
              <w:t>IEC</w:t>
            </w:r>
            <w:r>
              <w:rPr>
                <w:rFonts w:hint="eastAsia"/>
                <w:b/>
                <w:bCs/>
                <w:sz w:val="21"/>
                <w:szCs w:val="21"/>
                <w:lang w:val="en-US" w:eastAsia="zh-CN"/>
              </w:rPr>
              <w:t xml:space="preserve"> </w:t>
            </w:r>
            <w:r>
              <w:rPr>
                <w:b/>
                <w:bCs/>
                <w:sz w:val="21"/>
                <w:szCs w:val="21"/>
                <w:lang w:val="en-US"/>
              </w:rPr>
              <w:t>61241-2</w:t>
            </w:r>
            <w:r>
              <w:rPr>
                <w:rFonts w:hint="eastAsia"/>
                <w:b/>
                <w:bCs/>
                <w:sz w:val="21"/>
                <w:szCs w:val="21"/>
                <w:lang w:val="en-US"/>
              </w:rPr>
              <w:t>、</w:t>
            </w:r>
            <w:r>
              <w:rPr>
                <w:b/>
                <w:bCs/>
                <w:sz w:val="21"/>
                <w:szCs w:val="21"/>
                <w:lang w:val="en-US"/>
              </w:rPr>
              <w:t>ISO/IEC 80079-20-2</w:t>
            </w:r>
            <w:r>
              <w:rPr>
                <w:rFonts w:hint="eastAsia"/>
                <w:b/>
                <w:bCs/>
                <w:sz w:val="21"/>
                <w:szCs w:val="21"/>
                <w:lang w:val="en-US"/>
              </w:rPr>
              <w:t>。</w:t>
            </w:r>
            <w:r>
              <w:rPr>
                <w:rFonts w:hint="eastAsia"/>
                <w:b/>
                <w:bCs/>
                <w:color w:val="FF0000"/>
                <w:sz w:val="21"/>
                <w:szCs w:val="21"/>
                <w:lang w:val="en-US" w:eastAsia="zh-CN"/>
              </w:rPr>
              <w:t>（提供网页截图(含网址）或使用说明书，所有资料均加盖投标人公章）</w:t>
            </w:r>
          </w:p>
        </w:tc>
        <w:tc>
          <w:tcPr>
            <w:tcW w:w="479" w:type="pct"/>
          </w:tcPr>
          <w:p>
            <w:pPr>
              <w:pStyle w:val="534"/>
              <w:tabs>
                <w:tab w:val="left" w:pos="508"/>
                <w:tab w:val="clear" w:pos="426"/>
              </w:tabs>
              <w:spacing w:line="240" w:lineRule="auto"/>
              <w:ind w:left="160"/>
              <w:jc w:val="center"/>
              <w:rPr>
                <w:rFonts w:hint="eastAsia"/>
                <w:b/>
                <w:bCs/>
                <w:sz w:val="21"/>
                <w:szCs w:val="21"/>
                <w:lang w:val="en-US"/>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sz w:val="21"/>
                <w:szCs w:val="21"/>
                <w:lang w:val="en-US"/>
              </w:rPr>
            </w:pPr>
          </w:p>
        </w:tc>
        <w:tc>
          <w:tcPr>
            <w:tcW w:w="898" w:type="pct"/>
            <w:vMerge w:val="continue"/>
          </w:tcPr>
          <w:p>
            <w:pPr>
              <w:pStyle w:val="534"/>
              <w:tabs>
                <w:tab w:val="left" w:pos="508"/>
                <w:tab w:val="clear" w:pos="426"/>
              </w:tabs>
              <w:spacing w:line="240" w:lineRule="auto"/>
              <w:ind w:left="160"/>
              <w:rPr>
                <w:rFonts w:hint="eastAsia"/>
                <w:sz w:val="21"/>
                <w:szCs w:val="21"/>
                <w:lang w:val="en-US"/>
              </w:rPr>
            </w:pPr>
          </w:p>
        </w:tc>
        <w:tc>
          <w:tcPr>
            <w:tcW w:w="424" w:type="pct"/>
            <w:vMerge w:val="continue"/>
          </w:tcPr>
          <w:p>
            <w:pPr>
              <w:pStyle w:val="534"/>
              <w:tabs>
                <w:tab w:val="left" w:pos="508"/>
                <w:tab w:val="clear" w:pos="426"/>
              </w:tabs>
              <w:spacing w:line="240" w:lineRule="auto"/>
              <w:ind w:left="160"/>
              <w:rPr>
                <w:rFonts w:hint="eastAsia"/>
                <w:sz w:val="21"/>
                <w:szCs w:val="21"/>
                <w:lang w:val="en-US"/>
              </w:rPr>
            </w:pPr>
          </w:p>
        </w:tc>
        <w:tc>
          <w:tcPr>
            <w:tcW w:w="2943" w:type="pct"/>
          </w:tcPr>
          <w:p>
            <w:pPr>
              <w:pStyle w:val="534"/>
              <w:tabs>
                <w:tab w:val="left" w:pos="508"/>
                <w:tab w:val="clear" w:pos="426"/>
              </w:tabs>
              <w:spacing w:line="240" w:lineRule="auto"/>
              <w:ind w:left="160"/>
              <w:jc w:val="left"/>
              <w:rPr>
                <w:rFonts w:hint="eastAsia"/>
                <w:b/>
                <w:bCs/>
                <w:sz w:val="21"/>
                <w:szCs w:val="21"/>
                <w:lang w:val="en-US" w:eastAsia="zh-CN"/>
              </w:rPr>
            </w:pPr>
            <w:r>
              <w:rPr>
                <w:rFonts w:hint="eastAsia"/>
                <w:b/>
                <w:bCs/>
                <w:sz w:val="21"/>
                <w:szCs w:val="21"/>
                <w:lang w:val="en-US" w:eastAsia="zh-CN"/>
              </w:rPr>
              <w:t>▲</w:t>
            </w:r>
            <w:r>
              <w:rPr>
                <w:b/>
                <w:bCs/>
                <w:sz w:val="21"/>
                <w:szCs w:val="21"/>
                <w:lang w:val="en-US" w:eastAsia="zh-CN"/>
              </w:rPr>
              <w:t>1.3</w:t>
            </w:r>
            <w:r>
              <w:rPr>
                <w:rFonts w:hint="eastAsia"/>
                <w:b/>
                <w:bCs/>
                <w:sz w:val="21"/>
                <w:szCs w:val="21"/>
                <w:lang w:val="en-US" w:eastAsia="zh-CN"/>
              </w:rPr>
              <w:t>控温范围：室温</w:t>
            </w:r>
            <w:r>
              <w:rPr>
                <w:b/>
                <w:bCs/>
                <w:sz w:val="21"/>
                <w:szCs w:val="21"/>
                <w:lang w:val="en-US" w:eastAsia="zh-CN"/>
              </w:rPr>
              <w:t>~1000</w:t>
            </w:r>
            <w:r>
              <w:rPr>
                <w:rFonts w:hint="eastAsia"/>
                <w:b/>
                <w:bCs/>
                <w:sz w:val="21"/>
                <w:szCs w:val="21"/>
                <w:lang w:val="en-US" w:eastAsia="zh-CN"/>
              </w:rPr>
              <w:t>℃；</w:t>
            </w:r>
            <w:r>
              <w:rPr>
                <w:rFonts w:hint="eastAsia"/>
                <w:b/>
                <w:bCs/>
                <w:color w:val="FF0000"/>
                <w:sz w:val="21"/>
                <w:szCs w:val="21"/>
                <w:lang w:val="en-US" w:eastAsia="zh-CN"/>
              </w:rPr>
              <w:t>（提供网页截图(含网址）或使用说明书，所有资料均加盖投标人公章）</w:t>
            </w:r>
          </w:p>
        </w:tc>
        <w:tc>
          <w:tcPr>
            <w:tcW w:w="479" w:type="pct"/>
          </w:tcPr>
          <w:p>
            <w:pPr>
              <w:pStyle w:val="534"/>
              <w:tabs>
                <w:tab w:val="left" w:pos="508"/>
                <w:tab w:val="clear" w:pos="426"/>
              </w:tabs>
              <w:spacing w:line="240" w:lineRule="auto"/>
              <w:ind w:left="160"/>
              <w:jc w:val="center"/>
              <w:rPr>
                <w:rFonts w:hint="eastAsia"/>
                <w:b/>
                <w:bCs/>
                <w:sz w:val="21"/>
                <w:szCs w:val="21"/>
                <w:lang w:val="en-US" w:eastAsia="zh-CN"/>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sz w:val="21"/>
                <w:szCs w:val="21"/>
                <w:lang w:val="en-US" w:eastAsia="zh-CN"/>
              </w:rPr>
            </w:pPr>
          </w:p>
        </w:tc>
        <w:tc>
          <w:tcPr>
            <w:tcW w:w="898" w:type="pct"/>
            <w:vMerge w:val="continue"/>
          </w:tcPr>
          <w:p>
            <w:pPr>
              <w:pStyle w:val="534"/>
              <w:tabs>
                <w:tab w:val="left" w:pos="508"/>
                <w:tab w:val="clear" w:pos="426"/>
              </w:tabs>
              <w:spacing w:line="240" w:lineRule="auto"/>
              <w:ind w:left="160"/>
              <w:rPr>
                <w:rFonts w:hint="eastAsia"/>
                <w:sz w:val="21"/>
                <w:szCs w:val="21"/>
                <w:lang w:val="en-US" w:eastAsia="zh-CN"/>
              </w:rPr>
            </w:pPr>
          </w:p>
        </w:tc>
        <w:tc>
          <w:tcPr>
            <w:tcW w:w="424" w:type="pct"/>
            <w:vMerge w:val="continue"/>
          </w:tcPr>
          <w:p>
            <w:pPr>
              <w:pStyle w:val="534"/>
              <w:tabs>
                <w:tab w:val="left" w:pos="508"/>
                <w:tab w:val="clear" w:pos="426"/>
              </w:tabs>
              <w:spacing w:line="240" w:lineRule="auto"/>
              <w:ind w:left="160"/>
              <w:rPr>
                <w:rFonts w:hint="eastAsia"/>
                <w:sz w:val="21"/>
                <w:szCs w:val="21"/>
                <w:lang w:val="en-US" w:eastAsia="zh-CN"/>
              </w:rPr>
            </w:pPr>
          </w:p>
        </w:tc>
        <w:tc>
          <w:tcPr>
            <w:tcW w:w="2943" w:type="pct"/>
          </w:tcPr>
          <w:p>
            <w:pPr>
              <w:pStyle w:val="534"/>
              <w:tabs>
                <w:tab w:val="left" w:pos="508"/>
                <w:tab w:val="clear" w:pos="426"/>
              </w:tabs>
              <w:spacing w:line="240" w:lineRule="auto"/>
              <w:ind w:left="160"/>
              <w:jc w:val="left"/>
              <w:rPr>
                <w:rFonts w:hint="eastAsia"/>
                <w:b/>
                <w:bCs/>
                <w:sz w:val="21"/>
                <w:szCs w:val="21"/>
                <w:lang w:val="en-US" w:eastAsia="zh-CN"/>
              </w:rPr>
            </w:pPr>
            <w:r>
              <w:rPr>
                <w:rFonts w:hint="eastAsia"/>
                <w:b/>
                <w:bCs/>
                <w:sz w:val="21"/>
                <w:szCs w:val="21"/>
                <w:lang w:val="en-US" w:eastAsia="zh-CN"/>
              </w:rPr>
              <w:t>▲</w:t>
            </w:r>
            <w:r>
              <w:rPr>
                <w:b/>
                <w:bCs/>
                <w:sz w:val="21"/>
                <w:szCs w:val="21"/>
                <w:lang w:val="en-US" w:eastAsia="zh-CN"/>
              </w:rPr>
              <w:t>1.4</w:t>
            </w:r>
            <w:r>
              <w:rPr>
                <w:rFonts w:hint="eastAsia"/>
                <w:b/>
                <w:bCs/>
                <w:sz w:val="21"/>
                <w:szCs w:val="21"/>
                <w:lang w:val="en-US" w:eastAsia="zh-CN"/>
              </w:rPr>
              <w:t>喷尘压力：</w:t>
            </w:r>
            <w:r>
              <w:rPr>
                <w:b/>
                <w:bCs/>
                <w:sz w:val="21"/>
                <w:szCs w:val="21"/>
                <w:lang w:val="en-US" w:eastAsia="zh-CN"/>
              </w:rPr>
              <w:t>0-100kPa,</w:t>
            </w:r>
            <w:r>
              <w:rPr>
                <w:rFonts w:hint="eastAsia"/>
                <w:b/>
                <w:bCs/>
                <w:sz w:val="21"/>
                <w:szCs w:val="21"/>
                <w:lang w:val="en-US" w:eastAsia="zh-CN"/>
              </w:rPr>
              <w:t>数字显示；压力精度：±</w:t>
            </w:r>
            <w:r>
              <w:rPr>
                <w:b/>
                <w:bCs/>
                <w:sz w:val="21"/>
                <w:szCs w:val="21"/>
                <w:lang w:val="en-US" w:eastAsia="zh-CN"/>
              </w:rPr>
              <w:t>5%</w:t>
            </w:r>
            <w:r>
              <w:rPr>
                <w:rFonts w:hint="eastAsia"/>
                <w:b/>
                <w:bCs/>
                <w:sz w:val="21"/>
                <w:szCs w:val="21"/>
                <w:lang w:val="en-US" w:eastAsia="zh-CN"/>
              </w:rPr>
              <w:t>；</w:t>
            </w:r>
            <w:r>
              <w:rPr>
                <w:rFonts w:hint="eastAsia"/>
                <w:b/>
                <w:bCs/>
                <w:color w:val="FF0000"/>
                <w:sz w:val="21"/>
                <w:szCs w:val="21"/>
                <w:lang w:val="en-US" w:eastAsia="zh-CN"/>
              </w:rPr>
              <w:t>（提供网页截图(含网址）或使用说明书，所有资料均加盖投标人公章）</w:t>
            </w:r>
          </w:p>
        </w:tc>
        <w:tc>
          <w:tcPr>
            <w:tcW w:w="479" w:type="pct"/>
          </w:tcPr>
          <w:p>
            <w:pPr>
              <w:pStyle w:val="534"/>
              <w:tabs>
                <w:tab w:val="left" w:pos="508"/>
                <w:tab w:val="clear" w:pos="426"/>
              </w:tabs>
              <w:spacing w:line="240" w:lineRule="auto"/>
              <w:ind w:left="160"/>
              <w:jc w:val="center"/>
              <w:rPr>
                <w:rFonts w:hint="eastAsia"/>
                <w:b/>
                <w:bCs/>
                <w:sz w:val="21"/>
                <w:szCs w:val="21"/>
                <w:lang w:val="en-US" w:eastAsia="zh-CN"/>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sz w:val="21"/>
                <w:szCs w:val="21"/>
                <w:lang w:val="en-US" w:eastAsia="zh-CN"/>
              </w:rPr>
            </w:pPr>
          </w:p>
        </w:tc>
        <w:tc>
          <w:tcPr>
            <w:tcW w:w="898" w:type="pct"/>
            <w:vMerge w:val="continue"/>
          </w:tcPr>
          <w:p>
            <w:pPr>
              <w:pStyle w:val="534"/>
              <w:tabs>
                <w:tab w:val="left" w:pos="508"/>
                <w:tab w:val="clear" w:pos="426"/>
              </w:tabs>
              <w:spacing w:line="240" w:lineRule="auto"/>
              <w:ind w:left="160"/>
              <w:rPr>
                <w:rFonts w:hint="eastAsia"/>
                <w:sz w:val="21"/>
                <w:szCs w:val="21"/>
                <w:lang w:val="en-US" w:eastAsia="zh-CN"/>
              </w:rPr>
            </w:pPr>
          </w:p>
        </w:tc>
        <w:tc>
          <w:tcPr>
            <w:tcW w:w="424" w:type="pct"/>
            <w:vMerge w:val="continue"/>
          </w:tcPr>
          <w:p>
            <w:pPr>
              <w:pStyle w:val="534"/>
              <w:tabs>
                <w:tab w:val="left" w:pos="508"/>
                <w:tab w:val="clear" w:pos="426"/>
              </w:tabs>
              <w:spacing w:line="240" w:lineRule="auto"/>
              <w:ind w:left="160"/>
              <w:rPr>
                <w:rFonts w:hint="eastAsia"/>
                <w:sz w:val="21"/>
                <w:szCs w:val="21"/>
                <w:lang w:val="en-US" w:eastAsia="zh-CN"/>
              </w:rPr>
            </w:pPr>
          </w:p>
        </w:tc>
        <w:tc>
          <w:tcPr>
            <w:tcW w:w="2943" w:type="pct"/>
          </w:tcPr>
          <w:p>
            <w:pPr>
              <w:pStyle w:val="534"/>
              <w:tabs>
                <w:tab w:val="left" w:pos="508"/>
                <w:tab w:val="clear" w:pos="426"/>
              </w:tabs>
              <w:spacing w:line="240" w:lineRule="auto"/>
              <w:ind w:left="160"/>
              <w:jc w:val="left"/>
              <w:rPr>
                <w:rFonts w:hint="eastAsia"/>
                <w:b/>
                <w:bCs/>
                <w:sz w:val="21"/>
                <w:szCs w:val="21"/>
                <w:lang w:val="en-US" w:eastAsia="zh-CN"/>
              </w:rPr>
            </w:pPr>
            <w:r>
              <w:rPr>
                <w:rFonts w:hint="eastAsia"/>
                <w:b/>
                <w:bCs/>
                <w:sz w:val="21"/>
                <w:szCs w:val="21"/>
                <w:lang w:val="en-US" w:eastAsia="zh-CN"/>
              </w:rPr>
              <w:t>▲</w:t>
            </w:r>
            <w:r>
              <w:rPr>
                <w:b/>
                <w:bCs/>
                <w:sz w:val="21"/>
                <w:szCs w:val="21"/>
                <w:lang w:val="en-US" w:eastAsia="zh-CN"/>
              </w:rPr>
              <w:t>1.5</w:t>
            </w:r>
            <w:r>
              <w:rPr>
                <w:rFonts w:hint="eastAsia"/>
                <w:b/>
                <w:bCs/>
                <w:sz w:val="21"/>
                <w:szCs w:val="21"/>
                <w:lang w:val="en-US" w:eastAsia="zh-CN"/>
              </w:rPr>
              <w:t>升温时间：≤</w:t>
            </w:r>
            <w:r>
              <w:rPr>
                <w:b/>
                <w:bCs/>
                <w:sz w:val="21"/>
                <w:szCs w:val="21"/>
                <w:lang w:val="en-US" w:eastAsia="zh-CN"/>
              </w:rPr>
              <w:t>30min(</w:t>
            </w:r>
            <w:r>
              <w:rPr>
                <w:rFonts w:hint="eastAsia"/>
                <w:b/>
                <w:bCs/>
                <w:sz w:val="21"/>
                <w:szCs w:val="21"/>
                <w:lang w:val="en-US" w:eastAsia="zh-CN"/>
              </w:rPr>
              <w:t>室温至</w:t>
            </w:r>
            <w:r>
              <w:rPr>
                <w:b/>
                <w:bCs/>
                <w:sz w:val="21"/>
                <w:szCs w:val="21"/>
                <w:lang w:val="en-US" w:eastAsia="zh-CN"/>
              </w:rPr>
              <w:t>500</w:t>
            </w:r>
            <w:r>
              <w:rPr>
                <w:rFonts w:hint="eastAsia"/>
                <w:b/>
                <w:bCs/>
                <w:sz w:val="21"/>
                <w:szCs w:val="21"/>
                <w:lang w:val="en-US" w:eastAsia="zh-CN"/>
              </w:rPr>
              <w:t>℃</w:t>
            </w:r>
            <w:r>
              <w:rPr>
                <w:b/>
                <w:bCs/>
                <w:sz w:val="21"/>
                <w:szCs w:val="21"/>
                <w:lang w:val="en-US" w:eastAsia="zh-CN"/>
              </w:rPr>
              <w:t>)</w:t>
            </w:r>
            <w:r>
              <w:rPr>
                <w:rFonts w:hint="eastAsia"/>
                <w:b/>
                <w:bCs/>
                <w:sz w:val="21"/>
                <w:szCs w:val="21"/>
                <w:lang w:val="en-US" w:eastAsia="zh-CN"/>
              </w:rPr>
              <w:t>；</w:t>
            </w:r>
            <w:r>
              <w:rPr>
                <w:rFonts w:hint="eastAsia"/>
                <w:b/>
                <w:bCs/>
                <w:color w:val="FF0000"/>
                <w:sz w:val="21"/>
                <w:szCs w:val="21"/>
                <w:lang w:val="en-US" w:eastAsia="zh-CN"/>
              </w:rPr>
              <w:t>（提供网页截图(含网址）或使用说明书，所有资料均加盖投标人公章）</w:t>
            </w:r>
          </w:p>
        </w:tc>
        <w:tc>
          <w:tcPr>
            <w:tcW w:w="479" w:type="pct"/>
          </w:tcPr>
          <w:p>
            <w:pPr>
              <w:pStyle w:val="534"/>
              <w:tabs>
                <w:tab w:val="left" w:pos="508"/>
                <w:tab w:val="clear" w:pos="426"/>
              </w:tabs>
              <w:spacing w:line="240" w:lineRule="auto"/>
              <w:ind w:left="160"/>
              <w:jc w:val="center"/>
              <w:rPr>
                <w:rFonts w:hint="eastAsia"/>
                <w:b/>
                <w:bCs/>
                <w:sz w:val="21"/>
                <w:szCs w:val="21"/>
                <w:lang w:val="en-US" w:eastAsia="zh-CN"/>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sz w:val="21"/>
                <w:szCs w:val="21"/>
                <w:lang w:val="en-US" w:eastAsia="zh-CN"/>
              </w:rPr>
            </w:pPr>
          </w:p>
        </w:tc>
        <w:tc>
          <w:tcPr>
            <w:tcW w:w="898" w:type="pct"/>
            <w:vMerge w:val="continue"/>
          </w:tcPr>
          <w:p>
            <w:pPr>
              <w:pStyle w:val="534"/>
              <w:tabs>
                <w:tab w:val="left" w:pos="508"/>
                <w:tab w:val="clear" w:pos="426"/>
              </w:tabs>
              <w:spacing w:line="240" w:lineRule="auto"/>
              <w:ind w:left="160"/>
              <w:rPr>
                <w:rFonts w:hint="eastAsia"/>
                <w:sz w:val="21"/>
                <w:szCs w:val="21"/>
                <w:lang w:val="en-US" w:eastAsia="zh-CN"/>
              </w:rPr>
            </w:pPr>
          </w:p>
        </w:tc>
        <w:tc>
          <w:tcPr>
            <w:tcW w:w="424" w:type="pct"/>
            <w:vMerge w:val="continue"/>
          </w:tcPr>
          <w:p>
            <w:pPr>
              <w:pStyle w:val="534"/>
              <w:tabs>
                <w:tab w:val="left" w:pos="508"/>
                <w:tab w:val="clear" w:pos="426"/>
              </w:tabs>
              <w:spacing w:line="240" w:lineRule="auto"/>
              <w:ind w:left="160"/>
              <w:rPr>
                <w:rFonts w:hint="eastAsia"/>
                <w:sz w:val="21"/>
                <w:szCs w:val="21"/>
                <w:lang w:val="en-US" w:eastAsia="zh-CN"/>
              </w:rPr>
            </w:pPr>
          </w:p>
        </w:tc>
        <w:tc>
          <w:tcPr>
            <w:tcW w:w="2943" w:type="pct"/>
          </w:tcPr>
          <w:p>
            <w:pPr>
              <w:pStyle w:val="534"/>
              <w:tabs>
                <w:tab w:val="left" w:pos="508"/>
                <w:tab w:val="clear" w:pos="426"/>
              </w:tabs>
              <w:spacing w:line="240" w:lineRule="auto"/>
              <w:ind w:left="160"/>
              <w:jc w:val="left"/>
              <w:rPr>
                <w:rFonts w:hint="eastAsia"/>
                <w:b/>
                <w:bCs/>
                <w:sz w:val="21"/>
                <w:szCs w:val="21"/>
                <w:lang w:val="en-US" w:eastAsia="zh-CN"/>
              </w:rPr>
            </w:pPr>
            <w:r>
              <w:rPr>
                <w:b/>
                <w:bCs/>
                <w:sz w:val="21"/>
                <w:szCs w:val="21"/>
                <w:lang w:val="en-US" w:eastAsia="zh-CN"/>
              </w:rPr>
              <w:t>1.6</w:t>
            </w:r>
            <w:r>
              <w:rPr>
                <w:rFonts w:hint="eastAsia"/>
                <w:b/>
                <w:bCs/>
                <w:sz w:val="21"/>
                <w:szCs w:val="21"/>
                <w:lang w:val="en-US" w:eastAsia="zh-CN"/>
              </w:rPr>
              <w:t>控温稳定性：±</w:t>
            </w:r>
            <w:r>
              <w:rPr>
                <w:b/>
                <w:bCs/>
                <w:sz w:val="21"/>
                <w:szCs w:val="21"/>
                <w:lang w:val="en-US" w:eastAsia="zh-CN"/>
              </w:rPr>
              <w:t>5. 0</w:t>
            </w:r>
            <w:r>
              <w:rPr>
                <w:rFonts w:hint="eastAsia"/>
                <w:b/>
                <w:bCs/>
                <w:sz w:val="21"/>
                <w:szCs w:val="21"/>
                <w:lang w:val="en-US" w:eastAsia="zh-CN"/>
              </w:rPr>
              <w:t>℃；</w:t>
            </w:r>
            <w:r>
              <w:rPr>
                <w:rFonts w:hint="eastAsia"/>
                <w:b/>
                <w:bCs/>
                <w:color w:val="FF0000"/>
                <w:sz w:val="21"/>
                <w:szCs w:val="21"/>
                <w:lang w:val="en-US" w:eastAsia="zh-CN"/>
              </w:rPr>
              <w:t>（提供网页截图(含网址）或使用说明书，所有资料均加盖投标人公章）</w:t>
            </w:r>
          </w:p>
        </w:tc>
        <w:tc>
          <w:tcPr>
            <w:tcW w:w="479" w:type="pct"/>
          </w:tcPr>
          <w:p>
            <w:pPr>
              <w:pStyle w:val="534"/>
              <w:tabs>
                <w:tab w:val="left" w:pos="508"/>
                <w:tab w:val="clear" w:pos="426"/>
              </w:tabs>
              <w:spacing w:line="240" w:lineRule="auto"/>
              <w:ind w:left="160"/>
              <w:jc w:val="center"/>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sz w:val="21"/>
                <w:szCs w:val="21"/>
                <w:lang w:val="en-US" w:eastAsia="zh-CN"/>
              </w:rPr>
            </w:pPr>
          </w:p>
        </w:tc>
        <w:tc>
          <w:tcPr>
            <w:tcW w:w="898" w:type="pct"/>
            <w:vMerge w:val="continue"/>
          </w:tcPr>
          <w:p>
            <w:pPr>
              <w:pStyle w:val="534"/>
              <w:tabs>
                <w:tab w:val="left" w:pos="508"/>
                <w:tab w:val="clear" w:pos="426"/>
              </w:tabs>
              <w:spacing w:line="240" w:lineRule="auto"/>
              <w:ind w:left="160"/>
              <w:rPr>
                <w:rFonts w:hint="eastAsia"/>
                <w:sz w:val="21"/>
                <w:szCs w:val="21"/>
                <w:lang w:val="en-US" w:eastAsia="zh-CN"/>
              </w:rPr>
            </w:pPr>
          </w:p>
        </w:tc>
        <w:tc>
          <w:tcPr>
            <w:tcW w:w="424" w:type="pct"/>
            <w:vMerge w:val="continue"/>
          </w:tcPr>
          <w:p>
            <w:pPr>
              <w:pStyle w:val="534"/>
              <w:tabs>
                <w:tab w:val="left" w:pos="508"/>
                <w:tab w:val="clear" w:pos="426"/>
              </w:tabs>
              <w:spacing w:line="240" w:lineRule="auto"/>
              <w:ind w:left="160"/>
              <w:rPr>
                <w:rFonts w:hint="eastAsia"/>
                <w:sz w:val="21"/>
                <w:szCs w:val="21"/>
                <w:lang w:val="en-US" w:eastAsia="zh-CN"/>
              </w:rPr>
            </w:pPr>
          </w:p>
        </w:tc>
        <w:tc>
          <w:tcPr>
            <w:tcW w:w="2943" w:type="pct"/>
          </w:tcPr>
          <w:p>
            <w:pPr>
              <w:pStyle w:val="534"/>
              <w:tabs>
                <w:tab w:val="left" w:pos="508"/>
                <w:tab w:val="clear" w:pos="426"/>
              </w:tabs>
              <w:spacing w:line="240" w:lineRule="auto"/>
              <w:ind w:left="160"/>
              <w:jc w:val="left"/>
              <w:rPr>
                <w:rFonts w:hint="eastAsia"/>
                <w:b/>
                <w:bCs/>
                <w:sz w:val="21"/>
                <w:szCs w:val="21"/>
                <w:lang w:val="en-US" w:eastAsia="zh-CN"/>
              </w:rPr>
            </w:pPr>
            <w:r>
              <w:rPr>
                <w:rFonts w:hint="eastAsia"/>
                <w:b/>
                <w:bCs/>
                <w:sz w:val="21"/>
                <w:szCs w:val="21"/>
                <w:lang w:val="en-US" w:eastAsia="zh-CN"/>
              </w:rPr>
              <w:t>▲</w:t>
            </w:r>
            <w:r>
              <w:rPr>
                <w:b/>
                <w:bCs/>
                <w:sz w:val="21"/>
                <w:szCs w:val="21"/>
                <w:lang w:val="en-US" w:eastAsia="zh-CN"/>
              </w:rPr>
              <w:t>1.7</w:t>
            </w:r>
            <w:r>
              <w:rPr>
                <w:rFonts w:hint="eastAsia"/>
                <w:b/>
                <w:bCs/>
                <w:sz w:val="21"/>
                <w:szCs w:val="21"/>
                <w:lang w:val="en-US" w:eastAsia="zh-CN"/>
              </w:rPr>
              <w:t>测温精密度：±</w:t>
            </w:r>
            <w:r>
              <w:rPr>
                <w:b/>
                <w:bCs/>
                <w:sz w:val="21"/>
                <w:szCs w:val="21"/>
                <w:lang w:val="en-US" w:eastAsia="zh-CN"/>
              </w:rPr>
              <w:t>0. 1</w:t>
            </w:r>
            <w:r>
              <w:rPr>
                <w:rFonts w:hint="eastAsia"/>
                <w:b/>
                <w:bCs/>
                <w:sz w:val="21"/>
                <w:szCs w:val="21"/>
                <w:lang w:val="en-US" w:eastAsia="zh-CN"/>
              </w:rPr>
              <w:t>℃；</w:t>
            </w:r>
            <w:r>
              <w:rPr>
                <w:rFonts w:hint="eastAsia"/>
                <w:b/>
                <w:bCs/>
                <w:color w:val="FF0000"/>
                <w:sz w:val="21"/>
                <w:szCs w:val="21"/>
                <w:lang w:val="en-US" w:eastAsia="zh-CN"/>
              </w:rPr>
              <w:t>（提供网页截图(含网址）或使用说明书，所有资料均加盖投标人公章）</w:t>
            </w:r>
          </w:p>
        </w:tc>
        <w:tc>
          <w:tcPr>
            <w:tcW w:w="479" w:type="pct"/>
          </w:tcPr>
          <w:p>
            <w:pPr>
              <w:pStyle w:val="534"/>
              <w:tabs>
                <w:tab w:val="left" w:pos="508"/>
                <w:tab w:val="clear" w:pos="426"/>
              </w:tabs>
              <w:spacing w:line="240" w:lineRule="auto"/>
              <w:ind w:left="160"/>
              <w:jc w:val="center"/>
              <w:rPr>
                <w:rFonts w:hint="eastAsia"/>
                <w:b/>
                <w:bCs/>
                <w:sz w:val="21"/>
                <w:szCs w:val="21"/>
                <w:lang w:val="en-US" w:eastAsia="zh-CN"/>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sz w:val="21"/>
                <w:szCs w:val="21"/>
                <w:lang w:val="en-US" w:eastAsia="zh-CN"/>
              </w:rPr>
            </w:pPr>
          </w:p>
        </w:tc>
        <w:tc>
          <w:tcPr>
            <w:tcW w:w="898" w:type="pct"/>
            <w:vMerge w:val="continue"/>
          </w:tcPr>
          <w:p>
            <w:pPr>
              <w:pStyle w:val="534"/>
              <w:tabs>
                <w:tab w:val="left" w:pos="508"/>
                <w:tab w:val="clear" w:pos="426"/>
              </w:tabs>
              <w:spacing w:line="240" w:lineRule="auto"/>
              <w:ind w:left="160"/>
              <w:rPr>
                <w:rFonts w:hint="eastAsia"/>
                <w:sz w:val="21"/>
                <w:szCs w:val="21"/>
                <w:lang w:val="en-US" w:eastAsia="zh-CN"/>
              </w:rPr>
            </w:pPr>
          </w:p>
        </w:tc>
        <w:tc>
          <w:tcPr>
            <w:tcW w:w="424" w:type="pct"/>
            <w:vMerge w:val="continue"/>
          </w:tcPr>
          <w:p>
            <w:pPr>
              <w:pStyle w:val="534"/>
              <w:tabs>
                <w:tab w:val="left" w:pos="508"/>
                <w:tab w:val="clear" w:pos="426"/>
              </w:tabs>
              <w:spacing w:line="240" w:lineRule="auto"/>
              <w:ind w:left="160"/>
              <w:rPr>
                <w:rFonts w:hint="eastAsia"/>
                <w:sz w:val="21"/>
                <w:szCs w:val="21"/>
                <w:lang w:val="en-US" w:eastAsia="zh-CN"/>
              </w:rPr>
            </w:pPr>
          </w:p>
        </w:tc>
        <w:tc>
          <w:tcPr>
            <w:tcW w:w="2943" w:type="pct"/>
          </w:tcPr>
          <w:p>
            <w:pPr>
              <w:pStyle w:val="534"/>
              <w:tabs>
                <w:tab w:val="left" w:pos="508"/>
                <w:tab w:val="clear" w:pos="426"/>
              </w:tabs>
              <w:spacing w:line="240" w:lineRule="auto"/>
              <w:ind w:left="160"/>
              <w:jc w:val="left"/>
              <w:rPr>
                <w:rFonts w:hint="eastAsia"/>
                <w:b/>
                <w:bCs/>
                <w:sz w:val="21"/>
                <w:szCs w:val="21"/>
                <w:lang w:val="en-US" w:eastAsia="zh-CN"/>
              </w:rPr>
            </w:pPr>
            <w:r>
              <w:rPr>
                <w:b/>
                <w:bCs/>
                <w:sz w:val="21"/>
                <w:szCs w:val="21"/>
                <w:lang w:val="en-US" w:eastAsia="zh-CN"/>
              </w:rPr>
              <w:t>1.8</w:t>
            </w:r>
            <w:r>
              <w:rPr>
                <w:rFonts w:hint="eastAsia"/>
                <w:b/>
                <w:bCs/>
                <w:sz w:val="21"/>
                <w:szCs w:val="21"/>
                <w:lang w:val="en-US" w:eastAsia="zh-CN"/>
              </w:rPr>
              <w:t>采智能控温算法，实现高精度控温；</w:t>
            </w:r>
            <w:r>
              <w:rPr>
                <w:rFonts w:hint="eastAsia"/>
                <w:b/>
                <w:bCs/>
                <w:color w:val="FF0000"/>
                <w:sz w:val="21"/>
                <w:szCs w:val="21"/>
                <w:lang w:val="en-US" w:eastAsia="zh-CN"/>
              </w:rPr>
              <w:t>（提供网页截图(含网址）或使用说明书，所有资料均加盖投标人公章）</w:t>
            </w:r>
          </w:p>
        </w:tc>
        <w:tc>
          <w:tcPr>
            <w:tcW w:w="479" w:type="pct"/>
          </w:tcPr>
          <w:p>
            <w:pPr>
              <w:pStyle w:val="534"/>
              <w:tabs>
                <w:tab w:val="left" w:pos="508"/>
                <w:tab w:val="clear" w:pos="426"/>
              </w:tabs>
              <w:spacing w:line="240" w:lineRule="auto"/>
              <w:ind w:left="160"/>
              <w:jc w:val="center"/>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sz w:val="21"/>
                <w:szCs w:val="21"/>
                <w:lang w:val="en-US" w:eastAsia="zh-CN"/>
              </w:rPr>
            </w:pPr>
          </w:p>
        </w:tc>
        <w:tc>
          <w:tcPr>
            <w:tcW w:w="898" w:type="pct"/>
            <w:vMerge w:val="continue"/>
          </w:tcPr>
          <w:p>
            <w:pPr>
              <w:pStyle w:val="534"/>
              <w:tabs>
                <w:tab w:val="left" w:pos="508"/>
                <w:tab w:val="clear" w:pos="426"/>
              </w:tabs>
              <w:spacing w:line="240" w:lineRule="auto"/>
              <w:ind w:left="160"/>
              <w:rPr>
                <w:rFonts w:hint="eastAsia"/>
                <w:sz w:val="21"/>
                <w:szCs w:val="21"/>
                <w:lang w:val="en-US" w:eastAsia="zh-CN"/>
              </w:rPr>
            </w:pPr>
          </w:p>
        </w:tc>
        <w:tc>
          <w:tcPr>
            <w:tcW w:w="424" w:type="pct"/>
            <w:vMerge w:val="continue"/>
          </w:tcPr>
          <w:p>
            <w:pPr>
              <w:pStyle w:val="534"/>
              <w:tabs>
                <w:tab w:val="left" w:pos="508"/>
                <w:tab w:val="clear" w:pos="426"/>
              </w:tabs>
              <w:spacing w:line="240" w:lineRule="auto"/>
              <w:ind w:left="160"/>
              <w:rPr>
                <w:rFonts w:hint="eastAsia"/>
                <w:sz w:val="21"/>
                <w:szCs w:val="21"/>
                <w:lang w:val="en-US" w:eastAsia="zh-CN"/>
              </w:rPr>
            </w:pPr>
          </w:p>
        </w:tc>
        <w:tc>
          <w:tcPr>
            <w:tcW w:w="2943" w:type="pct"/>
          </w:tcPr>
          <w:p>
            <w:pPr>
              <w:pStyle w:val="534"/>
              <w:tabs>
                <w:tab w:val="left" w:pos="508"/>
                <w:tab w:val="clear" w:pos="426"/>
              </w:tabs>
              <w:spacing w:line="240" w:lineRule="auto"/>
              <w:ind w:left="160"/>
              <w:jc w:val="left"/>
              <w:rPr>
                <w:rFonts w:hint="eastAsia"/>
                <w:b/>
                <w:bCs/>
                <w:sz w:val="21"/>
                <w:szCs w:val="21"/>
                <w:lang w:val="en-US" w:eastAsia="zh-CN"/>
              </w:rPr>
            </w:pPr>
            <w:r>
              <w:rPr>
                <w:b/>
                <w:bCs/>
                <w:sz w:val="21"/>
                <w:szCs w:val="21"/>
                <w:lang w:val="en-US" w:eastAsia="zh-CN"/>
              </w:rPr>
              <w:t>1.9 USB</w:t>
            </w:r>
            <w:r>
              <w:rPr>
                <w:rFonts w:hint="eastAsia"/>
                <w:b/>
                <w:bCs/>
                <w:sz w:val="21"/>
                <w:szCs w:val="21"/>
                <w:lang w:val="en-US" w:eastAsia="zh-CN"/>
              </w:rPr>
              <w:t>接口传输数据，即插即用，</w:t>
            </w:r>
            <w:r>
              <w:rPr>
                <w:rFonts w:hint="eastAsia"/>
                <w:b/>
                <w:bCs/>
                <w:color w:val="FF0000"/>
                <w:sz w:val="21"/>
                <w:szCs w:val="21"/>
                <w:lang w:val="en-US" w:eastAsia="zh-CN"/>
              </w:rPr>
              <w:t>需提供</w:t>
            </w:r>
            <w:r>
              <w:rPr>
                <w:b/>
                <w:bCs/>
                <w:color w:val="FF0000"/>
                <w:sz w:val="21"/>
                <w:szCs w:val="21"/>
                <w:lang w:val="en-US" w:eastAsia="zh-CN"/>
              </w:rPr>
              <w:t>USB</w:t>
            </w:r>
            <w:r>
              <w:rPr>
                <w:rFonts w:hint="eastAsia"/>
                <w:b/>
                <w:bCs/>
                <w:color w:val="FF0000"/>
                <w:sz w:val="21"/>
                <w:szCs w:val="21"/>
                <w:lang w:val="en-US" w:eastAsia="zh-CN"/>
              </w:rPr>
              <w:t>接口集成于仪器上的实物图及软件系统界面证明材料，还需提供网页截图(含网址）或使用说明书，所有资料均加盖投标人公章。</w:t>
            </w:r>
          </w:p>
        </w:tc>
        <w:tc>
          <w:tcPr>
            <w:tcW w:w="479" w:type="pct"/>
          </w:tcPr>
          <w:p>
            <w:pPr>
              <w:pStyle w:val="534"/>
              <w:tabs>
                <w:tab w:val="left" w:pos="508"/>
                <w:tab w:val="clear" w:pos="426"/>
              </w:tabs>
              <w:spacing w:line="240" w:lineRule="auto"/>
              <w:ind w:left="160"/>
              <w:jc w:val="center"/>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sz w:val="21"/>
                <w:szCs w:val="21"/>
                <w:lang w:val="en-US" w:eastAsia="zh-CN"/>
              </w:rPr>
            </w:pPr>
          </w:p>
        </w:tc>
        <w:tc>
          <w:tcPr>
            <w:tcW w:w="898" w:type="pct"/>
            <w:vMerge w:val="continue"/>
          </w:tcPr>
          <w:p>
            <w:pPr>
              <w:pStyle w:val="534"/>
              <w:tabs>
                <w:tab w:val="left" w:pos="508"/>
                <w:tab w:val="clear" w:pos="426"/>
              </w:tabs>
              <w:spacing w:line="240" w:lineRule="auto"/>
              <w:ind w:left="160"/>
              <w:rPr>
                <w:rFonts w:hint="eastAsia"/>
                <w:sz w:val="21"/>
                <w:szCs w:val="21"/>
                <w:lang w:val="en-US" w:eastAsia="zh-CN"/>
              </w:rPr>
            </w:pPr>
          </w:p>
        </w:tc>
        <w:tc>
          <w:tcPr>
            <w:tcW w:w="424" w:type="pct"/>
            <w:vMerge w:val="continue"/>
          </w:tcPr>
          <w:p>
            <w:pPr>
              <w:pStyle w:val="534"/>
              <w:tabs>
                <w:tab w:val="left" w:pos="508"/>
                <w:tab w:val="clear" w:pos="426"/>
              </w:tabs>
              <w:spacing w:line="240" w:lineRule="auto"/>
              <w:ind w:left="160"/>
              <w:rPr>
                <w:rFonts w:hint="eastAsia"/>
                <w:sz w:val="21"/>
                <w:szCs w:val="21"/>
                <w:lang w:val="en-US" w:eastAsia="zh-CN"/>
              </w:rPr>
            </w:pPr>
          </w:p>
        </w:tc>
        <w:tc>
          <w:tcPr>
            <w:tcW w:w="2943" w:type="pct"/>
          </w:tcPr>
          <w:p>
            <w:pPr>
              <w:pStyle w:val="534"/>
              <w:tabs>
                <w:tab w:val="left" w:pos="508"/>
                <w:tab w:val="clear" w:pos="426"/>
              </w:tabs>
              <w:spacing w:line="240" w:lineRule="auto"/>
              <w:ind w:left="160"/>
              <w:jc w:val="left"/>
              <w:rPr>
                <w:rFonts w:hint="eastAsia"/>
                <w:b/>
                <w:bCs/>
                <w:sz w:val="21"/>
                <w:szCs w:val="21"/>
                <w:lang w:val="en-US" w:eastAsia="zh-CN"/>
              </w:rPr>
            </w:pPr>
            <w:r>
              <w:rPr>
                <w:b/>
                <w:bCs/>
                <w:sz w:val="21"/>
                <w:szCs w:val="21"/>
                <w:lang w:val="en-US" w:eastAsia="zh-CN"/>
              </w:rPr>
              <w:t>1.10</w:t>
            </w:r>
            <w:r>
              <w:rPr>
                <w:rFonts w:hint="eastAsia"/>
                <w:b/>
                <w:bCs/>
                <w:sz w:val="21"/>
                <w:szCs w:val="21"/>
                <w:lang w:val="en-US" w:eastAsia="zh-CN"/>
              </w:rPr>
              <w:t>远程遥控点火，保证实验人员人身安全；</w:t>
            </w:r>
            <w:r>
              <w:rPr>
                <w:rFonts w:hint="eastAsia"/>
                <w:b/>
                <w:bCs/>
                <w:color w:val="FF0000"/>
                <w:sz w:val="21"/>
                <w:szCs w:val="21"/>
                <w:lang w:val="en-US" w:eastAsia="zh-CN"/>
              </w:rPr>
              <w:t>（提供网页截图(含网址）或使用说明书，所有资料均加盖投标人公章）</w:t>
            </w:r>
          </w:p>
        </w:tc>
        <w:tc>
          <w:tcPr>
            <w:tcW w:w="479" w:type="pct"/>
          </w:tcPr>
          <w:p>
            <w:pPr>
              <w:pStyle w:val="534"/>
              <w:tabs>
                <w:tab w:val="left" w:pos="508"/>
                <w:tab w:val="clear" w:pos="426"/>
              </w:tabs>
              <w:spacing w:line="240" w:lineRule="auto"/>
              <w:ind w:left="160"/>
              <w:jc w:val="center"/>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sz w:val="21"/>
                <w:szCs w:val="21"/>
                <w:lang w:val="en-US" w:eastAsia="zh-CN"/>
              </w:rPr>
            </w:pPr>
          </w:p>
        </w:tc>
        <w:tc>
          <w:tcPr>
            <w:tcW w:w="898" w:type="pct"/>
            <w:vMerge w:val="continue"/>
          </w:tcPr>
          <w:p>
            <w:pPr>
              <w:pStyle w:val="534"/>
              <w:tabs>
                <w:tab w:val="left" w:pos="508"/>
                <w:tab w:val="clear" w:pos="426"/>
              </w:tabs>
              <w:spacing w:line="240" w:lineRule="auto"/>
              <w:ind w:left="160"/>
              <w:rPr>
                <w:rFonts w:hint="eastAsia"/>
                <w:sz w:val="21"/>
                <w:szCs w:val="21"/>
                <w:lang w:val="en-US" w:eastAsia="zh-CN"/>
              </w:rPr>
            </w:pPr>
          </w:p>
        </w:tc>
        <w:tc>
          <w:tcPr>
            <w:tcW w:w="424" w:type="pct"/>
            <w:vMerge w:val="continue"/>
          </w:tcPr>
          <w:p>
            <w:pPr>
              <w:pStyle w:val="534"/>
              <w:tabs>
                <w:tab w:val="left" w:pos="508"/>
                <w:tab w:val="clear" w:pos="426"/>
              </w:tabs>
              <w:spacing w:line="240" w:lineRule="auto"/>
              <w:ind w:left="160"/>
              <w:rPr>
                <w:rFonts w:hint="eastAsia"/>
                <w:sz w:val="21"/>
                <w:szCs w:val="21"/>
                <w:lang w:val="en-US" w:eastAsia="zh-CN"/>
              </w:rPr>
            </w:pPr>
          </w:p>
        </w:tc>
        <w:tc>
          <w:tcPr>
            <w:tcW w:w="2943" w:type="pct"/>
          </w:tcPr>
          <w:p>
            <w:pPr>
              <w:pStyle w:val="534"/>
              <w:tabs>
                <w:tab w:val="left" w:pos="508"/>
                <w:tab w:val="clear" w:pos="426"/>
              </w:tabs>
              <w:spacing w:line="240" w:lineRule="auto"/>
              <w:ind w:left="160"/>
              <w:jc w:val="left"/>
              <w:rPr>
                <w:rFonts w:hint="eastAsia"/>
                <w:b/>
                <w:bCs/>
                <w:sz w:val="21"/>
                <w:szCs w:val="21"/>
                <w:lang w:val="en-US" w:eastAsia="zh-CN"/>
              </w:rPr>
            </w:pPr>
            <w:r>
              <w:rPr>
                <w:b/>
                <w:bCs/>
                <w:sz w:val="21"/>
                <w:szCs w:val="21"/>
                <w:lang w:val="en-US" w:eastAsia="zh-CN"/>
              </w:rPr>
              <w:t>1.11</w:t>
            </w:r>
            <w:r>
              <w:rPr>
                <w:rFonts w:hint="eastAsia"/>
                <w:b/>
                <w:bCs/>
                <w:sz w:val="21"/>
                <w:szCs w:val="21"/>
                <w:lang w:val="en-US" w:eastAsia="zh-CN"/>
              </w:rPr>
              <w:t>储气室容积：</w:t>
            </w:r>
            <w:r>
              <w:rPr>
                <w:b/>
                <w:bCs/>
                <w:sz w:val="21"/>
                <w:szCs w:val="21"/>
                <w:lang w:val="en-US" w:eastAsia="zh-CN"/>
              </w:rPr>
              <w:t>500ml</w:t>
            </w:r>
            <w:r>
              <w:rPr>
                <w:rFonts w:hint="eastAsia"/>
                <w:b/>
                <w:bCs/>
                <w:sz w:val="21"/>
                <w:szCs w:val="21"/>
                <w:lang w:val="en-US" w:eastAsia="zh-CN"/>
              </w:rPr>
              <w:t>；</w:t>
            </w:r>
            <w:r>
              <w:rPr>
                <w:rFonts w:hint="eastAsia"/>
                <w:b/>
                <w:bCs/>
                <w:color w:val="FF0000"/>
                <w:sz w:val="21"/>
                <w:szCs w:val="21"/>
                <w:lang w:val="en-US" w:eastAsia="zh-CN"/>
              </w:rPr>
              <w:t>（提供网页截图(含网址）或使用说明书，所有资料均加盖投标人公章）</w:t>
            </w:r>
          </w:p>
        </w:tc>
        <w:tc>
          <w:tcPr>
            <w:tcW w:w="479" w:type="pct"/>
          </w:tcPr>
          <w:p>
            <w:pPr>
              <w:pStyle w:val="534"/>
              <w:tabs>
                <w:tab w:val="left" w:pos="508"/>
                <w:tab w:val="clear" w:pos="426"/>
              </w:tabs>
              <w:spacing w:line="240" w:lineRule="auto"/>
              <w:ind w:left="160"/>
              <w:jc w:val="center"/>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sz w:val="21"/>
                <w:szCs w:val="21"/>
                <w:lang w:val="en-US" w:eastAsia="zh-CN"/>
              </w:rPr>
            </w:pPr>
          </w:p>
        </w:tc>
        <w:tc>
          <w:tcPr>
            <w:tcW w:w="898" w:type="pct"/>
            <w:vMerge w:val="continue"/>
          </w:tcPr>
          <w:p>
            <w:pPr>
              <w:pStyle w:val="534"/>
              <w:tabs>
                <w:tab w:val="left" w:pos="508"/>
                <w:tab w:val="clear" w:pos="426"/>
              </w:tabs>
              <w:spacing w:line="240" w:lineRule="auto"/>
              <w:ind w:left="160"/>
              <w:rPr>
                <w:rFonts w:hint="eastAsia"/>
                <w:sz w:val="21"/>
                <w:szCs w:val="21"/>
                <w:lang w:val="en-US" w:eastAsia="zh-CN"/>
              </w:rPr>
            </w:pPr>
          </w:p>
        </w:tc>
        <w:tc>
          <w:tcPr>
            <w:tcW w:w="424" w:type="pct"/>
            <w:vMerge w:val="continue"/>
          </w:tcPr>
          <w:p>
            <w:pPr>
              <w:pStyle w:val="534"/>
              <w:tabs>
                <w:tab w:val="left" w:pos="508"/>
                <w:tab w:val="clear" w:pos="426"/>
              </w:tabs>
              <w:spacing w:line="240" w:lineRule="auto"/>
              <w:ind w:left="160"/>
              <w:rPr>
                <w:rFonts w:hint="eastAsia"/>
                <w:sz w:val="21"/>
                <w:szCs w:val="21"/>
                <w:lang w:val="en-US" w:eastAsia="zh-CN"/>
              </w:rPr>
            </w:pPr>
          </w:p>
        </w:tc>
        <w:tc>
          <w:tcPr>
            <w:tcW w:w="2943" w:type="pct"/>
          </w:tcPr>
          <w:p>
            <w:pPr>
              <w:pStyle w:val="534"/>
              <w:tabs>
                <w:tab w:val="left" w:pos="508"/>
                <w:tab w:val="clear" w:pos="426"/>
              </w:tabs>
              <w:spacing w:line="240" w:lineRule="auto"/>
              <w:ind w:left="160"/>
              <w:jc w:val="left"/>
              <w:rPr>
                <w:rFonts w:hint="eastAsia"/>
                <w:sz w:val="21"/>
                <w:szCs w:val="21"/>
                <w:lang w:val="en-US" w:eastAsia="zh-CN"/>
              </w:rPr>
            </w:pPr>
            <w:r>
              <w:rPr>
                <w:sz w:val="21"/>
                <w:szCs w:val="21"/>
                <w:lang w:val="en-US" w:eastAsia="zh-CN"/>
              </w:rPr>
              <w:t>2.</w:t>
            </w:r>
            <w:r>
              <w:rPr>
                <w:rFonts w:hint="eastAsia"/>
                <w:sz w:val="21"/>
                <w:szCs w:val="21"/>
                <w:lang w:val="en-US" w:eastAsia="zh-CN"/>
              </w:rPr>
              <w:t>配置：</w:t>
            </w:r>
          </w:p>
        </w:tc>
        <w:tc>
          <w:tcPr>
            <w:tcW w:w="479" w:type="pct"/>
          </w:tcPr>
          <w:p>
            <w:pPr>
              <w:pStyle w:val="534"/>
              <w:tabs>
                <w:tab w:val="left" w:pos="508"/>
                <w:tab w:val="clear" w:pos="426"/>
              </w:tabs>
              <w:spacing w:line="240" w:lineRule="auto"/>
              <w:ind w:left="160"/>
              <w:jc w:val="center"/>
              <w:rPr>
                <w:rStyle w:val="143"/>
                <w:rFonts w:hAnsi="Times New Roman"/>
                <w:szCs w:val="21"/>
                <w:lang w:val="en-US" w:eastAsia="zh-CN"/>
              </w:rPr>
            </w:pPr>
            <w:r>
              <w:rPr>
                <w:rStyle w:val="143"/>
                <w:rFonts w:hint="eastAsia" w:hAnsi="Times New Roman"/>
                <w:szCs w:val="21"/>
                <w:lang w:val="en-US" w:eastAsia="zh-CN"/>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6" w:type="pct"/>
            <w:vMerge w:val="continue"/>
          </w:tcPr>
          <w:p>
            <w:pPr>
              <w:pStyle w:val="534"/>
              <w:tabs>
                <w:tab w:val="left" w:pos="508"/>
                <w:tab w:val="clear" w:pos="426"/>
              </w:tabs>
              <w:spacing w:line="240" w:lineRule="auto"/>
              <w:ind w:left="160"/>
              <w:rPr>
                <w:rFonts w:hint="eastAsia"/>
                <w:sz w:val="21"/>
                <w:szCs w:val="21"/>
                <w:lang w:val="en-US" w:eastAsia="zh-CN"/>
              </w:rPr>
            </w:pPr>
          </w:p>
        </w:tc>
        <w:tc>
          <w:tcPr>
            <w:tcW w:w="898" w:type="pct"/>
            <w:vMerge w:val="continue"/>
          </w:tcPr>
          <w:p>
            <w:pPr>
              <w:pStyle w:val="534"/>
              <w:tabs>
                <w:tab w:val="left" w:pos="508"/>
                <w:tab w:val="clear" w:pos="426"/>
              </w:tabs>
              <w:spacing w:line="240" w:lineRule="auto"/>
              <w:ind w:left="160"/>
              <w:rPr>
                <w:rFonts w:hint="eastAsia"/>
                <w:sz w:val="21"/>
                <w:szCs w:val="21"/>
                <w:lang w:val="en-US" w:eastAsia="zh-CN"/>
              </w:rPr>
            </w:pPr>
          </w:p>
        </w:tc>
        <w:tc>
          <w:tcPr>
            <w:tcW w:w="424" w:type="pct"/>
            <w:vMerge w:val="continue"/>
          </w:tcPr>
          <w:p>
            <w:pPr>
              <w:pStyle w:val="534"/>
              <w:tabs>
                <w:tab w:val="left" w:pos="508"/>
                <w:tab w:val="clear" w:pos="426"/>
              </w:tabs>
              <w:spacing w:line="240" w:lineRule="auto"/>
              <w:ind w:left="160"/>
              <w:rPr>
                <w:rFonts w:hint="eastAsia"/>
                <w:sz w:val="21"/>
                <w:szCs w:val="21"/>
                <w:lang w:val="en-US" w:eastAsia="zh-CN"/>
              </w:rPr>
            </w:pPr>
          </w:p>
        </w:tc>
        <w:tc>
          <w:tcPr>
            <w:tcW w:w="2943" w:type="pct"/>
          </w:tcPr>
          <w:p>
            <w:pPr>
              <w:pStyle w:val="534"/>
              <w:tabs>
                <w:tab w:val="left" w:pos="508"/>
                <w:tab w:val="clear" w:pos="426"/>
              </w:tabs>
              <w:spacing w:line="240" w:lineRule="auto"/>
              <w:ind w:left="160"/>
              <w:jc w:val="left"/>
              <w:rPr>
                <w:rFonts w:hint="eastAsia"/>
                <w:sz w:val="21"/>
                <w:szCs w:val="21"/>
                <w:lang w:val="en-US" w:eastAsia="zh-CN"/>
              </w:rPr>
            </w:pPr>
            <w:r>
              <w:rPr>
                <w:rFonts w:hint="eastAsia"/>
                <w:sz w:val="21"/>
                <w:szCs w:val="21"/>
                <w:lang w:val="en-US" w:eastAsia="zh-CN"/>
              </w:rPr>
              <w:t>标准配置</w:t>
            </w:r>
          </w:p>
        </w:tc>
        <w:tc>
          <w:tcPr>
            <w:tcW w:w="479" w:type="pct"/>
          </w:tcPr>
          <w:p>
            <w:pPr>
              <w:pStyle w:val="534"/>
              <w:tabs>
                <w:tab w:val="left" w:pos="508"/>
                <w:tab w:val="clear" w:pos="426"/>
              </w:tabs>
              <w:spacing w:line="240" w:lineRule="auto"/>
              <w:ind w:left="160"/>
              <w:jc w:val="center"/>
              <w:rPr>
                <w:rFonts w:hint="eastAsia"/>
                <w:sz w:val="21"/>
                <w:szCs w:val="21"/>
                <w:lang w:val="en-US" w:eastAsia="zh-CN"/>
              </w:rPr>
            </w:pPr>
          </w:p>
        </w:tc>
      </w:tr>
    </w:tbl>
    <w:p>
      <w:pPr>
        <w:widowControl w:val="0"/>
        <w:shd w:val="clear" w:color="auto" w:fill="auto"/>
        <w:adjustRightInd/>
        <w:snapToGrid/>
        <w:spacing w:line="240" w:lineRule="auto"/>
        <w:ind w:firstLine="422" w:firstLineChars="200"/>
        <w:rPr>
          <w:rFonts w:hint="eastAsia" w:cs="Times New Roman"/>
          <w:b/>
          <w:bCs/>
          <w:kern w:val="2"/>
          <w:szCs w:val="21"/>
        </w:rPr>
      </w:pPr>
    </w:p>
    <w:p>
      <w:pPr>
        <w:widowControl w:val="0"/>
        <w:shd w:val="clear" w:color="auto" w:fill="auto"/>
        <w:tabs>
          <w:tab w:val="clear" w:pos="426"/>
        </w:tabs>
        <w:adjustRightInd/>
        <w:snapToGrid/>
        <w:spacing w:line="240" w:lineRule="auto"/>
        <w:ind w:firstLine="422" w:firstLineChars="200"/>
        <w:jc w:val="center"/>
        <w:rPr>
          <w:rFonts w:hint="eastAsia" w:cs="Times New Roman"/>
          <w:b/>
          <w:bCs/>
          <w:kern w:val="2"/>
          <w:szCs w:val="21"/>
        </w:rPr>
      </w:pPr>
      <w:r>
        <w:rPr>
          <w:rFonts w:hint="eastAsia" w:cs="Times New Roman"/>
          <w:b/>
          <w:bCs/>
          <w:kern w:val="2"/>
          <w:szCs w:val="21"/>
        </w:rPr>
        <w:t>包号：</w:t>
      </w:r>
      <w:r>
        <w:rPr>
          <w:rFonts w:cs="Times New Roman"/>
          <w:b/>
          <w:bCs/>
          <w:kern w:val="2"/>
          <w:szCs w:val="21"/>
        </w:rPr>
        <w:t xml:space="preserve">02 </w:t>
      </w:r>
      <w:r>
        <w:rPr>
          <w:rFonts w:hint="eastAsia" w:cs="Times New Roman"/>
          <w:b/>
          <w:bCs/>
          <w:kern w:val="2"/>
          <w:szCs w:val="21"/>
        </w:rPr>
        <w:t>技术要求</w:t>
      </w:r>
    </w:p>
    <w:tbl>
      <w:tblPr>
        <w:tblStyle w:val="8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08"/>
        <w:gridCol w:w="1759"/>
        <w:gridCol w:w="815"/>
        <w:gridCol w:w="5366"/>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shd w:val="clear" w:color="auto" w:fill="FFFFFF"/>
            <w:vAlign w:val="center"/>
          </w:tcPr>
          <w:p>
            <w:pPr>
              <w:pStyle w:val="534"/>
              <w:spacing w:line="240" w:lineRule="auto"/>
              <w:jc w:val="center"/>
              <w:rPr>
                <w:rFonts w:hint="eastAsia"/>
                <w:b/>
                <w:bCs/>
                <w:sz w:val="21"/>
                <w:szCs w:val="21"/>
              </w:rPr>
            </w:pPr>
            <w:r>
              <w:rPr>
                <w:rFonts w:hint="eastAsia"/>
                <w:b/>
                <w:bCs/>
                <w:sz w:val="21"/>
                <w:szCs w:val="21"/>
              </w:rPr>
              <w:t>序号</w:t>
            </w:r>
          </w:p>
        </w:tc>
        <w:tc>
          <w:tcPr>
            <w:tcW w:w="939" w:type="pct"/>
            <w:shd w:val="clear" w:color="auto" w:fill="FFFFFF"/>
            <w:vAlign w:val="center"/>
          </w:tcPr>
          <w:p>
            <w:pPr>
              <w:pStyle w:val="534"/>
              <w:spacing w:line="240" w:lineRule="auto"/>
              <w:jc w:val="center"/>
              <w:rPr>
                <w:rFonts w:hint="eastAsia"/>
                <w:b/>
                <w:bCs/>
                <w:sz w:val="21"/>
                <w:szCs w:val="21"/>
              </w:rPr>
            </w:pPr>
            <w:r>
              <w:rPr>
                <w:rFonts w:hint="eastAsia"/>
                <w:b/>
                <w:bCs/>
                <w:sz w:val="21"/>
                <w:szCs w:val="21"/>
              </w:rPr>
              <w:t>货物名称</w:t>
            </w:r>
          </w:p>
        </w:tc>
        <w:tc>
          <w:tcPr>
            <w:tcW w:w="435" w:type="pct"/>
            <w:shd w:val="clear" w:color="auto" w:fill="FFFFFF"/>
            <w:vAlign w:val="center"/>
          </w:tcPr>
          <w:p>
            <w:pPr>
              <w:pStyle w:val="534"/>
              <w:spacing w:line="240" w:lineRule="auto"/>
              <w:jc w:val="center"/>
              <w:rPr>
                <w:rFonts w:hint="eastAsia"/>
                <w:b/>
                <w:bCs/>
                <w:sz w:val="21"/>
                <w:szCs w:val="21"/>
              </w:rPr>
            </w:pPr>
            <w:r>
              <w:rPr>
                <w:rFonts w:hint="eastAsia"/>
                <w:b/>
                <w:bCs/>
                <w:sz w:val="21"/>
                <w:szCs w:val="21"/>
              </w:rPr>
              <w:t>数量</w:t>
            </w:r>
          </w:p>
        </w:tc>
        <w:tc>
          <w:tcPr>
            <w:tcW w:w="2864" w:type="pct"/>
            <w:shd w:val="clear" w:color="auto" w:fill="FFFFFF"/>
            <w:vAlign w:val="center"/>
          </w:tcPr>
          <w:p>
            <w:pPr>
              <w:pStyle w:val="534"/>
              <w:spacing w:line="240" w:lineRule="auto"/>
              <w:jc w:val="center"/>
              <w:rPr>
                <w:rFonts w:hint="eastAsia"/>
                <w:b/>
                <w:bCs/>
                <w:sz w:val="21"/>
                <w:szCs w:val="21"/>
              </w:rPr>
            </w:pPr>
            <w:r>
              <w:rPr>
                <w:rFonts w:hint="eastAsia"/>
                <w:b/>
                <w:bCs/>
                <w:sz w:val="21"/>
                <w:szCs w:val="21"/>
              </w:rPr>
              <w:t>技术参数要求</w:t>
            </w:r>
          </w:p>
        </w:tc>
        <w:tc>
          <w:tcPr>
            <w:tcW w:w="491" w:type="pct"/>
            <w:shd w:val="clear" w:color="auto" w:fill="FFFFFF"/>
            <w:vAlign w:val="center"/>
          </w:tcPr>
          <w:p>
            <w:pPr>
              <w:pStyle w:val="534"/>
              <w:spacing w:line="240" w:lineRule="auto"/>
              <w:jc w:val="center"/>
              <w:rPr>
                <w:rFonts w:hint="eastAsia"/>
                <w:b/>
                <w:bCs/>
                <w:sz w:val="21"/>
                <w:szCs w:val="21"/>
                <w:lang w:val="en-US" w:eastAsia="zh-CN"/>
              </w:rPr>
            </w:pPr>
            <w:r>
              <w:rPr>
                <w:rFonts w:hint="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restart"/>
            <w:shd w:val="clear" w:color="auto" w:fill="FFFFFF"/>
            <w:vAlign w:val="center"/>
          </w:tcPr>
          <w:p>
            <w:pPr>
              <w:pStyle w:val="534"/>
              <w:tabs>
                <w:tab w:val="left" w:pos="508"/>
                <w:tab w:val="clear" w:pos="426"/>
              </w:tabs>
              <w:spacing w:line="240" w:lineRule="auto"/>
              <w:jc w:val="center"/>
              <w:rPr>
                <w:rFonts w:hint="eastAsia"/>
                <w:sz w:val="21"/>
                <w:szCs w:val="21"/>
                <w:lang w:val="en-US" w:eastAsia="zh-CN"/>
              </w:rPr>
            </w:pPr>
            <w:r>
              <w:rPr>
                <w:sz w:val="21"/>
                <w:szCs w:val="21"/>
                <w:lang w:val="en-US" w:eastAsia="zh-CN"/>
              </w:rPr>
              <w:t>1</w:t>
            </w:r>
          </w:p>
        </w:tc>
        <w:tc>
          <w:tcPr>
            <w:tcW w:w="939" w:type="pct"/>
            <w:vMerge w:val="restart"/>
            <w:shd w:val="clear" w:color="auto" w:fill="FFFFFF"/>
            <w:vAlign w:val="center"/>
          </w:tcPr>
          <w:p>
            <w:pPr>
              <w:pStyle w:val="534"/>
              <w:tabs>
                <w:tab w:val="left" w:pos="508"/>
                <w:tab w:val="clear" w:pos="426"/>
              </w:tabs>
              <w:spacing w:line="240" w:lineRule="auto"/>
              <w:jc w:val="center"/>
              <w:rPr>
                <w:rFonts w:hint="eastAsia"/>
                <w:sz w:val="21"/>
                <w:szCs w:val="21"/>
                <w:lang w:val="en-US" w:eastAsia="zh-CN"/>
              </w:rPr>
            </w:pPr>
            <w:r>
              <w:rPr>
                <w:rFonts w:hint="eastAsia"/>
                <w:sz w:val="21"/>
                <w:szCs w:val="21"/>
                <w:lang w:val="en-US" w:eastAsia="zh-CN"/>
              </w:rPr>
              <w:t>粉尘云最小点火能试验仪</w:t>
            </w:r>
          </w:p>
        </w:tc>
        <w:tc>
          <w:tcPr>
            <w:tcW w:w="435" w:type="pct"/>
            <w:vMerge w:val="restart"/>
            <w:shd w:val="clear" w:color="auto" w:fill="FFFFFF"/>
            <w:vAlign w:val="center"/>
          </w:tcPr>
          <w:p>
            <w:pPr>
              <w:pStyle w:val="534"/>
              <w:tabs>
                <w:tab w:val="left" w:pos="508"/>
                <w:tab w:val="clear" w:pos="426"/>
              </w:tabs>
              <w:spacing w:line="240" w:lineRule="auto"/>
              <w:jc w:val="center"/>
              <w:rPr>
                <w:rFonts w:hint="eastAsia"/>
                <w:sz w:val="21"/>
                <w:szCs w:val="21"/>
                <w:lang w:val="en-US" w:eastAsia="zh-CN"/>
              </w:rPr>
            </w:pPr>
            <w:r>
              <w:rPr>
                <w:sz w:val="21"/>
                <w:szCs w:val="21"/>
                <w:lang w:val="en-US" w:eastAsia="zh-CN"/>
              </w:rPr>
              <w:t>1</w:t>
            </w:r>
            <w:r>
              <w:rPr>
                <w:rFonts w:hint="eastAsia"/>
                <w:sz w:val="21"/>
                <w:szCs w:val="21"/>
                <w:lang w:val="en-US" w:eastAsia="zh-CN"/>
              </w:rPr>
              <w:t>台</w:t>
            </w:r>
          </w:p>
        </w:tc>
        <w:tc>
          <w:tcPr>
            <w:tcW w:w="2864" w:type="pct"/>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r>
              <w:rPr>
                <w:rFonts w:hint="eastAsia"/>
                <w:sz w:val="21"/>
                <w:szCs w:val="21"/>
                <w:lang w:val="en-US" w:eastAsia="zh-CN"/>
              </w:rPr>
              <w:t>主要技术参数：</w:t>
            </w:r>
          </w:p>
        </w:tc>
        <w:tc>
          <w:tcPr>
            <w:tcW w:w="491" w:type="pct"/>
            <w:shd w:val="clear" w:color="auto" w:fill="FFFFFF"/>
            <w:vAlign w:val="center"/>
          </w:tcPr>
          <w:p>
            <w:pPr>
              <w:pStyle w:val="534"/>
              <w:tabs>
                <w:tab w:val="left" w:pos="508"/>
                <w:tab w:val="clear" w:pos="426"/>
              </w:tabs>
              <w:spacing w:line="240" w:lineRule="auto"/>
              <w:jc w:val="center"/>
              <w:rPr>
                <w:rFonts w:hint="eastAsia"/>
                <w:sz w:val="21"/>
                <w:szCs w:val="21"/>
                <w:lang w:val="en-US" w:eastAsia="zh-CN"/>
              </w:rPr>
            </w:pPr>
            <w:r>
              <w:rPr>
                <w:rFonts w:hint="eastAsia"/>
                <w:sz w:val="21"/>
                <w:szCs w:val="21"/>
                <w:lang w:val="en-US" w:eastAsia="zh-CN"/>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rPr>
            </w:pPr>
          </w:p>
        </w:tc>
        <w:tc>
          <w:tcPr>
            <w:tcW w:w="2864" w:type="pct"/>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r>
              <w:rPr>
                <w:sz w:val="21"/>
                <w:szCs w:val="21"/>
                <w:lang w:val="en-US" w:eastAsia="zh-CN"/>
              </w:rPr>
              <w:t>1.</w:t>
            </w:r>
            <w:r>
              <w:rPr>
                <w:rFonts w:hint="eastAsia"/>
                <w:sz w:val="21"/>
                <w:szCs w:val="21"/>
                <w:lang w:val="en-US" w:eastAsia="zh-CN"/>
              </w:rPr>
              <w:t>技术指标</w:t>
            </w:r>
          </w:p>
        </w:tc>
        <w:tc>
          <w:tcPr>
            <w:tcW w:w="491" w:type="pct"/>
            <w:shd w:val="clear" w:color="auto" w:fill="FFFFFF"/>
            <w:vAlign w:val="center"/>
          </w:tcPr>
          <w:p>
            <w:pPr>
              <w:pStyle w:val="534"/>
              <w:tabs>
                <w:tab w:val="left" w:pos="508"/>
                <w:tab w:val="clear" w:pos="426"/>
              </w:tabs>
              <w:spacing w:line="240" w:lineRule="auto"/>
              <w:jc w:val="center"/>
              <w:rPr>
                <w:rFonts w:hint="eastAsia"/>
                <w:sz w:val="21"/>
                <w:szCs w:val="21"/>
                <w:lang w:val="en-US" w:eastAsia="zh-CN"/>
              </w:rPr>
            </w:pPr>
            <w:r>
              <w:rPr>
                <w:rFonts w:hint="eastAsia"/>
                <w:sz w:val="21"/>
                <w:szCs w:val="21"/>
                <w:lang w:val="en-US" w:eastAsia="zh-CN"/>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r>
              <w:rPr>
                <w:rFonts w:hint="eastAsia"/>
                <w:b/>
                <w:bCs/>
                <w:sz w:val="21"/>
                <w:szCs w:val="21"/>
                <w:lang w:val="en-US" w:eastAsia="zh-CN"/>
              </w:rPr>
              <w:t>★</w:t>
            </w:r>
            <w:r>
              <w:rPr>
                <w:b/>
                <w:bCs/>
                <w:sz w:val="21"/>
                <w:szCs w:val="21"/>
                <w:lang w:val="en-US" w:eastAsia="zh-CN"/>
              </w:rPr>
              <w:t>1.1</w:t>
            </w:r>
            <w:r>
              <w:rPr>
                <w:rFonts w:hint="eastAsia"/>
                <w:b/>
                <w:bCs/>
                <w:sz w:val="21"/>
                <w:szCs w:val="21"/>
                <w:lang w:val="en-US" w:eastAsia="zh-CN"/>
              </w:rPr>
              <w:t>适用标准：</w:t>
            </w:r>
            <w:r>
              <w:rPr>
                <w:b/>
                <w:bCs/>
                <w:sz w:val="21"/>
                <w:szCs w:val="21"/>
                <w:lang w:val="en-US" w:eastAsia="zh-CN"/>
              </w:rPr>
              <w:t>GB/T16428</w:t>
            </w:r>
            <w:r>
              <w:rPr>
                <w:rFonts w:hint="eastAsia"/>
                <w:b/>
                <w:bCs/>
                <w:sz w:val="21"/>
                <w:szCs w:val="21"/>
                <w:lang w:val="en-US" w:eastAsia="zh-CN"/>
              </w:rPr>
              <w:t>；</w:t>
            </w:r>
            <w:r>
              <w:rPr>
                <w:rFonts w:hint="eastAsia"/>
                <w:b/>
                <w:bCs/>
                <w:color w:val="FF0000"/>
                <w:sz w:val="21"/>
                <w:szCs w:val="21"/>
                <w:lang w:val="en-US" w:eastAsia="zh-CN"/>
              </w:rPr>
              <w:t>（提供网页截图(含网址）或使用说明书，所有资料均加盖投标人公章）</w:t>
            </w:r>
          </w:p>
        </w:tc>
        <w:tc>
          <w:tcPr>
            <w:tcW w:w="491" w:type="pct"/>
            <w:shd w:val="clear" w:color="auto" w:fill="FFFFFF"/>
            <w:vAlign w:val="center"/>
          </w:tcPr>
          <w:p>
            <w:pPr>
              <w:pStyle w:val="534"/>
              <w:tabs>
                <w:tab w:val="left" w:pos="508"/>
                <w:tab w:val="clear" w:pos="426"/>
              </w:tabs>
              <w:spacing w:line="240" w:lineRule="auto"/>
              <w:jc w:val="center"/>
              <w:rPr>
                <w:rFonts w:hint="eastAsia"/>
                <w:b/>
                <w:bCs/>
                <w:sz w:val="21"/>
                <w:szCs w:val="21"/>
                <w:lang w:val="en-US" w:eastAsia="zh-CN"/>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b/>
                <w:bCs/>
                <w:sz w:val="21"/>
                <w:szCs w:val="21"/>
                <w:lang w:val="en-US" w:eastAsia="zh-CN"/>
              </w:rPr>
            </w:pPr>
            <w:r>
              <w:rPr>
                <w:rFonts w:hint="eastAsia"/>
                <w:b/>
                <w:bCs/>
                <w:sz w:val="21"/>
                <w:szCs w:val="21"/>
                <w:lang w:val="en-US" w:eastAsia="zh-CN"/>
              </w:rPr>
              <w:t>▲</w:t>
            </w:r>
            <w:r>
              <w:rPr>
                <w:b/>
                <w:bCs/>
                <w:sz w:val="21"/>
                <w:szCs w:val="21"/>
                <w:lang w:val="en-US" w:eastAsia="zh-CN"/>
              </w:rPr>
              <w:t xml:space="preserve">1.2 </w:t>
            </w:r>
            <w:r>
              <w:rPr>
                <w:rFonts w:hint="eastAsia"/>
                <w:b/>
                <w:bCs/>
                <w:sz w:val="21"/>
                <w:szCs w:val="21"/>
                <w:lang w:val="en-US" w:eastAsia="zh-CN"/>
              </w:rPr>
              <w:t>适用标准：</w:t>
            </w:r>
            <w:r>
              <w:rPr>
                <w:b/>
                <w:bCs/>
                <w:sz w:val="21"/>
                <w:szCs w:val="21"/>
                <w:lang w:val="en-US" w:eastAsia="zh-CN"/>
              </w:rPr>
              <w:t>ASTM E2019</w:t>
            </w:r>
            <w:r>
              <w:rPr>
                <w:rFonts w:hint="eastAsia"/>
                <w:b/>
                <w:bCs/>
                <w:sz w:val="21"/>
                <w:szCs w:val="21"/>
                <w:lang w:val="en-US" w:eastAsia="zh-CN"/>
              </w:rPr>
              <w:t>、</w:t>
            </w:r>
            <w:r>
              <w:rPr>
                <w:b/>
                <w:bCs/>
                <w:sz w:val="21"/>
                <w:szCs w:val="21"/>
                <w:lang w:val="en-US" w:eastAsia="zh-CN"/>
              </w:rPr>
              <w:t>IEC</w:t>
            </w:r>
            <w:r>
              <w:rPr>
                <w:rFonts w:hint="eastAsia"/>
                <w:b/>
                <w:bCs/>
                <w:sz w:val="21"/>
                <w:szCs w:val="21"/>
                <w:lang w:val="en-US" w:eastAsia="zh-CN"/>
              </w:rPr>
              <w:t xml:space="preserve"> </w:t>
            </w:r>
            <w:r>
              <w:rPr>
                <w:b/>
                <w:bCs/>
                <w:sz w:val="21"/>
                <w:szCs w:val="21"/>
                <w:lang w:val="en-US" w:eastAsia="zh-CN"/>
              </w:rPr>
              <w:t>61241-2-3</w:t>
            </w:r>
            <w:r>
              <w:rPr>
                <w:rFonts w:hint="eastAsia"/>
                <w:b/>
                <w:bCs/>
                <w:sz w:val="21"/>
                <w:szCs w:val="21"/>
                <w:lang w:val="en-US" w:eastAsia="zh-CN"/>
              </w:rPr>
              <w:t>、</w:t>
            </w:r>
            <w:r>
              <w:rPr>
                <w:b/>
                <w:bCs/>
                <w:sz w:val="21"/>
                <w:szCs w:val="21"/>
                <w:lang w:val="en-US" w:eastAsia="zh-CN"/>
              </w:rPr>
              <w:t>ISO/IEC</w:t>
            </w:r>
            <w:r>
              <w:rPr>
                <w:rFonts w:hint="eastAsia"/>
                <w:b/>
                <w:bCs/>
                <w:sz w:val="21"/>
                <w:szCs w:val="21"/>
                <w:lang w:val="en-US" w:eastAsia="zh-CN"/>
              </w:rPr>
              <w:t xml:space="preserve"> </w:t>
            </w:r>
            <w:r>
              <w:rPr>
                <w:b/>
                <w:bCs/>
                <w:sz w:val="21"/>
                <w:szCs w:val="21"/>
                <w:lang w:val="en-US" w:eastAsia="zh-CN"/>
              </w:rPr>
              <w:t>80079-20-2</w:t>
            </w:r>
            <w:r>
              <w:rPr>
                <w:rFonts w:hint="eastAsia"/>
                <w:b/>
                <w:bCs/>
                <w:sz w:val="21"/>
                <w:szCs w:val="21"/>
                <w:lang w:val="en-US" w:eastAsia="zh-CN"/>
              </w:rPr>
              <w:t>；</w:t>
            </w:r>
            <w:r>
              <w:rPr>
                <w:rFonts w:hint="eastAsia"/>
                <w:b/>
                <w:bCs/>
                <w:color w:val="FF0000"/>
                <w:sz w:val="21"/>
                <w:szCs w:val="21"/>
                <w:lang w:val="en-US" w:eastAsia="zh-CN"/>
              </w:rPr>
              <w:t>（提供网页截图(含网址）或使用说明书，所有资料均加盖投标人公章）</w:t>
            </w:r>
          </w:p>
        </w:tc>
        <w:tc>
          <w:tcPr>
            <w:tcW w:w="491" w:type="pct"/>
            <w:shd w:val="clear" w:color="auto" w:fill="FFFFFF"/>
            <w:vAlign w:val="center"/>
          </w:tcPr>
          <w:p>
            <w:pPr>
              <w:pStyle w:val="534"/>
              <w:tabs>
                <w:tab w:val="left" w:pos="508"/>
                <w:tab w:val="clear" w:pos="426"/>
              </w:tabs>
              <w:spacing w:line="240" w:lineRule="auto"/>
              <w:jc w:val="center"/>
              <w:rPr>
                <w:rFonts w:hint="eastAsia"/>
                <w:b/>
                <w:bCs/>
                <w:sz w:val="21"/>
                <w:szCs w:val="21"/>
                <w:lang w:val="en-US" w:eastAsia="zh-CN"/>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b/>
                <w:bCs/>
                <w:sz w:val="21"/>
                <w:szCs w:val="21"/>
                <w:lang w:val="en-US" w:eastAsia="zh-CN"/>
              </w:rPr>
            </w:pPr>
            <w:r>
              <w:rPr>
                <w:rFonts w:hint="eastAsia"/>
                <w:b/>
                <w:bCs/>
                <w:sz w:val="21"/>
                <w:szCs w:val="21"/>
                <w:lang w:val="en-US" w:eastAsia="zh-CN"/>
              </w:rPr>
              <w:t>▲</w:t>
            </w:r>
            <w:r>
              <w:rPr>
                <w:b/>
                <w:bCs/>
                <w:sz w:val="21"/>
                <w:szCs w:val="21"/>
                <w:lang w:val="en-US" w:eastAsia="zh-CN"/>
              </w:rPr>
              <w:t>1.3</w:t>
            </w:r>
            <w:r>
              <w:rPr>
                <w:rFonts w:hint="eastAsia"/>
                <w:b/>
                <w:bCs/>
                <w:sz w:val="21"/>
                <w:szCs w:val="21"/>
                <w:lang w:val="en-US" w:eastAsia="zh-CN"/>
              </w:rPr>
              <w:t>电极间距</w:t>
            </w:r>
            <w:r>
              <w:rPr>
                <w:b/>
                <w:bCs/>
                <w:sz w:val="21"/>
                <w:szCs w:val="21"/>
                <w:lang w:val="en-US" w:eastAsia="zh-CN"/>
              </w:rPr>
              <w:t>2mm-10mm</w:t>
            </w:r>
            <w:r>
              <w:rPr>
                <w:rFonts w:hint="eastAsia"/>
                <w:b/>
                <w:bCs/>
                <w:sz w:val="21"/>
                <w:szCs w:val="21"/>
                <w:lang w:val="en-US" w:eastAsia="zh-CN"/>
              </w:rPr>
              <w:t>，可调；</w:t>
            </w:r>
            <w:r>
              <w:rPr>
                <w:rFonts w:hint="eastAsia"/>
                <w:b/>
                <w:bCs/>
                <w:color w:val="FF0000"/>
                <w:sz w:val="21"/>
                <w:szCs w:val="21"/>
                <w:lang w:val="en-US" w:eastAsia="zh-CN"/>
              </w:rPr>
              <w:t>（提供网页截图(含网址）或使用说明书，所有资料均加盖投标人公章）</w:t>
            </w:r>
          </w:p>
        </w:tc>
        <w:tc>
          <w:tcPr>
            <w:tcW w:w="491" w:type="pct"/>
            <w:shd w:val="clear" w:color="auto" w:fill="FFFFFF"/>
            <w:vAlign w:val="center"/>
          </w:tcPr>
          <w:p>
            <w:pPr>
              <w:pStyle w:val="534"/>
              <w:tabs>
                <w:tab w:val="left" w:pos="508"/>
                <w:tab w:val="clear" w:pos="426"/>
              </w:tabs>
              <w:spacing w:line="240" w:lineRule="auto"/>
              <w:jc w:val="center"/>
              <w:rPr>
                <w:rFonts w:hint="eastAsia"/>
                <w:b/>
                <w:bCs/>
                <w:sz w:val="21"/>
                <w:szCs w:val="21"/>
                <w:lang w:val="en-US" w:eastAsia="zh-CN"/>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b/>
                <w:bCs/>
                <w:sz w:val="21"/>
                <w:szCs w:val="21"/>
                <w:lang w:val="en-US" w:eastAsia="zh-CN"/>
              </w:rPr>
            </w:pPr>
            <w:r>
              <w:rPr>
                <w:rFonts w:hint="eastAsia"/>
                <w:b/>
                <w:bCs/>
                <w:sz w:val="21"/>
                <w:szCs w:val="21"/>
                <w:lang w:val="en-US" w:eastAsia="zh-CN"/>
              </w:rPr>
              <w:t>▲</w:t>
            </w:r>
            <w:r>
              <w:rPr>
                <w:b/>
                <w:bCs/>
                <w:sz w:val="21"/>
                <w:szCs w:val="21"/>
                <w:lang w:val="en-US" w:eastAsia="zh-CN"/>
              </w:rPr>
              <w:t>1.4</w:t>
            </w:r>
            <w:r>
              <w:rPr>
                <w:rFonts w:hint="eastAsia"/>
                <w:b/>
                <w:bCs/>
                <w:sz w:val="21"/>
                <w:szCs w:val="21"/>
                <w:lang w:val="en-US" w:eastAsia="zh-CN"/>
              </w:rPr>
              <w:t>电极直径：</w:t>
            </w:r>
            <w:r>
              <w:rPr>
                <w:b/>
                <w:bCs/>
                <w:sz w:val="21"/>
                <w:szCs w:val="21"/>
                <w:lang w:val="en-US" w:eastAsia="zh-CN"/>
              </w:rPr>
              <w:t>2mm</w:t>
            </w:r>
            <w:r>
              <w:rPr>
                <w:rFonts w:hint="eastAsia"/>
                <w:b/>
                <w:bCs/>
                <w:sz w:val="21"/>
                <w:szCs w:val="21"/>
                <w:lang w:val="en-US" w:eastAsia="zh-CN"/>
              </w:rPr>
              <w:t>±</w:t>
            </w:r>
            <w:r>
              <w:rPr>
                <w:b/>
                <w:bCs/>
                <w:sz w:val="21"/>
                <w:szCs w:val="21"/>
                <w:lang w:val="en-US" w:eastAsia="zh-CN"/>
              </w:rPr>
              <w:t>0.5</w:t>
            </w:r>
            <w:r>
              <w:rPr>
                <w:rFonts w:hint="eastAsia"/>
                <w:b/>
                <w:bCs/>
                <w:sz w:val="21"/>
                <w:szCs w:val="21"/>
                <w:lang w:val="en-US" w:eastAsia="zh-CN"/>
              </w:rPr>
              <w:t>mm；</w:t>
            </w:r>
            <w:r>
              <w:rPr>
                <w:rFonts w:hint="eastAsia"/>
                <w:b/>
                <w:bCs/>
                <w:color w:val="FF0000"/>
                <w:sz w:val="21"/>
                <w:szCs w:val="21"/>
                <w:lang w:val="en-US" w:eastAsia="zh-CN"/>
              </w:rPr>
              <w:t>（提供网页截图(含网址）或使用说明书，所有资料均加盖投标人公章）</w:t>
            </w:r>
          </w:p>
        </w:tc>
        <w:tc>
          <w:tcPr>
            <w:tcW w:w="491" w:type="pct"/>
            <w:shd w:val="clear" w:color="auto" w:fill="FFFFFF"/>
            <w:vAlign w:val="center"/>
          </w:tcPr>
          <w:p>
            <w:pPr>
              <w:pStyle w:val="534"/>
              <w:tabs>
                <w:tab w:val="left" w:pos="508"/>
                <w:tab w:val="clear" w:pos="426"/>
              </w:tabs>
              <w:spacing w:line="240" w:lineRule="auto"/>
              <w:jc w:val="center"/>
              <w:rPr>
                <w:rFonts w:hint="eastAsia"/>
                <w:b/>
                <w:bCs/>
                <w:sz w:val="21"/>
                <w:szCs w:val="21"/>
                <w:lang w:val="en-US" w:eastAsia="zh-CN"/>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b/>
                <w:bCs/>
                <w:sz w:val="21"/>
                <w:szCs w:val="21"/>
                <w:lang w:val="en-US" w:eastAsia="zh-CN"/>
              </w:rPr>
            </w:pPr>
            <w:r>
              <w:rPr>
                <w:rFonts w:hint="eastAsia"/>
                <w:b/>
                <w:bCs/>
                <w:sz w:val="21"/>
                <w:szCs w:val="21"/>
                <w:lang w:val="en-US" w:eastAsia="zh-CN"/>
              </w:rPr>
              <w:t>▲</w:t>
            </w:r>
            <w:r>
              <w:rPr>
                <w:b/>
                <w:bCs/>
                <w:sz w:val="21"/>
                <w:szCs w:val="21"/>
                <w:lang w:val="en-US" w:eastAsia="zh-CN"/>
              </w:rPr>
              <w:t>1.5</w:t>
            </w:r>
            <w:r>
              <w:rPr>
                <w:rFonts w:hint="eastAsia"/>
                <w:b/>
                <w:bCs/>
                <w:sz w:val="21"/>
                <w:szCs w:val="21"/>
                <w:lang w:val="en-US" w:eastAsia="zh-CN"/>
              </w:rPr>
              <w:t>火花能量：</w:t>
            </w:r>
            <w:r>
              <w:rPr>
                <w:b/>
                <w:bCs/>
                <w:sz w:val="21"/>
                <w:szCs w:val="21"/>
                <w:lang w:val="en-US" w:eastAsia="zh-CN"/>
              </w:rPr>
              <w:t>1~3000mJ,</w:t>
            </w:r>
            <w:r>
              <w:rPr>
                <w:rFonts w:hint="eastAsia"/>
                <w:b/>
                <w:bCs/>
                <w:sz w:val="21"/>
                <w:szCs w:val="21"/>
                <w:lang w:val="en-US" w:eastAsia="zh-CN"/>
              </w:rPr>
              <w:t>可设置，步长</w:t>
            </w:r>
            <w:r>
              <w:rPr>
                <w:b/>
                <w:bCs/>
                <w:sz w:val="21"/>
                <w:szCs w:val="21"/>
                <w:lang w:val="en-US" w:eastAsia="zh-CN"/>
              </w:rPr>
              <w:t>1mJ</w:t>
            </w:r>
            <w:r>
              <w:rPr>
                <w:rFonts w:hint="eastAsia"/>
                <w:b/>
                <w:bCs/>
                <w:sz w:val="21"/>
                <w:szCs w:val="21"/>
                <w:lang w:val="en-US" w:eastAsia="zh-CN"/>
              </w:rPr>
              <w:t>；</w:t>
            </w:r>
            <w:r>
              <w:rPr>
                <w:rFonts w:hint="eastAsia"/>
                <w:b/>
                <w:bCs/>
                <w:color w:val="FF0000"/>
                <w:sz w:val="21"/>
                <w:szCs w:val="21"/>
                <w:lang w:val="en-US" w:eastAsia="zh-CN"/>
              </w:rPr>
              <w:t>（提供网页截图(含网址）或使用说明书，所有资料均加盖投标人公章）</w:t>
            </w:r>
          </w:p>
        </w:tc>
        <w:tc>
          <w:tcPr>
            <w:tcW w:w="491" w:type="pct"/>
            <w:shd w:val="clear" w:color="auto" w:fill="FFFFFF"/>
            <w:vAlign w:val="center"/>
          </w:tcPr>
          <w:p>
            <w:pPr>
              <w:pStyle w:val="534"/>
              <w:tabs>
                <w:tab w:val="left" w:pos="508"/>
                <w:tab w:val="clear" w:pos="426"/>
              </w:tabs>
              <w:spacing w:line="240" w:lineRule="auto"/>
              <w:jc w:val="center"/>
              <w:rPr>
                <w:rFonts w:hint="eastAsia" w:cs="Times New Roman"/>
                <w:b/>
                <w:bCs/>
                <w:kern w:val="2"/>
                <w:szCs w:val="21"/>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b/>
                <w:bCs/>
                <w:sz w:val="21"/>
                <w:szCs w:val="21"/>
                <w:lang w:val="en-US" w:eastAsia="zh-CN"/>
              </w:rPr>
            </w:pPr>
            <w:r>
              <w:rPr>
                <w:b/>
                <w:bCs/>
                <w:sz w:val="21"/>
                <w:szCs w:val="21"/>
                <w:lang w:val="en-US" w:eastAsia="zh-CN"/>
              </w:rPr>
              <w:t>1.6</w:t>
            </w:r>
            <w:r>
              <w:rPr>
                <w:rFonts w:hint="eastAsia"/>
                <w:b/>
                <w:bCs/>
                <w:sz w:val="21"/>
                <w:szCs w:val="21"/>
                <w:lang w:val="en-US" w:eastAsia="zh-CN"/>
              </w:rPr>
              <w:t>充电电压</w:t>
            </w:r>
            <w:r>
              <w:rPr>
                <w:b/>
                <w:bCs/>
                <w:sz w:val="21"/>
                <w:szCs w:val="21"/>
                <w:lang w:val="en-US" w:eastAsia="zh-CN"/>
              </w:rPr>
              <w:t>:0-15kV</w:t>
            </w:r>
            <w:r>
              <w:rPr>
                <w:rFonts w:hint="eastAsia"/>
                <w:b/>
                <w:bCs/>
                <w:sz w:val="21"/>
                <w:szCs w:val="21"/>
                <w:lang w:val="en-US" w:eastAsia="zh-CN"/>
              </w:rPr>
              <w:t>；</w:t>
            </w:r>
            <w:r>
              <w:rPr>
                <w:rFonts w:hint="eastAsia"/>
                <w:b/>
                <w:bCs/>
                <w:color w:val="FF0000"/>
                <w:sz w:val="21"/>
                <w:szCs w:val="21"/>
                <w:lang w:val="en-US" w:eastAsia="zh-CN"/>
              </w:rPr>
              <w:t>（提供网页截图(含网址）或使用说明书，所有资料均加盖投标人公章）</w:t>
            </w:r>
          </w:p>
        </w:tc>
        <w:tc>
          <w:tcPr>
            <w:tcW w:w="491" w:type="pct"/>
            <w:shd w:val="clear" w:color="auto" w:fill="FFFFFF"/>
            <w:vAlign w:val="center"/>
          </w:tcPr>
          <w:p>
            <w:pPr>
              <w:pStyle w:val="534"/>
              <w:tabs>
                <w:tab w:val="left" w:pos="508"/>
                <w:tab w:val="clear" w:pos="426"/>
              </w:tabs>
              <w:spacing w:line="240" w:lineRule="auto"/>
              <w:jc w:val="center"/>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b/>
                <w:bCs/>
                <w:sz w:val="21"/>
                <w:szCs w:val="21"/>
                <w:lang w:val="en-US" w:eastAsia="zh-CN"/>
              </w:rPr>
            </w:pPr>
            <w:r>
              <w:rPr>
                <w:rFonts w:hint="eastAsia"/>
                <w:b/>
                <w:bCs/>
                <w:sz w:val="21"/>
                <w:szCs w:val="21"/>
                <w:lang w:val="en-US" w:eastAsia="zh-CN"/>
              </w:rPr>
              <w:t>▲</w:t>
            </w:r>
            <w:r>
              <w:rPr>
                <w:b/>
                <w:bCs/>
                <w:sz w:val="21"/>
                <w:szCs w:val="21"/>
                <w:lang w:val="en-US" w:eastAsia="zh-CN"/>
              </w:rPr>
              <w:t>1.7</w:t>
            </w:r>
            <w:r>
              <w:rPr>
                <w:rFonts w:hint="eastAsia"/>
                <w:b/>
                <w:bCs/>
                <w:sz w:val="21"/>
                <w:szCs w:val="21"/>
                <w:lang w:val="en-US" w:eastAsia="zh-CN"/>
              </w:rPr>
              <w:t>喷粉压力：</w:t>
            </w:r>
            <w:r>
              <w:rPr>
                <w:b/>
                <w:bCs/>
                <w:sz w:val="21"/>
                <w:szCs w:val="21"/>
                <w:lang w:val="en-US" w:eastAsia="zh-CN"/>
              </w:rPr>
              <w:t>0.4MPa-0.7MPa,</w:t>
            </w:r>
            <w:r>
              <w:rPr>
                <w:rFonts w:hint="eastAsia"/>
                <w:b/>
                <w:bCs/>
                <w:sz w:val="21"/>
                <w:szCs w:val="21"/>
                <w:lang w:val="en-US" w:eastAsia="zh-CN"/>
              </w:rPr>
              <w:t>可调；</w:t>
            </w:r>
            <w:r>
              <w:rPr>
                <w:rFonts w:hint="eastAsia"/>
                <w:b/>
                <w:bCs/>
                <w:color w:val="FF0000"/>
                <w:sz w:val="21"/>
                <w:szCs w:val="21"/>
                <w:lang w:val="en-US" w:eastAsia="zh-CN"/>
              </w:rPr>
              <w:t>（提供网页截图(含网址）或使用说明书，所有资料均加盖投标人公章）</w:t>
            </w:r>
          </w:p>
        </w:tc>
        <w:tc>
          <w:tcPr>
            <w:tcW w:w="491" w:type="pct"/>
            <w:shd w:val="clear" w:color="auto" w:fill="FFFFFF"/>
            <w:vAlign w:val="center"/>
          </w:tcPr>
          <w:p>
            <w:pPr>
              <w:pStyle w:val="534"/>
              <w:tabs>
                <w:tab w:val="left" w:pos="508"/>
                <w:tab w:val="clear" w:pos="426"/>
              </w:tabs>
              <w:spacing w:line="240" w:lineRule="auto"/>
              <w:jc w:val="center"/>
              <w:rPr>
                <w:rFonts w:hint="eastAsia"/>
                <w:b/>
                <w:bCs/>
                <w:sz w:val="21"/>
                <w:szCs w:val="21"/>
                <w:lang w:val="en-US" w:eastAsia="zh-CN"/>
              </w:rPr>
            </w:pP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b/>
                <w:bCs/>
                <w:sz w:val="21"/>
                <w:szCs w:val="21"/>
                <w:lang w:val="en-US" w:eastAsia="zh-CN"/>
              </w:rPr>
            </w:pPr>
            <w:r>
              <w:rPr>
                <w:b/>
                <w:bCs/>
                <w:sz w:val="21"/>
                <w:szCs w:val="21"/>
                <w:lang w:val="en-US" w:eastAsia="zh-CN"/>
              </w:rPr>
              <w:t>1.8</w:t>
            </w:r>
            <w:r>
              <w:rPr>
                <w:rFonts w:hint="eastAsia"/>
                <w:b/>
                <w:bCs/>
                <w:sz w:val="21"/>
                <w:szCs w:val="21"/>
                <w:lang w:val="en-US" w:eastAsia="zh-CN"/>
              </w:rPr>
              <w:t>仪器可自动选择最佳电容、电压组合；</w:t>
            </w:r>
            <w:r>
              <w:rPr>
                <w:rFonts w:hint="eastAsia"/>
                <w:b/>
                <w:bCs/>
                <w:color w:val="FF0000"/>
                <w:sz w:val="21"/>
                <w:szCs w:val="21"/>
                <w:lang w:val="en-US" w:eastAsia="zh-CN"/>
              </w:rPr>
              <w:t>（提供网页截图(含网址）或使用说明书，所有资料均加盖投标人公章）</w:t>
            </w:r>
          </w:p>
        </w:tc>
        <w:tc>
          <w:tcPr>
            <w:tcW w:w="491" w:type="pct"/>
            <w:shd w:val="clear" w:color="auto" w:fill="FFFFFF"/>
            <w:vAlign w:val="center"/>
          </w:tcPr>
          <w:p>
            <w:pPr>
              <w:pStyle w:val="534"/>
              <w:tabs>
                <w:tab w:val="left" w:pos="508"/>
                <w:tab w:val="clear" w:pos="426"/>
              </w:tabs>
              <w:spacing w:line="240" w:lineRule="auto"/>
              <w:jc w:val="center"/>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r>
              <w:rPr>
                <w:sz w:val="21"/>
                <w:szCs w:val="21"/>
                <w:lang w:val="en-US" w:eastAsia="zh-CN"/>
              </w:rPr>
              <w:t xml:space="preserve">1.9 </w:t>
            </w:r>
            <w:r>
              <w:rPr>
                <w:rFonts w:hint="eastAsia"/>
                <w:sz w:val="21"/>
                <w:szCs w:val="21"/>
                <w:lang w:val="en-US" w:eastAsia="zh-CN"/>
              </w:rPr>
              <w:t>高压充电模块自动断开，或设有红色一键急停按钮，提高操作安全性</w:t>
            </w:r>
          </w:p>
        </w:tc>
        <w:tc>
          <w:tcPr>
            <w:tcW w:w="491" w:type="pct"/>
            <w:shd w:val="clear" w:color="auto" w:fill="FFFFFF"/>
            <w:vAlign w:val="center"/>
          </w:tcPr>
          <w:p>
            <w:pPr>
              <w:pStyle w:val="534"/>
              <w:tabs>
                <w:tab w:val="left" w:pos="508"/>
                <w:tab w:val="clear" w:pos="426"/>
              </w:tabs>
              <w:spacing w:line="240" w:lineRule="auto"/>
              <w:jc w:val="center"/>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r>
              <w:rPr>
                <w:sz w:val="21"/>
                <w:szCs w:val="21"/>
                <w:lang w:val="en-US" w:eastAsia="zh-CN"/>
              </w:rPr>
              <w:t xml:space="preserve">1.10 </w:t>
            </w:r>
            <w:r>
              <w:rPr>
                <w:rFonts w:hint="eastAsia"/>
                <w:sz w:val="21"/>
                <w:szCs w:val="21"/>
                <w:lang w:val="en-US" w:eastAsia="zh-CN"/>
              </w:rPr>
              <w:t>远程遥控点火，保证实验人员人身安全</w:t>
            </w:r>
          </w:p>
        </w:tc>
        <w:tc>
          <w:tcPr>
            <w:tcW w:w="491" w:type="pct"/>
            <w:shd w:val="clear" w:color="auto" w:fill="FFFFFF"/>
            <w:vAlign w:val="center"/>
          </w:tcPr>
          <w:p>
            <w:pPr>
              <w:pStyle w:val="534"/>
              <w:tabs>
                <w:tab w:val="left" w:pos="508"/>
                <w:tab w:val="clear" w:pos="426"/>
              </w:tabs>
              <w:spacing w:line="240" w:lineRule="auto"/>
              <w:jc w:val="center"/>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r>
              <w:rPr>
                <w:sz w:val="21"/>
                <w:szCs w:val="21"/>
                <w:lang w:val="en-US" w:eastAsia="zh-CN"/>
              </w:rPr>
              <w:t xml:space="preserve">1.11 </w:t>
            </w:r>
            <w:r>
              <w:rPr>
                <w:rFonts w:hint="eastAsia"/>
                <w:sz w:val="21"/>
                <w:szCs w:val="21"/>
                <w:lang w:val="en-US" w:eastAsia="zh-CN"/>
              </w:rPr>
              <w:t>用户分级管理，可实现不同级别账户管理控制</w:t>
            </w:r>
          </w:p>
        </w:tc>
        <w:tc>
          <w:tcPr>
            <w:tcW w:w="491" w:type="pct"/>
            <w:shd w:val="clear" w:color="auto" w:fill="FFFFFF"/>
            <w:vAlign w:val="center"/>
          </w:tcPr>
          <w:p>
            <w:pPr>
              <w:pStyle w:val="534"/>
              <w:tabs>
                <w:tab w:val="left" w:pos="508"/>
                <w:tab w:val="clear" w:pos="426"/>
              </w:tabs>
              <w:spacing w:line="240" w:lineRule="auto"/>
              <w:jc w:val="center"/>
              <w:rPr>
                <w:rFonts w:hint="eastAsia"/>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r>
              <w:rPr>
                <w:sz w:val="21"/>
                <w:szCs w:val="21"/>
                <w:lang w:val="en-US" w:eastAsia="zh-CN"/>
              </w:rPr>
              <w:t>2.</w:t>
            </w:r>
            <w:r>
              <w:rPr>
                <w:rFonts w:hint="eastAsia"/>
                <w:sz w:val="21"/>
                <w:szCs w:val="21"/>
                <w:lang w:val="en-US" w:eastAsia="zh-CN"/>
              </w:rPr>
              <w:t>配置：</w:t>
            </w:r>
          </w:p>
        </w:tc>
        <w:tc>
          <w:tcPr>
            <w:tcW w:w="491" w:type="pct"/>
            <w:shd w:val="clear" w:color="auto" w:fill="FFFFFF"/>
            <w:vAlign w:val="center"/>
          </w:tcPr>
          <w:p>
            <w:pPr>
              <w:pStyle w:val="534"/>
              <w:tabs>
                <w:tab w:val="left" w:pos="508"/>
                <w:tab w:val="clear" w:pos="426"/>
              </w:tabs>
              <w:spacing w:line="240" w:lineRule="auto"/>
              <w:jc w:val="center"/>
              <w:rPr>
                <w:rStyle w:val="143"/>
                <w:rFonts w:hAnsi="Times New Roman"/>
                <w:szCs w:val="21"/>
                <w:lang w:val="en-US" w:eastAsia="zh-CN"/>
              </w:rPr>
            </w:pPr>
            <w:r>
              <w:rPr>
                <w:rStyle w:val="143"/>
                <w:rFonts w:hint="eastAsia" w:hAnsi="Times New Roman"/>
                <w:szCs w:val="21"/>
                <w:lang w:val="en-US" w:eastAsia="zh-CN"/>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271"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939"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435" w:type="pct"/>
            <w:vMerge w:val="continue"/>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p>
        </w:tc>
        <w:tc>
          <w:tcPr>
            <w:tcW w:w="2864" w:type="pct"/>
            <w:shd w:val="clear" w:color="auto" w:fill="FFFFFF"/>
            <w:vAlign w:val="center"/>
          </w:tcPr>
          <w:p>
            <w:pPr>
              <w:pStyle w:val="534"/>
              <w:tabs>
                <w:tab w:val="left" w:pos="508"/>
                <w:tab w:val="clear" w:pos="426"/>
              </w:tabs>
              <w:spacing w:line="240" w:lineRule="auto"/>
              <w:jc w:val="left"/>
              <w:rPr>
                <w:rFonts w:hint="eastAsia"/>
                <w:sz w:val="21"/>
                <w:szCs w:val="21"/>
                <w:lang w:val="en-US" w:eastAsia="zh-CN"/>
              </w:rPr>
            </w:pPr>
            <w:r>
              <w:rPr>
                <w:rFonts w:hint="eastAsia"/>
                <w:sz w:val="21"/>
                <w:szCs w:val="21"/>
                <w:lang w:val="en-US" w:eastAsia="zh-CN"/>
              </w:rPr>
              <w:t>标准配置</w:t>
            </w:r>
          </w:p>
        </w:tc>
        <w:tc>
          <w:tcPr>
            <w:tcW w:w="491" w:type="pct"/>
            <w:shd w:val="clear" w:color="auto" w:fill="FFFFFF"/>
            <w:vAlign w:val="center"/>
          </w:tcPr>
          <w:p>
            <w:pPr>
              <w:pStyle w:val="534"/>
              <w:tabs>
                <w:tab w:val="left" w:pos="508"/>
                <w:tab w:val="clear" w:pos="426"/>
              </w:tabs>
              <w:spacing w:line="240" w:lineRule="auto"/>
              <w:jc w:val="center"/>
              <w:rPr>
                <w:rFonts w:hint="eastAsia"/>
                <w:sz w:val="21"/>
                <w:szCs w:val="21"/>
                <w:lang w:val="en-US" w:eastAsia="zh-CN"/>
              </w:rPr>
            </w:pPr>
          </w:p>
        </w:tc>
      </w:tr>
    </w:tbl>
    <w:p>
      <w:pPr>
        <w:widowControl w:val="0"/>
        <w:shd w:val="clear" w:color="auto" w:fill="auto"/>
        <w:adjustRightInd/>
        <w:snapToGrid/>
        <w:spacing w:line="240" w:lineRule="auto"/>
        <w:ind w:firstLine="422" w:firstLineChars="200"/>
        <w:rPr>
          <w:rFonts w:hint="eastAsia" w:cs="Times New Roman"/>
          <w:b/>
          <w:bCs/>
          <w:kern w:val="2"/>
          <w:szCs w:val="21"/>
        </w:rPr>
      </w:pPr>
      <w:r>
        <w:rPr>
          <w:rFonts w:hint="eastAsia" w:cs="Times New Roman"/>
          <w:b/>
          <w:bCs/>
          <w:kern w:val="2"/>
          <w:szCs w:val="21"/>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1.</w:t>
      </w:r>
      <w:r>
        <w:rPr>
          <w:rFonts w:hint="eastAsia" w:cs="Times New Roman"/>
          <w:b/>
          <w:bCs/>
          <w:kern w:val="2"/>
          <w:szCs w:val="21"/>
        </w:rPr>
        <w:t>带“★”指标项为实质性条款，如出现负偏离，将被视为未实质性满足招标文件要求作投标无效处理。带“▲”指标项为重要参数，负偏离时依相关评分准则内容作重点扣分处理。</w:t>
      </w:r>
      <w:r>
        <w:rPr>
          <w:rFonts w:cs="Times New Roman"/>
          <w:b/>
          <w:bCs/>
          <w:kern w:val="2"/>
          <w:szCs w:val="21"/>
        </w:rPr>
        <w:t xml:space="preserve">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2.</w:t>
      </w:r>
      <w:r>
        <w:rPr>
          <w:rFonts w:hint="eastAsia" w:cs="Times New Roman"/>
          <w:b/>
          <w:bCs/>
          <w:kern w:val="2"/>
          <w:szCs w:val="21"/>
        </w:rPr>
        <w:t>技术参数要求中，用</w:t>
      </w:r>
      <w:r>
        <w:rPr>
          <w:rFonts w:hint="eastAsia" w:cs="Times New Roman"/>
          <w:b/>
          <w:bCs/>
          <w:color w:val="FF0000"/>
          <w:kern w:val="2"/>
          <w:szCs w:val="21"/>
        </w:rPr>
        <w:t>红色加粗</w:t>
      </w:r>
      <w:r>
        <w:rPr>
          <w:rFonts w:hint="eastAsia" w:cs="Times New Roman"/>
          <w:b/>
          <w:bCs/>
          <w:kern w:val="2"/>
          <w:szCs w:val="21"/>
        </w:rPr>
        <w:t>字体标注的技术条款为要求提供证明资料的条款，其余为未要求提供证明资料的条款，无需提供相关证明资料。</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3.</w:t>
      </w:r>
      <w:r>
        <w:rPr>
          <w:rFonts w:hint="eastAsia" w:cs="Times New Roman"/>
          <w:b/>
          <w:bCs/>
          <w:kern w:val="2"/>
          <w:szCs w:val="21"/>
        </w:rPr>
        <w:t>备注为“标题”的技术参数内容不参与评分。</w:t>
      </w:r>
    </w:p>
    <w:p>
      <w:pPr>
        <w:numPr>
          <w:ilvl w:val="0"/>
          <w:numId w:val="2"/>
        </w:numPr>
        <w:adjustRightInd/>
        <w:snapToGrid/>
        <w:spacing w:before="280" w:after="290" w:line="377" w:lineRule="auto"/>
        <w:jc w:val="left"/>
        <w:outlineLvl w:val="2"/>
        <w:rPr>
          <w:rFonts w:hint="eastAsia"/>
          <w:b/>
          <w:sz w:val="24"/>
        </w:rPr>
      </w:pPr>
      <w:bookmarkStart w:id="51" w:name="_Toc150960247"/>
      <w:bookmarkStart w:id="52" w:name="_Toc7667"/>
      <w:bookmarkStart w:id="53" w:name="_Toc13798"/>
      <w:bookmarkStart w:id="54" w:name="_Toc151386157"/>
      <w:r>
        <w:rPr>
          <w:rFonts w:hint="eastAsia"/>
          <w:b/>
          <w:sz w:val="24"/>
        </w:rPr>
        <w:t>商务要求</w:t>
      </w:r>
      <w:bookmarkEnd w:id="51"/>
      <w:bookmarkEnd w:id="52"/>
      <w:bookmarkEnd w:id="53"/>
      <w:bookmarkEnd w:id="54"/>
    </w:p>
    <w:p>
      <w:pPr>
        <w:jc w:val="center"/>
        <w:rPr>
          <w:rFonts w:hint="eastAsia"/>
        </w:rPr>
      </w:pPr>
      <w:r>
        <w:rPr>
          <w:rFonts w:hint="eastAsia"/>
        </w:rPr>
        <w:t>包号：</w:t>
      </w:r>
      <w:r>
        <w:t xml:space="preserve">01 </w:t>
      </w:r>
      <w:r>
        <w:rPr>
          <w:rFonts w:hint="eastAsia"/>
        </w:rPr>
        <w:t>商务要求</w:t>
      </w:r>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szCs w:val="21"/>
              </w:rPr>
            </w:pPr>
            <w:r>
              <w:rPr>
                <w:szCs w:val="21"/>
              </w:rPr>
              <w:t>1.</w:t>
            </w:r>
            <w:r>
              <w:rPr>
                <w:rFonts w:hint="eastAsia"/>
                <w:szCs w:val="21"/>
              </w:rPr>
              <w:t>计量：提供验收前计量，计量机构由采购人指定。中标人不额外收取费用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b/>
                <w:bCs/>
                <w:szCs w:val="21"/>
              </w:rPr>
            </w:pPr>
            <w:r>
              <w:rPr>
                <w:rFonts w:hint="eastAsia" w:cs="Times New Roman"/>
                <w:b/>
                <w:bCs/>
                <w:kern w:val="2"/>
                <w:szCs w:val="21"/>
              </w:rPr>
              <w:t>★</w:t>
            </w:r>
            <w:r>
              <w:rPr>
                <w:b/>
                <w:bCs/>
                <w:szCs w:val="21"/>
              </w:rPr>
              <w:t>2.</w:t>
            </w:r>
            <w:r>
              <w:rPr>
                <w:rFonts w:hint="eastAsia"/>
                <w:b/>
                <w:bCs/>
                <w:szCs w:val="21"/>
              </w:rPr>
              <w:t>货物质量保证期：验收合格后提供三年质保。质保期内，中标人负责提供仪器维护及维修服务，包括整机零部件、备品备件及消耗件等维修或更换和每年一次全面的整机保养服务。提供工作站专用软件终身维护及更新。中标人不额外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b/>
                <w:bCs/>
                <w:szCs w:val="21"/>
              </w:rPr>
            </w:pPr>
            <w:r>
              <w:rPr>
                <w:rFonts w:hint="eastAsia" w:cs="Times New Roman"/>
                <w:b/>
                <w:bCs/>
                <w:kern w:val="2"/>
                <w:szCs w:val="21"/>
              </w:rPr>
              <w:t>★</w:t>
            </w:r>
            <w:r>
              <w:rPr>
                <w:b/>
                <w:bCs/>
                <w:szCs w:val="21"/>
              </w:rPr>
              <w:t>3.</w:t>
            </w:r>
            <w:r>
              <w:rPr>
                <w:rFonts w:hint="eastAsia"/>
                <w:b/>
                <w:bCs/>
                <w:szCs w:val="21"/>
              </w:rPr>
              <w:t>维护响应：中标人在质量保证期内提供要求</w:t>
            </w:r>
            <w:r>
              <w:rPr>
                <w:b/>
                <w:bCs/>
                <w:szCs w:val="21"/>
              </w:rPr>
              <w:t>4</w:t>
            </w:r>
            <w:r>
              <w:rPr>
                <w:rFonts w:hint="eastAsia"/>
                <w:b/>
                <w:bCs/>
                <w:szCs w:val="21"/>
              </w:rPr>
              <w:t>小时内响应，</w:t>
            </w:r>
            <w:r>
              <w:rPr>
                <w:b/>
                <w:bCs/>
                <w:szCs w:val="21"/>
              </w:rPr>
              <w:t>24</w:t>
            </w:r>
            <w:r>
              <w:rPr>
                <w:rFonts w:hint="eastAsia"/>
                <w:b/>
                <w:bCs/>
                <w:szCs w:val="21"/>
              </w:rPr>
              <w:t>小时内提出解决方案，</w:t>
            </w:r>
            <w:r>
              <w:rPr>
                <w:b/>
                <w:bCs/>
                <w:szCs w:val="21"/>
              </w:rPr>
              <w:t>48</w:t>
            </w:r>
            <w:r>
              <w:rPr>
                <w:rFonts w:hint="eastAsia"/>
                <w:b/>
                <w:bCs/>
                <w:szCs w:val="21"/>
              </w:rPr>
              <w:t>小时内到达现场。中标人不额外收取费用。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szCs w:val="21"/>
              </w:rPr>
            </w:pPr>
            <w:r>
              <w:rPr>
                <w:szCs w:val="21"/>
              </w:rPr>
              <w:t>4.</w:t>
            </w:r>
            <w:r>
              <w:rPr>
                <w:rFonts w:hint="eastAsia"/>
                <w:szCs w:val="21"/>
              </w:rPr>
              <w:t>现场培训：仪器在安装调试同时，中标人负责派工程师对用户就仪器原理和基本操作进行现场培训，培训人员人数不限，培训时间视采购人需要，原则上不少于</w:t>
            </w:r>
            <w:r>
              <w:rPr>
                <w:szCs w:val="21"/>
              </w:rPr>
              <w:t>2</w:t>
            </w:r>
            <w:r>
              <w:rPr>
                <w:rFonts w:hint="eastAsia"/>
                <w:szCs w:val="21"/>
              </w:rPr>
              <w:t>天，确保采购人用户能正常操作。中标人不额外收取费用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szCs w:val="21"/>
              </w:rPr>
            </w:pPr>
            <w:r>
              <w:rPr>
                <w:szCs w:val="21"/>
              </w:rPr>
              <w:t>5.</w:t>
            </w:r>
            <w:r>
              <w:rPr>
                <w:rFonts w:hint="eastAsia"/>
                <w:szCs w:val="21"/>
              </w:rPr>
              <w:t>集中培训：提供</w:t>
            </w:r>
            <w:r>
              <w:rPr>
                <w:szCs w:val="21"/>
              </w:rPr>
              <w:t>2</w:t>
            </w:r>
            <w:r>
              <w:rPr>
                <w:rFonts w:hint="eastAsia"/>
                <w:szCs w:val="21"/>
              </w:rPr>
              <w:t>个国内中高级别培训名额</w:t>
            </w:r>
            <w:r>
              <w:rPr>
                <w:szCs w:val="21"/>
              </w:rPr>
              <w:t>(</w:t>
            </w:r>
            <w:r>
              <w:rPr>
                <w:rFonts w:hint="eastAsia"/>
                <w:szCs w:val="21"/>
              </w:rPr>
              <w:t>含培训费、食宿、交通等差旅费用</w:t>
            </w:r>
            <w:r>
              <w:rPr>
                <w:szCs w:val="21"/>
              </w:rPr>
              <w:t>)</w:t>
            </w:r>
            <w:r>
              <w:rPr>
                <w:rFonts w:hint="eastAsia"/>
                <w:szCs w:val="21"/>
              </w:rPr>
              <w:t>，培训时长不少于</w:t>
            </w:r>
            <w:r>
              <w:rPr>
                <w:szCs w:val="21"/>
              </w:rPr>
              <w:t>3</w:t>
            </w:r>
            <w:r>
              <w:rPr>
                <w:rFonts w:hint="eastAsia"/>
                <w:szCs w:val="21"/>
              </w:rPr>
              <w:t>天。中标人不额外收取费用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szCs w:val="21"/>
              </w:rPr>
            </w:pPr>
            <w:r>
              <w:rPr>
                <w:szCs w:val="21"/>
              </w:rPr>
              <w:t>6.</w:t>
            </w:r>
            <w:r>
              <w:rPr>
                <w:rFonts w:hint="eastAsia"/>
                <w:szCs w:val="21"/>
              </w:rPr>
              <w:t>签定合同日期：</w:t>
            </w:r>
            <w:bookmarkStart w:id="55" w:name="_Hlk180327063"/>
            <w:r>
              <w:rPr>
                <w:rFonts w:hint="eastAsia"/>
                <w:szCs w:val="21"/>
              </w:rPr>
              <w:t>自中标</w:t>
            </w:r>
            <w:r>
              <w:rPr>
                <w:szCs w:val="21"/>
              </w:rPr>
              <w:t>(</w:t>
            </w:r>
            <w:r>
              <w:rPr>
                <w:rFonts w:hint="eastAsia"/>
                <w:szCs w:val="21"/>
              </w:rPr>
              <w:t>成交</w:t>
            </w:r>
            <w:r>
              <w:rPr>
                <w:szCs w:val="21"/>
              </w:rPr>
              <w:t>)</w:t>
            </w:r>
            <w:r>
              <w:rPr>
                <w:rFonts w:hint="eastAsia"/>
                <w:szCs w:val="21"/>
              </w:rPr>
              <w:t>通知书发出之日起</w:t>
            </w:r>
            <w:r>
              <w:rPr>
                <w:szCs w:val="21"/>
              </w:rPr>
              <w:t>30</w:t>
            </w:r>
            <w:r>
              <w:rPr>
                <w:rFonts w:hint="eastAsia"/>
                <w:szCs w:val="21"/>
              </w:rPr>
              <w:t>日内</w:t>
            </w:r>
            <w:bookmarkEnd w:id="55"/>
            <w:r>
              <w:rPr>
                <w:rFonts w:hint="eastAsia"/>
                <w:szCs w:val="21"/>
              </w:rPr>
              <w:t>。</w:t>
            </w:r>
          </w:p>
          <w:p>
            <w:pPr>
              <w:widowControl w:val="0"/>
              <w:spacing w:line="240" w:lineRule="auto"/>
              <w:rPr>
                <w:rFonts w:hint="eastAsia"/>
                <w:b/>
                <w:bCs/>
                <w:szCs w:val="21"/>
              </w:rPr>
            </w:pPr>
            <w:r>
              <w:rPr>
                <w:rFonts w:hint="eastAsia" w:cs="Times New Roman"/>
                <w:b/>
                <w:bCs/>
                <w:kern w:val="2"/>
                <w:szCs w:val="21"/>
              </w:rPr>
              <w:t>★</w:t>
            </w:r>
            <w:r>
              <w:rPr>
                <w:rFonts w:hint="eastAsia"/>
                <w:b/>
                <w:bCs/>
                <w:szCs w:val="21"/>
              </w:rPr>
              <w:t>交货期：</w:t>
            </w:r>
            <w:bookmarkStart w:id="56" w:name="_Hlk180327154"/>
            <w:r>
              <w:rPr>
                <w:rFonts w:hint="eastAsia"/>
                <w:b/>
                <w:bCs/>
                <w:szCs w:val="21"/>
              </w:rPr>
              <w:t>自合同签定之日起</w:t>
            </w:r>
            <w:r>
              <w:rPr>
                <w:b/>
                <w:bCs/>
                <w:szCs w:val="21"/>
              </w:rPr>
              <w:t>60</w:t>
            </w:r>
            <w:r>
              <w:rPr>
                <w:rFonts w:hint="eastAsia"/>
                <w:b/>
                <w:bCs/>
                <w:szCs w:val="21"/>
              </w:rPr>
              <w:t>日内</w:t>
            </w:r>
            <w:bookmarkEnd w:id="56"/>
            <w:r>
              <w:rPr>
                <w:rFonts w:hint="eastAsia"/>
                <w:b/>
                <w:bCs/>
                <w:szCs w:val="21"/>
              </w:rPr>
              <w:t>。</w:t>
            </w:r>
          </w:p>
          <w:p>
            <w:pPr>
              <w:widowControl w:val="0"/>
              <w:spacing w:line="240" w:lineRule="auto"/>
              <w:rPr>
                <w:rFonts w:hint="eastAsia"/>
                <w:szCs w:val="21"/>
              </w:rPr>
            </w:pPr>
            <w:r>
              <w:rPr>
                <w:rFonts w:hint="eastAsia" w:cs="Times New Roman"/>
                <w:b/>
                <w:bCs/>
                <w:kern w:val="2"/>
                <w:szCs w:val="21"/>
              </w:rPr>
              <w:t>★</w:t>
            </w:r>
            <w:r>
              <w:rPr>
                <w:rFonts w:hint="eastAsia"/>
                <w:b/>
                <w:bCs/>
                <w:szCs w:val="21"/>
              </w:rPr>
              <w:t>交货地点：深圳海关工业品检测技术中心指定地点</w:t>
            </w:r>
            <w:r>
              <w:rPr>
                <w:rFonts w:hint="eastAsia"/>
                <w:b/>
                <w:bCs/>
                <w:szCs w:val="21"/>
                <w:u w:val="single"/>
              </w:rPr>
              <w:t>（具体以中标后实际合同确定为准）</w:t>
            </w: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szCs w:val="21"/>
              </w:rPr>
            </w:pPr>
            <w:r>
              <w:rPr>
                <w:szCs w:val="21"/>
              </w:rPr>
              <w:t>7</w:t>
            </w:r>
            <w:r>
              <w:rPr>
                <w:rFonts w:hint="eastAsia"/>
                <w:szCs w:val="21"/>
              </w:rPr>
              <w:t>、除采购人事先书面同意外，中标人不得部分或全部转让其应履行的合同项下的义务。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vAlign w:val="center"/>
          </w:tcPr>
          <w:p>
            <w:pPr>
              <w:spacing w:line="240" w:lineRule="auto"/>
              <w:jc w:val="center"/>
              <w:textAlignment w:val="center"/>
              <w:rPr>
                <w:rFonts w:hint="eastAsia"/>
                <w:szCs w:val="21"/>
              </w:rPr>
            </w:pPr>
            <w:r>
              <w:rPr>
                <w:rFonts w:hint="eastAsia" w:cs="Times New Roman"/>
                <w:b/>
                <w:bCs/>
                <w:kern w:val="2"/>
                <w:szCs w:val="21"/>
              </w:rPr>
              <w:t>★</w:t>
            </w:r>
            <w:r>
              <w:rPr>
                <w:b/>
                <w:bCs/>
                <w:szCs w:val="21"/>
              </w:rPr>
              <w:t>8</w:t>
            </w:r>
            <w:r>
              <w:rPr>
                <w:rFonts w:hint="eastAsia"/>
                <w:b/>
                <w:bCs/>
                <w:szCs w:val="21"/>
              </w:rPr>
              <w:t>、付款要求</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vAlign w:val="center"/>
          </w:tcPr>
          <w:p>
            <w:pPr>
              <w:spacing w:line="240" w:lineRule="auto"/>
              <w:textAlignment w:val="center"/>
              <w:rPr>
                <w:rFonts w:hint="eastAsia"/>
                <w:b/>
                <w:bCs/>
                <w:szCs w:val="21"/>
              </w:rPr>
            </w:pPr>
            <w:r>
              <w:rPr>
                <w:rFonts w:hint="eastAsia"/>
                <w:b/>
                <w:bCs/>
                <w:szCs w:val="21"/>
              </w:rPr>
              <w:t>（</w:t>
            </w:r>
            <w:r>
              <w:rPr>
                <w:b/>
                <w:bCs/>
              </w:rPr>
              <w:t>1</w:t>
            </w:r>
            <w:r>
              <w:rPr>
                <w:rFonts w:hint="eastAsia"/>
                <w:b/>
                <w:bCs/>
                <w:szCs w:val="21"/>
              </w:rPr>
              <w:t>）合同签订后，中标人向采购人交付履约保函或保证金，比例等于合同金额的</w:t>
            </w:r>
            <w:r>
              <w:rPr>
                <w:b/>
                <w:bCs/>
              </w:rPr>
              <w:t>10%</w:t>
            </w:r>
            <w:r>
              <w:rPr>
                <w:rFonts w:hint="eastAsia"/>
                <w:b/>
                <w:bCs/>
                <w:szCs w:val="21"/>
              </w:rPr>
              <w:t>，并提交下列单据之日起</w:t>
            </w:r>
            <w:r>
              <w:rPr>
                <w:b/>
                <w:bCs/>
              </w:rPr>
              <w:t>10</w:t>
            </w:r>
            <w:r>
              <w:rPr>
                <w:rFonts w:hint="eastAsia"/>
                <w:b/>
                <w:bCs/>
                <w:szCs w:val="21"/>
              </w:rPr>
              <w:t>个工作日内，采购人向中标人支付合同总价</w:t>
            </w:r>
            <w:r>
              <w:rPr>
                <w:b/>
                <w:bCs/>
              </w:rPr>
              <w:t>50 %</w:t>
            </w:r>
            <w:r>
              <w:rPr>
                <w:rFonts w:hint="eastAsia"/>
                <w:b/>
                <w:bCs/>
                <w:szCs w:val="21"/>
              </w:rPr>
              <w:t>合同款。中标人提交单据：合同（正文部分复印件）、中标通知书（或成交通知书复印件）、发票（原件）、履约保函或保证金单据复印件。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vAlign w:val="center"/>
          </w:tcPr>
          <w:p>
            <w:pPr>
              <w:spacing w:line="240" w:lineRule="auto"/>
              <w:textAlignment w:val="center"/>
              <w:rPr>
                <w:rFonts w:hint="eastAsia"/>
                <w:b/>
                <w:bCs/>
                <w:szCs w:val="21"/>
              </w:rPr>
            </w:pPr>
            <w:r>
              <w:rPr>
                <w:rFonts w:hint="eastAsia"/>
                <w:b/>
                <w:bCs/>
                <w:szCs w:val="21"/>
              </w:rPr>
              <w:t>（</w:t>
            </w:r>
            <w:r>
              <w:rPr>
                <w:b/>
                <w:bCs/>
              </w:rPr>
              <w:t>2</w:t>
            </w:r>
            <w:r>
              <w:rPr>
                <w:rFonts w:hint="eastAsia"/>
                <w:b/>
                <w:bCs/>
                <w:szCs w:val="21"/>
              </w:rPr>
              <w:t>）设备全部到货并经采购人（用户）签收后，中标人向采购人提交下列单据之日起</w:t>
            </w:r>
            <w:r>
              <w:rPr>
                <w:b/>
                <w:bCs/>
              </w:rPr>
              <w:t>10</w:t>
            </w:r>
            <w:r>
              <w:rPr>
                <w:rFonts w:hint="eastAsia"/>
                <w:b/>
                <w:bCs/>
                <w:szCs w:val="21"/>
              </w:rPr>
              <w:t>个工作日内，采购人向中标人支付合同总价</w:t>
            </w:r>
            <w:r>
              <w:rPr>
                <w:b/>
                <w:bCs/>
              </w:rPr>
              <w:t>50 %</w:t>
            </w:r>
            <w:r>
              <w:rPr>
                <w:rFonts w:hint="eastAsia"/>
                <w:b/>
                <w:bCs/>
                <w:szCs w:val="21"/>
              </w:rPr>
              <w:t>合同款。中标人提交单据：合同</w:t>
            </w:r>
            <w:r>
              <w:rPr>
                <w:b/>
                <w:bCs/>
              </w:rPr>
              <w:t>(</w:t>
            </w:r>
            <w:r>
              <w:rPr>
                <w:rFonts w:hint="eastAsia"/>
                <w:b/>
                <w:bCs/>
                <w:szCs w:val="21"/>
              </w:rPr>
              <w:t>正文部分复印件）、中标通知书（或成交通知书复印件）、发票（原件）、设备到货签收单（复印件）。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vAlign w:val="center"/>
          </w:tcPr>
          <w:p>
            <w:pPr>
              <w:spacing w:line="240" w:lineRule="auto"/>
              <w:textAlignment w:val="center"/>
              <w:rPr>
                <w:rFonts w:hint="eastAsia"/>
                <w:b/>
                <w:bCs/>
                <w:szCs w:val="21"/>
              </w:rPr>
            </w:pPr>
            <w:r>
              <w:rPr>
                <w:rFonts w:hint="eastAsia"/>
                <w:b/>
                <w:bCs/>
                <w:szCs w:val="21"/>
              </w:rPr>
              <w:t>（</w:t>
            </w:r>
            <w:r>
              <w:rPr>
                <w:b/>
                <w:bCs/>
                <w:szCs w:val="21"/>
              </w:rPr>
              <w:t>3</w:t>
            </w:r>
            <w:r>
              <w:rPr>
                <w:rFonts w:hint="eastAsia"/>
                <w:b/>
                <w:bCs/>
                <w:szCs w:val="21"/>
              </w:rPr>
              <w:t>）设备全部安装调试，并经采购人（用户）验收合格后，中标人向采购人提交下列单据之日起</w:t>
            </w:r>
            <w:r>
              <w:rPr>
                <w:b/>
                <w:bCs/>
                <w:szCs w:val="21"/>
              </w:rPr>
              <w:t>30</w:t>
            </w:r>
            <w:r>
              <w:rPr>
                <w:rFonts w:hint="eastAsia"/>
                <w:b/>
                <w:bCs/>
                <w:szCs w:val="21"/>
              </w:rPr>
              <w:t>日内，采购人向中标人无息退还履约保函或保证金。</w:t>
            </w:r>
          </w:p>
          <w:p>
            <w:pPr>
              <w:spacing w:line="240" w:lineRule="auto"/>
              <w:textAlignment w:val="center"/>
              <w:rPr>
                <w:rFonts w:hint="eastAsia"/>
                <w:b/>
                <w:bCs/>
                <w:szCs w:val="21"/>
              </w:rPr>
            </w:pPr>
            <w:r>
              <w:rPr>
                <w:rFonts w:hint="eastAsia"/>
                <w:b/>
                <w:bCs/>
                <w:szCs w:val="21"/>
              </w:rPr>
              <w:t>中标人提交单据：退还申请（原件）、安装调试验收合格报告（复印件）。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vAlign w:val="center"/>
          </w:tcPr>
          <w:p>
            <w:pPr>
              <w:spacing w:line="240" w:lineRule="auto"/>
              <w:textAlignment w:val="center"/>
              <w:rPr>
                <w:rFonts w:hint="eastAsia"/>
                <w:b/>
                <w:bCs/>
                <w:szCs w:val="21"/>
              </w:rPr>
            </w:pPr>
            <w:r>
              <w:rPr>
                <w:rFonts w:hint="eastAsia"/>
                <w:b/>
                <w:bCs/>
                <w:szCs w:val="21"/>
              </w:rPr>
              <w:t>（</w:t>
            </w:r>
            <w:r>
              <w:rPr>
                <w:b/>
                <w:bCs/>
                <w:szCs w:val="21"/>
              </w:rPr>
              <w:t>4</w:t>
            </w:r>
            <w:r>
              <w:rPr>
                <w:rFonts w:hint="eastAsia"/>
                <w:b/>
                <w:bCs/>
                <w:szCs w:val="21"/>
              </w:rPr>
              <w:t>）因财政集中支付延误时间不计算在内。中标人提交付款单据延迟、缺失及账户信息错误的，采购人有权相应顺延付款期限，且采购人不承担延误付款责任。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center"/>
              <w:textAlignment w:val="top"/>
              <w:rPr>
                <w:rFonts w:hint="eastAsia"/>
                <w:szCs w:val="21"/>
              </w:rPr>
            </w:pPr>
            <w:r>
              <w:rPr>
                <w:rFonts w:hint="eastAsia" w:cs="Times New Roman"/>
                <w:b/>
                <w:bCs/>
                <w:kern w:val="2"/>
                <w:szCs w:val="21"/>
              </w:rPr>
              <w:t>★</w:t>
            </w:r>
            <w:r>
              <w:rPr>
                <w:b/>
                <w:bCs/>
                <w:szCs w:val="21"/>
              </w:rPr>
              <w:t>9</w:t>
            </w:r>
            <w:r>
              <w:rPr>
                <w:rFonts w:hint="eastAsia"/>
                <w:b/>
                <w:bCs/>
                <w:szCs w:val="21"/>
              </w:rPr>
              <w:t>、产品验收</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1</w:t>
            </w:r>
            <w:r>
              <w:rPr>
                <w:rFonts w:hint="eastAsia"/>
                <w:b/>
                <w:bCs/>
                <w:szCs w:val="21"/>
              </w:rPr>
              <w:t>）货物运至采购人（用户）指定地点后，由双方指派人员按照本合同规定对货物进行验收，中标人应提供交货清单等文件供采购人（用户）审查，采购人（用户）将按合同清单进行规格、数量、外观的检查。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2</w:t>
            </w:r>
            <w:r>
              <w:rPr>
                <w:rFonts w:hint="eastAsia"/>
                <w:b/>
                <w:bCs/>
                <w:szCs w:val="21"/>
              </w:rPr>
              <w:t>）收货后</w:t>
            </w:r>
            <w:r>
              <w:rPr>
                <w:b/>
                <w:bCs/>
                <w:szCs w:val="21"/>
              </w:rPr>
              <w:t xml:space="preserve"> 30 </w:t>
            </w:r>
            <w:r>
              <w:rPr>
                <w:rFonts w:hint="eastAsia"/>
                <w:b/>
                <w:bCs/>
                <w:szCs w:val="21"/>
              </w:rPr>
              <w:t>个工作日内双方进行到货验收工作。如验收合格，采购人（用户）应及时履行验收手续，双方签署设备到货验收签收单；如验收不合格，采购人（用户）应以书面形式通知中标人原因，中标人收到通知后</w:t>
            </w:r>
            <w:r>
              <w:rPr>
                <w:b/>
                <w:bCs/>
                <w:szCs w:val="21"/>
              </w:rPr>
              <w:t xml:space="preserve"> 10 </w:t>
            </w:r>
            <w:r>
              <w:rPr>
                <w:rFonts w:hint="eastAsia"/>
                <w:b/>
                <w:bCs/>
                <w:szCs w:val="21"/>
              </w:rPr>
              <w:t>个工作日内提供解决方案。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3</w:t>
            </w:r>
            <w:r>
              <w:rPr>
                <w:rFonts w:hint="eastAsia"/>
                <w:b/>
                <w:bCs/>
                <w:szCs w:val="21"/>
              </w:rPr>
              <w:t>）在验收工作中，发现数量不足或有质量、技术等问题，中标人应按照合同要求采取补足、更换或退货等处理措施，并承担由此发生的一切费用和损失。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4</w:t>
            </w:r>
            <w:r>
              <w:rPr>
                <w:rFonts w:hint="eastAsia"/>
                <w:b/>
                <w:bCs/>
                <w:szCs w:val="21"/>
              </w:rPr>
              <w:t>）涉及设备安装调试的，中标人负责在采购人（用户）配合下完成所供设备安装调试并保证与用户原有设备互联互通，有关技术问题由中标人和制造商协同解决。安装调试后，双方签署设备安装调试验收报告。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5</w:t>
            </w:r>
            <w:r>
              <w:rPr>
                <w:rFonts w:hint="eastAsia"/>
                <w:b/>
                <w:bCs/>
                <w:szCs w:val="21"/>
              </w:rPr>
              <w:t>）采购人（用户）认为必要时，对大型或者复杂的货物采购项目，可以邀请国家认可的质量检测机构参加验收工作，相关验收意见作为验收报告的参考资料，相关费用由中标人承担。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6</w:t>
            </w:r>
            <w:r>
              <w:rPr>
                <w:rFonts w:hint="eastAsia"/>
                <w:b/>
                <w:bCs/>
                <w:szCs w:val="21"/>
              </w:rPr>
              <w:t>）验收标准以双方达成的对质量和技术标准的约定、中标人承诺的质量和技术标准、国家或行业规定的相关质量和技术标准中最高者为准，且应充分满足采购人使用要求。</w:t>
            </w:r>
          </w:p>
        </w:tc>
      </w:tr>
    </w:tbl>
    <w:p>
      <w:pPr>
        <w:jc w:val="center"/>
        <w:rPr>
          <w:rFonts w:hint="eastAsia"/>
        </w:rPr>
      </w:pPr>
      <w:r>
        <w:rPr>
          <w:rFonts w:hint="eastAsia"/>
        </w:rPr>
        <w:t>包号：</w:t>
      </w:r>
      <w:r>
        <w:t>02</w:t>
      </w:r>
      <w:r>
        <w:rPr>
          <w:rFonts w:hint="eastAsia"/>
        </w:rPr>
        <w:t>商务要求</w:t>
      </w:r>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szCs w:val="21"/>
              </w:rPr>
            </w:pPr>
            <w:r>
              <w:rPr>
                <w:szCs w:val="21"/>
              </w:rPr>
              <w:t>1.</w:t>
            </w:r>
            <w:r>
              <w:rPr>
                <w:rFonts w:hint="eastAsia"/>
                <w:szCs w:val="21"/>
              </w:rPr>
              <w:t>计量：提供验收前计量，计量机构由甲方指定。中标人不额外收取费用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b/>
                <w:bCs/>
                <w:szCs w:val="21"/>
              </w:rPr>
            </w:pPr>
            <w:r>
              <w:rPr>
                <w:rFonts w:hint="eastAsia" w:cs="Times New Roman"/>
                <w:b/>
                <w:bCs/>
                <w:kern w:val="2"/>
                <w:szCs w:val="21"/>
              </w:rPr>
              <w:t>★</w:t>
            </w:r>
            <w:r>
              <w:rPr>
                <w:b/>
                <w:bCs/>
                <w:szCs w:val="21"/>
              </w:rPr>
              <w:t>2.</w:t>
            </w:r>
            <w:r>
              <w:rPr>
                <w:rFonts w:hint="eastAsia"/>
                <w:b/>
                <w:bCs/>
                <w:szCs w:val="21"/>
              </w:rPr>
              <w:t>货物质量保证期：验收合格后提供三年质保。质保期内，中标人负责提供仪器维护及维修服务，包括整机零部件、备品备件及消耗件等维修或更换和每年一次全面的整机保养服务。提供工作站专用软件终身维护及更新。中标人不额外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b/>
                <w:bCs/>
                <w:szCs w:val="21"/>
              </w:rPr>
            </w:pPr>
            <w:r>
              <w:rPr>
                <w:rFonts w:hint="eastAsia" w:cs="Times New Roman"/>
                <w:b/>
                <w:bCs/>
                <w:kern w:val="2"/>
                <w:szCs w:val="21"/>
              </w:rPr>
              <w:t>★</w:t>
            </w:r>
            <w:r>
              <w:rPr>
                <w:b/>
                <w:bCs/>
                <w:szCs w:val="21"/>
              </w:rPr>
              <w:t>3.</w:t>
            </w:r>
            <w:r>
              <w:rPr>
                <w:rFonts w:hint="eastAsia"/>
                <w:b/>
                <w:bCs/>
                <w:szCs w:val="21"/>
              </w:rPr>
              <w:t>维护响应：中标人在质量保证期内提供要求</w:t>
            </w:r>
            <w:r>
              <w:rPr>
                <w:b/>
                <w:bCs/>
                <w:szCs w:val="21"/>
              </w:rPr>
              <w:t>4</w:t>
            </w:r>
            <w:r>
              <w:rPr>
                <w:rFonts w:hint="eastAsia"/>
                <w:b/>
                <w:bCs/>
                <w:szCs w:val="21"/>
              </w:rPr>
              <w:t>小时内响应，</w:t>
            </w:r>
            <w:r>
              <w:rPr>
                <w:b/>
                <w:bCs/>
                <w:szCs w:val="21"/>
              </w:rPr>
              <w:t>24</w:t>
            </w:r>
            <w:r>
              <w:rPr>
                <w:rFonts w:hint="eastAsia"/>
                <w:b/>
                <w:bCs/>
                <w:szCs w:val="21"/>
              </w:rPr>
              <w:t>小时内提出解决方案，</w:t>
            </w:r>
            <w:r>
              <w:rPr>
                <w:b/>
                <w:bCs/>
                <w:szCs w:val="21"/>
              </w:rPr>
              <w:t>48</w:t>
            </w:r>
            <w:r>
              <w:rPr>
                <w:rFonts w:hint="eastAsia"/>
                <w:b/>
                <w:bCs/>
                <w:szCs w:val="21"/>
              </w:rPr>
              <w:t>小时内到达现场。中标人不额外收取费用。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szCs w:val="21"/>
              </w:rPr>
            </w:pPr>
            <w:r>
              <w:rPr>
                <w:szCs w:val="21"/>
              </w:rPr>
              <w:t>4.</w:t>
            </w:r>
            <w:r>
              <w:rPr>
                <w:rFonts w:hint="eastAsia"/>
                <w:szCs w:val="21"/>
              </w:rPr>
              <w:t>现场培训：仪器在安装调试同时，中标供应商负责派工程师对用户就仪器原理和基本操作进行现场培训，培训人员人数不限，培训时间视甲方需要，原则上不少于</w:t>
            </w:r>
            <w:r>
              <w:rPr>
                <w:szCs w:val="21"/>
              </w:rPr>
              <w:t>2</w:t>
            </w:r>
            <w:r>
              <w:rPr>
                <w:rFonts w:hint="eastAsia"/>
                <w:szCs w:val="21"/>
              </w:rPr>
              <w:t>天，确保甲方用户能正常操作。中标人不额外收取费用。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szCs w:val="21"/>
              </w:rPr>
            </w:pPr>
            <w:r>
              <w:rPr>
                <w:szCs w:val="21"/>
              </w:rPr>
              <w:t>5.</w:t>
            </w:r>
            <w:r>
              <w:rPr>
                <w:rFonts w:hint="eastAsia"/>
                <w:szCs w:val="21"/>
              </w:rPr>
              <w:t>集中培训：提供</w:t>
            </w:r>
            <w:r>
              <w:rPr>
                <w:szCs w:val="21"/>
              </w:rPr>
              <w:t>2</w:t>
            </w:r>
            <w:r>
              <w:rPr>
                <w:rFonts w:hint="eastAsia"/>
                <w:szCs w:val="21"/>
              </w:rPr>
              <w:t>个国内中高级别培训名额</w:t>
            </w:r>
            <w:r>
              <w:rPr>
                <w:szCs w:val="21"/>
              </w:rPr>
              <w:t>(</w:t>
            </w:r>
            <w:r>
              <w:rPr>
                <w:rFonts w:hint="eastAsia"/>
                <w:szCs w:val="21"/>
              </w:rPr>
              <w:t>含培训费、食宿、交通等差旅费用</w:t>
            </w:r>
            <w:r>
              <w:rPr>
                <w:szCs w:val="21"/>
              </w:rPr>
              <w:t>)</w:t>
            </w:r>
            <w:r>
              <w:rPr>
                <w:rFonts w:hint="eastAsia"/>
                <w:szCs w:val="21"/>
              </w:rPr>
              <w:t>，培训时长不少于</w:t>
            </w:r>
            <w:r>
              <w:rPr>
                <w:szCs w:val="21"/>
              </w:rPr>
              <w:t>3</w:t>
            </w:r>
            <w:r>
              <w:rPr>
                <w:rFonts w:hint="eastAsia"/>
                <w:szCs w:val="21"/>
              </w:rPr>
              <w:t>天。中标人不额外收取费用。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szCs w:val="21"/>
              </w:rPr>
            </w:pPr>
            <w:r>
              <w:rPr>
                <w:szCs w:val="21"/>
              </w:rPr>
              <w:t>6.</w:t>
            </w:r>
            <w:r>
              <w:rPr>
                <w:rFonts w:hint="eastAsia"/>
                <w:szCs w:val="21"/>
              </w:rPr>
              <w:t>签定合同日期：自中标</w:t>
            </w:r>
            <w:r>
              <w:rPr>
                <w:szCs w:val="21"/>
              </w:rPr>
              <w:t>(</w:t>
            </w:r>
            <w:r>
              <w:rPr>
                <w:rFonts w:hint="eastAsia"/>
                <w:szCs w:val="21"/>
              </w:rPr>
              <w:t>成交</w:t>
            </w:r>
            <w:r>
              <w:rPr>
                <w:szCs w:val="21"/>
              </w:rPr>
              <w:t>)</w:t>
            </w:r>
            <w:r>
              <w:rPr>
                <w:rFonts w:hint="eastAsia"/>
                <w:szCs w:val="21"/>
              </w:rPr>
              <w:t>通知书发出之日起</w:t>
            </w:r>
            <w:r>
              <w:rPr>
                <w:szCs w:val="21"/>
              </w:rPr>
              <w:t>30</w:t>
            </w:r>
            <w:r>
              <w:rPr>
                <w:rFonts w:hint="eastAsia"/>
                <w:szCs w:val="21"/>
              </w:rPr>
              <w:t>日内。</w:t>
            </w:r>
          </w:p>
          <w:p>
            <w:pPr>
              <w:widowControl w:val="0"/>
              <w:spacing w:line="240" w:lineRule="auto"/>
              <w:rPr>
                <w:rFonts w:hint="eastAsia"/>
                <w:b/>
                <w:bCs/>
                <w:szCs w:val="21"/>
              </w:rPr>
            </w:pPr>
            <w:r>
              <w:rPr>
                <w:rFonts w:hint="eastAsia" w:cs="Times New Roman"/>
                <w:b/>
                <w:bCs/>
                <w:kern w:val="2"/>
                <w:szCs w:val="21"/>
              </w:rPr>
              <w:t>★</w:t>
            </w:r>
            <w:r>
              <w:rPr>
                <w:rFonts w:hint="eastAsia"/>
                <w:b/>
                <w:bCs/>
                <w:szCs w:val="21"/>
              </w:rPr>
              <w:t>交货期：自合同签定之日起</w:t>
            </w:r>
            <w:r>
              <w:rPr>
                <w:b/>
                <w:bCs/>
                <w:szCs w:val="21"/>
              </w:rPr>
              <w:t>60</w:t>
            </w:r>
            <w:r>
              <w:rPr>
                <w:rFonts w:hint="eastAsia"/>
                <w:b/>
                <w:bCs/>
                <w:szCs w:val="21"/>
              </w:rPr>
              <w:t>日内。</w:t>
            </w:r>
          </w:p>
          <w:p>
            <w:pPr>
              <w:widowControl w:val="0"/>
              <w:spacing w:line="240" w:lineRule="auto"/>
              <w:rPr>
                <w:rFonts w:hint="eastAsia"/>
                <w:szCs w:val="21"/>
              </w:rPr>
            </w:pPr>
            <w:r>
              <w:rPr>
                <w:rFonts w:hint="eastAsia" w:cs="Times New Roman"/>
                <w:b/>
                <w:bCs/>
                <w:kern w:val="2"/>
                <w:szCs w:val="21"/>
              </w:rPr>
              <w:t>★</w:t>
            </w:r>
            <w:r>
              <w:rPr>
                <w:rFonts w:hint="eastAsia"/>
                <w:b/>
                <w:bCs/>
                <w:szCs w:val="21"/>
              </w:rPr>
              <w:t>交货地点：深圳海关工业品检测技术中心指定地点</w:t>
            </w:r>
            <w:r>
              <w:rPr>
                <w:rFonts w:hint="eastAsia"/>
                <w:b/>
                <w:bCs/>
                <w:szCs w:val="21"/>
                <w:u w:val="single"/>
              </w:rPr>
              <w:t>（具体以中标后实际合同确定为准）</w:t>
            </w: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widowControl w:val="0"/>
              <w:spacing w:line="240" w:lineRule="auto"/>
              <w:rPr>
                <w:rFonts w:hint="eastAsia"/>
                <w:szCs w:val="21"/>
              </w:rPr>
            </w:pPr>
            <w:r>
              <w:rPr>
                <w:szCs w:val="21"/>
              </w:rPr>
              <w:t>7</w:t>
            </w:r>
            <w:r>
              <w:rPr>
                <w:rFonts w:hint="eastAsia"/>
                <w:szCs w:val="21"/>
              </w:rPr>
              <w:t>、除采购人事先书面同意外，中标人不得部分或全部转让其应履行的合同项下的义务。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vAlign w:val="center"/>
          </w:tcPr>
          <w:p>
            <w:pPr>
              <w:spacing w:line="240" w:lineRule="auto"/>
              <w:jc w:val="center"/>
              <w:textAlignment w:val="center"/>
              <w:rPr>
                <w:rFonts w:hint="eastAsia"/>
                <w:szCs w:val="21"/>
              </w:rPr>
            </w:pPr>
            <w:r>
              <w:rPr>
                <w:rFonts w:hint="eastAsia" w:cs="Times New Roman"/>
                <w:b/>
                <w:bCs/>
                <w:kern w:val="2"/>
                <w:szCs w:val="21"/>
              </w:rPr>
              <w:t>★</w:t>
            </w:r>
            <w:r>
              <w:rPr>
                <w:b/>
                <w:bCs/>
                <w:szCs w:val="21"/>
              </w:rPr>
              <w:t>8</w:t>
            </w:r>
            <w:r>
              <w:rPr>
                <w:rFonts w:hint="eastAsia"/>
                <w:b/>
                <w:bCs/>
                <w:szCs w:val="21"/>
              </w:rPr>
              <w:t>、付款要求</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vAlign w:val="center"/>
          </w:tcPr>
          <w:p>
            <w:pPr>
              <w:spacing w:line="240" w:lineRule="auto"/>
              <w:textAlignment w:val="center"/>
              <w:rPr>
                <w:rFonts w:hint="eastAsia"/>
                <w:b/>
                <w:bCs/>
                <w:szCs w:val="21"/>
              </w:rPr>
            </w:pPr>
            <w:r>
              <w:rPr>
                <w:rFonts w:hint="eastAsia"/>
                <w:b/>
                <w:bCs/>
                <w:szCs w:val="21"/>
              </w:rPr>
              <w:t>（</w:t>
            </w:r>
            <w:r>
              <w:rPr>
                <w:b/>
                <w:bCs/>
              </w:rPr>
              <w:t>1</w:t>
            </w:r>
            <w:r>
              <w:rPr>
                <w:rFonts w:hint="eastAsia"/>
                <w:b/>
                <w:bCs/>
                <w:szCs w:val="21"/>
              </w:rPr>
              <w:t>）合同签订后，中标人向采购人交付履约保函或保证金，比例等于合同金额的</w:t>
            </w:r>
            <w:r>
              <w:rPr>
                <w:b/>
                <w:bCs/>
              </w:rPr>
              <w:t>10%</w:t>
            </w:r>
            <w:r>
              <w:rPr>
                <w:rFonts w:hint="eastAsia"/>
                <w:b/>
                <w:bCs/>
                <w:szCs w:val="21"/>
              </w:rPr>
              <w:t>，并提交下列单据之日起</w:t>
            </w:r>
            <w:r>
              <w:rPr>
                <w:b/>
                <w:bCs/>
              </w:rPr>
              <w:t>10</w:t>
            </w:r>
            <w:r>
              <w:rPr>
                <w:rFonts w:hint="eastAsia"/>
                <w:b/>
                <w:bCs/>
                <w:szCs w:val="21"/>
              </w:rPr>
              <w:t>个工作日内，采购人向中标人支付合同总价</w:t>
            </w:r>
            <w:r>
              <w:rPr>
                <w:b/>
                <w:bCs/>
                <w:szCs w:val="21"/>
              </w:rPr>
              <w:t xml:space="preserve"> </w:t>
            </w:r>
            <w:r>
              <w:rPr>
                <w:b/>
                <w:bCs/>
              </w:rPr>
              <w:t>50 %</w:t>
            </w:r>
            <w:r>
              <w:rPr>
                <w:rFonts w:hint="eastAsia"/>
                <w:b/>
                <w:bCs/>
                <w:szCs w:val="21"/>
              </w:rPr>
              <w:t>合同款。中标人提交单据：合同（正文部分复印件）、中标通知书（或成交通知书复印件）、发票（原件）、履约保函或保证金单据复印件。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vAlign w:val="center"/>
          </w:tcPr>
          <w:p>
            <w:pPr>
              <w:spacing w:line="240" w:lineRule="auto"/>
              <w:textAlignment w:val="center"/>
              <w:rPr>
                <w:rFonts w:hint="eastAsia"/>
                <w:b/>
                <w:bCs/>
                <w:szCs w:val="21"/>
              </w:rPr>
            </w:pPr>
            <w:r>
              <w:rPr>
                <w:rFonts w:hint="eastAsia"/>
                <w:b/>
                <w:bCs/>
                <w:szCs w:val="21"/>
              </w:rPr>
              <w:t>（</w:t>
            </w:r>
            <w:r>
              <w:rPr>
                <w:b/>
                <w:bCs/>
              </w:rPr>
              <w:t>2</w:t>
            </w:r>
            <w:r>
              <w:rPr>
                <w:rFonts w:hint="eastAsia"/>
                <w:b/>
                <w:bCs/>
                <w:szCs w:val="21"/>
              </w:rPr>
              <w:t>）设备全部到货并经采购人（用户）签收后，中标人向采购人提交下列单据之日起</w:t>
            </w:r>
            <w:r>
              <w:rPr>
                <w:b/>
                <w:bCs/>
              </w:rPr>
              <w:t>10</w:t>
            </w:r>
            <w:r>
              <w:rPr>
                <w:rFonts w:hint="eastAsia"/>
                <w:b/>
                <w:bCs/>
                <w:szCs w:val="21"/>
              </w:rPr>
              <w:t>个工作日内，采购人向中标人支付合同总价</w:t>
            </w:r>
            <w:r>
              <w:rPr>
                <w:b/>
                <w:bCs/>
                <w:szCs w:val="21"/>
              </w:rPr>
              <w:t xml:space="preserve"> </w:t>
            </w:r>
            <w:r>
              <w:rPr>
                <w:b/>
                <w:bCs/>
              </w:rPr>
              <w:t>50 %</w:t>
            </w:r>
            <w:r>
              <w:rPr>
                <w:rFonts w:hint="eastAsia"/>
                <w:b/>
                <w:bCs/>
                <w:szCs w:val="21"/>
              </w:rPr>
              <w:t>合同款。中标人提交单据：合同</w:t>
            </w:r>
            <w:r>
              <w:rPr>
                <w:b/>
                <w:bCs/>
              </w:rPr>
              <w:t>(</w:t>
            </w:r>
            <w:r>
              <w:rPr>
                <w:rFonts w:hint="eastAsia"/>
                <w:b/>
                <w:bCs/>
                <w:szCs w:val="21"/>
              </w:rPr>
              <w:t>正文部分复印件）、中标通知书（或成交通知书复印件）、发票（原件）、设备到货签收单（复印件）。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vAlign w:val="center"/>
          </w:tcPr>
          <w:p>
            <w:pPr>
              <w:spacing w:line="240" w:lineRule="auto"/>
              <w:textAlignment w:val="center"/>
              <w:rPr>
                <w:rFonts w:hint="eastAsia"/>
                <w:b/>
                <w:bCs/>
                <w:szCs w:val="21"/>
              </w:rPr>
            </w:pPr>
            <w:r>
              <w:rPr>
                <w:rFonts w:hint="eastAsia"/>
                <w:b/>
                <w:bCs/>
                <w:szCs w:val="21"/>
              </w:rPr>
              <w:t>（</w:t>
            </w:r>
            <w:r>
              <w:rPr>
                <w:b/>
                <w:bCs/>
                <w:szCs w:val="21"/>
              </w:rPr>
              <w:t>3</w:t>
            </w:r>
            <w:r>
              <w:rPr>
                <w:rFonts w:hint="eastAsia"/>
                <w:b/>
                <w:bCs/>
                <w:szCs w:val="21"/>
              </w:rPr>
              <w:t>）设备全部安装调试，并经采购人（用户）验收合格后，中标人向采购人提交下列单据之日起</w:t>
            </w:r>
            <w:r>
              <w:rPr>
                <w:b/>
                <w:bCs/>
                <w:szCs w:val="21"/>
              </w:rPr>
              <w:t>30</w:t>
            </w:r>
            <w:r>
              <w:rPr>
                <w:rFonts w:hint="eastAsia"/>
                <w:b/>
                <w:bCs/>
                <w:szCs w:val="21"/>
              </w:rPr>
              <w:t>日内，采购人向中标人无息退还履约保函或保证金。</w:t>
            </w:r>
          </w:p>
          <w:p>
            <w:pPr>
              <w:spacing w:line="240" w:lineRule="auto"/>
              <w:textAlignment w:val="center"/>
              <w:rPr>
                <w:rFonts w:hint="eastAsia"/>
                <w:b/>
                <w:bCs/>
                <w:szCs w:val="21"/>
              </w:rPr>
            </w:pPr>
            <w:r>
              <w:rPr>
                <w:rFonts w:hint="eastAsia"/>
                <w:b/>
                <w:bCs/>
                <w:szCs w:val="21"/>
              </w:rPr>
              <w:t>中标人提交单据：退还申请（原件）、安装调试验收合格报告（复印件）。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vAlign w:val="center"/>
          </w:tcPr>
          <w:p>
            <w:pPr>
              <w:spacing w:line="240" w:lineRule="auto"/>
              <w:textAlignment w:val="center"/>
              <w:rPr>
                <w:rFonts w:hint="eastAsia"/>
                <w:b/>
                <w:bCs/>
                <w:szCs w:val="21"/>
              </w:rPr>
            </w:pPr>
            <w:r>
              <w:rPr>
                <w:rFonts w:hint="eastAsia"/>
                <w:b/>
                <w:bCs/>
                <w:szCs w:val="21"/>
              </w:rPr>
              <w:t>（</w:t>
            </w:r>
            <w:r>
              <w:rPr>
                <w:b/>
                <w:bCs/>
                <w:szCs w:val="21"/>
              </w:rPr>
              <w:t>4</w:t>
            </w:r>
            <w:r>
              <w:rPr>
                <w:rFonts w:hint="eastAsia"/>
                <w:b/>
                <w:bCs/>
                <w:szCs w:val="21"/>
              </w:rPr>
              <w:t>）因财政集中支付延误时间不计算在内。中标人提交付款单据延迟、缺失及账户信息错误的，采购人有权相应顺延付款期限，且采购人不承担延误付款责任。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center"/>
              <w:textAlignment w:val="top"/>
              <w:rPr>
                <w:rFonts w:hint="eastAsia"/>
                <w:szCs w:val="21"/>
              </w:rPr>
            </w:pPr>
            <w:r>
              <w:rPr>
                <w:rFonts w:hint="eastAsia" w:cs="Times New Roman"/>
                <w:b/>
                <w:bCs/>
                <w:kern w:val="2"/>
                <w:szCs w:val="21"/>
              </w:rPr>
              <w:t>★</w:t>
            </w:r>
            <w:r>
              <w:rPr>
                <w:b/>
                <w:bCs/>
                <w:szCs w:val="21"/>
              </w:rPr>
              <w:t>9</w:t>
            </w:r>
            <w:r>
              <w:rPr>
                <w:rFonts w:hint="eastAsia"/>
                <w:b/>
                <w:bCs/>
                <w:szCs w:val="21"/>
              </w:rPr>
              <w:t>、产品验收</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1</w:t>
            </w:r>
            <w:r>
              <w:rPr>
                <w:rFonts w:hint="eastAsia"/>
                <w:b/>
                <w:bCs/>
                <w:szCs w:val="21"/>
              </w:rPr>
              <w:t>）货物运至采购人（用户）指定地点后，由双方指派人员按照本合同规定对货物进行验收，中标人应提供交货清单等文件供采购人（用户）审查，采购人（用户）将按合同清单进行规格、数量、外观的检查。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2</w:t>
            </w:r>
            <w:r>
              <w:rPr>
                <w:rFonts w:hint="eastAsia"/>
                <w:b/>
                <w:bCs/>
                <w:szCs w:val="21"/>
              </w:rPr>
              <w:t>）收货后</w:t>
            </w:r>
            <w:r>
              <w:rPr>
                <w:b/>
                <w:bCs/>
                <w:szCs w:val="21"/>
              </w:rPr>
              <w:t xml:space="preserve"> 30 </w:t>
            </w:r>
            <w:r>
              <w:rPr>
                <w:rFonts w:hint="eastAsia"/>
                <w:b/>
                <w:bCs/>
                <w:szCs w:val="21"/>
              </w:rPr>
              <w:t>个工作日内双方进行到货验收工作。如验收合格，采购人（用户）应及时履行验收手续，双方签署设备到货验收签收单；如验收不合格，采购人（用户）应以书面形式通知中标人原因，中标人收到通知后</w:t>
            </w:r>
            <w:r>
              <w:rPr>
                <w:b/>
                <w:bCs/>
                <w:szCs w:val="21"/>
              </w:rPr>
              <w:t xml:space="preserve"> 10 </w:t>
            </w:r>
            <w:r>
              <w:rPr>
                <w:rFonts w:hint="eastAsia"/>
                <w:b/>
                <w:bCs/>
                <w:szCs w:val="21"/>
              </w:rPr>
              <w:t>个工作日内提供解决方案。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3</w:t>
            </w:r>
            <w:r>
              <w:rPr>
                <w:rFonts w:hint="eastAsia"/>
                <w:b/>
                <w:bCs/>
                <w:szCs w:val="21"/>
              </w:rPr>
              <w:t>）在验收工作中，发现数量不足或有质量、技术等问题，中标人应按照合同要求采取补足、更换或退货等处理措施，并承担由此发生的一切费用和损失。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4</w:t>
            </w:r>
            <w:r>
              <w:rPr>
                <w:rFonts w:hint="eastAsia"/>
                <w:b/>
                <w:bCs/>
                <w:szCs w:val="21"/>
              </w:rPr>
              <w:t>）涉及设备安装调试的，中标人负责在采购人（用户）配合下完成所供设备安装调试并保证与用户原有设备互联互通，有关技术问题由中标人和制造商协同解决。安装调试后，双方签署设备安装调试验收报告。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5</w:t>
            </w:r>
            <w:r>
              <w:rPr>
                <w:rFonts w:hint="eastAsia"/>
                <w:b/>
                <w:bCs/>
                <w:szCs w:val="21"/>
              </w:rPr>
              <w:t>）采购人（用户）认为必要时，对大型或者复杂的货物采购项目，可以邀请国家认可的质量检测机构参加验收工作，相关验收意见作为验收报告的参考资料，相关费用由中标人承担。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tcPr>
          <w:p>
            <w:pPr>
              <w:spacing w:line="240" w:lineRule="auto"/>
              <w:jc w:val="left"/>
              <w:textAlignment w:val="top"/>
              <w:rPr>
                <w:rFonts w:hint="eastAsia"/>
                <w:b/>
                <w:bCs/>
                <w:szCs w:val="21"/>
              </w:rPr>
            </w:pPr>
            <w:r>
              <w:rPr>
                <w:rFonts w:hint="eastAsia"/>
                <w:b/>
                <w:bCs/>
                <w:szCs w:val="21"/>
              </w:rPr>
              <w:t>（</w:t>
            </w:r>
            <w:r>
              <w:rPr>
                <w:b/>
                <w:bCs/>
                <w:szCs w:val="21"/>
              </w:rPr>
              <w:t>6</w:t>
            </w:r>
            <w:r>
              <w:rPr>
                <w:rFonts w:hint="eastAsia"/>
                <w:b/>
                <w:bCs/>
                <w:szCs w:val="21"/>
              </w:rPr>
              <w:t>）验收标准以双方达成的对质量和技术标准的约定、中标人承诺的质量和技术标准、国家或行业规定的相关质量和技术标准中最高者为准，且应充分满足采购人使用要求。</w:t>
            </w:r>
          </w:p>
        </w:tc>
      </w:tr>
    </w:tbl>
    <w:p>
      <w:pPr>
        <w:widowControl w:val="0"/>
        <w:shd w:val="clear" w:color="auto" w:fill="auto"/>
        <w:adjustRightInd/>
        <w:snapToGrid/>
        <w:spacing w:line="240" w:lineRule="auto"/>
        <w:ind w:left="420" w:leftChars="200"/>
        <w:rPr>
          <w:rFonts w:hint="eastAsia" w:cs="Times New Roman"/>
          <w:b/>
          <w:bCs/>
          <w:kern w:val="2"/>
          <w:szCs w:val="21"/>
        </w:rPr>
      </w:pPr>
      <w:r>
        <w:rPr>
          <w:rFonts w:hint="eastAsia" w:cs="Times New Roman"/>
          <w:b/>
          <w:bCs/>
          <w:kern w:val="2"/>
          <w:szCs w:val="21"/>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1.</w:t>
      </w:r>
      <w:r>
        <w:rPr>
          <w:rFonts w:hint="eastAsia" w:cs="Times New Roman"/>
          <w:b/>
          <w:bCs/>
          <w:kern w:val="2"/>
          <w:szCs w:val="21"/>
        </w:rPr>
        <w:t>商务要求分为一般商务要求、重要商务要求（以“▲”标注）和实质性商务要求（以“★”标注）。一般商务要求和重要商务要求若出现不响应或负偏离，其综合评分的相关分数将予以扣减，但不作为投标无效条款。实质性商务要求（以“★”标注）若出现不响应或任何一项负偏离，将导致投标无效。</w:t>
      </w:r>
    </w:p>
    <w:p>
      <w:pPr>
        <w:shd w:val="clear" w:color="auto" w:fill="auto"/>
        <w:tabs>
          <w:tab w:val="clear" w:pos="426"/>
        </w:tabs>
        <w:adjustRightInd/>
        <w:snapToGrid/>
        <w:spacing w:line="240" w:lineRule="auto"/>
        <w:jc w:val="left"/>
        <w:rPr>
          <w:rFonts w:hint="eastAsia"/>
        </w:rPr>
      </w:pPr>
    </w:p>
    <w:p>
      <w:pPr>
        <w:rPr>
          <w:rFonts w:hint="eastAsia"/>
        </w:rPr>
      </w:pPr>
      <w:r>
        <w:br w:type="page"/>
      </w:r>
    </w:p>
    <w:p>
      <w:pPr>
        <w:pStyle w:val="62"/>
      </w:pPr>
      <w:bookmarkStart w:id="57" w:name="_Toc2525"/>
      <w:bookmarkStart w:id="58" w:name="_Toc21083"/>
      <w:r>
        <w:rPr>
          <w:rFonts w:hint="eastAsia"/>
        </w:rPr>
        <w:t>第三章</w:t>
      </w:r>
      <w:r>
        <w:t xml:space="preserve"> </w:t>
      </w:r>
      <w:bookmarkEnd w:id="57"/>
      <w:bookmarkStart w:id="59" w:name="_Hlk180276279"/>
      <w:r>
        <w:rPr>
          <w:rFonts w:hint="eastAsia"/>
        </w:rPr>
        <w:t>特别说明</w:t>
      </w:r>
    </w:p>
    <w:p>
      <w:pPr>
        <w:tabs>
          <w:tab w:val="clear" w:pos="426"/>
        </w:tabs>
        <w:spacing w:line="300" w:lineRule="auto"/>
        <w:ind w:firstLine="422" w:firstLineChars="200"/>
        <w:rPr>
          <w:rFonts w:hint="eastAsia"/>
          <w:b/>
          <w:bCs/>
        </w:rPr>
      </w:pPr>
      <w:bookmarkStart w:id="60" w:name="_Toc21605"/>
      <w:bookmarkStart w:id="61" w:name="_Toc157893754"/>
      <w:bookmarkStart w:id="62" w:name="_Toc27621"/>
      <w:r>
        <w:rPr>
          <w:rFonts w:hint="eastAsia"/>
          <w:b/>
          <w:bCs/>
        </w:rPr>
        <w:t>一、公开招标的货物、服务采购项目，招标过程中提交投标文件或者经评审实质性响应招标文件要求的供应商只有两家时，经评审委员会审核采购文件无歧视性、排他性等不合理条款，可现场直接转为与该两家供应商进行竞争性谈判采购。（《深圳海关非政府采购管理办法》第二十七条）</w:t>
      </w:r>
    </w:p>
    <w:p>
      <w:pPr>
        <w:tabs>
          <w:tab w:val="clear" w:pos="426"/>
        </w:tabs>
        <w:spacing w:line="300" w:lineRule="auto"/>
        <w:ind w:firstLine="422" w:firstLineChars="200"/>
        <w:rPr>
          <w:rFonts w:hint="eastAsia"/>
          <w:b/>
          <w:bCs/>
        </w:rPr>
      </w:pPr>
      <w:r>
        <w:rPr>
          <w:rFonts w:hint="eastAsia"/>
          <w:b/>
          <w:bCs/>
        </w:rPr>
        <w:t>二、根据《财库〔</w:t>
      </w:r>
      <w:r>
        <w:rPr>
          <w:b/>
          <w:bCs/>
        </w:rPr>
        <w:t>2012</w:t>
      </w:r>
      <w:r>
        <w:rPr>
          <w:rFonts w:hint="eastAsia"/>
          <w:b/>
          <w:bCs/>
        </w:rPr>
        <w:t>〕</w:t>
      </w:r>
      <w:r>
        <w:rPr>
          <w:b/>
          <w:bCs/>
        </w:rPr>
        <w:t>69</w:t>
      </w:r>
      <w:r>
        <w:rPr>
          <w:rFonts w:hint="eastAsia"/>
          <w:b/>
          <w:bCs/>
        </w:rPr>
        <w:t>号财政部关于进一步规范政府采购评审工作有关问题的通知》的规定，评审委员会要在采购项目招标失败时，出具招标文件是否存在不合理条款的论证意见，论证意见写进评审报告中。</w:t>
      </w:r>
    </w:p>
    <w:bookmarkEnd w:id="59"/>
    <w:bookmarkEnd w:id="60"/>
    <w:bookmarkEnd w:id="61"/>
    <w:bookmarkEnd w:id="62"/>
    <w:p>
      <w:pPr>
        <w:widowControl w:val="0"/>
        <w:shd w:val="clear" w:color="auto" w:fill="auto"/>
        <w:tabs>
          <w:tab w:val="clear" w:pos="426"/>
        </w:tabs>
        <w:adjustRightInd/>
        <w:snapToGrid/>
        <w:spacing w:line="240" w:lineRule="auto"/>
        <w:ind w:firstLine="420" w:firstLineChars="200"/>
        <w:rPr>
          <w:rFonts w:hint="eastAsia"/>
          <w:kern w:val="2"/>
        </w:rPr>
      </w:pPr>
    </w:p>
    <w:p>
      <w:pPr>
        <w:rPr>
          <w:rFonts w:hint="eastAsia"/>
        </w:rPr>
      </w:pPr>
      <w:r>
        <w:br w:type="page"/>
      </w:r>
    </w:p>
    <w:p>
      <w:pPr>
        <w:pStyle w:val="62"/>
      </w:pPr>
      <w:r>
        <w:rPr>
          <w:rFonts w:hint="eastAsia"/>
        </w:rPr>
        <w:t>第四章</w:t>
      </w:r>
      <w:r>
        <w:t xml:space="preserve"> </w:t>
      </w:r>
      <w:r>
        <w:rPr>
          <w:rFonts w:hint="eastAsia"/>
        </w:rPr>
        <w:t>资格审查和评标方法</w:t>
      </w:r>
      <w:bookmarkEnd w:id="58"/>
    </w:p>
    <w:p>
      <w:pPr>
        <w:pStyle w:val="62"/>
      </w:pPr>
      <w:bookmarkStart w:id="63" w:name="_Toc26284"/>
      <w:bookmarkStart w:id="64" w:name="_Toc21802"/>
      <w:r>
        <w:rPr>
          <w:rFonts w:hint="eastAsia"/>
        </w:rPr>
        <w:t>前附表（一）资格审查表</w:t>
      </w:r>
      <w:bookmarkEnd w:id="63"/>
      <w:bookmarkEnd w:id="64"/>
    </w:p>
    <w:p>
      <w:pPr>
        <w:tabs>
          <w:tab w:val="clear" w:pos="426"/>
        </w:tabs>
        <w:spacing w:before="231" w:beforeLines="50" w:after="231" w:afterLines="50"/>
        <w:jc w:val="center"/>
        <w:rPr>
          <w:rFonts w:hint="eastAsia"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rPr>
            </w:pPr>
            <w:r>
              <w:rPr>
                <w:rFonts w:hint="eastAsia"/>
                <w:b/>
              </w:rPr>
              <w:t>序号</w:t>
            </w:r>
          </w:p>
        </w:tc>
        <w:tc>
          <w:tcPr>
            <w:tcW w:w="8806" w:type="dxa"/>
            <w:vAlign w:val="center"/>
          </w:tcPr>
          <w:p>
            <w:pPr>
              <w:tabs>
                <w:tab w:val="clear" w:pos="426"/>
              </w:tabs>
              <w:adjustRightInd/>
              <w:snapToGrid/>
              <w:spacing w:line="240" w:lineRule="auto"/>
              <w:jc w:val="center"/>
              <w:rPr>
                <w:rFonts w:hint="eastAsia"/>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numPr>
                <w:ilvl w:val="0"/>
                <w:numId w:val="3"/>
              </w:numPr>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投标供应商具备招标资质要求，且提交相应资质证明材料；</w:t>
            </w:r>
            <w:r>
              <w:t>(</w:t>
            </w:r>
            <w:r>
              <w:rPr>
                <w:rFonts w:hint="eastAsia"/>
              </w:rPr>
              <w:t>详见招标公告“申请人的资格要求”，其中未列示的资质要求不得导致废标。</w:t>
            </w:r>
            <w:r>
              <w:t>)</w:t>
            </w:r>
          </w:p>
        </w:tc>
      </w:tr>
    </w:tbl>
    <w:p>
      <w:pPr>
        <w:pStyle w:val="62"/>
      </w:pPr>
      <w:r>
        <w:rPr>
          <w:sz w:val="24"/>
        </w:rPr>
        <w:br w:type="page"/>
      </w:r>
      <w:bookmarkStart w:id="65" w:name="_Toc29642"/>
      <w:bookmarkStart w:id="66" w:name="_Toc27481"/>
      <w:bookmarkStart w:id="67" w:name="_Toc435514846"/>
      <w:r>
        <w:rPr>
          <w:rFonts w:hint="eastAsia"/>
          <w:sz w:val="24"/>
        </w:rPr>
        <w:t>前附表（二）符合性审查表</w:t>
      </w:r>
      <w:bookmarkEnd w:id="65"/>
      <w:bookmarkEnd w:id="66"/>
    </w:p>
    <w:p>
      <w:pPr>
        <w:tabs>
          <w:tab w:val="clear" w:pos="426"/>
        </w:tabs>
        <w:spacing w:before="231" w:beforeLines="50" w:after="231" w:afterLines="50"/>
        <w:jc w:val="center"/>
        <w:rPr>
          <w:rFonts w:hint="eastAsia"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rPr>
            </w:pPr>
            <w:r>
              <w:rPr>
                <w:rFonts w:hint="eastAsia"/>
                <w:b/>
              </w:rPr>
              <w:t>序号</w:t>
            </w:r>
          </w:p>
        </w:tc>
        <w:tc>
          <w:tcPr>
            <w:tcW w:w="8806" w:type="dxa"/>
            <w:vAlign w:val="center"/>
          </w:tcPr>
          <w:p>
            <w:pPr>
              <w:tabs>
                <w:tab w:val="clear" w:pos="426"/>
              </w:tabs>
              <w:adjustRightInd/>
              <w:snapToGrid/>
              <w:spacing w:line="240" w:lineRule="auto"/>
              <w:jc w:val="center"/>
              <w:rPr>
                <w:rFonts w:hint="eastAsia"/>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未按招标文件所提供的样式填写《投标函》；未按招标文件所提供的《投标人资格声明函》进行承诺；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投标总价或分项报价高于预算限额（最高投标限价）；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投标文件载明的质保期低于招标文件规定的期限；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所投产品、工程、服务在商务、技术等方面没有实质性满足招标文件要求的；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ascii="Times New Roman" w:hAnsi="Times New Roman" w:cs="Times New Roman"/>
              </w:rPr>
              <w:t>投标报价有严重缺漏项目或对招标文件规定的货物清单项目及数量进行修改</w:t>
            </w:r>
            <w:r>
              <w:rPr>
                <w:rFonts w:hint="eastAsia"/>
              </w:rPr>
              <w:t>或采购标的响应不全；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《技术规格偏离表》或《商务条款偏离表》填写不全、不明或不实；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4"/>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法律、法规规定的属于投标无效的其他情形。</w:t>
            </w:r>
          </w:p>
        </w:tc>
      </w:tr>
    </w:tbl>
    <w:p>
      <w:pPr>
        <w:rPr>
          <w:rFonts w:hint="eastAsia"/>
        </w:rPr>
      </w:pPr>
      <w:r>
        <w:br w:type="page"/>
      </w:r>
    </w:p>
    <w:p>
      <w:pPr>
        <w:pStyle w:val="62"/>
      </w:pPr>
      <w:bookmarkStart w:id="68" w:name="_Toc19808"/>
      <w:bookmarkStart w:id="69" w:name="_Toc23650"/>
      <w:r>
        <w:rPr>
          <w:rFonts w:hint="eastAsia"/>
        </w:rPr>
        <w:t>前附表（三）综合评分法评分因素和权重分值表</w:t>
      </w:r>
      <w:bookmarkEnd w:id="68"/>
      <w:bookmarkEnd w:id="69"/>
    </w:p>
    <w:p>
      <w:pPr>
        <w:jc w:val="center"/>
        <w:rPr>
          <w:rFonts w:hint="eastAsia"/>
          <w:b/>
          <w:bCs/>
        </w:rPr>
      </w:pPr>
      <w:r>
        <w:rPr>
          <w:b/>
          <w:bCs/>
        </w:rPr>
        <w:t>01</w:t>
      </w:r>
      <w:r>
        <w:rPr>
          <w:rFonts w:hint="eastAsia"/>
          <w:b/>
          <w:bCs/>
        </w:rPr>
        <w:t>包</w:t>
      </w:r>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评分项及评分规则</w:t>
            </w:r>
          </w:p>
        </w:tc>
        <w:tc>
          <w:tcPr>
            <w:tcW w:w="1187" w:type="dxa"/>
            <w:vAlign w:val="center"/>
          </w:tcPr>
          <w:p>
            <w:pPr>
              <w:autoSpaceDE w:val="0"/>
              <w:autoSpaceDN w:val="0"/>
              <w:jc w:val="center"/>
              <w:rPr>
                <w:rFonts w:hint="eastAsia"/>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一、价格部分</w:t>
            </w:r>
          </w:p>
        </w:tc>
        <w:tc>
          <w:tcPr>
            <w:tcW w:w="1187" w:type="dxa"/>
            <w:vAlign w:val="center"/>
          </w:tcPr>
          <w:p>
            <w:pPr>
              <w:autoSpaceDE w:val="0"/>
              <w:autoSpaceDN w:val="0"/>
              <w:jc w:val="center"/>
              <w:rPr>
                <w:rFonts w:hint="eastAsia"/>
                <w:b/>
                <w:szCs w:val="21"/>
              </w:rPr>
            </w:pPr>
            <w:r>
              <w:rPr>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szCs w:val="21"/>
              </w:rPr>
            </w:pPr>
            <w:r>
              <w:rPr>
                <w:rFonts w:hint="eastAsia"/>
                <w:szCs w:val="21"/>
              </w:rPr>
              <w:t>价格分采用低价优先法计算，即满足招标文件要求且投标价格最低的投标报价为评标基准价，其价格分为满分。其他投标人的价格分统一按照下列公式计算：</w:t>
            </w:r>
          </w:p>
          <w:p>
            <w:pPr>
              <w:jc w:val="left"/>
              <w:rPr>
                <w:rFonts w:hint="eastAsia"/>
                <w:szCs w:val="21"/>
              </w:rPr>
            </w:pPr>
            <w:r>
              <w:rPr>
                <w:rFonts w:hint="eastAsia"/>
                <w:szCs w:val="21"/>
              </w:rPr>
              <w:t>投标报价得分</w:t>
            </w:r>
            <w:r>
              <w:rPr>
                <w:szCs w:val="21"/>
              </w:rPr>
              <w:t>=(</w:t>
            </w:r>
            <w:r>
              <w:rPr>
                <w:rFonts w:hint="eastAsia"/>
                <w:szCs w:val="21"/>
              </w:rPr>
              <w:t>评标基准价／投标报价</w:t>
            </w:r>
            <w:r>
              <w:rPr>
                <w:szCs w:val="21"/>
              </w:rPr>
              <w:t>)</w:t>
            </w:r>
            <w:r>
              <w:rPr>
                <w:rFonts w:hint="eastAsia"/>
                <w:szCs w:val="21"/>
              </w:rPr>
              <w:t>×</w:t>
            </w:r>
            <w:r>
              <w:rPr>
                <w:szCs w:val="21"/>
              </w:rPr>
              <w:t>30</w:t>
            </w:r>
          </w:p>
          <w:p>
            <w:pPr>
              <w:rPr>
                <w:rFonts w:hint="eastAsia"/>
                <w:szCs w:val="21"/>
              </w:rPr>
            </w:pPr>
            <w:r>
              <w:rPr>
                <w:rFonts w:hint="eastAsia"/>
                <w:snapToGrid w:val="0"/>
                <w:szCs w:val="21"/>
              </w:rPr>
              <w:t>备注：</w:t>
            </w:r>
            <w:r>
              <w:rPr>
                <w:snapToGrid w:val="0"/>
                <w:szCs w:val="21"/>
              </w:rPr>
              <w:t>1</w:t>
            </w:r>
            <w:r>
              <w:rPr>
                <w:rFonts w:hint="eastAsia"/>
                <w:snapToGrid w:val="0"/>
                <w:szCs w:val="21"/>
              </w:rPr>
              <w:t>、因落实政府采购政策进行价格调整的，以调整后的价格计算评标基准价和投标报价</w:t>
            </w:r>
            <w:r>
              <w:rPr>
                <w:rFonts w:hint="eastAsia"/>
                <w:bCs/>
                <w:snapToGrid w:val="0"/>
                <w:szCs w:val="21"/>
              </w:rPr>
              <w:t>；</w:t>
            </w:r>
            <w:r>
              <w:rPr>
                <w:snapToGrid w:val="0"/>
                <w:szCs w:val="21"/>
              </w:rPr>
              <w:t>2</w:t>
            </w:r>
            <w:r>
              <w:rPr>
                <w:rFonts w:hint="eastAsia"/>
                <w:snapToGrid w:val="0"/>
                <w:szCs w:val="21"/>
              </w:rPr>
              <w:t>、投标报价得分四舍五入后，小数点后保留两位有效数</w:t>
            </w:r>
            <w:r>
              <w:rPr>
                <w:rFonts w:hint="eastAsia"/>
                <w:szCs w:val="21"/>
              </w:rPr>
              <w:t>。</w:t>
            </w:r>
          </w:p>
        </w:tc>
        <w:tc>
          <w:tcPr>
            <w:tcW w:w="1187" w:type="dxa"/>
            <w:vAlign w:val="center"/>
          </w:tcPr>
          <w:p>
            <w:pPr>
              <w:autoSpaceDE w:val="0"/>
              <w:autoSpaceDN w:val="0"/>
              <w:jc w:val="center"/>
              <w:rPr>
                <w:rFonts w:hint="eastAsia"/>
                <w:szCs w:val="21"/>
              </w:rPr>
            </w:pPr>
            <w:r>
              <w:rPr>
                <w:rFonts w:hint="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szCs w:val="21"/>
              </w:rPr>
            </w:pPr>
            <w:r>
              <w:rPr>
                <w:rFonts w:hint="eastAsia"/>
                <w:b/>
                <w:szCs w:val="21"/>
              </w:rPr>
              <w:t>二、技术部分</w:t>
            </w:r>
          </w:p>
        </w:tc>
        <w:tc>
          <w:tcPr>
            <w:tcW w:w="1187" w:type="dxa"/>
            <w:vAlign w:val="center"/>
          </w:tcPr>
          <w:p>
            <w:pPr>
              <w:autoSpaceDE w:val="0"/>
              <w:autoSpaceDN w:val="0"/>
              <w:jc w:val="center"/>
              <w:rPr>
                <w:rFonts w:hint="eastAsia"/>
                <w:b/>
                <w:szCs w:val="21"/>
              </w:rPr>
            </w:pPr>
            <w:r>
              <w:rPr>
                <w:b/>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szCs w:val="21"/>
              </w:rPr>
              <w:t>1</w:t>
            </w:r>
          </w:p>
        </w:tc>
        <w:tc>
          <w:tcPr>
            <w:tcW w:w="1143" w:type="dxa"/>
            <w:vAlign w:val="center"/>
          </w:tcPr>
          <w:p>
            <w:pPr>
              <w:jc w:val="center"/>
              <w:rPr>
                <w:rFonts w:hint="eastAsia"/>
                <w:szCs w:val="21"/>
              </w:rPr>
            </w:pPr>
            <w:r>
              <w:rPr>
                <w:rFonts w:hint="eastAsia"/>
                <w:szCs w:val="21"/>
              </w:rPr>
              <w:t>技术规格偏离情况</w:t>
            </w:r>
          </w:p>
        </w:tc>
        <w:tc>
          <w:tcPr>
            <w:tcW w:w="709" w:type="dxa"/>
            <w:vAlign w:val="center"/>
          </w:tcPr>
          <w:p>
            <w:pPr>
              <w:jc w:val="center"/>
              <w:rPr>
                <w:rFonts w:hint="eastAsia"/>
                <w:szCs w:val="21"/>
              </w:rPr>
            </w:pPr>
            <w:r>
              <w:rPr>
                <w:szCs w:val="21"/>
              </w:rPr>
              <w:t>50</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完全满足招标文件技术指标、参数要求，应答完整的得</w:t>
            </w:r>
            <w:r>
              <w:rPr>
                <w:szCs w:val="21"/>
              </w:rPr>
              <w:t>50</w:t>
            </w:r>
            <w:r>
              <w:rPr>
                <w:rFonts w:hint="eastAsia"/>
                <w:szCs w:val="21"/>
              </w:rPr>
              <w:t>分；“★”为不可偏离参数；以此为基础，投标人的技术响应低于招标文件中规定的“▲”技术要求每有一项减7分；投标人一般技术响应低于招标文件规定的，每有一项减2.5分。本项最低得</w:t>
            </w:r>
            <w:r>
              <w:rPr>
                <w:szCs w:val="21"/>
              </w:rPr>
              <w:t>0</w:t>
            </w:r>
            <w:r>
              <w:rPr>
                <w:rFonts w:hint="eastAsia"/>
                <w:szCs w:val="21"/>
              </w:rPr>
              <w:t>分。</w:t>
            </w:r>
          </w:p>
          <w:p>
            <w:pPr>
              <w:jc w:val="left"/>
              <w:rPr>
                <w:rFonts w:hint="eastAsia"/>
                <w:szCs w:val="21"/>
              </w:rPr>
            </w:pPr>
            <w:r>
              <w:rPr>
                <w:rFonts w:hint="eastAsia"/>
                <w:szCs w:val="21"/>
              </w:rPr>
              <w:t>（二）评分依据：</w:t>
            </w:r>
          </w:p>
          <w:p>
            <w:pPr>
              <w:jc w:val="left"/>
              <w:rPr>
                <w:rFonts w:hint="eastAsia"/>
                <w:szCs w:val="21"/>
              </w:rPr>
            </w:pPr>
            <w:r>
              <w:rPr>
                <w:rFonts w:hint="eastAsia"/>
                <w:szCs w:val="21"/>
              </w:rPr>
              <w:t>以投标文件《技术规格偏离表》为评分依据，投标人按招标文件要求提供：相应技术指标对应的网页截图（网址）或使用说明书，所有资料均需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szCs w:val="21"/>
              </w:rPr>
            </w:pPr>
            <w:r>
              <w:rPr>
                <w:szCs w:val="21"/>
              </w:rPr>
              <w:t>2</w:t>
            </w:r>
          </w:p>
        </w:tc>
        <w:tc>
          <w:tcPr>
            <w:tcW w:w="1143" w:type="dxa"/>
            <w:vAlign w:val="center"/>
          </w:tcPr>
          <w:p>
            <w:pPr>
              <w:jc w:val="center"/>
              <w:rPr>
                <w:rFonts w:hint="eastAsia"/>
                <w:szCs w:val="21"/>
              </w:rPr>
            </w:pPr>
            <w:r>
              <w:rPr>
                <w:rFonts w:hint="eastAsia"/>
                <w:szCs w:val="21"/>
              </w:rPr>
              <w:t>技术保障措施</w:t>
            </w:r>
          </w:p>
        </w:tc>
        <w:tc>
          <w:tcPr>
            <w:tcW w:w="709" w:type="dxa"/>
            <w:vAlign w:val="center"/>
          </w:tcPr>
          <w:p>
            <w:pPr>
              <w:jc w:val="center"/>
              <w:rPr>
                <w:rFonts w:hint="eastAsia"/>
                <w:szCs w:val="21"/>
              </w:rPr>
            </w:pPr>
            <w:r>
              <w:rPr>
                <w:szCs w:val="21"/>
              </w:rPr>
              <w:t>4</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投标人在投标文件中详细说明技术保障措施，包含以下内容：</w:t>
            </w:r>
          </w:p>
          <w:p>
            <w:pPr>
              <w:jc w:val="left"/>
              <w:rPr>
                <w:rFonts w:hint="eastAsia"/>
                <w:szCs w:val="21"/>
              </w:rPr>
            </w:pPr>
            <w:r>
              <w:rPr>
                <w:rFonts w:hint="eastAsia"/>
                <w:szCs w:val="21"/>
              </w:rPr>
              <w:t>（</w:t>
            </w:r>
            <w:r>
              <w:rPr>
                <w:szCs w:val="21"/>
              </w:rPr>
              <w:t>1</w:t>
            </w:r>
            <w:r>
              <w:rPr>
                <w:rFonts w:hint="eastAsia"/>
                <w:szCs w:val="21"/>
              </w:rPr>
              <w:t>）供货方案；</w:t>
            </w:r>
          </w:p>
          <w:p>
            <w:pPr>
              <w:jc w:val="left"/>
              <w:rPr>
                <w:rFonts w:hint="eastAsia"/>
                <w:szCs w:val="21"/>
              </w:rPr>
            </w:pPr>
            <w:r>
              <w:rPr>
                <w:rFonts w:hint="eastAsia"/>
                <w:szCs w:val="21"/>
              </w:rPr>
              <w:t>（</w:t>
            </w:r>
            <w:r>
              <w:rPr>
                <w:szCs w:val="21"/>
              </w:rPr>
              <w:t>2</w:t>
            </w:r>
            <w:r>
              <w:rPr>
                <w:rFonts w:hint="eastAsia"/>
                <w:szCs w:val="21"/>
              </w:rPr>
              <w:t>）安装调试方案；</w:t>
            </w:r>
          </w:p>
          <w:p>
            <w:pPr>
              <w:jc w:val="left"/>
              <w:rPr>
                <w:rFonts w:hint="eastAsia"/>
                <w:szCs w:val="21"/>
              </w:rPr>
            </w:pPr>
            <w:r>
              <w:rPr>
                <w:rFonts w:hint="eastAsia"/>
                <w:szCs w:val="21"/>
              </w:rPr>
              <w:t>（</w:t>
            </w:r>
            <w:r>
              <w:rPr>
                <w:szCs w:val="21"/>
              </w:rPr>
              <w:t>3</w:t>
            </w:r>
            <w:r>
              <w:rPr>
                <w:rFonts w:hint="eastAsia"/>
                <w:szCs w:val="21"/>
              </w:rPr>
              <w:t>）质量管理措施。</w:t>
            </w:r>
          </w:p>
          <w:p>
            <w:pPr>
              <w:jc w:val="left"/>
              <w:rPr>
                <w:rFonts w:hint="eastAsia"/>
                <w:szCs w:val="21"/>
              </w:rPr>
            </w:pPr>
            <w:r>
              <w:rPr>
                <w:rFonts w:hint="eastAsia"/>
                <w:szCs w:val="21"/>
              </w:rPr>
              <w:t>（二）评分标准：</w:t>
            </w:r>
            <w:r>
              <w:rPr>
                <w:szCs w:val="21"/>
              </w:rPr>
              <w:t xml:space="preserve"> </w:t>
            </w:r>
          </w:p>
          <w:p>
            <w:pPr>
              <w:jc w:val="left"/>
              <w:rPr>
                <w:rFonts w:hint="eastAsia"/>
                <w:szCs w:val="21"/>
              </w:rPr>
            </w:pPr>
            <w:r>
              <w:rPr>
                <w:szCs w:val="21"/>
              </w:rPr>
              <w:t>1.</w:t>
            </w:r>
            <w:r>
              <w:rPr>
                <w:rFonts w:hint="eastAsia"/>
                <w:szCs w:val="21"/>
              </w:rPr>
              <w:t>供货方案全面、有针对性的得</w:t>
            </w:r>
            <w:r>
              <w:rPr>
                <w:szCs w:val="21"/>
              </w:rPr>
              <w:t>2</w:t>
            </w:r>
            <w:r>
              <w:rPr>
                <w:rFonts w:hint="eastAsia"/>
                <w:szCs w:val="21"/>
              </w:rPr>
              <w:t>分；方案内容简单、笼统，存在较多的不足的得</w:t>
            </w:r>
            <w:r>
              <w:rPr>
                <w:szCs w:val="21"/>
              </w:rPr>
              <w:t>1</w:t>
            </w:r>
            <w:r>
              <w:rPr>
                <w:rFonts w:hint="eastAsia"/>
                <w:szCs w:val="21"/>
              </w:rPr>
              <w:t>分；未提供的</w:t>
            </w:r>
            <w:r>
              <w:rPr>
                <w:szCs w:val="21"/>
              </w:rPr>
              <w:t>0</w:t>
            </w:r>
            <w:r>
              <w:rPr>
                <w:rFonts w:hint="eastAsia"/>
                <w:szCs w:val="21"/>
              </w:rPr>
              <w:t>分。</w:t>
            </w:r>
          </w:p>
          <w:p>
            <w:pPr>
              <w:jc w:val="left"/>
              <w:rPr>
                <w:rFonts w:hint="eastAsia"/>
                <w:szCs w:val="21"/>
              </w:rPr>
            </w:pPr>
            <w:r>
              <w:rPr>
                <w:szCs w:val="21"/>
              </w:rPr>
              <w:t>2.</w:t>
            </w:r>
            <w:r>
              <w:rPr>
                <w:rFonts w:hint="eastAsia"/>
                <w:szCs w:val="21"/>
              </w:rPr>
              <w:t>安装调试方案全面、有针对性的得</w:t>
            </w:r>
            <w:r>
              <w:rPr>
                <w:szCs w:val="21"/>
              </w:rPr>
              <w:t>1</w:t>
            </w:r>
            <w:r>
              <w:rPr>
                <w:rFonts w:hint="eastAsia"/>
                <w:szCs w:val="21"/>
              </w:rPr>
              <w:t>分；方案内容简单、笼统，存在较多的不足的得</w:t>
            </w:r>
            <w:r>
              <w:rPr>
                <w:szCs w:val="21"/>
              </w:rPr>
              <w:t>0.5</w:t>
            </w:r>
            <w:r>
              <w:rPr>
                <w:rFonts w:hint="eastAsia"/>
                <w:szCs w:val="21"/>
              </w:rPr>
              <w:t>分；未提供的</w:t>
            </w:r>
            <w:r>
              <w:rPr>
                <w:szCs w:val="21"/>
              </w:rPr>
              <w:t>0</w:t>
            </w:r>
            <w:r>
              <w:rPr>
                <w:rFonts w:hint="eastAsia"/>
                <w:szCs w:val="21"/>
              </w:rPr>
              <w:t>分。</w:t>
            </w:r>
          </w:p>
          <w:p>
            <w:pPr>
              <w:jc w:val="left"/>
              <w:rPr>
                <w:rFonts w:hint="eastAsia"/>
                <w:szCs w:val="21"/>
              </w:rPr>
            </w:pPr>
            <w:r>
              <w:rPr>
                <w:szCs w:val="21"/>
              </w:rPr>
              <w:t>3.</w:t>
            </w:r>
            <w:r>
              <w:rPr>
                <w:rFonts w:hint="eastAsia"/>
                <w:szCs w:val="21"/>
              </w:rPr>
              <w:t>质量管理措施切实、有效的得</w:t>
            </w:r>
            <w:r>
              <w:rPr>
                <w:szCs w:val="21"/>
              </w:rPr>
              <w:t>1</w:t>
            </w:r>
            <w:r>
              <w:rPr>
                <w:rFonts w:hint="eastAsia"/>
                <w:szCs w:val="21"/>
              </w:rPr>
              <w:t>分；质量管理措施简单、笼统，存在较多的不足的得</w:t>
            </w:r>
            <w:r>
              <w:rPr>
                <w:szCs w:val="21"/>
              </w:rPr>
              <w:t>0.5</w:t>
            </w:r>
            <w:r>
              <w:rPr>
                <w:rFonts w:hint="eastAsia"/>
                <w:szCs w:val="21"/>
              </w:rPr>
              <w:t>分；未提供的</w:t>
            </w:r>
            <w:r>
              <w:rPr>
                <w:szCs w:val="21"/>
              </w:rPr>
              <w:t>0</w:t>
            </w:r>
            <w:r>
              <w:rPr>
                <w:rFonts w:hint="eastAsia"/>
                <w:szCs w:val="21"/>
              </w:rPr>
              <w:t>分。</w:t>
            </w:r>
          </w:p>
          <w:p>
            <w:pPr>
              <w:jc w:val="left"/>
              <w:rPr>
                <w:rFonts w:hint="eastAsia"/>
                <w:szCs w:val="21"/>
              </w:rPr>
            </w:pPr>
            <w:r>
              <w:rPr>
                <w:rFonts w:hint="eastAsia"/>
                <w:szCs w:val="21"/>
              </w:rPr>
              <w:t>以上</w:t>
            </w:r>
            <w:r>
              <w:rPr>
                <w:szCs w:val="21"/>
              </w:rPr>
              <w:t>3</w:t>
            </w:r>
            <w:r>
              <w:rPr>
                <w:rFonts w:hint="eastAsia"/>
                <w:szCs w:val="21"/>
              </w:rPr>
              <w:t>项合计最高</w:t>
            </w:r>
            <w:r>
              <w:rPr>
                <w:szCs w:val="21"/>
              </w:rPr>
              <w:t>4</w:t>
            </w:r>
            <w:r>
              <w:rPr>
                <w:rFonts w:hint="eastAsia"/>
                <w:szCs w:val="21"/>
              </w:rPr>
              <w:t>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szCs w:val="21"/>
              </w:rPr>
            </w:pPr>
            <w:r>
              <w:rPr>
                <w:szCs w:val="21"/>
              </w:rPr>
              <w:t>3</w:t>
            </w:r>
          </w:p>
        </w:tc>
        <w:tc>
          <w:tcPr>
            <w:tcW w:w="1143" w:type="dxa"/>
            <w:vAlign w:val="center"/>
          </w:tcPr>
          <w:p>
            <w:pPr>
              <w:jc w:val="center"/>
              <w:rPr>
                <w:rFonts w:hint="eastAsia"/>
                <w:szCs w:val="21"/>
              </w:rPr>
            </w:pPr>
            <w:r>
              <w:rPr>
                <w:rFonts w:hint="eastAsia"/>
                <w:szCs w:val="21"/>
              </w:rPr>
              <w:t>售后服务方案</w:t>
            </w:r>
          </w:p>
        </w:tc>
        <w:tc>
          <w:tcPr>
            <w:tcW w:w="709" w:type="dxa"/>
            <w:vAlign w:val="center"/>
          </w:tcPr>
          <w:p>
            <w:pPr>
              <w:jc w:val="center"/>
              <w:rPr>
                <w:rFonts w:hint="eastAsia"/>
                <w:szCs w:val="21"/>
              </w:rPr>
            </w:pPr>
            <w:r>
              <w:rPr>
                <w:szCs w:val="21"/>
              </w:rPr>
              <w:t>6</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投标人提供售后服务方案，包含以下内容：</w:t>
            </w:r>
          </w:p>
          <w:p>
            <w:pPr>
              <w:jc w:val="left"/>
              <w:rPr>
                <w:rFonts w:hint="eastAsia"/>
                <w:szCs w:val="21"/>
              </w:rPr>
            </w:pPr>
            <w:r>
              <w:rPr>
                <w:rFonts w:hint="eastAsia"/>
                <w:szCs w:val="21"/>
              </w:rPr>
              <w:t>（</w:t>
            </w:r>
            <w:r>
              <w:rPr>
                <w:szCs w:val="21"/>
              </w:rPr>
              <w:t>1</w:t>
            </w:r>
            <w:r>
              <w:rPr>
                <w:rFonts w:hint="eastAsia"/>
                <w:szCs w:val="21"/>
              </w:rPr>
              <w:t>）售后服务机构及维护人员配置；</w:t>
            </w:r>
          </w:p>
          <w:p>
            <w:pPr>
              <w:jc w:val="left"/>
              <w:rPr>
                <w:rFonts w:hint="eastAsia"/>
                <w:szCs w:val="21"/>
              </w:rPr>
            </w:pPr>
            <w:r>
              <w:rPr>
                <w:rFonts w:hint="eastAsia"/>
                <w:szCs w:val="21"/>
              </w:rPr>
              <w:t>（</w:t>
            </w:r>
            <w:r>
              <w:rPr>
                <w:szCs w:val="21"/>
              </w:rPr>
              <w:t>2</w:t>
            </w:r>
            <w:r>
              <w:rPr>
                <w:rFonts w:hint="eastAsia"/>
                <w:szCs w:val="21"/>
              </w:rPr>
              <w:t>）维修维护方案；</w:t>
            </w:r>
          </w:p>
          <w:p>
            <w:pPr>
              <w:jc w:val="left"/>
              <w:rPr>
                <w:rFonts w:hint="eastAsia"/>
                <w:szCs w:val="21"/>
              </w:rPr>
            </w:pPr>
            <w:r>
              <w:rPr>
                <w:rFonts w:hint="eastAsia"/>
                <w:szCs w:val="21"/>
              </w:rPr>
              <w:t>（</w:t>
            </w:r>
            <w:r>
              <w:rPr>
                <w:szCs w:val="21"/>
              </w:rPr>
              <w:t>3</w:t>
            </w:r>
            <w:r>
              <w:rPr>
                <w:rFonts w:hint="eastAsia"/>
                <w:szCs w:val="21"/>
              </w:rPr>
              <w:t>）技术培训方案；</w:t>
            </w:r>
          </w:p>
          <w:p>
            <w:pPr>
              <w:jc w:val="left"/>
              <w:rPr>
                <w:rFonts w:hint="eastAsia"/>
                <w:szCs w:val="21"/>
              </w:rPr>
            </w:pPr>
            <w:r>
              <w:rPr>
                <w:rFonts w:hint="eastAsia"/>
                <w:szCs w:val="21"/>
              </w:rPr>
              <w:t>（</w:t>
            </w:r>
            <w:r>
              <w:rPr>
                <w:szCs w:val="21"/>
              </w:rPr>
              <w:t>4</w:t>
            </w:r>
            <w:r>
              <w:rPr>
                <w:rFonts w:hint="eastAsia"/>
                <w:szCs w:val="21"/>
              </w:rPr>
              <w:t>）备品备件支持计划。</w:t>
            </w:r>
          </w:p>
          <w:p>
            <w:pPr>
              <w:jc w:val="left"/>
              <w:rPr>
                <w:rFonts w:hint="eastAsia"/>
                <w:szCs w:val="21"/>
              </w:rPr>
            </w:pPr>
            <w:r>
              <w:rPr>
                <w:rFonts w:hint="eastAsia"/>
                <w:szCs w:val="21"/>
              </w:rPr>
              <w:t>（二）评分标准：</w:t>
            </w:r>
            <w:r>
              <w:rPr>
                <w:szCs w:val="21"/>
              </w:rPr>
              <w:t xml:space="preserve"> </w:t>
            </w:r>
          </w:p>
          <w:p>
            <w:pPr>
              <w:jc w:val="left"/>
              <w:rPr>
                <w:rFonts w:hint="eastAsia"/>
                <w:szCs w:val="21"/>
              </w:rPr>
            </w:pPr>
            <w:r>
              <w:rPr>
                <w:szCs w:val="21"/>
              </w:rPr>
              <w:t>1.</w:t>
            </w:r>
            <w:r>
              <w:rPr>
                <w:rFonts w:hint="eastAsia"/>
                <w:szCs w:val="21"/>
              </w:rPr>
              <w:t>售后服务机构便捷，售后维护人员配置完整、经验丰富的得</w:t>
            </w:r>
            <w:r>
              <w:rPr>
                <w:szCs w:val="21"/>
              </w:rPr>
              <w:t>1.5</w:t>
            </w:r>
            <w:r>
              <w:rPr>
                <w:rFonts w:hint="eastAsia"/>
                <w:szCs w:val="21"/>
              </w:rPr>
              <w:t>分；售后服务机构较便捷，售后维护人员配置较完整、经验较丰富的得</w:t>
            </w:r>
            <w:r>
              <w:rPr>
                <w:szCs w:val="21"/>
              </w:rPr>
              <w:t>1</w:t>
            </w:r>
            <w:r>
              <w:rPr>
                <w:rFonts w:hint="eastAsia"/>
                <w:szCs w:val="21"/>
              </w:rPr>
              <w:t>分；售后服务机构不便捷，售后维护人员配置不完整、经验欠缺的得</w:t>
            </w:r>
            <w:r>
              <w:rPr>
                <w:szCs w:val="21"/>
              </w:rPr>
              <w:t>0.5</w:t>
            </w:r>
            <w:r>
              <w:rPr>
                <w:rFonts w:hint="eastAsia"/>
                <w:szCs w:val="21"/>
              </w:rPr>
              <w:t>分；未提供的</w:t>
            </w:r>
            <w:r>
              <w:rPr>
                <w:szCs w:val="21"/>
              </w:rPr>
              <w:t>0</w:t>
            </w:r>
            <w:r>
              <w:rPr>
                <w:rFonts w:hint="eastAsia"/>
                <w:szCs w:val="21"/>
              </w:rPr>
              <w:t>分；</w:t>
            </w:r>
          </w:p>
          <w:p>
            <w:pPr>
              <w:jc w:val="left"/>
              <w:rPr>
                <w:rFonts w:hint="eastAsia"/>
                <w:szCs w:val="21"/>
              </w:rPr>
            </w:pPr>
            <w:r>
              <w:rPr>
                <w:szCs w:val="21"/>
              </w:rPr>
              <w:t>2.</w:t>
            </w:r>
            <w:r>
              <w:rPr>
                <w:rFonts w:hint="eastAsia"/>
                <w:szCs w:val="21"/>
              </w:rPr>
              <w:t>维修维护方案完善、操作性强、符合项目实际的得</w:t>
            </w:r>
            <w:r>
              <w:rPr>
                <w:szCs w:val="21"/>
              </w:rPr>
              <w:t>1.5</w:t>
            </w:r>
            <w:r>
              <w:rPr>
                <w:rFonts w:hint="eastAsia"/>
                <w:szCs w:val="21"/>
              </w:rPr>
              <w:t>分；维修维护方案较完善、操作性较强、较符合项目实际的得</w:t>
            </w:r>
            <w:r>
              <w:rPr>
                <w:szCs w:val="21"/>
              </w:rPr>
              <w:t>1</w:t>
            </w:r>
            <w:r>
              <w:rPr>
                <w:rFonts w:hint="eastAsia"/>
                <w:szCs w:val="21"/>
              </w:rPr>
              <w:t>分；维修维护方案笼统、存在不足的得</w:t>
            </w:r>
            <w:r>
              <w:rPr>
                <w:szCs w:val="21"/>
              </w:rPr>
              <w:t>0.5</w:t>
            </w:r>
            <w:r>
              <w:rPr>
                <w:rFonts w:hint="eastAsia"/>
                <w:szCs w:val="21"/>
              </w:rPr>
              <w:t>分；未提供维修保养方案的得</w:t>
            </w:r>
            <w:r>
              <w:rPr>
                <w:szCs w:val="21"/>
              </w:rPr>
              <w:t>0</w:t>
            </w:r>
            <w:r>
              <w:rPr>
                <w:rFonts w:hint="eastAsia"/>
                <w:szCs w:val="21"/>
              </w:rPr>
              <w:t>分；</w:t>
            </w:r>
            <w:r>
              <w:rPr>
                <w:szCs w:val="21"/>
              </w:rPr>
              <w:t xml:space="preserve"> </w:t>
            </w:r>
          </w:p>
          <w:p>
            <w:pPr>
              <w:jc w:val="left"/>
              <w:rPr>
                <w:rFonts w:hint="eastAsia"/>
                <w:szCs w:val="21"/>
              </w:rPr>
            </w:pPr>
            <w:r>
              <w:rPr>
                <w:szCs w:val="21"/>
              </w:rPr>
              <w:t>3.</w:t>
            </w:r>
            <w:r>
              <w:rPr>
                <w:rFonts w:hint="eastAsia"/>
                <w:szCs w:val="21"/>
              </w:rPr>
              <w:t>培训内容完善、培训计划周全、安排合理的得</w:t>
            </w:r>
            <w:r>
              <w:rPr>
                <w:szCs w:val="21"/>
              </w:rPr>
              <w:t>1.5</w:t>
            </w:r>
            <w:r>
              <w:rPr>
                <w:rFonts w:hint="eastAsia"/>
                <w:szCs w:val="21"/>
              </w:rPr>
              <w:t>分；培训内容较完善、培训计划笼统的得</w:t>
            </w:r>
            <w:r>
              <w:rPr>
                <w:szCs w:val="21"/>
              </w:rPr>
              <w:t>1</w:t>
            </w:r>
            <w:r>
              <w:rPr>
                <w:rFonts w:hint="eastAsia"/>
                <w:szCs w:val="21"/>
              </w:rPr>
              <w:t>分：培训方案笼统、与本项目内容有偏差的得</w:t>
            </w:r>
            <w:r>
              <w:rPr>
                <w:szCs w:val="21"/>
              </w:rPr>
              <w:t>0.5</w:t>
            </w:r>
            <w:r>
              <w:rPr>
                <w:rFonts w:hint="eastAsia"/>
                <w:szCs w:val="21"/>
              </w:rPr>
              <w:t>分；未提供培训计划的得</w:t>
            </w:r>
            <w:r>
              <w:rPr>
                <w:szCs w:val="21"/>
              </w:rPr>
              <w:t>0</w:t>
            </w:r>
            <w:r>
              <w:rPr>
                <w:rFonts w:hint="eastAsia"/>
                <w:szCs w:val="21"/>
              </w:rPr>
              <w:t>分；</w:t>
            </w:r>
          </w:p>
          <w:p>
            <w:pPr>
              <w:jc w:val="left"/>
              <w:rPr>
                <w:rFonts w:hint="eastAsia"/>
                <w:szCs w:val="21"/>
              </w:rPr>
            </w:pPr>
            <w:r>
              <w:rPr>
                <w:szCs w:val="21"/>
              </w:rPr>
              <w:t>4.</w:t>
            </w:r>
            <w:r>
              <w:rPr>
                <w:rFonts w:hint="eastAsia"/>
                <w:szCs w:val="21"/>
              </w:rPr>
              <w:t>响应速度快、备品备件齐全的得</w:t>
            </w:r>
            <w:r>
              <w:rPr>
                <w:szCs w:val="21"/>
              </w:rPr>
              <w:t>1.5</w:t>
            </w:r>
            <w:r>
              <w:rPr>
                <w:rFonts w:hint="eastAsia"/>
                <w:szCs w:val="21"/>
              </w:rPr>
              <w:t>分；响应速度较快、备品备件较齐全的得</w:t>
            </w:r>
            <w:r>
              <w:rPr>
                <w:szCs w:val="21"/>
              </w:rPr>
              <w:t>1</w:t>
            </w:r>
            <w:r>
              <w:rPr>
                <w:rFonts w:hint="eastAsia"/>
                <w:szCs w:val="21"/>
              </w:rPr>
              <w:t>分；响应速度慢、备品备件不够齐全的得</w:t>
            </w:r>
            <w:r>
              <w:rPr>
                <w:szCs w:val="21"/>
              </w:rPr>
              <w:t xml:space="preserve"> 0.5</w:t>
            </w:r>
            <w:r>
              <w:rPr>
                <w:rFonts w:hint="eastAsia"/>
                <w:szCs w:val="21"/>
              </w:rPr>
              <w:t>分：未提供的不得分。</w:t>
            </w:r>
          </w:p>
          <w:p>
            <w:pPr>
              <w:jc w:val="left"/>
              <w:rPr>
                <w:rFonts w:hint="eastAsia"/>
                <w:szCs w:val="21"/>
              </w:rPr>
            </w:pPr>
            <w:r>
              <w:rPr>
                <w:rFonts w:hint="eastAsia"/>
                <w:szCs w:val="21"/>
              </w:rPr>
              <w:t>以上</w:t>
            </w:r>
            <w:r>
              <w:rPr>
                <w:szCs w:val="21"/>
              </w:rPr>
              <w:t>4</w:t>
            </w:r>
            <w:r>
              <w:rPr>
                <w:rFonts w:hint="eastAsia"/>
                <w:szCs w:val="21"/>
              </w:rPr>
              <w:t>项合计最高</w:t>
            </w:r>
            <w:r>
              <w:rPr>
                <w:szCs w:val="21"/>
              </w:rPr>
              <w:t>6</w:t>
            </w:r>
            <w:r>
              <w:rPr>
                <w:rFonts w:hint="eastAsia"/>
                <w:szCs w:val="21"/>
              </w:rPr>
              <w:t>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szCs w:val="21"/>
              </w:rPr>
            </w:pPr>
            <w:r>
              <w:rPr>
                <w:rFonts w:hint="eastAsia"/>
                <w:b/>
                <w:bCs/>
                <w:szCs w:val="21"/>
              </w:rPr>
              <w:t>三、商务部分</w:t>
            </w:r>
          </w:p>
        </w:tc>
        <w:tc>
          <w:tcPr>
            <w:tcW w:w="1187" w:type="dxa"/>
            <w:vAlign w:val="center"/>
          </w:tcPr>
          <w:p>
            <w:pPr>
              <w:autoSpaceDE w:val="0"/>
              <w:autoSpaceDN w:val="0"/>
              <w:jc w:val="center"/>
              <w:rPr>
                <w:rFonts w:hint="eastAsia"/>
                <w:b/>
                <w:bCs/>
                <w:szCs w:val="21"/>
              </w:rPr>
            </w:pPr>
            <w:r>
              <w:rPr>
                <w:b/>
                <w:bCs/>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szCs w:val="21"/>
              </w:rPr>
            </w:pPr>
            <w:r>
              <w:rPr>
                <w:szCs w:val="21"/>
              </w:rPr>
              <w:t>1</w:t>
            </w:r>
          </w:p>
        </w:tc>
        <w:tc>
          <w:tcPr>
            <w:tcW w:w="1143" w:type="dxa"/>
            <w:vAlign w:val="center"/>
          </w:tcPr>
          <w:p>
            <w:pPr>
              <w:jc w:val="center"/>
              <w:rPr>
                <w:rFonts w:hint="eastAsia"/>
                <w:szCs w:val="21"/>
              </w:rPr>
            </w:pPr>
            <w:r>
              <w:rPr>
                <w:rFonts w:hint="eastAsia"/>
                <w:szCs w:val="21"/>
              </w:rPr>
              <w:t>商务需求条款偏离情况</w:t>
            </w:r>
          </w:p>
        </w:tc>
        <w:tc>
          <w:tcPr>
            <w:tcW w:w="709" w:type="dxa"/>
            <w:vAlign w:val="center"/>
          </w:tcPr>
          <w:p>
            <w:pPr>
              <w:jc w:val="center"/>
              <w:rPr>
                <w:rFonts w:hint="eastAsia"/>
                <w:szCs w:val="21"/>
              </w:rPr>
            </w:pPr>
            <w:r>
              <w:rPr>
                <w:szCs w:val="21"/>
              </w:rPr>
              <w:t>4</w:t>
            </w:r>
          </w:p>
        </w:tc>
        <w:tc>
          <w:tcPr>
            <w:tcW w:w="5953" w:type="dxa"/>
            <w:vAlign w:val="center"/>
          </w:tcPr>
          <w:p>
            <w:pPr>
              <w:autoSpaceDE w:val="0"/>
              <w:autoSpaceDN w:val="0"/>
              <w:jc w:val="left"/>
              <w:rPr>
                <w:rFonts w:hint="eastAsia"/>
                <w:szCs w:val="21"/>
              </w:rPr>
            </w:pPr>
            <w:r>
              <w:rPr>
                <w:rFonts w:hint="eastAsia"/>
                <w:szCs w:val="21"/>
              </w:rPr>
              <w:t>投标人应如实填写《商务条款偏离表》，评审委员会根据服务条款响应情况进行评审：</w:t>
            </w:r>
          </w:p>
          <w:p>
            <w:pPr>
              <w:jc w:val="left"/>
              <w:rPr>
                <w:rFonts w:hint="eastAsia"/>
                <w:szCs w:val="21"/>
              </w:rPr>
            </w:pPr>
            <w:r>
              <w:rPr>
                <w:rFonts w:hint="eastAsia"/>
                <w:szCs w:val="21"/>
              </w:rPr>
              <w:t>完全满足招标文件商务要求，应答完整的得</w:t>
            </w:r>
            <w:r>
              <w:rPr>
                <w:szCs w:val="21"/>
              </w:rPr>
              <w:t>4</w:t>
            </w:r>
            <w:r>
              <w:rPr>
                <w:rFonts w:hint="eastAsia"/>
                <w:szCs w:val="21"/>
              </w:rPr>
              <w:t>分；“★”为不可偏离条款；以此为基础，投标人一般商务响应低于招标文件规定的，每有一项减</w:t>
            </w:r>
            <w:r>
              <w:rPr>
                <w:szCs w:val="21"/>
              </w:rPr>
              <w:t>0.8</w:t>
            </w:r>
            <w:r>
              <w:rPr>
                <w:rFonts w:hint="eastAsia"/>
                <w:szCs w:val="21"/>
              </w:rPr>
              <w:t>分。本项最低得</w:t>
            </w:r>
            <w:r>
              <w:rPr>
                <w:szCs w:val="21"/>
              </w:rPr>
              <w:t>0</w:t>
            </w:r>
            <w:r>
              <w:rPr>
                <w:rFonts w:hint="eastAsia"/>
                <w:szCs w:val="21"/>
              </w:rPr>
              <w:t>分。</w:t>
            </w:r>
          </w:p>
          <w:p>
            <w:pPr>
              <w:autoSpaceDE w:val="0"/>
              <w:autoSpaceDN w:val="0"/>
              <w:jc w:val="left"/>
              <w:rPr>
                <w:rFonts w:hint="eastAsia"/>
                <w:szCs w:val="21"/>
              </w:rPr>
            </w:pPr>
            <w:r>
              <w:rPr>
                <w:rFonts w:hint="eastAsia"/>
                <w:szCs w:val="21"/>
              </w:rPr>
              <w:t>商务要求中包含子项条款的，按子项条款响应情况逐项评分。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szCs w:val="21"/>
              </w:rPr>
              <w:t>2</w:t>
            </w:r>
          </w:p>
        </w:tc>
        <w:tc>
          <w:tcPr>
            <w:tcW w:w="1143" w:type="dxa"/>
            <w:vAlign w:val="center"/>
          </w:tcPr>
          <w:p>
            <w:pPr>
              <w:jc w:val="center"/>
              <w:rPr>
                <w:rFonts w:hint="eastAsia"/>
                <w:szCs w:val="21"/>
              </w:rPr>
            </w:pPr>
            <w:r>
              <w:rPr>
                <w:rFonts w:hint="eastAsia"/>
                <w:szCs w:val="21"/>
              </w:rPr>
              <w:t>同类项目业绩情况</w:t>
            </w:r>
          </w:p>
        </w:tc>
        <w:tc>
          <w:tcPr>
            <w:tcW w:w="709" w:type="dxa"/>
            <w:vAlign w:val="center"/>
          </w:tcPr>
          <w:p>
            <w:pPr>
              <w:jc w:val="center"/>
              <w:rPr>
                <w:rFonts w:hint="eastAsia"/>
                <w:szCs w:val="21"/>
              </w:rPr>
            </w:pPr>
            <w:r>
              <w:rPr>
                <w:szCs w:val="21"/>
              </w:rPr>
              <w:t>4</w:t>
            </w:r>
          </w:p>
        </w:tc>
        <w:tc>
          <w:tcPr>
            <w:tcW w:w="5953" w:type="dxa"/>
            <w:vAlign w:val="center"/>
          </w:tcPr>
          <w:p>
            <w:pPr>
              <w:pStyle w:val="188"/>
              <w:ind w:firstLine="0" w:firstLineChars="0"/>
              <w:rPr>
                <w:rFonts w:ascii="宋体" w:cs="宋体"/>
                <w:sz w:val="21"/>
                <w:szCs w:val="24"/>
              </w:rPr>
            </w:pPr>
            <w:r>
              <w:rPr>
                <w:rFonts w:hint="eastAsia" w:ascii="宋体" w:hAnsi="宋体" w:cs="宋体"/>
                <w:sz w:val="21"/>
                <w:szCs w:val="24"/>
              </w:rPr>
              <w:t>（一）评分内容：</w:t>
            </w:r>
          </w:p>
          <w:p>
            <w:pPr>
              <w:autoSpaceDE w:val="0"/>
              <w:autoSpaceDN w:val="0"/>
              <w:jc w:val="left"/>
              <w:rPr>
                <w:rFonts w:hint="eastAsia"/>
                <w:szCs w:val="21"/>
              </w:rPr>
            </w:pPr>
            <w:r>
              <w:rPr>
                <w:rFonts w:hint="eastAsia"/>
                <w:szCs w:val="21"/>
              </w:rPr>
              <w:t>自</w:t>
            </w:r>
            <w:r>
              <w:rPr>
                <w:szCs w:val="21"/>
              </w:rPr>
              <w:t>2021</w:t>
            </w:r>
            <w:r>
              <w:rPr>
                <w:rFonts w:hint="eastAsia"/>
                <w:szCs w:val="21"/>
              </w:rPr>
              <w:t>年</w:t>
            </w:r>
            <w:r>
              <w:rPr>
                <w:szCs w:val="21"/>
              </w:rPr>
              <w:t>10</w:t>
            </w:r>
            <w:r>
              <w:rPr>
                <w:rFonts w:hint="eastAsia"/>
                <w:szCs w:val="21"/>
              </w:rPr>
              <w:t>月</w:t>
            </w:r>
            <w:r>
              <w:rPr>
                <w:szCs w:val="21"/>
              </w:rPr>
              <w:t>1</w:t>
            </w:r>
            <w:r>
              <w:rPr>
                <w:rFonts w:hint="eastAsia"/>
                <w:szCs w:val="21"/>
              </w:rPr>
              <w:t>日至本项目投标截止日，（以合同签订日期为准），投标人具有粉尘云最低着火温度试验仪产品销售业绩的，每提供</w:t>
            </w:r>
            <w:r>
              <w:rPr>
                <w:szCs w:val="21"/>
              </w:rPr>
              <w:t>1</w:t>
            </w:r>
            <w:r>
              <w:rPr>
                <w:rFonts w:hint="eastAsia"/>
                <w:szCs w:val="21"/>
              </w:rPr>
              <w:t>个项目得</w:t>
            </w:r>
            <w:r>
              <w:rPr>
                <w:szCs w:val="21"/>
              </w:rPr>
              <w:t>1</w:t>
            </w:r>
            <w:r>
              <w:rPr>
                <w:rFonts w:hint="eastAsia"/>
                <w:szCs w:val="21"/>
              </w:rPr>
              <w:t>分，最高得</w:t>
            </w:r>
            <w:r>
              <w:rPr>
                <w:szCs w:val="21"/>
              </w:rPr>
              <w:t>4</w:t>
            </w:r>
            <w:r>
              <w:rPr>
                <w:rFonts w:hint="eastAsia"/>
                <w:szCs w:val="21"/>
              </w:rPr>
              <w:t>分。</w:t>
            </w:r>
          </w:p>
          <w:p>
            <w:pPr>
              <w:autoSpaceDE w:val="0"/>
              <w:autoSpaceDN w:val="0"/>
              <w:jc w:val="left"/>
              <w:rPr>
                <w:rFonts w:hint="eastAsia"/>
                <w:szCs w:val="21"/>
              </w:rPr>
            </w:pPr>
            <w:r>
              <w:rPr>
                <w:rFonts w:hint="eastAsia"/>
                <w:szCs w:val="21"/>
              </w:rPr>
              <w:t>（二）评分依据：</w:t>
            </w:r>
          </w:p>
          <w:p>
            <w:pPr>
              <w:rPr>
                <w:rFonts w:hint="eastAsia"/>
                <w:szCs w:val="21"/>
              </w:rPr>
            </w:pPr>
            <w:r>
              <w:rPr>
                <w:szCs w:val="21"/>
              </w:rPr>
              <w:t xml:space="preserve">1. </w:t>
            </w:r>
            <w:r>
              <w:rPr>
                <w:rFonts w:hint="eastAsia"/>
                <w:szCs w:val="21"/>
              </w:rPr>
              <w:t>提供合同关键页且各项信息不得有任何遮挡；</w:t>
            </w:r>
          </w:p>
          <w:p>
            <w:pPr>
              <w:rPr>
                <w:rFonts w:hint="eastAsia"/>
                <w:szCs w:val="21"/>
              </w:rPr>
            </w:pPr>
            <w:r>
              <w:rPr>
                <w:rFonts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szCs w:val="21"/>
              </w:rPr>
              <w:t>3</w:t>
            </w:r>
          </w:p>
        </w:tc>
        <w:tc>
          <w:tcPr>
            <w:tcW w:w="1143" w:type="dxa"/>
            <w:vAlign w:val="center"/>
          </w:tcPr>
          <w:p>
            <w:pPr>
              <w:jc w:val="center"/>
              <w:rPr>
                <w:rFonts w:hint="eastAsia"/>
                <w:szCs w:val="21"/>
              </w:rPr>
            </w:pPr>
            <w:r>
              <w:rPr>
                <w:rFonts w:hint="eastAsia"/>
                <w:szCs w:val="21"/>
              </w:rPr>
              <w:t>相关认证情况</w:t>
            </w:r>
          </w:p>
        </w:tc>
        <w:tc>
          <w:tcPr>
            <w:tcW w:w="709" w:type="dxa"/>
            <w:vAlign w:val="center"/>
          </w:tcPr>
          <w:p>
            <w:pPr>
              <w:jc w:val="center"/>
              <w:rPr>
                <w:rFonts w:hint="eastAsia"/>
                <w:szCs w:val="21"/>
              </w:rPr>
            </w:pPr>
            <w:r>
              <w:rPr>
                <w:szCs w:val="21"/>
              </w:rPr>
              <w:t>2</w:t>
            </w:r>
          </w:p>
        </w:tc>
        <w:tc>
          <w:tcPr>
            <w:tcW w:w="5953" w:type="dxa"/>
            <w:vAlign w:val="center"/>
          </w:tcPr>
          <w:p>
            <w:pPr>
              <w:pStyle w:val="188"/>
              <w:ind w:firstLine="0" w:firstLineChars="0"/>
              <w:rPr>
                <w:rFonts w:ascii="宋体" w:cs="宋体"/>
                <w:sz w:val="21"/>
                <w:szCs w:val="24"/>
              </w:rPr>
            </w:pPr>
            <w:r>
              <w:rPr>
                <w:rFonts w:hint="eastAsia" w:ascii="宋体" w:hAnsi="宋体" w:cs="宋体"/>
                <w:sz w:val="21"/>
                <w:szCs w:val="24"/>
              </w:rPr>
              <w:t>（一）评分内容：</w:t>
            </w:r>
          </w:p>
          <w:p>
            <w:pPr>
              <w:autoSpaceDE w:val="0"/>
              <w:autoSpaceDN w:val="0"/>
              <w:jc w:val="left"/>
              <w:rPr>
                <w:rFonts w:hint="eastAsia"/>
                <w:szCs w:val="21"/>
              </w:rPr>
            </w:pPr>
            <w:r>
              <w:rPr>
                <w:rFonts w:hint="eastAsia"/>
                <w:szCs w:val="21"/>
              </w:rPr>
              <w:t>所投产品生产厂家具有质量管理体系认证证书、环境管理体系认证证书、职业健康安全管理体系认证证书，每提供</w:t>
            </w:r>
            <w:r>
              <w:rPr>
                <w:szCs w:val="21"/>
              </w:rPr>
              <w:t>1</w:t>
            </w:r>
            <w:r>
              <w:rPr>
                <w:rFonts w:hint="eastAsia"/>
                <w:szCs w:val="21"/>
              </w:rPr>
              <w:t>个有效认证证书得</w:t>
            </w:r>
            <w:r>
              <w:rPr>
                <w:szCs w:val="21"/>
              </w:rPr>
              <w:t>1</w:t>
            </w:r>
            <w:r>
              <w:rPr>
                <w:rFonts w:hint="eastAsia"/>
                <w:szCs w:val="21"/>
              </w:rPr>
              <w:t>分，提供</w:t>
            </w:r>
            <w:r>
              <w:rPr>
                <w:szCs w:val="21"/>
              </w:rPr>
              <w:t>2</w:t>
            </w:r>
            <w:r>
              <w:rPr>
                <w:rFonts w:hint="eastAsia"/>
                <w:szCs w:val="21"/>
              </w:rPr>
              <w:t>个或以上有效认证证书得</w:t>
            </w:r>
            <w:r>
              <w:rPr>
                <w:szCs w:val="21"/>
              </w:rPr>
              <w:t>2</w:t>
            </w:r>
            <w:r>
              <w:rPr>
                <w:rFonts w:hint="eastAsia"/>
                <w:szCs w:val="21"/>
              </w:rPr>
              <w:t>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szCs w:val="21"/>
              </w:rPr>
              <w:t xml:space="preserve">1. </w:t>
            </w:r>
            <w:r>
              <w:rPr>
                <w:rFonts w:hint="eastAsia"/>
                <w:szCs w:val="21"/>
              </w:rPr>
              <w:t>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szCs w:val="21"/>
              </w:rPr>
            </w:pPr>
            <w:r>
              <w:rPr>
                <w:szCs w:val="21"/>
              </w:rPr>
              <w:t xml:space="preserve">2. </w:t>
            </w:r>
            <w:r>
              <w:rPr>
                <w:rFonts w:hint="eastAsia"/>
                <w:szCs w:val="21"/>
              </w:rPr>
              <w:t>提供证书官网或权威机构【如：全国认证认可信息公共服务平台（</w:t>
            </w:r>
            <w:r>
              <w:rPr>
                <w:szCs w:val="21"/>
              </w:rPr>
              <w:t>cx.cnca.cn</w:t>
            </w:r>
            <w:r>
              <w:rPr>
                <w:rFonts w:hint="eastAsia"/>
                <w:szCs w:val="21"/>
              </w:rPr>
              <w:t>）】认证信息查询截图（截图需显示证书状态为有效）。相关证书在公开渠道无法查询的，投标人需提供颁发部门或者监管机构的证明材料，证明证书真实有效且为合法机构颁发；</w:t>
            </w:r>
          </w:p>
          <w:p>
            <w:pPr>
              <w:rPr>
                <w:rFonts w:hint="eastAsia"/>
                <w:szCs w:val="21"/>
              </w:rPr>
            </w:pPr>
            <w:r>
              <w:rPr>
                <w:szCs w:val="21"/>
              </w:rPr>
              <w:t xml:space="preserve">3. </w:t>
            </w:r>
            <w:r>
              <w:rPr>
                <w:rFonts w:hint="eastAsia"/>
                <w:szCs w:val="21"/>
              </w:rPr>
              <w:t>提供以上证明文件复印件或扫描件，如涉及网站截图或照片等证明材料</w:t>
            </w:r>
            <w:r>
              <w:rPr>
                <w:szCs w:val="21"/>
              </w:rPr>
              <w:t>,</w:t>
            </w:r>
            <w:r>
              <w:rPr>
                <w:rFonts w:hint="eastAsia"/>
                <w:szCs w:val="21"/>
              </w:rPr>
              <w:t>需提供清晰图片</w:t>
            </w:r>
            <w:r>
              <w:rPr>
                <w:szCs w:val="21"/>
              </w:rPr>
              <w:t>,</w:t>
            </w:r>
            <w:r>
              <w:rPr>
                <w:rFonts w:hint="eastAsia"/>
                <w:szCs w:val="21"/>
              </w:rPr>
              <w:t>均要求加盖投标人公章</w:t>
            </w:r>
            <w:r>
              <w:rPr>
                <w:szCs w:val="21"/>
              </w:rPr>
              <w:t>,</w:t>
            </w:r>
            <w:r>
              <w:rPr>
                <w:rFonts w:hint="eastAsia"/>
                <w:szCs w:val="21"/>
              </w:rPr>
              <w:t>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bl>
    <w:p>
      <w:pPr>
        <w:jc w:val="center"/>
        <w:rPr>
          <w:rFonts w:hint="eastAsia"/>
          <w:b/>
          <w:bCs/>
        </w:rPr>
      </w:pPr>
      <w:r>
        <w:rPr>
          <w:b/>
          <w:bCs/>
        </w:rPr>
        <w:t>02</w:t>
      </w:r>
      <w:r>
        <w:rPr>
          <w:rFonts w:hint="eastAsia"/>
          <w:b/>
          <w:bCs/>
        </w:rPr>
        <w:t>包</w:t>
      </w:r>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评分项及评分规则</w:t>
            </w:r>
          </w:p>
        </w:tc>
        <w:tc>
          <w:tcPr>
            <w:tcW w:w="1187" w:type="dxa"/>
            <w:vAlign w:val="center"/>
          </w:tcPr>
          <w:p>
            <w:pPr>
              <w:autoSpaceDE w:val="0"/>
              <w:autoSpaceDN w:val="0"/>
              <w:jc w:val="center"/>
              <w:rPr>
                <w:rFonts w:hint="eastAsia"/>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一、价格部分</w:t>
            </w:r>
          </w:p>
        </w:tc>
        <w:tc>
          <w:tcPr>
            <w:tcW w:w="1187" w:type="dxa"/>
            <w:vAlign w:val="center"/>
          </w:tcPr>
          <w:p>
            <w:pPr>
              <w:autoSpaceDE w:val="0"/>
              <w:autoSpaceDN w:val="0"/>
              <w:jc w:val="center"/>
              <w:rPr>
                <w:rFonts w:hint="eastAsia"/>
                <w:b/>
                <w:szCs w:val="21"/>
              </w:rPr>
            </w:pPr>
            <w:r>
              <w:rPr>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szCs w:val="21"/>
              </w:rPr>
            </w:pPr>
            <w:r>
              <w:rPr>
                <w:rFonts w:hint="eastAsia"/>
                <w:szCs w:val="21"/>
              </w:rPr>
              <w:t>价格分采用低价优先法计算，即满足招标文件要求且投标价格最低的投标报价为评标基准价，其价格分为满分。其他投标人的价格分统一按照下列公式计算：</w:t>
            </w:r>
          </w:p>
          <w:p>
            <w:pPr>
              <w:jc w:val="left"/>
              <w:rPr>
                <w:rFonts w:hint="eastAsia"/>
                <w:szCs w:val="21"/>
              </w:rPr>
            </w:pPr>
            <w:r>
              <w:rPr>
                <w:rFonts w:hint="eastAsia"/>
                <w:szCs w:val="21"/>
              </w:rPr>
              <w:t>投标报价得分</w:t>
            </w:r>
            <w:r>
              <w:rPr>
                <w:szCs w:val="21"/>
              </w:rPr>
              <w:t>=(</w:t>
            </w:r>
            <w:r>
              <w:rPr>
                <w:rFonts w:hint="eastAsia"/>
                <w:szCs w:val="21"/>
              </w:rPr>
              <w:t>评标基准价／投标报价</w:t>
            </w:r>
            <w:r>
              <w:rPr>
                <w:szCs w:val="21"/>
              </w:rPr>
              <w:t>)</w:t>
            </w:r>
            <w:r>
              <w:rPr>
                <w:rFonts w:hint="eastAsia"/>
                <w:szCs w:val="21"/>
              </w:rPr>
              <w:t>×</w:t>
            </w:r>
            <w:r>
              <w:rPr>
                <w:szCs w:val="21"/>
              </w:rPr>
              <w:t>30</w:t>
            </w:r>
          </w:p>
          <w:p>
            <w:pPr>
              <w:rPr>
                <w:rFonts w:hint="eastAsia"/>
                <w:szCs w:val="21"/>
              </w:rPr>
            </w:pPr>
            <w:r>
              <w:rPr>
                <w:rFonts w:hint="eastAsia"/>
                <w:snapToGrid w:val="0"/>
                <w:szCs w:val="21"/>
              </w:rPr>
              <w:t>备注：</w:t>
            </w:r>
            <w:r>
              <w:rPr>
                <w:snapToGrid w:val="0"/>
                <w:szCs w:val="21"/>
              </w:rPr>
              <w:t>1</w:t>
            </w:r>
            <w:r>
              <w:rPr>
                <w:rFonts w:hint="eastAsia"/>
                <w:snapToGrid w:val="0"/>
                <w:szCs w:val="21"/>
              </w:rPr>
              <w:t>、因落实政府采购政策进行价格调整的，以调整后的价格计算评标基准价和投标报价</w:t>
            </w:r>
            <w:r>
              <w:rPr>
                <w:rFonts w:hint="eastAsia"/>
                <w:bCs/>
                <w:snapToGrid w:val="0"/>
                <w:szCs w:val="21"/>
              </w:rPr>
              <w:t>；</w:t>
            </w:r>
            <w:r>
              <w:rPr>
                <w:snapToGrid w:val="0"/>
                <w:szCs w:val="21"/>
              </w:rPr>
              <w:t>2</w:t>
            </w:r>
            <w:r>
              <w:rPr>
                <w:rFonts w:hint="eastAsia"/>
                <w:snapToGrid w:val="0"/>
                <w:szCs w:val="21"/>
              </w:rPr>
              <w:t>、投标报价得分四舍五入后，小数点后保留两位有效数</w:t>
            </w:r>
            <w:r>
              <w:rPr>
                <w:rFonts w:hint="eastAsia"/>
                <w:szCs w:val="21"/>
              </w:rPr>
              <w:t>。</w:t>
            </w:r>
          </w:p>
        </w:tc>
        <w:tc>
          <w:tcPr>
            <w:tcW w:w="1187" w:type="dxa"/>
            <w:vAlign w:val="center"/>
          </w:tcPr>
          <w:p>
            <w:pPr>
              <w:autoSpaceDE w:val="0"/>
              <w:autoSpaceDN w:val="0"/>
              <w:jc w:val="center"/>
              <w:rPr>
                <w:rFonts w:hint="eastAsia"/>
                <w:szCs w:val="21"/>
              </w:rPr>
            </w:pPr>
            <w:r>
              <w:rPr>
                <w:rFonts w:hint="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szCs w:val="21"/>
              </w:rPr>
            </w:pPr>
            <w:r>
              <w:rPr>
                <w:rFonts w:hint="eastAsia"/>
                <w:b/>
                <w:szCs w:val="21"/>
              </w:rPr>
              <w:t>二、技术部分</w:t>
            </w:r>
          </w:p>
        </w:tc>
        <w:tc>
          <w:tcPr>
            <w:tcW w:w="1187" w:type="dxa"/>
            <w:vAlign w:val="center"/>
          </w:tcPr>
          <w:p>
            <w:pPr>
              <w:autoSpaceDE w:val="0"/>
              <w:autoSpaceDN w:val="0"/>
              <w:jc w:val="center"/>
              <w:rPr>
                <w:rFonts w:hint="eastAsia"/>
                <w:b/>
                <w:szCs w:val="21"/>
              </w:rPr>
            </w:pPr>
            <w:r>
              <w:rPr>
                <w:b/>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szCs w:val="21"/>
              </w:rPr>
              <w:t>1</w:t>
            </w:r>
          </w:p>
        </w:tc>
        <w:tc>
          <w:tcPr>
            <w:tcW w:w="1143" w:type="dxa"/>
            <w:vAlign w:val="center"/>
          </w:tcPr>
          <w:p>
            <w:pPr>
              <w:jc w:val="center"/>
              <w:rPr>
                <w:rFonts w:hint="eastAsia"/>
                <w:szCs w:val="21"/>
              </w:rPr>
            </w:pPr>
            <w:r>
              <w:rPr>
                <w:rFonts w:hint="eastAsia"/>
                <w:szCs w:val="21"/>
              </w:rPr>
              <w:t>技术规格偏离情况</w:t>
            </w:r>
          </w:p>
        </w:tc>
        <w:tc>
          <w:tcPr>
            <w:tcW w:w="709" w:type="dxa"/>
            <w:vAlign w:val="center"/>
          </w:tcPr>
          <w:p>
            <w:pPr>
              <w:jc w:val="center"/>
              <w:rPr>
                <w:rFonts w:hint="eastAsia"/>
                <w:szCs w:val="21"/>
              </w:rPr>
            </w:pPr>
            <w:r>
              <w:rPr>
                <w:szCs w:val="21"/>
              </w:rPr>
              <w:t>50</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完全满足招标文件技术指标、参数要求，应答完整的得</w:t>
            </w:r>
            <w:r>
              <w:rPr>
                <w:szCs w:val="21"/>
              </w:rPr>
              <w:t>50</w:t>
            </w:r>
            <w:r>
              <w:rPr>
                <w:rFonts w:hint="eastAsia"/>
                <w:szCs w:val="21"/>
              </w:rPr>
              <w:t>分；“★”为不可偏离参数；以此为基础，投标人的技术响应低于招标文件中规定的“▲”技术要求每有一项减7分；投标人一般技术响应低于招标文件规定的，每有一项减2.5分。本项最低得</w:t>
            </w:r>
            <w:r>
              <w:rPr>
                <w:szCs w:val="21"/>
              </w:rPr>
              <w:t>0</w:t>
            </w:r>
            <w:r>
              <w:rPr>
                <w:rFonts w:hint="eastAsia"/>
                <w:szCs w:val="21"/>
              </w:rPr>
              <w:t>分。</w:t>
            </w:r>
          </w:p>
          <w:p>
            <w:pPr>
              <w:jc w:val="left"/>
              <w:rPr>
                <w:rFonts w:hint="eastAsia"/>
                <w:szCs w:val="21"/>
              </w:rPr>
            </w:pPr>
            <w:r>
              <w:rPr>
                <w:rFonts w:hint="eastAsia"/>
                <w:szCs w:val="21"/>
              </w:rPr>
              <w:t>（二）评分依据：</w:t>
            </w:r>
          </w:p>
          <w:p>
            <w:pPr>
              <w:jc w:val="left"/>
              <w:rPr>
                <w:rFonts w:hint="eastAsia"/>
                <w:szCs w:val="21"/>
              </w:rPr>
            </w:pPr>
            <w:r>
              <w:rPr>
                <w:rFonts w:hint="eastAsia"/>
                <w:szCs w:val="21"/>
              </w:rPr>
              <w:t>以投标文件《技术规格偏离表》为评分依据，投标人按招标文件要求提供：相应技术指标对应的网页截图（含网址）或使用说明书，所有资料均需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szCs w:val="21"/>
              </w:rPr>
            </w:pPr>
            <w:r>
              <w:rPr>
                <w:szCs w:val="21"/>
              </w:rPr>
              <w:t>2</w:t>
            </w:r>
          </w:p>
        </w:tc>
        <w:tc>
          <w:tcPr>
            <w:tcW w:w="1143" w:type="dxa"/>
            <w:vAlign w:val="center"/>
          </w:tcPr>
          <w:p>
            <w:pPr>
              <w:jc w:val="center"/>
              <w:rPr>
                <w:rFonts w:hint="eastAsia"/>
                <w:szCs w:val="21"/>
              </w:rPr>
            </w:pPr>
            <w:r>
              <w:rPr>
                <w:rFonts w:hint="eastAsia"/>
                <w:szCs w:val="21"/>
              </w:rPr>
              <w:t>技术保障措施</w:t>
            </w:r>
          </w:p>
        </w:tc>
        <w:tc>
          <w:tcPr>
            <w:tcW w:w="709" w:type="dxa"/>
            <w:vAlign w:val="center"/>
          </w:tcPr>
          <w:p>
            <w:pPr>
              <w:jc w:val="center"/>
              <w:rPr>
                <w:rFonts w:hint="eastAsia"/>
                <w:szCs w:val="21"/>
              </w:rPr>
            </w:pPr>
            <w:r>
              <w:rPr>
                <w:szCs w:val="21"/>
              </w:rPr>
              <w:t>4</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投标人在投标文件中详细说明技术保障措施，包含以下内容：</w:t>
            </w:r>
          </w:p>
          <w:p>
            <w:pPr>
              <w:jc w:val="left"/>
              <w:rPr>
                <w:rFonts w:hint="eastAsia"/>
                <w:szCs w:val="21"/>
              </w:rPr>
            </w:pPr>
            <w:r>
              <w:rPr>
                <w:rFonts w:hint="eastAsia"/>
                <w:szCs w:val="21"/>
              </w:rPr>
              <w:t>（</w:t>
            </w:r>
            <w:r>
              <w:rPr>
                <w:szCs w:val="21"/>
              </w:rPr>
              <w:t>1</w:t>
            </w:r>
            <w:r>
              <w:rPr>
                <w:rFonts w:hint="eastAsia"/>
                <w:szCs w:val="21"/>
              </w:rPr>
              <w:t>）供货方案；</w:t>
            </w:r>
          </w:p>
          <w:p>
            <w:pPr>
              <w:jc w:val="left"/>
              <w:rPr>
                <w:rFonts w:hint="eastAsia"/>
                <w:szCs w:val="21"/>
              </w:rPr>
            </w:pPr>
            <w:r>
              <w:rPr>
                <w:rFonts w:hint="eastAsia"/>
                <w:szCs w:val="21"/>
              </w:rPr>
              <w:t>（</w:t>
            </w:r>
            <w:r>
              <w:rPr>
                <w:szCs w:val="21"/>
              </w:rPr>
              <w:t>2</w:t>
            </w:r>
            <w:r>
              <w:rPr>
                <w:rFonts w:hint="eastAsia"/>
                <w:szCs w:val="21"/>
              </w:rPr>
              <w:t>）安装调试方案；</w:t>
            </w:r>
          </w:p>
          <w:p>
            <w:pPr>
              <w:jc w:val="left"/>
              <w:rPr>
                <w:rFonts w:hint="eastAsia"/>
                <w:szCs w:val="21"/>
              </w:rPr>
            </w:pPr>
            <w:r>
              <w:rPr>
                <w:rFonts w:hint="eastAsia"/>
                <w:szCs w:val="21"/>
              </w:rPr>
              <w:t>（</w:t>
            </w:r>
            <w:r>
              <w:rPr>
                <w:szCs w:val="21"/>
              </w:rPr>
              <w:t>3</w:t>
            </w:r>
            <w:r>
              <w:rPr>
                <w:rFonts w:hint="eastAsia"/>
                <w:szCs w:val="21"/>
              </w:rPr>
              <w:t>）质量管理措施。</w:t>
            </w:r>
          </w:p>
          <w:p>
            <w:pPr>
              <w:jc w:val="left"/>
              <w:rPr>
                <w:rFonts w:hint="eastAsia"/>
                <w:szCs w:val="21"/>
              </w:rPr>
            </w:pPr>
            <w:r>
              <w:rPr>
                <w:rFonts w:hint="eastAsia"/>
                <w:szCs w:val="21"/>
              </w:rPr>
              <w:t>（二）评分标准：</w:t>
            </w:r>
            <w:r>
              <w:rPr>
                <w:szCs w:val="21"/>
              </w:rPr>
              <w:t xml:space="preserve"> </w:t>
            </w:r>
          </w:p>
          <w:p>
            <w:pPr>
              <w:jc w:val="left"/>
              <w:rPr>
                <w:rFonts w:hint="eastAsia"/>
                <w:szCs w:val="21"/>
              </w:rPr>
            </w:pPr>
            <w:r>
              <w:rPr>
                <w:szCs w:val="21"/>
              </w:rPr>
              <w:t>1.</w:t>
            </w:r>
            <w:r>
              <w:rPr>
                <w:rFonts w:hint="eastAsia"/>
                <w:szCs w:val="21"/>
              </w:rPr>
              <w:t>供货方案全面、有针对性的得</w:t>
            </w:r>
            <w:r>
              <w:rPr>
                <w:szCs w:val="21"/>
              </w:rPr>
              <w:t>2</w:t>
            </w:r>
            <w:r>
              <w:rPr>
                <w:rFonts w:hint="eastAsia"/>
                <w:szCs w:val="21"/>
              </w:rPr>
              <w:t>分；方案内容简单、笼统，存在较多的不足的得</w:t>
            </w:r>
            <w:r>
              <w:rPr>
                <w:szCs w:val="21"/>
              </w:rPr>
              <w:t>1</w:t>
            </w:r>
            <w:r>
              <w:rPr>
                <w:rFonts w:hint="eastAsia"/>
                <w:szCs w:val="21"/>
              </w:rPr>
              <w:t>分；未提供的</w:t>
            </w:r>
            <w:r>
              <w:rPr>
                <w:szCs w:val="21"/>
              </w:rPr>
              <w:t>0</w:t>
            </w:r>
            <w:r>
              <w:rPr>
                <w:rFonts w:hint="eastAsia"/>
                <w:szCs w:val="21"/>
              </w:rPr>
              <w:t>分。</w:t>
            </w:r>
          </w:p>
          <w:p>
            <w:pPr>
              <w:jc w:val="left"/>
              <w:rPr>
                <w:rFonts w:hint="eastAsia"/>
                <w:szCs w:val="21"/>
              </w:rPr>
            </w:pPr>
            <w:r>
              <w:rPr>
                <w:szCs w:val="21"/>
              </w:rPr>
              <w:t>2.</w:t>
            </w:r>
            <w:r>
              <w:rPr>
                <w:rFonts w:hint="eastAsia"/>
                <w:szCs w:val="21"/>
              </w:rPr>
              <w:t>安装调试方案全面、有针对性的得</w:t>
            </w:r>
            <w:r>
              <w:rPr>
                <w:szCs w:val="21"/>
              </w:rPr>
              <w:t>1</w:t>
            </w:r>
            <w:r>
              <w:rPr>
                <w:rFonts w:hint="eastAsia"/>
                <w:szCs w:val="21"/>
              </w:rPr>
              <w:t>分；方案内容简单、笼统，存在较多的不足的得</w:t>
            </w:r>
            <w:r>
              <w:rPr>
                <w:szCs w:val="21"/>
              </w:rPr>
              <w:t>0.5</w:t>
            </w:r>
            <w:r>
              <w:rPr>
                <w:rFonts w:hint="eastAsia"/>
                <w:szCs w:val="21"/>
              </w:rPr>
              <w:t>分；未提供的</w:t>
            </w:r>
            <w:r>
              <w:rPr>
                <w:szCs w:val="21"/>
              </w:rPr>
              <w:t>0</w:t>
            </w:r>
            <w:r>
              <w:rPr>
                <w:rFonts w:hint="eastAsia"/>
                <w:szCs w:val="21"/>
              </w:rPr>
              <w:t>分。</w:t>
            </w:r>
          </w:p>
          <w:p>
            <w:pPr>
              <w:jc w:val="left"/>
              <w:rPr>
                <w:rFonts w:hint="eastAsia"/>
                <w:szCs w:val="21"/>
              </w:rPr>
            </w:pPr>
            <w:r>
              <w:rPr>
                <w:szCs w:val="21"/>
              </w:rPr>
              <w:t>3.</w:t>
            </w:r>
            <w:r>
              <w:rPr>
                <w:rFonts w:hint="eastAsia"/>
                <w:szCs w:val="21"/>
              </w:rPr>
              <w:t>质量管理措施切实、有效的得</w:t>
            </w:r>
            <w:r>
              <w:rPr>
                <w:szCs w:val="21"/>
              </w:rPr>
              <w:t>1</w:t>
            </w:r>
            <w:r>
              <w:rPr>
                <w:rFonts w:hint="eastAsia"/>
                <w:szCs w:val="21"/>
              </w:rPr>
              <w:t>分；质量管理措施简单、笼统，存在较多的不足的得</w:t>
            </w:r>
            <w:r>
              <w:rPr>
                <w:szCs w:val="21"/>
              </w:rPr>
              <w:t>0.5</w:t>
            </w:r>
            <w:r>
              <w:rPr>
                <w:rFonts w:hint="eastAsia"/>
                <w:szCs w:val="21"/>
              </w:rPr>
              <w:t>分；未提供的</w:t>
            </w:r>
            <w:r>
              <w:rPr>
                <w:szCs w:val="21"/>
              </w:rPr>
              <w:t>0</w:t>
            </w:r>
            <w:r>
              <w:rPr>
                <w:rFonts w:hint="eastAsia"/>
                <w:szCs w:val="21"/>
              </w:rPr>
              <w:t>分。</w:t>
            </w:r>
          </w:p>
          <w:p>
            <w:pPr>
              <w:jc w:val="left"/>
              <w:rPr>
                <w:rFonts w:hint="eastAsia"/>
                <w:szCs w:val="21"/>
              </w:rPr>
            </w:pPr>
            <w:r>
              <w:rPr>
                <w:rFonts w:hint="eastAsia"/>
                <w:szCs w:val="21"/>
              </w:rPr>
              <w:t>以上</w:t>
            </w:r>
            <w:r>
              <w:rPr>
                <w:szCs w:val="21"/>
              </w:rPr>
              <w:t>3</w:t>
            </w:r>
            <w:r>
              <w:rPr>
                <w:rFonts w:hint="eastAsia"/>
                <w:szCs w:val="21"/>
              </w:rPr>
              <w:t>项合计最高</w:t>
            </w:r>
            <w:r>
              <w:rPr>
                <w:szCs w:val="21"/>
              </w:rPr>
              <w:t>4</w:t>
            </w:r>
            <w:r>
              <w:rPr>
                <w:rFonts w:hint="eastAsia"/>
                <w:szCs w:val="21"/>
              </w:rPr>
              <w:t>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szCs w:val="21"/>
              </w:rPr>
            </w:pPr>
            <w:r>
              <w:rPr>
                <w:szCs w:val="21"/>
              </w:rPr>
              <w:t>3</w:t>
            </w:r>
          </w:p>
        </w:tc>
        <w:tc>
          <w:tcPr>
            <w:tcW w:w="1143" w:type="dxa"/>
            <w:vAlign w:val="center"/>
          </w:tcPr>
          <w:p>
            <w:pPr>
              <w:jc w:val="center"/>
              <w:rPr>
                <w:rFonts w:hint="eastAsia"/>
                <w:szCs w:val="21"/>
              </w:rPr>
            </w:pPr>
            <w:r>
              <w:rPr>
                <w:rFonts w:hint="eastAsia"/>
                <w:szCs w:val="21"/>
              </w:rPr>
              <w:t>售后服务方案</w:t>
            </w:r>
          </w:p>
        </w:tc>
        <w:tc>
          <w:tcPr>
            <w:tcW w:w="709" w:type="dxa"/>
            <w:vAlign w:val="center"/>
          </w:tcPr>
          <w:p>
            <w:pPr>
              <w:jc w:val="center"/>
              <w:rPr>
                <w:rFonts w:hint="eastAsia"/>
                <w:szCs w:val="21"/>
              </w:rPr>
            </w:pPr>
            <w:r>
              <w:rPr>
                <w:szCs w:val="21"/>
              </w:rPr>
              <w:t>6</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投标人提供售后服务方案，包含以下内容：</w:t>
            </w:r>
          </w:p>
          <w:p>
            <w:pPr>
              <w:jc w:val="left"/>
              <w:rPr>
                <w:rFonts w:hint="eastAsia"/>
                <w:szCs w:val="21"/>
              </w:rPr>
            </w:pPr>
            <w:r>
              <w:rPr>
                <w:rFonts w:hint="eastAsia"/>
                <w:szCs w:val="21"/>
              </w:rPr>
              <w:t>（</w:t>
            </w:r>
            <w:r>
              <w:rPr>
                <w:szCs w:val="21"/>
              </w:rPr>
              <w:t>1</w:t>
            </w:r>
            <w:r>
              <w:rPr>
                <w:rFonts w:hint="eastAsia"/>
                <w:szCs w:val="21"/>
              </w:rPr>
              <w:t>）售后服务机构及维护人员配置；</w:t>
            </w:r>
          </w:p>
          <w:p>
            <w:pPr>
              <w:jc w:val="left"/>
              <w:rPr>
                <w:rFonts w:hint="eastAsia"/>
                <w:szCs w:val="21"/>
              </w:rPr>
            </w:pPr>
            <w:r>
              <w:rPr>
                <w:rFonts w:hint="eastAsia"/>
                <w:szCs w:val="21"/>
              </w:rPr>
              <w:t>（</w:t>
            </w:r>
            <w:r>
              <w:rPr>
                <w:szCs w:val="21"/>
              </w:rPr>
              <w:t>2</w:t>
            </w:r>
            <w:r>
              <w:rPr>
                <w:rFonts w:hint="eastAsia"/>
                <w:szCs w:val="21"/>
              </w:rPr>
              <w:t>）维修维护方案；</w:t>
            </w:r>
          </w:p>
          <w:p>
            <w:pPr>
              <w:jc w:val="left"/>
              <w:rPr>
                <w:rFonts w:hint="eastAsia"/>
                <w:szCs w:val="21"/>
              </w:rPr>
            </w:pPr>
            <w:r>
              <w:rPr>
                <w:rFonts w:hint="eastAsia"/>
                <w:szCs w:val="21"/>
              </w:rPr>
              <w:t>（</w:t>
            </w:r>
            <w:r>
              <w:rPr>
                <w:szCs w:val="21"/>
              </w:rPr>
              <w:t>3</w:t>
            </w:r>
            <w:r>
              <w:rPr>
                <w:rFonts w:hint="eastAsia"/>
                <w:szCs w:val="21"/>
              </w:rPr>
              <w:t>）技术培训方案；</w:t>
            </w:r>
          </w:p>
          <w:p>
            <w:pPr>
              <w:jc w:val="left"/>
              <w:rPr>
                <w:rFonts w:hint="eastAsia"/>
                <w:szCs w:val="21"/>
              </w:rPr>
            </w:pPr>
            <w:r>
              <w:rPr>
                <w:rFonts w:hint="eastAsia"/>
                <w:szCs w:val="21"/>
              </w:rPr>
              <w:t>（</w:t>
            </w:r>
            <w:r>
              <w:rPr>
                <w:szCs w:val="21"/>
              </w:rPr>
              <w:t>4</w:t>
            </w:r>
            <w:r>
              <w:rPr>
                <w:rFonts w:hint="eastAsia"/>
                <w:szCs w:val="21"/>
              </w:rPr>
              <w:t>）备品备件支持计划。</w:t>
            </w:r>
          </w:p>
          <w:p>
            <w:pPr>
              <w:jc w:val="left"/>
              <w:rPr>
                <w:rFonts w:hint="eastAsia"/>
                <w:szCs w:val="21"/>
              </w:rPr>
            </w:pPr>
            <w:r>
              <w:rPr>
                <w:rFonts w:hint="eastAsia"/>
                <w:szCs w:val="21"/>
              </w:rPr>
              <w:t>（二）评分标准：</w:t>
            </w:r>
            <w:r>
              <w:rPr>
                <w:szCs w:val="21"/>
              </w:rPr>
              <w:t xml:space="preserve"> </w:t>
            </w:r>
          </w:p>
          <w:p>
            <w:pPr>
              <w:jc w:val="left"/>
              <w:rPr>
                <w:rFonts w:hint="eastAsia"/>
                <w:szCs w:val="21"/>
              </w:rPr>
            </w:pPr>
            <w:r>
              <w:rPr>
                <w:szCs w:val="21"/>
              </w:rPr>
              <w:t>1.</w:t>
            </w:r>
            <w:r>
              <w:rPr>
                <w:rFonts w:hint="eastAsia"/>
                <w:szCs w:val="21"/>
              </w:rPr>
              <w:t>售后服务机构便捷，售后维护人员配置完整、经验丰富的得</w:t>
            </w:r>
            <w:r>
              <w:rPr>
                <w:szCs w:val="21"/>
              </w:rPr>
              <w:t>1.5</w:t>
            </w:r>
            <w:r>
              <w:rPr>
                <w:rFonts w:hint="eastAsia"/>
                <w:szCs w:val="21"/>
              </w:rPr>
              <w:t>分；售后服务机构较便捷，售后维护人员配置较完整、经验较丰富的得</w:t>
            </w:r>
            <w:r>
              <w:rPr>
                <w:szCs w:val="21"/>
              </w:rPr>
              <w:t>1</w:t>
            </w:r>
            <w:r>
              <w:rPr>
                <w:rFonts w:hint="eastAsia"/>
                <w:szCs w:val="21"/>
              </w:rPr>
              <w:t>分；售后服务机构不便捷，售后维护人员配置不完整、经验欠缺的得</w:t>
            </w:r>
            <w:r>
              <w:rPr>
                <w:szCs w:val="21"/>
              </w:rPr>
              <w:t>0.5</w:t>
            </w:r>
            <w:r>
              <w:rPr>
                <w:rFonts w:hint="eastAsia"/>
                <w:szCs w:val="21"/>
              </w:rPr>
              <w:t>分；未提供的</w:t>
            </w:r>
            <w:r>
              <w:rPr>
                <w:szCs w:val="21"/>
              </w:rPr>
              <w:t>0</w:t>
            </w:r>
            <w:r>
              <w:rPr>
                <w:rFonts w:hint="eastAsia"/>
                <w:szCs w:val="21"/>
              </w:rPr>
              <w:t>分；</w:t>
            </w:r>
          </w:p>
          <w:p>
            <w:pPr>
              <w:jc w:val="left"/>
              <w:rPr>
                <w:rFonts w:hint="eastAsia"/>
                <w:szCs w:val="21"/>
              </w:rPr>
            </w:pPr>
            <w:r>
              <w:rPr>
                <w:szCs w:val="21"/>
              </w:rPr>
              <w:t>2.</w:t>
            </w:r>
            <w:r>
              <w:rPr>
                <w:rFonts w:hint="eastAsia"/>
                <w:szCs w:val="21"/>
              </w:rPr>
              <w:t>维修维护方案完善、操作性强、符合项目实际的得</w:t>
            </w:r>
            <w:r>
              <w:rPr>
                <w:szCs w:val="21"/>
              </w:rPr>
              <w:t>1.5</w:t>
            </w:r>
            <w:r>
              <w:rPr>
                <w:rFonts w:hint="eastAsia"/>
                <w:szCs w:val="21"/>
              </w:rPr>
              <w:t>分；维修维护方案较完善、操作性较强、较符合项目实际的得</w:t>
            </w:r>
            <w:r>
              <w:rPr>
                <w:szCs w:val="21"/>
              </w:rPr>
              <w:t>1</w:t>
            </w:r>
            <w:r>
              <w:rPr>
                <w:rFonts w:hint="eastAsia"/>
                <w:szCs w:val="21"/>
              </w:rPr>
              <w:t>分；维修维护方案笼统、存在不足的得</w:t>
            </w:r>
            <w:r>
              <w:rPr>
                <w:szCs w:val="21"/>
              </w:rPr>
              <w:t>0.5</w:t>
            </w:r>
            <w:r>
              <w:rPr>
                <w:rFonts w:hint="eastAsia"/>
                <w:szCs w:val="21"/>
              </w:rPr>
              <w:t>分；未提供维修保养方案的得</w:t>
            </w:r>
            <w:r>
              <w:rPr>
                <w:szCs w:val="21"/>
              </w:rPr>
              <w:t>0</w:t>
            </w:r>
            <w:r>
              <w:rPr>
                <w:rFonts w:hint="eastAsia"/>
                <w:szCs w:val="21"/>
              </w:rPr>
              <w:t>分；</w:t>
            </w:r>
            <w:r>
              <w:rPr>
                <w:szCs w:val="21"/>
              </w:rPr>
              <w:t xml:space="preserve"> </w:t>
            </w:r>
          </w:p>
          <w:p>
            <w:pPr>
              <w:jc w:val="left"/>
              <w:rPr>
                <w:rFonts w:hint="eastAsia"/>
                <w:szCs w:val="21"/>
              </w:rPr>
            </w:pPr>
            <w:r>
              <w:rPr>
                <w:szCs w:val="21"/>
              </w:rPr>
              <w:t>3.</w:t>
            </w:r>
            <w:r>
              <w:rPr>
                <w:rFonts w:hint="eastAsia"/>
                <w:szCs w:val="21"/>
              </w:rPr>
              <w:t>培训内容完善、培训计划周全、安排合理的得</w:t>
            </w:r>
            <w:r>
              <w:rPr>
                <w:szCs w:val="21"/>
              </w:rPr>
              <w:t>1.5</w:t>
            </w:r>
            <w:r>
              <w:rPr>
                <w:rFonts w:hint="eastAsia"/>
                <w:szCs w:val="21"/>
              </w:rPr>
              <w:t>分；培训内容较完善、培训计划笼统的得</w:t>
            </w:r>
            <w:r>
              <w:rPr>
                <w:szCs w:val="21"/>
              </w:rPr>
              <w:t>1</w:t>
            </w:r>
            <w:r>
              <w:rPr>
                <w:rFonts w:hint="eastAsia"/>
                <w:szCs w:val="21"/>
              </w:rPr>
              <w:t>分：培训方案笼统、与本项目内容有偏差的得</w:t>
            </w:r>
            <w:r>
              <w:rPr>
                <w:szCs w:val="21"/>
              </w:rPr>
              <w:t>0.5</w:t>
            </w:r>
            <w:r>
              <w:rPr>
                <w:rFonts w:hint="eastAsia"/>
                <w:szCs w:val="21"/>
              </w:rPr>
              <w:t>分；未提供培训计划的得</w:t>
            </w:r>
            <w:r>
              <w:rPr>
                <w:szCs w:val="21"/>
              </w:rPr>
              <w:t>0</w:t>
            </w:r>
            <w:r>
              <w:rPr>
                <w:rFonts w:hint="eastAsia"/>
                <w:szCs w:val="21"/>
              </w:rPr>
              <w:t>分；</w:t>
            </w:r>
          </w:p>
          <w:p>
            <w:pPr>
              <w:jc w:val="left"/>
              <w:rPr>
                <w:rFonts w:hint="eastAsia"/>
                <w:szCs w:val="21"/>
              </w:rPr>
            </w:pPr>
            <w:r>
              <w:rPr>
                <w:szCs w:val="21"/>
              </w:rPr>
              <w:t>4.</w:t>
            </w:r>
            <w:r>
              <w:rPr>
                <w:rFonts w:hint="eastAsia"/>
                <w:szCs w:val="21"/>
              </w:rPr>
              <w:t>响应速度快、备品备件齐全的得</w:t>
            </w:r>
            <w:r>
              <w:rPr>
                <w:szCs w:val="21"/>
              </w:rPr>
              <w:t>1.5</w:t>
            </w:r>
            <w:r>
              <w:rPr>
                <w:rFonts w:hint="eastAsia"/>
                <w:szCs w:val="21"/>
              </w:rPr>
              <w:t>分；响应速度较快、备品备件较齐全的得</w:t>
            </w:r>
            <w:r>
              <w:rPr>
                <w:szCs w:val="21"/>
              </w:rPr>
              <w:t>1</w:t>
            </w:r>
            <w:r>
              <w:rPr>
                <w:rFonts w:hint="eastAsia"/>
                <w:szCs w:val="21"/>
              </w:rPr>
              <w:t>分；响应速度慢、备品备件不够齐全的得</w:t>
            </w:r>
            <w:r>
              <w:rPr>
                <w:szCs w:val="21"/>
              </w:rPr>
              <w:t xml:space="preserve"> 0.5</w:t>
            </w:r>
            <w:r>
              <w:rPr>
                <w:rFonts w:hint="eastAsia"/>
                <w:szCs w:val="21"/>
              </w:rPr>
              <w:t>分：未提供的不得分。</w:t>
            </w:r>
          </w:p>
          <w:p>
            <w:pPr>
              <w:jc w:val="left"/>
              <w:rPr>
                <w:rFonts w:hint="eastAsia"/>
                <w:szCs w:val="21"/>
              </w:rPr>
            </w:pPr>
            <w:r>
              <w:rPr>
                <w:rFonts w:hint="eastAsia"/>
                <w:szCs w:val="21"/>
              </w:rPr>
              <w:t>以上</w:t>
            </w:r>
            <w:r>
              <w:rPr>
                <w:szCs w:val="21"/>
              </w:rPr>
              <w:t>4</w:t>
            </w:r>
            <w:r>
              <w:rPr>
                <w:rFonts w:hint="eastAsia"/>
                <w:szCs w:val="21"/>
              </w:rPr>
              <w:t>项合计最高</w:t>
            </w:r>
            <w:r>
              <w:rPr>
                <w:szCs w:val="21"/>
              </w:rPr>
              <w:t>6</w:t>
            </w:r>
            <w:r>
              <w:rPr>
                <w:rFonts w:hint="eastAsia"/>
                <w:szCs w:val="21"/>
              </w:rPr>
              <w:t>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szCs w:val="21"/>
              </w:rPr>
            </w:pPr>
            <w:r>
              <w:rPr>
                <w:rFonts w:hint="eastAsia"/>
                <w:b/>
                <w:bCs/>
                <w:szCs w:val="21"/>
              </w:rPr>
              <w:t>三、商务部分</w:t>
            </w:r>
          </w:p>
        </w:tc>
        <w:tc>
          <w:tcPr>
            <w:tcW w:w="1187" w:type="dxa"/>
            <w:vAlign w:val="center"/>
          </w:tcPr>
          <w:p>
            <w:pPr>
              <w:autoSpaceDE w:val="0"/>
              <w:autoSpaceDN w:val="0"/>
              <w:jc w:val="center"/>
              <w:rPr>
                <w:rFonts w:hint="eastAsia"/>
                <w:b/>
                <w:bCs/>
                <w:szCs w:val="21"/>
              </w:rPr>
            </w:pPr>
            <w:r>
              <w:rPr>
                <w:b/>
                <w:bCs/>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szCs w:val="21"/>
              </w:rPr>
            </w:pPr>
            <w:r>
              <w:rPr>
                <w:szCs w:val="21"/>
              </w:rPr>
              <w:t>1</w:t>
            </w:r>
          </w:p>
        </w:tc>
        <w:tc>
          <w:tcPr>
            <w:tcW w:w="1143" w:type="dxa"/>
            <w:vAlign w:val="center"/>
          </w:tcPr>
          <w:p>
            <w:pPr>
              <w:jc w:val="center"/>
              <w:rPr>
                <w:rFonts w:hint="eastAsia"/>
                <w:szCs w:val="21"/>
              </w:rPr>
            </w:pPr>
            <w:r>
              <w:rPr>
                <w:rFonts w:hint="eastAsia"/>
                <w:szCs w:val="21"/>
              </w:rPr>
              <w:t>商务需求条款偏离情况</w:t>
            </w:r>
          </w:p>
        </w:tc>
        <w:tc>
          <w:tcPr>
            <w:tcW w:w="709" w:type="dxa"/>
            <w:vAlign w:val="center"/>
          </w:tcPr>
          <w:p>
            <w:pPr>
              <w:jc w:val="center"/>
              <w:rPr>
                <w:rFonts w:hint="eastAsia"/>
                <w:szCs w:val="21"/>
              </w:rPr>
            </w:pPr>
            <w:r>
              <w:rPr>
                <w:szCs w:val="21"/>
              </w:rPr>
              <w:t>4</w:t>
            </w:r>
          </w:p>
        </w:tc>
        <w:tc>
          <w:tcPr>
            <w:tcW w:w="5953" w:type="dxa"/>
            <w:vAlign w:val="center"/>
          </w:tcPr>
          <w:p>
            <w:pPr>
              <w:autoSpaceDE w:val="0"/>
              <w:autoSpaceDN w:val="0"/>
              <w:jc w:val="left"/>
              <w:rPr>
                <w:rFonts w:hint="eastAsia"/>
                <w:szCs w:val="21"/>
              </w:rPr>
            </w:pPr>
            <w:r>
              <w:rPr>
                <w:rFonts w:hint="eastAsia"/>
                <w:szCs w:val="21"/>
              </w:rPr>
              <w:t>投标人应如实填写《商务条款偏离表》，评审委员会根据服务条款响应情况进行评审：</w:t>
            </w:r>
          </w:p>
          <w:p>
            <w:pPr>
              <w:jc w:val="left"/>
              <w:rPr>
                <w:rFonts w:hint="eastAsia"/>
                <w:szCs w:val="21"/>
              </w:rPr>
            </w:pPr>
            <w:r>
              <w:rPr>
                <w:rFonts w:hint="eastAsia"/>
                <w:szCs w:val="21"/>
              </w:rPr>
              <w:t>完全满足招标文件商务要求，应答完整的得</w:t>
            </w:r>
            <w:r>
              <w:rPr>
                <w:szCs w:val="21"/>
              </w:rPr>
              <w:t>4</w:t>
            </w:r>
            <w:r>
              <w:rPr>
                <w:rFonts w:hint="eastAsia"/>
                <w:szCs w:val="21"/>
              </w:rPr>
              <w:t>分；“★”为不可偏离条款；以此为基础，投标人一般商务响应低于招标文件规定的，每有一项减</w:t>
            </w:r>
            <w:r>
              <w:rPr>
                <w:szCs w:val="21"/>
              </w:rPr>
              <w:t>0.8</w:t>
            </w:r>
            <w:r>
              <w:rPr>
                <w:rFonts w:hint="eastAsia"/>
                <w:szCs w:val="21"/>
              </w:rPr>
              <w:t>分。本项最低得</w:t>
            </w:r>
            <w:r>
              <w:rPr>
                <w:szCs w:val="21"/>
              </w:rPr>
              <w:t>0</w:t>
            </w:r>
            <w:r>
              <w:rPr>
                <w:rFonts w:hint="eastAsia"/>
                <w:szCs w:val="21"/>
              </w:rPr>
              <w:t>分。</w:t>
            </w:r>
          </w:p>
          <w:p>
            <w:pPr>
              <w:autoSpaceDE w:val="0"/>
              <w:autoSpaceDN w:val="0"/>
              <w:jc w:val="left"/>
              <w:rPr>
                <w:rFonts w:hint="eastAsia"/>
                <w:szCs w:val="21"/>
              </w:rPr>
            </w:pPr>
            <w:r>
              <w:rPr>
                <w:rFonts w:hint="eastAsia"/>
                <w:szCs w:val="21"/>
              </w:rPr>
              <w:t>商务要求中包含子项条款的，按子项条款响应情况逐项评分。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szCs w:val="21"/>
              </w:rPr>
              <w:t>2</w:t>
            </w:r>
          </w:p>
        </w:tc>
        <w:tc>
          <w:tcPr>
            <w:tcW w:w="1143" w:type="dxa"/>
            <w:vAlign w:val="center"/>
          </w:tcPr>
          <w:p>
            <w:pPr>
              <w:jc w:val="center"/>
              <w:rPr>
                <w:rFonts w:hint="eastAsia"/>
                <w:szCs w:val="21"/>
              </w:rPr>
            </w:pPr>
            <w:r>
              <w:rPr>
                <w:rFonts w:hint="eastAsia"/>
                <w:szCs w:val="21"/>
              </w:rPr>
              <w:t>同类项目业绩情况</w:t>
            </w:r>
          </w:p>
        </w:tc>
        <w:tc>
          <w:tcPr>
            <w:tcW w:w="709" w:type="dxa"/>
            <w:vAlign w:val="center"/>
          </w:tcPr>
          <w:p>
            <w:pPr>
              <w:jc w:val="center"/>
              <w:rPr>
                <w:rFonts w:hint="eastAsia"/>
                <w:szCs w:val="21"/>
              </w:rPr>
            </w:pPr>
            <w:r>
              <w:rPr>
                <w:szCs w:val="21"/>
              </w:rPr>
              <w:t>4</w:t>
            </w:r>
          </w:p>
        </w:tc>
        <w:tc>
          <w:tcPr>
            <w:tcW w:w="5953" w:type="dxa"/>
            <w:vAlign w:val="center"/>
          </w:tcPr>
          <w:p>
            <w:pPr>
              <w:autoSpaceDE w:val="0"/>
              <w:autoSpaceDN w:val="0"/>
              <w:jc w:val="left"/>
              <w:rPr>
                <w:rFonts w:hint="eastAsia"/>
                <w:szCs w:val="21"/>
              </w:rPr>
            </w:pPr>
            <w:r>
              <w:rPr>
                <w:rFonts w:hint="eastAsia"/>
                <w:szCs w:val="21"/>
              </w:rPr>
              <w:t>（一）评分内容：</w:t>
            </w:r>
          </w:p>
          <w:p>
            <w:pPr>
              <w:autoSpaceDE w:val="0"/>
              <w:autoSpaceDN w:val="0"/>
              <w:jc w:val="left"/>
              <w:rPr>
                <w:rFonts w:hint="eastAsia"/>
                <w:szCs w:val="21"/>
              </w:rPr>
            </w:pPr>
            <w:r>
              <w:rPr>
                <w:rFonts w:hint="eastAsia"/>
                <w:szCs w:val="21"/>
              </w:rPr>
              <w:t>自</w:t>
            </w:r>
            <w:r>
              <w:rPr>
                <w:szCs w:val="21"/>
              </w:rPr>
              <w:t>2021</w:t>
            </w:r>
            <w:r>
              <w:rPr>
                <w:rFonts w:hint="eastAsia"/>
                <w:szCs w:val="21"/>
              </w:rPr>
              <w:t>年</w:t>
            </w:r>
            <w:r>
              <w:rPr>
                <w:szCs w:val="21"/>
              </w:rPr>
              <w:t>10</w:t>
            </w:r>
            <w:r>
              <w:rPr>
                <w:rFonts w:hint="eastAsia"/>
                <w:szCs w:val="21"/>
              </w:rPr>
              <w:t>月</w:t>
            </w:r>
            <w:r>
              <w:rPr>
                <w:szCs w:val="21"/>
              </w:rPr>
              <w:t>1</w:t>
            </w:r>
            <w:r>
              <w:rPr>
                <w:rFonts w:hint="eastAsia"/>
                <w:szCs w:val="21"/>
              </w:rPr>
              <w:t>日至本项目投标截止日，（以合同签订日期为准）投标人具有粉尘云最小点火能试验仪产品销售业绩的，每提供</w:t>
            </w:r>
            <w:r>
              <w:rPr>
                <w:szCs w:val="21"/>
              </w:rPr>
              <w:t>1</w:t>
            </w:r>
            <w:r>
              <w:rPr>
                <w:rFonts w:hint="eastAsia"/>
                <w:szCs w:val="21"/>
              </w:rPr>
              <w:t>个项目得</w:t>
            </w:r>
            <w:r>
              <w:rPr>
                <w:szCs w:val="21"/>
              </w:rPr>
              <w:t>1</w:t>
            </w:r>
            <w:r>
              <w:rPr>
                <w:rFonts w:hint="eastAsia"/>
                <w:szCs w:val="21"/>
              </w:rPr>
              <w:t>分，最高得</w:t>
            </w:r>
            <w:r>
              <w:rPr>
                <w:szCs w:val="21"/>
              </w:rPr>
              <w:t>4</w:t>
            </w:r>
            <w:r>
              <w:rPr>
                <w:rFonts w:hint="eastAsia"/>
                <w:szCs w:val="21"/>
              </w:rPr>
              <w:t>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szCs w:val="21"/>
              </w:rPr>
              <w:t>1.</w:t>
            </w:r>
            <w:r>
              <w:rPr>
                <w:rFonts w:hint="eastAsia"/>
                <w:szCs w:val="21"/>
              </w:rPr>
              <w:t>提供合同关键页且各项信息不得有任何遮挡；</w:t>
            </w:r>
          </w:p>
          <w:p>
            <w:pPr>
              <w:autoSpaceDE w:val="0"/>
              <w:autoSpaceDN w:val="0"/>
              <w:jc w:val="left"/>
              <w:rPr>
                <w:rFonts w:hint="eastAsia"/>
                <w:szCs w:val="21"/>
              </w:rPr>
            </w:pPr>
            <w:r>
              <w:rPr>
                <w:rFonts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szCs w:val="21"/>
              </w:rPr>
              <w:t>3</w:t>
            </w:r>
          </w:p>
        </w:tc>
        <w:tc>
          <w:tcPr>
            <w:tcW w:w="1143" w:type="dxa"/>
            <w:vAlign w:val="center"/>
          </w:tcPr>
          <w:p>
            <w:pPr>
              <w:jc w:val="center"/>
              <w:rPr>
                <w:rFonts w:hint="eastAsia"/>
                <w:szCs w:val="21"/>
              </w:rPr>
            </w:pPr>
            <w:r>
              <w:rPr>
                <w:rFonts w:hint="eastAsia"/>
                <w:szCs w:val="21"/>
              </w:rPr>
              <w:t>相关认证情况</w:t>
            </w:r>
          </w:p>
        </w:tc>
        <w:tc>
          <w:tcPr>
            <w:tcW w:w="709" w:type="dxa"/>
            <w:vAlign w:val="center"/>
          </w:tcPr>
          <w:p>
            <w:pPr>
              <w:jc w:val="center"/>
              <w:rPr>
                <w:rFonts w:hint="eastAsia"/>
                <w:szCs w:val="21"/>
              </w:rPr>
            </w:pPr>
            <w:r>
              <w:rPr>
                <w:szCs w:val="21"/>
              </w:rPr>
              <w:t>2</w:t>
            </w:r>
          </w:p>
        </w:tc>
        <w:tc>
          <w:tcPr>
            <w:tcW w:w="5953" w:type="dxa"/>
            <w:vAlign w:val="center"/>
          </w:tcPr>
          <w:p>
            <w:pPr>
              <w:autoSpaceDE w:val="0"/>
              <w:autoSpaceDN w:val="0"/>
              <w:jc w:val="left"/>
              <w:rPr>
                <w:rFonts w:hint="eastAsia"/>
                <w:szCs w:val="21"/>
              </w:rPr>
            </w:pPr>
            <w:r>
              <w:rPr>
                <w:rFonts w:hint="eastAsia"/>
                <w:szCs w:val="21"/>
              </w:rPr>
              <w:t>（一）评分内容：</w:t>
            </w:r>
          </w:p>
          <w:p>
            <w:pPr>
              <w:autoSpaceDE w:val="0"/>
              <w:autoSpaceDN w:val="0"/>
              <w:jc w:val="left"/>
              <w:rPr>
                <w:rFonts w:hint="eastAsia"/>
                <w:szCs w:val="21"/>
              </w:rPr>
            </w:pPr>
            <w:r>
              <w:rPr>
                <w:rFonts w:hint="eastAsia"/>
                <w:szCs w:val="21"/>
              </w:rPr>
              <w:t>所投产品生产厂家具有质量管理体系认证证书、环境管理体系认证证书、职业健康安全管理体系认证证书，每提供</w:t>
            </w:r>
            <w:r>
              <w:rPr>
                <w:szCs w:val="21"/>
              </w:rPr>
              <w:t>1</w:t>
            </w:r>
            <w:r>
              <w:rPr>
                <w:rFonts w:hint="eastAsia"/>
                <w:szCs w:val="21"/>
              </w:rPr>
              <w:t>个有效认证证书得</w:t>
            </w:r>
            <w:r>
              <w:rPr>
                <w:szCs w:val="21"/>
              </w:rPr>
              <w:t>1</w:t>
            </w:r>
            <w:r>
              <w:rPr>
                <w:rFonts w:hint="eastAsia"/>
                <w:szCs w:val="21"/>
              </w:rPr>
              <w:t>分，提供</w:t>
            </w:r>
            <w:r>
              <w:rPr>
                <w:szCs w:val="21"/>
              </w:rPr>
              <w:t>2</w:t>
            </w:r>
            <w:r>
              <w:rPr>
                <w:rFonts w:hint="eastAsia"/>
                <w:szCs w:val="21"/>
              </w:rPr>
              <w:t>个或以上有效认证证书得</w:t>
            </w:r>
            <w:r>
              <w:rPr>
                <w:szCs w:val="21"/>
              </w:rPr>
              <w:t>2</w:t>
            </w:r>
            <w:r>
              <w:rPr>
                <w:rFonts w:hint="eastAsia"/>
                <w:szCs w:val="21"/>
              </w:rPr>
              <w:t>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szCs w:val="21"/>
              </w:rPr>
              <w:t xml:space="preserve">1. </w:t>
            </w:r>
            <w:r>
              <w:rPr>
                <w:rFonts w:hint="eastAsia"/>
                <w:szCs w:val="21"/>
              </w:rPr>
              <w:t>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szCs w:val="21"/>
              </w:rPr>
            </w:pPr>
            <w:r>
              <w:rPr>
                <w:szCs w:val="21"/>
              </w:rPr>
              <w:t xml:space="preserve">2. </w:t>
            </w:r>
            <w:r>
              <w:rPr>
                <w:rFonts w:hint="eastAsia"/>
                <w:szCs w:val="21"/>
              </w:rPr>
              <w:t>提供证书官网或权威机构【如：全国认证认可信息公共服务平台（</w:t>
            </w:r>
            <w:r>
              <w:rPr>
                <w:szCs w:val="21"/>
              </w:rPr>
              <w:t>cx.cnca.cn</w:t>
            </w:r>
            <w:r>
              <w:rPr>
                <w:rFonts w:hint="eastAsia"/>
                <w:szCs w:val="21"/>
              </w:rPr>
              <w:t>）】认证信息查询截图（截图需显示证书状态为有效）。相关证书在公开渠道无法查询的，投标人需提供颁发部门或者监管机构的证明材料，证明证书真实有效且为合法机构颁发；</w:t>
            </w:r>
          </w:p>
          <w:p>
            <w:pPr>
              <w:rPr>
                <w:rFonts w:hint="eastAsia"/>
                <w:szCs w:val="21"/>
              </w:rPr>
            </w:pPr>
            <w:r>
              <w:rPr>
                <w:szCs w:val="21"/>
              </w:rPr>
              <w:t xml:space="preserve">3. </w:t>
            </w:r>
            <w:r>
              <w:rPr>
                <w:rFonts w:hint="eastAsia"/>
                <w:szCs w:val="21"/>
              </w:rPr>
              <w:t>提供以上证明文件复印件或扫描件，如涉及网站截图或照片等证明材料</w:t>
            </w:r>
            <w:r>
              <w:rPr>
                <w:szCs w:val="21"/>
              </w:rPr>
              <w:t>,</w:t>
            </w:r>
            <w:r>
              <w:rPr>
                <w:rFonts w:hint="eastAsia"/>
                <w:szCs w:val="21"/>
              </w:rPr>
              <w:t>需提供清晰图片</w:t>
            </w:r>
            <w:r>
              <w:rPr>
                <w:szCs w:val="21"/>
              </w:rPr>
              <w:t>,</w:t>
            </w:r>
            <w:r>
              <w:rPr>
                <w:rFonts w:hint="eastAsia"/>
                <w:szCs w:val="21"/>
              </w:rPr>
              <w:t>均要求加盖投标人公章</w:t>
            </w:r>
            <w:r>
              <w:rPr>
                <w:szCs w:val="21"/>
              </w:rPr>
              <w:t>,</w:t>
            </w:r>
            <w:r>
              <w:rPr>
                <w:rFonts w:hint="eastAsia"/>
                <w:szCs w:val="21"/>
              </w:rPr>
              <w:t>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bl>
    <w:p>
      <w:pPr>
        <w:tabs>
          <w:tab w:val="clear" w:pos="426"/>
        </w:tabs>
        <w:spacing w:line="240" w:lineRule="auto"/>
        <w:rPr>
          <w:rFonts w:hint="eastAsia"/>
        </w:rPr>
      </w:pPr>
      <w:r>
        <w:rPr>
          <w:rFonts w:hint="eastAsia"/>
        </w:rPr>
        <w:t>备注：</w:t>
      </w:r>
    </w:p>
    <w:p>
      <w:pPr>
        <w:tabs>
          <w:tab w:val="clear" w:pos="426"/>
        </w:tabs>
        <w:spacing w:line="240" w:lineRule="auto"/>
        <w:ind w:firstLine="420" w:firstLineChars="200"/>
        <w:rPr>
          <w:rFonts w:hint="eastAsia"/>
        </w:rPr>
      </w:pPr>
      <w:r>
        <w:t xml:space="preserve">1. </w:t>
      </w:r>
      <w:r>
        <w:rPr>
          <w:rFonts w:hint="eastAsia"/>
        </w:rPr>
        <w:t>缺项则该项为</w:t>
      </w:r>
      <w:r>
        <w:t>0</w:t>
      </w:r>
      <w:r>
        <w:rPr>
          <w:rFonts w:hint="eastAsia"/>
        </w:rPr>
        <w:t>分或不合格为</w:t>
      </w:r>
      <w:r>
        <w:t>0</w:t>
      </w:r>
      <w:r>
        <w:rPr>
          <w:rFonts w:hint="eastAsia"/>
        </w:rPr>
        <w:t>分。</w:t>
      </w:r>
    </w:p>
    <w:p>
      <w:pPr>
        <w:tabs>
          <w:tab w:val="clear" w:pos="426"/>
        </w:tabs>
        <w:spacing w:line="240" w:lineRule="auto"/>
        <w:ind w:firstLine="420" w:firstLineChars="200"/>
        <w:rPr>
          <w:rFonts w:hint="eastAsia"/>
        </w:rPr>
      </w:pPr>
      <w:r>
        <w:t xml:space="preserve">2. </w:t>
      </w:r>
      <w:r>
        <w:rPr>
          <w:rFonts w:hint="eastAsia"/>
        </w:rPr>
        <w:t>价格、技术、商务部分为针对项目具体情况设置项目，累加满分为</w:t>
      </w:r>
      <w:r>
        <w:t>100</w:t>
      </w:r>
      <w:r>
        <w:rPr>
          <w:rFonts w:hint="eastAsia"/>
        </w:rPr>
        <w:t>分，固定额外加分部分为固定设置项，对涉及政策导向优先采购产品进行额外加分。</w:t>
      </w:r>
    </w:p>
    <w:p>
      <w:pPr>
        <w:tabs>
          <w:tab w:val="clear" w:pos="426"/>
        </w:tabs>
        <w:spacing w:line="240" w:lineRule="auto"/>
        <w:ind w:firstLine="420" w:firstLineChars="200"/>
        <w:rPr>
          <w:rFonts w:hint="eastAsia"/>
        </w:rPr>
      </w:pPr>
      <w:r>
        <w:t xml:space="preserve">3. </w:t>
      </w:r>
      <w:r>
        <w:rPr>
          <w:rFonts w:hint="eastAsia"/>
        </w:rPr>
        <w:t>综合以上分析比较，评委会将对各投标文件进行书面的量化评定，得分精确到小数点后两位。</w:t>
      </w:r>
    </w:p>
    <w:p>
      <w:pPr>
        <w:tabs>
          <w:tab w:val="clear" w:pos="426"/>
        </w:tabs>
        <w:spacing w:line="240" w:lineRule="auto"/>
        <w:ind w:firstLine="420" w:firstLineChars="200"/>
        <w:rPr>
          <w:rFonts w:hint="eastAsia"/>
        </w:rPr>
      </w:pPr>
      <w:r>
        <w:t xml:space="preserve">4. </w:t>
      </w:r>
      <w:r>
        <w:rPr>
          <w:rFonts w:hint="eastAsia"/>
        </w:rPr>
        <w:t>客观评分项，所有评审专家应当统一打分分值；主观评分项，评审专家应当按照打分标准独立打分。</w:t>
      </w:r>
    </w:p>
    <w:p>
      <w:pPr>
        <w:rPr>
          <w:rFonts w:hint="eastAsia"/>
        </w:rPr>
      </w:pPr>
    </w:p>
    <w:p>
      <w:pPr>
        <w:rPr>
          <w:rFonts w:hint="eastAsia"/>
        </w:rPr>
      </w:pPr>
    </w:p>
    <w:p>
      <w:pPr>
        <w:rPr>
          <w:rFonts w:hint="eastAsia"/>
        </w:rPr>
      </w:pPr>
      <w:r>
        <w:br w:type="page"/>
      </w:r>
    </w:p>
    <w:p>
      <w:pPr>
        <w:pStyle w:val="62"/>
      </w:pPr>
      <w:bookmarkStart w:id="70" w:name="_Toc15403"/>
      <w:bookmarkStart w:id="71" w:name="_Toc75"/>
      <w:r>
        <w:rPr>
          <w:rFonts w:hint="eastAsia"/>
        </w:rPr>
        <w:t>前附表（四）</w:t>
      </w:r>
      <w:bookmarkEnd w:id="70"/>
      <w:bookmarkEnd w:id="71"/>
    </w:p>
    <w:p>
      <w:pPr>
        <w:adjustRightInd/>
        <w:snapToGrid/>
        <w:spacing w:before="280" w:after="290" w:line="377" w:lineRule="auto"/>
        <w:jc w:val="left"/>
        <w:outlineLvl w:val="2"/>
        <w:rPr>
          <w:rFonts w:hint="eastAsia"/>
          <w:b/>
          <w:sz w:val="24"/>
        </w:rPr>
      </w:pPr>
      <w:bookmarkStart w:id="72" w:name="_Toc4857"/>
      <w:bookmarkStart w:id="73" w:name="_Toc26962"/>
      <w:r>
        <w:rPr>
          <w:b/>
          <w:sz w:val="24"/>
        </w:rPr>
        <w:t>1.</w:t>
      </w:r>
      <w:r>
        <w:rPr>
          <w:rFonts w:hint="eastAsia"/>
          <w:b/>
          <w:sz w:val="24"/>
        </w:rPr>
        <w:t>资格审查</w:t>
      </w:r>
      <w:bookmarkEnd w:id="72"/>
      <w:bookmarkEnd w:id="73"/>
    </w:p>
    <w:p>
      <w:pPr>
        <w:tabs>
          <w:tab w:val="clear" w:pos="426"/>
        </w:tabs>
        <w:spacing w:line="300" w:lineRule="auto"/>
        <w:ind w:firstLine="420" w:firstLineChars="200"/>
        <w:rPr>
          <w:rFonts w:hint="eastAsia"/>
        </w:rPr>
      </w:pPr>
      <w:r>
        <w:rPr>
          <w:rFonts w:hint="eastAsia"/>
        </w:rPr>
        <w:t>依据法律法规和招标文件的规定，对投标文件中的资格证明等进行审查，以确定投标供应商是否具备投标资格。审查内容请详见“前附表（一）资格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rPr>
      </w:pPr>
      <w:bookmarkStart w:id="74" w:name="_Toc30051"/>
      <w:bookmarkStart w:id="75" w:name="_Toc28854"/>
      <w:r>
        <w:rPr>
          <w:b/>
          <w:sz w:val="24"/>
        </w:rPr>
        <w:t>2.</w:t>
      </w:r>
      <w:r>
        <w:rPr>
          <w:rFonts w:hint="eastAsia"/>
          <w:b/>
          <w:sz w:val="24"/>
        </w:rPr>
        <w:t>评标方法</w:t>
      </w:r>
      <w:bookmarkEnd w:id="74"/>
      <w:bookmarkEnd w:id="75"/>
    </w:p>
    <w:p>
      <w:pPr>
        <w:tabs>
          <w:tab w:val="clear" w:pos="426"/>
        </w:tabs>
        <w:spacing w:line="300" w:lineRule="auto"/>
        <w:ind w:firstLine="420" w:firstLineChars="200"/>
        <w:rPr>
          <w:rFonts w:hint="eastAsia"/>
        </w:rPr>
      </w:pPr>
      <w:r>
        <w:t>2.1</w:t>
      </w:r>
      <w:r>
        <w:rPr>
          <w:rFonts w:hint="eastAsia"/>
        </w:rPr>
        <w:t>本项目评标方法为：综合评分法</w:t>
      </w:r>
    </w:p>
    <w:p>
      <w:pPr>
        <w:tabs>
          <w:tab w:val="clear" w:pos="426"/>
        </w:tabs>
        <w:spacing w:line="300" w:lineRule="auto"/>
        <w:ind w:firstLine="422" w:firstLineChars="200"/>
        <w:rPr>
          <w:rFonts w:hint="eastAsia"/>
          <w:b/>
          <w:bCs/>
        </w:rPr>
      </w:pPr>
      <w:bookmarkStart w:id="76" w:name="_Toc32188"/>
      <w:bookmarkStart w:id="77" w:name="_Toc31667"/>
      <w:r>
        <w:rPr>
          <w:rFonts w:hint="eastAsia"/>
          <w:b/>
          <w:bCs/>
        </w:rPr>
        <w:t>（</w:t>
      </w:r>
      <w:r>
        <w:rPr>
          <w:b/>
          <w:bCs/>
        </w:rPr>
        <w:t>1</w:t>
      </w:r>
      <w:r>
        <w:rPr>
          <w:rFonts w:hint="eastAsia"/>
          <w:b/>
          <w:bCs/>
        </w:rPr>
        <w:t>）本项目共</w:t>
      </w:r>
      <w:r>
        <w:rPr>
          <w:b/>
          <w:bCs/>
        </w:rPr>
        <w:t>2</w:t>
      </w:r>
      <w:r>
        <w:rPr>
          <w:rFonts w:hint="eastAsia"/>
          <w:b/>
          <w:bCs/>
        </w:rPr>
        <w:t>个包，包划分详见招标文件第二章项目需求</w:t>
      </w:r>
      <w:r>
        <w:rPr>
          <w:b/>
          <w:bCs/>
        </w:rPr>
        <w:t>-</w:t>
      </w:r>
      <w:r>
        <w:rPr>
          <w:rFonts w:hint="eastAsia"/>
          <w:b/>
          <w:bCs/>
        </w:rPr>
        <w:t>一、货物清单一览表。</w:t>
      </w:r>
    </w:p>
    <w:p>
      <w:pPr>
        <w:tabs>
          <w:tab w:val="clear" w:pos="426"/>
        </w:tabs>
        <w:spacing w:line="300" w:lineRule="auto"/>
        <w:ind w:firstLine="422" w:firstLineChars="200"/>
        <w:rPr>
          <w:rFonts w:hint="eastAsia"/>
          <w:b/>
          <w:bCs/>
        </w:rPr>
      </w:pPr>
      <w:r>
        <w:rPr>
          <w:rFonts w:hint="eastAsia"/>
          <w:b/>
          <w:bCs/>
        </w:rPr>
        <w:t>（</w:t>
      </w:r>
      <w:r>
        <w:rPr>
          <w:b/>
          <w:bCs/>
        </w:rPr>
        <w:t>2</w:t>
      </w:r>
      <w:r>
        <w:rPr>
          <w:rFonts w:hint="eastAsia"/>
          <w:b/>
          <w:bCs/>
        </w:rPr>
        <w:t>）本项目通过公开招标每包确定</w:t>
      </w:r>
      <w:r>
        <w:rPr>
          <w:b/>
          <w:bCs/>
        </w:rPr>
        <w:t>1</w:t>
      </w:r>
      <w:r>
        <w:rPr>
          <w:rFonts w:hint="eastAsia"/>
          <w:b/>
          <w:bCs/>
        </w:rPr>
        <w:t>家中标供应商，投标供应商可选择</w:t>
      </w:r>
      <w:r>
        <w:rPr>
          <w:b/>
          <w:bCs/>
        </w:rPr>
        <w:t>1</w:t>
      </w:r>
      <w:r>
        <w:rPr>
          <w:rFonts w:hint="eastAsia"/>
          <w:b/>
          <w:bCs/>
        </w:rPr>
        <w:t>个包或</w:t>
      </w:r>
      <w:r>
        <w:rPr>
          <w:b/>
          <w:bCs/>
        </w:rPr>
        <w:t>2</w:t>
      </w:r>
      <w:r>
        <w:rPr>
          <w:rFonts w:hint="eastAsia"/>
          <w:b/>
          <w:bCs/>
        </w:rPr>
        <w:t>个包进行投标响应。</w:t>
      </w:r>
    </w:p>
    <w:p>
      <w:pPr>
        <w:tabs>
          <w:tab w:val="clear" w:pos="426"/>
        </w:tabs>
        <w:spacing w:line="300" w:lineRule="auto"/>
        <w:ind w:firstLine="422" w:firstLineChars="200"/>
        <w:rPr>
          <w:rFonts w:hint="eastAsia"/>
          <w:b/>
          <w:bCs/>
        </w:rPr>
      </w:pPr>
      <w:r>
        <w:rPr>
          <w:rFonts w:hint="eastAsia"/>
          <w:b/>
          <w:bCs/>
        </w:rPr>
        <w:t>（</w:t>
      </w:r>
      <w:r>
        <w:rPr>
          <w:b/>
          <w:bCs/>
        </w:rPr>
        <w:t>3</w:t>
      </w:r>
      <w:r>
        <w:rPr>
          <w:rFonts w:hint="eastAsia"/>
          <w:b/>
          <w:bCs/>
        </w:rPr>
        <w:t>）评标委员会依次评审</w:t>
      </w:r>
      <w:r>
        <w:rPr>
          <w:b/>
          <w:bCs/>
        </w:rPr>
        <w:t>01</w:t>
      </w:r>
      <w:r>
        <w:rPr>
          <w:rFonts w:hint="eastAsia"/>
          <w:b/>
          <w:bCs/>
        </w:rPr>
        <w:t>包、</w:t>
      </w:r>
      <w:r>
        <w:rPr>
          <w:b/>
          <w:bCs/>
        </w:rPr>
        <w:t>02</w:t>
      </w:r>
      <w:r>
        <w:rPr>
          <w:rFonts w:hint="eastAsia"/>
          <w:b/>
          <w:bCs/>
        </w:rPr>
        <w:t>包。</w:t>
      </w:r>
    </w:p>
    <w:p>
      <w:pPr>
        <w:tabs>
          <w:tab w:val="clear" w:pos="426"/>
        </w:tabs>
        <w:spacing w:line="300" w:lineRule="auto"/>
        <w:ind w:firstLine="422" w:firstLineChars="200"/>
        <w:rPr>
          <w:rFonts w:hint="eastAsia"/>
          <w:b/>
          <w:bCs/>
        </w:rPr>
      </w:pPr>
      <w:r>
        <w:rPr>
          <w:rFonts w:hint="eastAsia"/>
          <w:b/>
          <w:bCs/>
        </w:rPr>
        <w:t>（</w:t>
      </w:r>
      <w:r>
        <w:rPr>
          <w:b/>
          <w:bCs/>
        </w:rPr>
        <w:t>4</w:t>
      </w:r>
      <w:r>
        <w:rPr>
          <w:rFonts w:hint="eastAsia"/>
          <w:b/>
          <w:bCs/>
        </w:rPr>
        <w:t>）每个包由评标委员会推荐评标总得分前三名的投标供应商作为候选中标供应商，每个包评标总得分第一名的投标供应商作为对应包的中标供应商，</w:t>
      </w:r>
      <w:r>
        <w:rPr>
          <w:b/>
          <w:bCs/>
        </w:rPr>
        <w:t>01</w:t>
      </w:r>
      <w:r>
        <w:rPr>
          <w:rFonts w:hint="eastAsia"/>
          <w:b/>
          <w:bCs/>
        </w:rPr>
        <w:t>包排名第一的中标供应商亦可作为</w:t>
      </w:r>
      <w:r>
        <w:rPr>
          <w:b/>
          <w:bCs/>
        </w:rPr>
        <w:t>02</w:t>
      </w:r>
      <w:r>
        <w:rPr>
          <w:rFonts w:hint="eastAsia"/>
          <w:b/>
          <w:bCs/>
        </w:rPr>
        <w:t>包的中标供应商（兼投兼中原则）。</w:t>
      </w:r>
    </w:p>
    <w:p>
      <w:pPr>
        <w:tabs>
          <w:tab w:val="clear" w:pos="426"/>
        </w:tabs>
        <w:spacing w:line="300" w:lineRule="auto"/>
        <w:ind w:firstLine="422" w:firstLineChars="200"/>
        <w:rPr>
          <w:rFonts w:hint="eastAsia"/>
          <w:b/>
          <w:bCs/>
        </w:rPr>
      </w:pPr>
      <w:r>
        <w:rPr>
          <w:rFonts w:hint="eastAsia"/>
          <w:b/>
          <w:bCs/>
        </w:rPr>
        <w:t>（</w:t>
      </w:r>
      <w:r>
        <w:rPr>
          <w:b/>
          <w:bCs/>
        </w:rPr>
        <w:t>5</w:t>
      </w:r>
      <w:r>
        <w:rPr>
          <w:rFonts w:hint="eastAsia"/>
          <w:b/>
          <w:bCs/>
        </w:rPr>
        <w:t>）根据公开招标竞争性原则，当某个包合格投标供应商数量小于</w:t>
      </w:r>
      <w:r>
        <w:rPr>
          <w:b/>
          <w:bCs/>
        </w:rPr>
        <w:t>3</w:t>
      </w:r>
      <w:r>
        <w:rPr>
          <w:rFonts w:hint="eastAsia"/>
          <w:b/>
          <w:bCs/>
        </w:rPr>
        <w:t>名时，该包废标，但不影响其他包；当两个包合格投标供应商数量均小于</w:t>
      </w:r>
      <w:r>
        <w:rPr>
          <w:b/>
          <w:bCs/>
        </w:rPr>
        <w:t>3</w:t>
      </w:r>
      <w:r>
        <w:rPr>
          <w:rFonts w:hint="eastAsia"/>
          <w:b/>
          <w:bCs/>
        </w:rPr>
        <w:t>名时，本项目废标，采购代理机构重新组织采购。</w:t>
      </w:r>
    </w:p>
    <w:p>
      <w:pPr>
        <w:tabs>
          <w:tab w:val="clear" w:pos="426"/>
        </w:tabs>
        <w:spacing w:line="300" w:lineRule="auto"/>
        <w:ind w:firstLine="420" w:firstLineChars="200"/>
        <w:rPr>
          <w:rFonts w:hint="eastAsia"/>
        </w:rPr>
      </w:pPr>
      <w:r>
        <w:rPr>
          <w:rFonts w:hint="eastAsia"/>
        </w:rPr>
        <w:t>（</w:t>
      </w:r>
      <w:r>
        <w:t>6</w:t>
      </w:r>
      <w:r>
        <w:rPr>
          <w:rFonts w:hint="eastAsia"/>
        </w:rPr>
        <w:t>）当某包合格投标供应商数量大于等于</w:t>
      </w:r>
      <w:r>
        <w:t>3</w:t>
      </w:r>
      <w:r>
        <w:rPr>
          <w:rFonts w:hint="eastAsia"/>
        </w:rPr>
        <w:t>名时，评标委员会依据本次评标所采用的综合评分法，按照招标文件中规定的各项因素进行量化打分，每个投标单位的总得分取算术平均值确定其评标总得分。</w:t>
      </w:r>
    </w:p>
    <w:p>
      <w:pPr>
        <w:tabs>
          <w:tab w:val="clear" w:pos="426"/>
        </w:tabs>
        <w:spacing w:line="300" w:lineRule="auto"/>
        <w:ind w:firstLine="420" w:firstLineChars="200"/>
        <w:rPr>
          <w:rFonts w:hint="eastAsia"/>
        </w:rPr>
      </w:pPr>
      <w:r>
        <w:rPr>
          <w:rFonts w:hint="eastAsia"/>
        </w:rPr>
        <w:t>候选中标供应商分包按评审后得分由高到低顺序排列。得分相同的，按投标报价由低到高顺序排列。得分且投标报价相同的，按技术指标或服务方案优劣顺序排列。得分且投标报价相同的且技术指标或服务方案优劣相同的，采取随机抽取方式确定候选中标供应商推荐资格。</w:t>
      </w:r>
    </w:p>
    <w:p>
      <w:pPr>
        <w:tabs>
          <w:tab w:val="clear" w:pos="426"/>
        </w:tabs>
        <w:spacing w:line="300" w:lineRule="auto"/>
        <w:ind w:firstLine="420" w:firstLineChars="200"/>
        <w:rPr>
          <w:rFonts w:hint="eastAsia"/>
        </w:rPr>
      </w:pPr>
      <w:r>
        <w:rPr>
          <w:rFonts w:hint="eastAsia"/>
        </w:rPr>
        <w:t>评标委员会对每个通过资格性检查和符合性检查且报价不超过预算控制金额的投标供应商进行评审、打分，然后汇总每个投标供应商每项评分因素的评分。</w:t>
      </w:r>
    </w:p>
    <w:p>
      <w:pPr>
        <w:tabs>
          <w:tab w:val="clear" w:pos="426"/>
        </w:tabs>
        <w:spacing w:line="300" w:lineRule="auto"/>
        <w:ind w:firstLine="420" w:firstLineChars="200"/>
        <w:rPr>
          <w:rFonts w:hint="eastAsia"/>
        </w:rPr>
      </w:pPr>
      <w:r>
        <w:t>2.2</w:t>
      </w:r>
      <w:r>
        <w:rPr>
          <w:rFonts w:hint="eastAsia"/>
        </w:rPr>
        <w:t>中标人放弃中标资格或者中标人的中标资格被依法确认无效的，将重新组织采购。因情况紧急，重新组织采购不能满足采购人要求的，采购人可以确定备选中标人为替补中标人。采购人确定备选中标人为替补中标人的，代理机构将替补中标人的情况予以公示，公示无异议的，确定新的中标人；公示有异议且异议成立的将重新组织采购。替补中标人放弃中标资格或者中标资格被依法确认无效的，将重新组织采购。</w:t>
      </w:r>
    </w:p>
    <w:p>
      <w:pPr>
        <w:tabs>
          <w:tab w:val="clear" w:pos="426"/>
        </w:tabs>
        <w:spacing w:line="300" w:lineRule="auto"/>
        <w:ind w:firstLine="422" w:firstLineChars="200"/>
        <w:rPr>
          <w:rFonts w:hint="eastAsia"/>
          <w:b/>
          <w:bCs/>
        </w:rPr>
      </w:pPr>
      <w:r>
        <w:rPr>
          <w:rFonts w:hint="eastAsia"/>
          <w:b/>
          <w:bCs/>
        </w:rPr>
        <w:t>2.3公开招标的货物、服务采购项目，招标过程中提交投标文件或者经评审实质性响应招标文件要求的供应商只有两家时，经评审委员会审核采购文件无歧视性、排他性等不合理条款，可现场直接转为与该两家供应商进行竞争性谈判采购。（《深圳海关非政府采购管理办法》第二十七条）</w:t>
      </w:r>
    </w:p>
    <w:p>
      <w:pPr>
        <w:tabs>
          <w:tab w:val="clear" w:pos="426"/>
        </w:tabs>
        <w:spacing w:line="300" w:lineRule="auto"/>
        <w:ind w:firstLine="420" w:firstLineChars="200"/>
        <w:rPr>
          <w:rFonts w:hint="eastAsia"/>
        </w:rPr>
      </w:pPr>
      <w:r>
        <w:t>2.</w:t>
      </w:r>
      <w:r>
        <w:rPr>
          <w:rFonts w:hint="eastAsia"/>
        </w:rPr>
        <w:t>4价格分计算方法</w:t>
      </w:r>
    </w:p>
    <w:p>
      <w:pPr>
        <w:tabs>
          <w:tab w:val="clear" w:pos="426"/>
        </w:tabs>
        <w:spacing w:line="300" w:lineRule="auto"/>
        <w:ind w:firstLine="420" w:firstLineChars="200"/>
        <w:rPr>
          <w:rFonts w:hint="eastAsia"/>
        </w:rPr>
      </w:pPr>
      <w:r>
        <w:rPr>
          <w:rFonts w:hint="eastAsia"/>
        </w:rPr>
        <w:t>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rFonts w:hint="eastAsia"/>
        </w:rPr>
      </w:pPr>
      <w:r>
        <w:rPr>
          <w:rFonts w:hint="eastAsia"/>
        </w:rPr>
        <w:t>投标报价得分</w:t>
      </w:r>
      <w:r>
        <w:t>=(</w:t>
      </w:r>
      <w:r>
        <w:rPr>
          <w:rFonts w:hint="eastAsia"/>
        </w:rPr>
        <w:t>评标基准价／投标报价</w:t>
      </w:r>
      <w:r>
        <w:t>)</w:t>
      </w:r>
      <w:r>
        <w:rPr>
          <w:rFonts w:hint="eastAsia"/>
        </w:rPr>
        <w:t>×</w:t>
      </w:r>
      <w:r>
        <w:t>30</w:t>
      </w:r>
    </w:p>
    <w:p>
      <w:pPr>
        <w:tabs>
          <w:tab w:val="clear" w:pos="426"/>
        </w:tabs>
        <w:spacing w:line="300" w:lineRule="auto"/>
        <w:ind w:firstLine="420" w:firstLineChars="200"/>
        <w:rPr>
          <w:rFonts w:hint="eastAsia"/>
        </w:rPr>
      </w:pPr>
      <w:r>
        <w:t>2.</w:t>
      </w:r>
      <w:r>
        <w:rPr>
          <w:rFonts w:hint="eastAsia"/>
        </w:rPr>
        <w:t>5评标优惠政策</w:t>
      </w:r>
    </w:p>
    <w:p>
      <w:pPr>
        <w:tabs>
          <w:tab w:val="clear" w:pos="426"/>
        </w:tabs>
        <w:spacing w:line="300" w:lineRule="auto"/>
        <w:ind w:firstLine="422" w:firstLineChars="200"/>
        <w:rPr>
          <w:rFonts w:hint="eastAsia"/>
          <w:b/>
          <w:bCs/>
          <w:szCs w:val="21"/>
        </w:rPr>
      </w:pPr>
      <w:r>
        <w:rPr>
          <w:rFonts w:hint="eastAsia"/>
          <w:b/>
          <w:bCs/>
        </w:rPr>
        <w:t>本项目采购标的对应</w:t>
      </w:r>
      <w:r>
        <w:rPr>
          <w:rFonts w:hint="eastAsia"/>
          <w:b/>
          <w:bCs/>
          <w:szCs w:val="21"/>
        </w:rPr>
        <w:t>的中小企业划分标准所属行业为</w:t>
      </w:r>
      <w:r>
        <w:rPr>
          <w:rFonts w:hint="eastAsia"/>
          <w:b/>
          <w:bCs/>
          <w:szCs w:val="21"/>
          <w:u w:val="single"/>
        </w:rPr>
        <w:t>工业</w:t>
      </w:r>
      <w:r>
        <w:rPr>
          <w:rFonts w:hint="eastAsia"/>
          <w:b/>
          <w:bCs/>
          <w:szCs w:val="21"/>
        </w:rPr>
        <w:t>。</w:t>
      </w:r>
    </w:p>
    <w:p>
      <w:pPr>
        <w:tabs>
          <w:tab w:val="clear" w:pos="426"/>
        </w:tabs>
        <w:spacing w:line="300" w:lineRule="auto"/>
        <w:ind w:firstLine="420" w:firstLineChars="200"/>
        <w:rPr>
          <w:rFonts w:hint="eastAsia"/>
          <w:szCs w:val="21"/>
        </w:rPr>
      </w:pPr>
      <w:r>
        <w:rPr>
          <w:rFonts w:hint="eastAsia"/>
        </w:rPr>
        <w:t>根据《政府采购促进中小企业发展暂行办法》（财库</w:t>
      </w:r>
      <w:r>
        <w:t>[2011]181</w:t>
      </w:r>
      <w:r>
        <w:rPr>
          <w:rFonts w:hint="eastAsia"/>
        </w:rPr>
        <w:t>号）、《财政部</w:t>
      </w:r>
      <w:r>
        <w:t xml:space="preserve"> </w:t>
      </w:r>
      <w:r>
        <w:rPr>
          <w:rFonts w:hint="eastAsia"/>
        </w:rPr>
        <w:t>司法部关于政府采购支持监狱企业发展有关问题的通知》（财库〔</w:t>
      </w:r>
      <w:r>
        <w:t>2014</w:t>
      </w:r>
      <w:r>
        <w:rPr>
          <w:rFonts w:hint="eastAsia"/>
        </w:rPr>
        <w:t>〕</w:t>
      </w:r>
      <w:r>
        <w:t>68</w:t>
      </w:r>
      <w:r>
        <w:rPr>
          <w:rFonts w:hint="eastAsia"/>
        </w:rPr>
        <w:t>号）和《三部门联合发布关于促进残疾人就业政府采购政策的通知》（财库〔</w:t>
      </w:r>
      <w:r>
        <w:t>2017</w:t>
      </w:r>
      <w:r>
        <w:rPr>
          <w:rFonts w:hint="eastAsia"/>
        </w:rPr>
        <w:t>〕</w:t>
      </w:r>
      <w:r>
        <w:t>141</w:t>
      </w:r>
      <w:r>
        <w:rPr>
          <w:rFonts w:hint="eastAsia"/>
        </w:rPr>
        <w:t>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w:t>
      </w:r>
      <w:r>
        <w:rPr>
          <w:rFonts w:hint="eastAsia"/>
          <w:b/>
          <w:bCs/>
        </w:rPr>
        <w:t>扣除</w:t>
      </w:r>
      <w:r>
        <w:rPr>
          <w:b/>
          <w:bCs/>
          <w:u w:val="single"/>
        </w:rPr>
        <w:t>10%</w:t>
      </w:r>
      <w:r>
        <w:rPr>
          <w:rFonts w:hint="eastAsia"/>
        </w:rPr>
        <w:t>后参与评审。对于同时属于小微企业、监狱</w:t>
      </w:r>
      <w:r>
        <w:rPr>
          <w:rFonts w:hint="eastAsia"/>
          <w:szCs w:val="21"/>
        </w:rPr>
        <w:t>企业或残疾人福利性单位的，不重复进行投标报价扣除。如有其它政策支持因素（如鼓励创新等）需一并列出。</w:t>
      </w:r>
    </w:p>
    <w:p>
      <w:pPr>
        <w:tabs>
          <w:tab w:val="clear" w:pos="426"/>
        </w:tabs>
        <w:spacing w:line="300" w:lineRule="auto"/>
        <w:ind w:firstLine="420" w:firstLineChars="200"/>
        <w:rPr>
          <w:rFonts w:hint="eastAsia"/>
          <w:szCs w:val="21"/>
        </w:rPr>
      </w:pPr>
      <w:r>
        <w:rPr>
          <w:szCs w:val="21"/>
        </w:rPr>
        <w:t>2.</w:t>
      </w:r>
      <w:r>
        <w:rPr>
          <w:rFonts w:hint="eastAsia"/>
          <w:szCs w:val="21"/>
        </w:rPr>
        <w:t>6其他需要落实的政府采购政策</w:t>
      </w:r>
    </w:p>
    <w:p>
      <w:pPr>
        <w:tabs>
          <w:tab w:val="clear" w:pos="426"/>
        </w:tabs>
        <w:spacing w:line="300" w:lineRule="auto"/>
        <w:ind w:firstLine="420" w:firstLineChars="200"/>
        <w:rPr>
          <w:rFonts w:hint="eastAsia"/>
          <w:szCs w:val="21"/>
        </w:rPr>
      </w:pPr>
      <w:r>
        <w:rPr>
          <w:rFonts w:hint="eastAsia"/>
          <w:szCs w:val="21"/>
        </w:rPr>
        <w:t>采购人拟采购的产品属于《关于调整优化节能产品环境标志产品政府采购执行机制的通知》（财库〔</w:t>
      </w:r>
      <w:r>
        <w:rPr>
          <w:szCs w:val="21"/>
        </w:rPr>
        <w:t>2019</w:t>
      </w:r>
      <w:r>
        <w:rPr>
          <w:rFonts w:hint="eastAsia"/>
          <w:szCs w:val="21"/>
        </w:rPr>
        <w:t>〕</w:t>
      </w:r>
      <w:r>
        <w:rPr>
          <w:szCs w:val="21"/>
        </w:rPr>
        <w:t>9</w:t>
      </w:r>
      <w:r>
        <w:rPr>
          <w:rFonts w:hint="eastAsia"/>
          <w:szCs w:val="21"/>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tabs>
          <w:tab w:val="clear" w:pos="426"/>
        </w:tabs>
        <w:spacing w:line="300" w:lineRule="auto"/>
        <w:ind w:firstLine="420" w:firstLineChars="200"/>
        <w:rPr>
          <w:rFonts w:hint="eastAsia"/>
          <w:szCs w:val="21"/>
        </w:rPr>
      </w:pPr>
      <w:r>
        <w:rPr>
          <w:rFonts w:hint="eastAsia"/>
          <w:szCs w:val="21"/>
        </w:rPr>
        <w:t>根据财政部《关于在政府采购活动中查询及使用信用记录有关问题的通知》（财库〔</w:t>
      </w:r>
      <w:r>
        <w:rPr>
          <w:szCs w:val="21"/>
        </w:rPr>
        <w:t>2016</w:t>
      </w:r>
      <w:r>
        <w:rPr>
          <w:rFonts w:hint="eastAsia"/>
          <w:szCs w:val="21"/>
        </w:rPr>
        <w:t>〕</w:t>
      </w:r>
      <w:r>
        <w:rPr>
          <w:szCs w:val="21"/>
        </w:rPr>
        <w:t>125</w:t>
      </w:r>
      <w:r>
        <w:rPr>
          <w:rFonts w:hint="eastAsia"/>
          <w:szCs w:val="21"/>
        </w:rPr>
        <w:t>号），供应商信用信息的查询渠道为“信用中国（</w:t>
      </w:r>
      <w:r>
        <w:rPr>
          <w:szCs w:val="21"/>
        </w:rPr>
        <w:t>https</w:t>
      </w:r>
      <w:r>
        <w:rPr>
          <w:rFonts w:hint="eastAsia"/>
          <w:szCs w:val="21"/>
        </w:rPr>
        <w:t>：</w:t>
      </w:r>
      <w:r>
        <w:rPr>
          <w:szCs w:val="21"/>
        </w:rPr>
        <w:t>//www.creditchina.gov.cn/</w:t>
      </w:r>
      <w:r>
        <w:rPr>
          <w:rFonts w:hint="eastAsia"/>
          <w:szCs w:val="21"/>
        </w:rPr>
        <w:t>）”中的“信用服务”栏的“重大税收违法案件当事人名单”“失信被执行人”、“中国政府采购网（</w:t>
      </w:r>
      <w:r>
        <w:rPr>
          <w:szCs w:val="21"/>
        </w:rPr>
        <w:t>http</w:t>
      </w:r>
      <w:r>
        <w:rPr>
          <w:rFonts w:hint="eastAsia"/>
          <w:szCs w:val="21"/>
        </w:rPr>
        <w:t>：</w:t>
      </w:r>
      <w:r>
        <w:rPr>
          <w:szCs w:val="21"/>
        </w:rPr>
        <w:t>//www.ccgp.gov.cn/</w:t>
      </w:r>
      <w:r>
        <w:rPr>
          <w:rFonts w:hint="eastAsia"/>
          <w:szCs w:val="21"/>
        </w:rPr>
        <w:t>）”</w:t>
      </w:r>
      <w:r>
        <w:rPr>
          <w:szCs w:val="21"/>
        </w:rPr>
        <w:t xml:space="preserve"> </w:t>
      </w:r>
      <w:r>
        <w:rPr>
          <w:rFonts w:hint="eastAsia"/>
          <w:szCs w:val="21"/>
        </w:rPr>
        <w:t>中的“政府采购严重违法失信行为记录名单”，相关信息以开标当日的查询结果为准。</w:t>
      </w:r>
    </w:p>
    <w:p>
      <w:pPr>
        <w:tabs>
          <w:tab w:val="clear" w:pos="426"/>
        </w:tabs>
        <w:spacing w:line="300" w:lineRule="auto"/>
        <w:ind w:firstLine="420" w:firstLineChars="200"/>
        <w:rPr>
          <w:rFonts w:hint="eastAsia"/>
          <w:szCs w:val="21"/>
        </w:rPr>
      </w:pPr>
      <w:r>
        <w:rPr>
          <w:szCs w:val="21"/>
        </w:rPr>
        <w:t>2.</w:t>
      </w:r>
      <w:r>
        <w:rPr>
          <w:rFonts w:hint="eastAsia"/>
          <w:szCs w:val="21"/>
        </w:rPr>
        <w:t>7评标专家应对通过投标文件初审进入评标程序的投标文件先评技术标、再评商务标；</w:t>
      </w:r>
    </w:p>
    <w:p>
      <w:pPr>
        <w:tabs>
          <w:tab w:val="clear" w:pos="426"/>
        </w:tabs>
        <w:spacing w:line="300" w:lineRule="auto"/>
        <w:ind w:firstLine="420" w:firstLineChars="200"/>
        <w:rPr>
          <w:rFonts w:hint="eastAsia"/>
          <w:szCs w:val="21"/>
        </w:rPr>
      </w:pPr>
      <w:r>
        <w:rPr>
          <w:szCs w:val="21"/>
        </w:rPr>
        <w:t>2.</w:t>
      </w:r>
      <w:r>
        <w:rPr>
          <w:rFonts w:hint="eastAsia"/>
          <w:szCs w:val="21"/>
        </w:rPr>
        <w:t>8评标专家需按招标文件规定的评审标准对投标供应商提交的投标文件进行评审，投标文件中与评审标准无关的内容不作为评审内容。</w:t>
      </w:r>
    </w:p>
    <w:p>
      <w:pPr>
        <w:tabs>
          <w:tab w:val="clear" w:pos="426"/>
        </w:tabs>
        <w:spacing w:line="300" w:lineRule="auto"/>
        <w:ind w:firstLine="420" w:firstLineChars="200"/>
        <w:rPr>
          <w:rFonts w:hint="eastAsia"/>
        </w:rPr>
      </w:pPr>
      <w:r>
        <w:rPr>
          <w:szCs w:val="21"/>
        </w:rPr>
        <w:t>2.</w:t>
      </w:r>
      <w:r>
        <w:rPr>
          <w:rFonts w:hint="eastAsia"/>
          <w:szCs w:val="21"/>
        </w:rPr>
        <w:t>9评标委员会在评标时，应按照“前附表（三）综合评分法评分因素和权重分值表”量化的评审因素，对各投标文件进行分析和比较。</w:t>
      </w:r>
    </w:p>
    <w:p>
      <w:pPr>
        <w:adjustRightInd/>
        <w:snapToGrid/>
        <w:spacing w:before="280" w:after="290" w:line="377" w:lineRule="auto"/>
        <w:jc w:val="left"/>
        <w:outlineLvl w:val="2"/>
        <w:rPr>
          <w:rFonts w:hint="eastAsia"/>
          <w:b/>
          <w:sz w:val="24"/>
        </w:rPr>
      </w:pPr>
      <w:r>
        <w:rPr>
          <w:b/>
          <w:sz w:val="24"/>
        </w:rPr>
        <w:t>3.</w:t>
      </w:r>
      <w:r>
        <w:rPr>
          <w:rFonts w:hint="eastAsia"/>
          <w:b/>
          <w:sz w:val="24"/>
        </w:rPr>
        <w:t>符合性审查</w:t>
      </w:r>
      <w:bookmarkEnd w:id="76"/>
      <w:bookmarkEnd w:id="77"/>
    </w:p>
    <w:p>
      <w:pPr>
        <w:tabs>
          <w:tab w:val="clear" w:pos="426"/>
        </w:tabs>
        <w:spacing w:line="300" w:lineRule="auto"/>
        <w:ind w:firstLine="420" w:firstLineChars="200"/>
        <w:rPr>
          <w:rFonts w:hint="eastAsia"/>
        </w:rPr>
      </w:pPr>
      <w:r>
        <w:rPr>
          <w:rFonts w:hint="eastAsia"/>
        </w:rPr>
        <w:t>依据招标文件的规定，从投标文件的有效性、完整性和对招标文件的响应程度等进行审查，以确定是否对招标文件的实质性要求作出响应。审查内容请详见“前附表（二）符合性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rPr>
      </w:pPr>
      <w:bookmarkStart w:id="78" w:name="_Toc6427"/>
      <w:bookmarkStart w:id="79" w:name="_Toc20016"/>
      <w:r>
        <w:rPr>
          <w:b/>
          <w:sz w:val="24"/>
        </w:rPr>
        <w:t>4.</w:t>
      </w:r>
      <w:r>
        <w:rPr>
          <w:rFonts w:hint="eastAsia"/>
          <w:b/>
          <w:sz w:val="24"/>
        </w:rPr>
        <w:t>比较与评价</w:t>
      </w:r>
      <w:bookmarkEnd w:id="78"/>
      <w:bookmarkEnd w:id="79"/>
    </w:p>
    <w:p>
      <w:pPr>
        <w:tabs>
          <w:tab w:val="clear" w:pos="426"/>
        </w:tabs>
        <w:spacing w:line="300" w:lineRule="auto"/>
        <w:ind w:firstLine="420" w:firstLineChars="200"/>
        <w:rPr>
          <w:rFonts w:hint="eastAsia"/>
        </w:rPr>
      </w:pPr>
      <w:r>
        <w:rPr>
          <w:rFonts w:hint="eastAsia"/>
        </w:rPr>
        <w:t>候选中标供应商分包按评审后得分由高到低顺序排列。得分相同的，按投标报价由低到高顺序排列。得分且投标报价相同的，按技术指标或服务方案优劣顺序排列。得分且投标报价相同的且技术指标或服务方案优劣相同的，采取随机抽取方式确定候选中标供应商推荐资格。</w:t>
      </w:r>
    </w:p>
    <w:p>
      <w:pPr>
        <w:tabs>
          <w:tab w:val="clear" w:pos="426"/>
        </w:tabs>
        <w:spacing w:line="300" w:lineRule="auto"/>
        <w:ind w:firstLine="420" w:firstLineChars="200"/>
        <w:rPr>
          <w:rFonts w:hint="eastAsia"/>
        </w:rPr>
      </w:pPr>
      <w:r>
        <w:rPr>
          <w:rFonts w:hint="eastAsia"/>
        </w:rPr>
        <w:t>评标委员会对每个通过资格性检查和符合性检查且报价不超过预算控制金额的投标供应商进行评审、打分，然后汇总每个投标供应商每项评分因素的评分。</w:t>
      </w:r>
    </w:p>
    <w:p>
      <w:pPr>
        <w:tabs>
          <w:tab w:val="clear" w:pos="426"/>
        </w:tabs>
        <w:spacing w:line="300" w:lineRule="auto"/>
        <w:ind w:firstLine="420" w:firstLineChars="200"/>
        <w:rPr>
          <w:rFonts w:hint="eastAsia"/>
        </w:rPr>
      </w:pPr>
      <w:r>
        <w:rPr>
          <w:rFonts w:hint="eastAsia"/>
        </w:rPr>
        <w:t>评标委员会认为投标人的报价明显低于其他通过资格性检查和符合性检查的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pPr>
        <w:adjustRightInd/>
        <w:snapToGrid/>
        <w:spacing w:before="280" w:after="290" w:line="377" w:lineRule="auto"/>
        <w:jc w:val="left"/>
        <w:outlineLvl w:val="2"/>
        <w:rPr>
          <w:rFonts w:hint="eastAsia"/>
          <w:b/>
          <w:sz w:val="24"/>
        </w:rPr>
      </w:pPr>
      <w:bookmarkStart w:id="80" w:name="_Toc8235"/>
      <w:bookmarkStart w:id="81" w:name="_Toc14218"/>
      <w:r>
        <w:rPr>
          <w:b/>
          <w:sz w:val="24"/>
        </w:rPr>
        <w:t>5.</w:t>
      </w:r>
      <w:r>
        <w:rPr>
          <w:rFonts w:hint="eastAsia"/>
          <w:b/>
          <w:sz w:val="24"/>
        </w:rPr>
        <w:t>编写评标报告</w:t>
      </w:r>
      <w:bookmarkEnd w:id="80"/>
      <w:bookmarkEnd w:id="81"/>
    </w:p>
    <w:p>
      <w:pPr>
        <w:tabs>
          <w:tab w:val="clear" w:pos="426"/>
        </w:tabs>
        <w:spacing w:line="300" w:lineRule="auto"/>
        <w:ind w:firstLine="420" w:firstLineChars="200"/>
        <w:rPr>
          <w:rFonts w:hint="eastAsia"/>
        </w:rPr>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rPr>
          <w:rFonts w:hint="eastAsia"/>
        </w:rPr>
      </w:pPr>
    </w:p>
    <w:p>
      <w:pPr>
        <w:adjustRightInd/>
        <w:snapToGrid/>
        <w:spacing w:before="280" w:after="290" w:line="377" w:lineRule="auto"/>
        <w:jc w:val="left"/>
        <w:outlineLvl w:val="2"/>
        <w:rPr>
          <w:rFonts w:hint="eastAsia"/>
          <w:b/>
          <w:sz w:val="24"/>
        </w:rPr>
      </w:pPr>
      <w:bookmarkStart w:id="82" w:name="_Toc23581"/>
      <w:bookmarkStart w:id="83" w:name="_Toc26489"/>
      <w:r>
        <w:rPr>
          <w:b/>
          <w:sz w:val="24"/>
        </w:rPr>
        <w:t>6.</w:t>
      </w:r>
      <w:r>
        <w:rPr>
          <w:rFonts w:hint="eastAsia"/>
          <w:b/>
          <w:sz w:val="24"/>
        </w:rPr>
        <w:t>评标委员会对招标失败的论证意见</w:t>
      </w:r>
      <w:bookmarkEnd w:id="82"/>
      <w:bookmarkEnd w:id="83"/>
    </w:p>
    <w:p>
      <w:pPr>
        <w:tabs>
          <w:tab w:val="clear" w:pos="426"/>
        </w:tabs>
        <w:spacing w:line="300" w:lineRule="auto"/>
        <w:ind w:firstLine="422" w:firstLineChars="200"/>
        <w:rPr>
          <w:rFonts w:hint="eastAsia"/>
          <w:b/>
          <w:bCs/>
        </w:rPr>
      </w:pPr>
      <w:r>
        <w:rPr>
          <w:rFonts w:hint="eastAsia"/>
          <w:b/>
          <w:bCs/>
        </w:rPr>
        <w:t>根据《财库〔</w:t>
      </w:r>
      <w:r>
        <w:rPr>
          <w:b/>
          <w:bCs/>
        </w:rPr>
        <w:t>2012</w:t>
      </w:r>
      <w:r>
        <w:rPr>
          <w:rFonts w:hint="eastAsia"/>
          <w:b/>
          <w:bCs/>
        </w:rPr>
        <w:t>〕</w:t>
      </w:r>
      <w:r>
        <w:rPr>
          <w:b/>
          <w:bCs/>
        </w:rPr>
        <w:t>69</w:t>
      </w:r>
      <w:r>
        <w:rPr>
          <w:rFonts w:hint="eastAsia"/>
          <w:b/>
          <w:bCs/>
        </w:rPr>
        <w:t>号财政部关于进一步规范政府采购评审工作有关问题的通知》的规定，评审委员会要在采购项目招标失败时，出具招标文件是否存在不合理条款的论证意见，论证意见写进评审报告中。</w:t>
      </w:r>
      <w:bookmarkEnd w:id="67"/>
      <w:bookmarkStart w:id="84" w:name="_Toc432592812"/>
    </w:p>
    <w:bookmarkEnd w:id="84"/>
    <w:p>
      <w:pPr>
        <w:rPr>
          <w:rFonts w:hint="eastAsia"/>
        </w:rPr>
      </w:pPr>
      <w:bookmarkStart w:id="85" w:name="_Toc432592814"/>
      <w:r>
        <w:br w:type="page"/>
      </w:r>
      <w:bookmarkEnd w:id="85"/>
      <w:bookmarkStart w:id="86" w:name="_Toc530152519"/>
      <w:bookmarkStart w:id="87" w:name="_Toc398220525"/>
      <w:bookmarkStart w:id="88" w:name="_Toc432592816"/>
    </w:p>
    <w:bookmarkEnd w:id="86"/>
    <w:p>
      <w:pPr>
        <w:pStyle w:val="62"/>
      </w:pPr>
      <w:bookmarkStart w:id="89" w:name="_Toc24275"/>
      <w:r>
        <w:rPr>
          <w:rFonts w:hint="eastAsia"/>
        </w:rPr>
        <w:t>第五章</w:t>
      </w:r>
      <w:r>
        <w:t xml:space="preserve"> </w:t>
      </w:r>
      <w:r>
        <w:rPr>
          <w:rFonts w:hint="eastAsia"/>
        </w:rPr>
        <w:t>合同文本</w:t>
      </w:r>
      <w:bookmarkEnd w:id="89"/>
    </w:p>
    <w:p>
      <w:pPr>
        <w:pStyle w:val="426"/>
        <w:spacing w:line="360" w:lineRule="auto"/>
        <w:rPr>
          <w:rFonts w:hint="eastAsia" w:hAnsi="宋体"/>
          <w:b/>
          <w:bCs/>
          <w:sz w:val="28"/>
          <w:szCs w:val="28"/>
        </w:rPr>
      </w:pPr>
      <w:r>
        <w:rPr>
          <w:rFonts w:hint="eastAsia" w:hAnsi="宋体"/>
          <w:b/>
          <w:bCs/>
          <w:sz w:val="28"/>
          <w:szCs w:val="28"/>
        </w:rPr>
        <w:t>本合同实际签订将根据供应商响应情况对合同进行删减调整</w:t>
      </w:r>
    </w:p>
    <w:p>
      <w:pPr>
        <w:tabs>
          <w:tab w:val="clear" w:pos="426"/>
        </w:tabs>
        <w:ind w:firstLine="482" w:firstLineChars="200"/>
        <w:jc w:val="center"/>
        <w:rPr>
          <w:rFonts w:hint="eastAsia"/>
          <w:b/>
          <w:sz w:val="24"/>
        </w:rPr>
      </w:pPr>
      <w:r>
        <w:rPr>
          <w:b/>
          <w:sz w:val="24"/>
        </w:rPr>
        <w:t>01</w:t>
      </w:r>
      <w:r>
        <w:rPr>
          <w:rFonts w:hint="eastAsia"/>
          <w:b/>
          <w:sz w:val="24"/>
        </w:rPr>
        <w:t>包</w:t>
      </w:r>
    </w:p>
    <w:bookmarkEnd w:id="87"/>
    <w:bookmarkEnd w:id="88"/>
    <w:p>
      <w:pPr>
        <w:pStyle w:val="426"/>
        <w:spacing w:line="360" w:lineRule="auto"/>
        <w:rPr>
          <w:rFonts w:eastAsia="方正小标宋_GBK"/>
          <w:sz w:val="36"/>
          <w:szCs w:val="36"/>
        </w:rPr>
      </w:pPr>
      <w:bookmarkStart w:id="90" w:name="_Toc398220526"/>
      <w:bookmarkStart w:id="91" w:name="_Toc432592818"/>
      <w:r>
        <w:rPr>
          <w:rFonts w:hint="eastAsia" w:eastAsia="方正小标宋_GBK"/>
          <w:sz w:val="36"/>
          <w:szCs w:val="36"/>
        </w:rPr>
        <w:t>危险化学品粉尘检验类设备采购项目（第二次招标）合同书</w:t>
      </w:r>
    </w:p>
    <w:p>
      <w:pPr>
        <w:rPr>
          <w:rFonts w:hint="eastAsia"/>
          <w:sz w:val="24"/>
        </w:rPr>
      </w:pPr>
    </w:p>
    <w:p>
      <w:pPr>
        <w:rPr>
          <w:rFonts w:hint="eastAsia"/>
          <w:sz w:val="24"/>
        </w:rPr>
      </w:pPr>
      <w:r>
        <w:rPr>
          <w:rFonts w:hint="eastAsia"/>
          <w:sz w:val="24"/>
        </w:rPr>
        <w:t>甲方（采购人）</w:t>
      </w:r>
      <w:r>
        <w:rPr>
          <w:sz w:val="24"/>
        </w:rPr>
        <w:t>:</w:t>
      </w:r>
      <w:r>
        <w:rPr>
          <w:rFonts w:hint="eastAsia"/>
          <w:sz w:val="24"/>
        </w:rPr>
        <w:t>深圳海关工业品检测技术中心</w:t>
      </w:r>
    </w:p>
    <w:p>
      <w:pPr>
        <w:rPr>
          <w:rFonts w:hint="eastAsia"/>
          <w:sz w:val="24"/>
        </w:rPr>
      </w:pPr>
      <w:r>
        <w:rPr>
          <w:rFonts w:hint="eastAsia"/>
          <w:sz w:val="24"/>
        </w:rPr>
        <w:t>乙方（供应商）</w:t>
      </w:r>
      <w:r>
        <w:rPr>
          <w:sz w:val="24"/>
        </w:rPr>
        <w:t xml:space="preserve">:                                  </w:t>
      </w:r>
    </w:p>
    <w:p>
      <w:pPr>
        <w:widowControl w:val="0"/>
        <w:shd w:val="clear" w:color="auto" w:fill="auto"/>
        <w:tabs>
          <w:tab w:val="clear" w:pos="426"/>
        </w:tabs>
        <w:adjustRightInd/>
        <w:snapToGrid/>
        <w:ind w:firstLine="480" w:firstLineChars="200"/>
        <w:rPr>
          <w:rFonts w:hint="eastAsia"/>
          <w:sz w:val="24"/>
        </w:rPr>
      </w:pPr>
      <w:r>
        <w:rPr>
          <w:rFonts w:hint="eastAsia"/>
          <w:sz w:val="24"/>
        </w:rPr>
        <w:t>根据</w:t>
      </w:r>
      <w:r>
        <w:rPr>
          <w:rFonts w:hint="eastAsia"/>
          <w:snapToGrid w:val="0"/>
          <w:sz w:val="24"/>
        </w:rPr>
        <w:t>《中华人民共和国民法典（合同编）》、</w:t>
      </w:r>
      <w:r>
        <w:rPr>
          <w:rFonts w:hint="eastAsia"/>
          <w:sz w:val="24"/>
        </w:rPr>
        <w:t>《中华人民共和国政府采购法》等相关法律规定，甲方对</w:t>
      </w:r>
      <w:r>
        <w:rPr>
          <w:rFonts w:hint="eastAsia"/>
          <w:sz w:val="24"/>
          <w:u w:val="single"/>
        </w:rPr>
        <w:t>危险化学品粉尘检验类设备采购项目（第二次招标）</w:t>
      </w:r>
      <w:r>
        <w:rPr>
          <w:rFonts w:hint="eastAsia"/>
          <w:sz w:val="24"/>
        </w:rPr>
        <w:t>以</w:t>
      </w:r>
      <w:r>
        <w:rPr>
          <w:rFonts w:hint="eastAsia"/>
          <w:sz w:val="24"/>
          <w:u w:val="single"/>
        </w:rPr>
        <w:t>公开招标</w:t>
      </w:r>
      <w:r>
        <w:rPr>
          <w:rFonts w:hint="eastAsia"/>
          <w:sz w:val="24"/>
        </w:rPr>
        <w:t>方式进行采购，确定乙方为中标人（成交商），现依照招标文件、投标文件等相关文件的内容，双方达成如下协议：</w:t>
      </w:r>
    </w:p>
    <w:p>
      <w:pPr>
        <w:ind w:firstLine="482" w:firstLineChars="200"/>
        <w:rPr>
          <w:rFonts w:hint="eastAsia"/>
          <w:b/>
          <w:bCs/>
          <w:sz w:val="24"/>
        </w:rPr>
      </w:pPr>
      <w:r>
        <w:rPr>
          <w:rFonts w:hint="eastAsia"/>
          <w:b/>
          <w:bCs/>
          <w:sz w:val="24"/>
        </w:rPr>
        <w:t>第一条</w:t>
      </w:r>
      <w:r>
        <w:rPr>
          <w:b/>
          <w:bCs/>
          <w:sz w:val="24"/>
        </w:rPr>
        <w:t xml:space="preserve"> </w:t>
      </w:r>
      <w:r>
        <w:rPr>
          <w:rFonts w:hint="eastAsia"/>
          <w:b/>
          <w:bCs/>
          <w:sz w:val="24"/>
        </w:rPr>
        <w:t>采购货物清单</w:t>
      </w:r>
    </w:p>
    <w:tbl>
      <w:tblPr>
        <w:tblStyle w:val="85"/>
        <w:tblW w:w="9059"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1144"/>
        <w:gridCol w:w="1219"/>
        <w:gridCol w:w="1013"/>
        <w:gridCol w:w="900"/>
        <w:gridCol w:w="1481"/>
        <w:gridCol w:w="1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93" w:type="dxa"/>
            <w:tcBorders>
              <w:top w:val="single" w:color="auto" w:sz="4" w:space="0"/>
              <w:bottom w:val="single" w:color="auto" w:sz="4" w:space="0"/>
              <w:right w:val="single" w:color="auto" w:sz="4" w:space="0"/>
            </w:tcBorders>
            <w:vAlign w:val="center"/>
          </w:tcPr>
          <w:p>
            <w:pPr>
              <w:pStyle w:val="585"/>
              <w:autoSpaceDN w:val="0"/>
              <w:jc w:val="center"/>
              <w:rPr>
                <w:rFonts w:ascii="Times New Roman"/>
                <w:b/>
                <w:bCs/>
                <w:sz w:val="24"/>
                <w:szCs w:val="24"/>
              </w:rPr>
            </w:pPr>
            <w:r>
              <w:rPr>
                <w:rFonts w:hint="eastAsia" w:ascii="Times New Roman"/>
                <w:b/>
                <w:bCs/>
                <w:sz w:val="24"/>
                <w:szCs w:val="24"/>
              </w:rPr>
              <w:t>货物名称</w:t>
            </w:r>
          </w:p>
        </w:tc>
        <w:tc>
          <w:tcPr>
            <w:tcW w:w="1144" w:type="dxa"/>
            <w:tcBorders>
              <w:top w:val="single" w:color="auto" w:sz="4" w:space="0"/>
              <w:left w:val="single" w:color="auto" w:sz="4" w:space="0"/>
              <w:bottom w:val="single" w:color="auto" w:sz="4" w:space="0"/>
              <w:right w:val="single" w:color="auto" w:sz="4" w:space="0"/>
            </w:tcBorders>
            <w:vAlign w:val="center"/>
          </w:tcPr>
          <w:p>
            <w:pPr>
              <w:pStyle w:val="586"/>
              <w:autoSpaceDN w:val="0"/>
              <w:jc w:val="center"/>
              <w:rPr>
                <w:rFonts w:ascii="Times New Roman"/>
                <w:b/>
                <w:bCs/>
                <w:sz w:val="24"/>
                <w:szCs w:val="24"/>
              </w:rPr>
            </w:pPr>
            <w:r>
              <w:rPr>
                <w:rFonts w:hint="eastAsia" w:ascii="Times New Roman"/>
                <w:b/>
                <w:bCs/>
                <w:sz w:val="24"/>
                <w:szCs w:val="24"/>
              </w:rPr>
              <w:t>品牌</w:t>
            </w:r>
          </w:p>
        </w:tc>
        <w:tc>
          <w:tcPr>
            <w:tcW w:w="1219"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hAnsi="Times New Roman"/>
                <w:b/>
                <w:bCs/>
                <w:sz w:val="24"/>
                <w:szCs w:val="24"/>
              </w:rPr>
            </w:pPr>
            <w:r>
              <w:rPr>
                <w:rFonts w:hint="eastAsia" w:ascii="Times New Roman" w:hAnsi="Times New Roman"/>
                <w:b/>
                <w:bCs/>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588"/>
              <w:autoSpaceDN w:val="0"/>
              <w:jc w:val="center"/>
              <w:rPr>
                <w:rFonts w:ascii="Times New Roman"/>
                <w:b/>
                <w:bCs/>
                <w:sz w:val="24"/>
                <w:szCs w:val="24"/>
              </w:rPr>
            </w:pPr>
            <w:r>
              <w:rPr>
                <w:rFonts w:hint="eastAsia" w:ascii="Times New Roman"/>
                <w:b/>
                <w:bCs/>
                <w:sz w:val="24"/>
                <w:szCs w:val="24"/>
              </w:rPr>
              <w:t>产地</w:t>
            </w:r>
          </w:p>
        </w:tc>
        <w:tc>
          <w:tcPr>
            <w:tcW w:w="900" w:type="dxa"/>
            <w:tcBorders>
              <w:top w:val="single" w:color="auto" w:sz="4" w:space="0"/>
              <w:left w:val="single" w:color="auto" w:sz="4" w:space="0"/>
              <w:bottom w:val="single" w:color="auto" w:sz="4" w:space="0"/>
              <w:right w:val="single" w:color="auto" w:sz="4" w:space="0"/>
            </w:tcBorders>
            <w:vAlign w:val="center"/>
          </w:tcPr>
          <w:p>
            <w:pPr>
              <w:pStyle w:val="588"/>
              <w:autoSpaceDN w:val="0"/>
              <w:jc w:val="center"/>
              <w:rPr>
                <w:rFonts w:ascii="Times New Roman"/>
                <w:b/>
                <w:bCs/>
                <w:sz w:val="24"/>
                <w:szCs w:val="24"/>
              </w:rPr>
            </w:pPr>
            <w:r>
              <w:rPr>
                <w:rFonts w:hint="eastAsia" w:ascii="Times New Roman"/>
                <w:b/>
                <w:bCs/>
                <w:sz w:val="24"/>
                <w:szCs w:val="24"/>
              </w:rPr>
              <w:t>数量</w:t>
            </w:r>
          </w:p>
        </w:tc>
        <w:tc>
          <w:tcPr>
            <w:tcW w:w="1481" w:type="dxa"/>
            <w:tcBorders>
              <w:top w:val="single" w:color="auto" w:sz="4" w:space="0"/>
              <w:left w:val="single" w:color="auto" w:sz="4" w:space="0"/>
              <w:bottom w:val="single" w:color="auto" w:sz="4" w:space="0"/>
              <w:right w:val="single" w:color="auto" w:sz="4" w:space="0"/>
            </w:tcBorders>
            <w:vAlign w:val="center"/>
          </w:tcPr>
          <w:p>
            <w:pPr>
              <w:pStyle w:val="589"/>
              <w:autoSpaceDN w:val="0"/>
              <w:jc w:val="center"/>
              <w:rPr>
                <w:rFonts w:ascii="Times New Roman"/>
                <w:b/>
                <w:bCs/>
                <w:sz w:val="24"/>
                <w:szCs w:val="24"/>
              </w:rPr>
            </w:pPr>
            <w:r>
              <w:rPr>
                <w:rFonts w:hint="eastAsia" w:ascii="Times New Roman"/>
                <w:b/>
                <w:bCs/>
                <w:sz w:val="24"/>
                <w:szCs w:val="24"/>
              </w:rPr>
              <w:t>单价（元）</w:t>
            </w:r>
          </w:p>
        </w:tc>
        <w:tc>
          <w:tcPr>
            <w:tcW w:w="1509" w:type="dxa"/>
            <w:tcBorders>
              <w:top w:val="single" w:color="auto" w:sz="4" w:space="0"/>
              <w:left w:val="single" w:color="auto" w:sz="4" w:space="0"/>
              <w:bottom w:val="single" w:color="auto" w:sz="4" w:space="0"/>
            </w:tcBorders>
            <w:vAlign w:val="center"/>
          </w:tcPr>
          <w:p>
            <w:pPr>
              <w:pStyle w:val="590"/>
              <w:autoSpaceDN w:val="0"/>
              <w:jc w:val="center"/>
              <w:rPr>
                <w:rFonts w:ascii="Times New Roman"/>
                <w:b/>
                <w:bCs/>
                <w:sz w:val="24"/>
                <w:szCs w:val="24"/>
              </w:rPr>
            </w:pPr>
            <w:r>
              <w:rPr>
                <w:rFonts w:hint="eastAsia" w:ascii="Times New Roman"/>
                <w:b/>
                <w:bCs/>
                <w:sz w:val="24"/>
                <w:szCs w:val="24"/>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bottom w:val="single" w:color="auto" w:sz="4" w:space="0"/>
              <w:right w:val="single" w:color="auto" w:sz="4" w:space="0"/>
            </w:tcBorders>
            <w:vAlign w:val="center"/>
          </w:tcPr>
          <w:p>
            <w:pPr>
              <w:pStyle w:val="591"/>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2"/>
              <w:autoSpaceDN w:val="0"/>
              <w:ind w:left="482" w:hanging="482"/>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3"/>
              <w:autoSpaceDN w:val="0"/>
              <w:ind w:left="294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4"/>
              <w:autoSpaceDN w:val="0"/>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4"/>
              <w:autoSpaceDN w:val="0"/>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595"/>
              <w:autoSpaceDN w:val="0"/>
              <w:jc w:val="center"/>
              <w:rPr>
                <w:rFonts w:ascii="Times New Roman"/>
                <w:b/>
                <w:bCs/>
                <w:sz w:val="24"/>
                <w:szCs w:val="24"/>
              </w:rPr>
            </w:pPr>
          </w:p>
        </w:tc>
        <w:tc>
          <w:tcPr>
            <w:tcW w:w="1509" w:type="dxa"/>
            <w:tcBorders>
              <w:top w:val="single" w:color="auto" w:sz="4" w:space="0"/>
              <w:left w:val="single" w:color="auto" w:sz="4" w:space="0"/>
              <w:bottom w:val="single" w:color="auto" w:sz="4" w:space="0"/>
            </w:tcBorders>
            <w:vAlign w:val="center"/>
          </w:tcPr>
          <w:p>
            <w:pPr>
              <w:pStyle w:val="596"/>
              <w:autoSpaceDN w:val="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bottom w:val="single" w:color="auto" w:sz="4" w:space="0"/>
              <w:right w:val="single" w:color="auto" w:sz="4" w:space="0"/>
            </w:tcBorders>
            <w:vAlign w:val="center"/>
          </w:tcPr>
          <w:p>
            <w:pPr>
              <w:pStyle w:val="597"/>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8"/>
              <w:autoSpaceDN w:val="0"/>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600"/>
              <w:autoSpaceDN w:val="0"/>
              <w:ind w:left="4410"/>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600"/>
              <w:autoSpaceDN w:val="0"/>
              <w:ind w:left="4410"/>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601"/>
              <w:autoSpaceDN w:val="0"/>
              <w:jc w:val="center"/>
              <w:rPr>
                <w:rFonts w:ascii="Times New Roman"/>
                <w:b/>
                <w:bCs/>
                <w:sz w:val="24"/>
                <w:szCs w:val="24"/>
              </w:rPr>
            </w:pPr>
          </w:p>
        </w:tc>
        <w:tc>
          <w:tcPr>
            <w:tcW w:w="1509" w:type="dxa"/>
            <w:tcBorders>
              <w:top w:val="single" w:color="auto" w:sz="4" w:space="0"/>
              <w:left w:val="single" w:color="auto" w:sz="4" w:space="0"/>
              <w:bottom w:val="single" w:color="auto" w:sz="4" w:space="0"/>
            </w:tcBorders>
            <w:vAlign w:val="center"/>
          </w:tcPr>
          <w:p>
            <w:pPr>
              <w:pStyle w:val="602"/>
              <w:autoSpaceDN w:val="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50" w:type="dxa"/>
            <w:gridSpan w:val="6"/>
            <w:tcBorders>
              <w:top w:val="single" w:color="auto" w:sz="4" w:space="0"/>
              <w:bottom w:val="single" w:color="auto" w:sz="4" w:space="0"/>
              <w:right w:val="single" w:color="auto" w:sz="4" w:space="0"/>
            </w:tcBorders>
            <w:vAlign w:val="center"/>
          </w:tcPr>
          <w:p>
            <w:pPr>
              <w:pStyle w:val="603"/>
              <w:autoSpaceDN w:val="0"/>
              <w:ind w:firstLine="482"/>
              <w:jc w:val="center"/>
              <w:rPr>
                <w:rFonts w:ascii="Times New Roman"/>
                <w:b/>
                <w:bCs/>
                <w:sz w:val="24"/>
                <w:szCs w:val="24"/>
              </w:rPr>
            </w:pPr>
            <w:r>
              <w:rPr>
                <w:rFonts w:ascii="Times New Roman"/>
                <w:b/>
                <w:bCs/>
                <w:sz w:val="24"/>
                <w:szCs w:val="24"/>
              </w:rPr>
              <w:t xml:space="preserve">                                                </w:t>
            </w:r>
            <w:r>
              <w:rPr>
                <w:rFonts w:hint="eastAsia" w:ascii="Times New Roman"/>
                <w:b/>
                <w:bCs/>
                <w:sz w:val="24"/>
                <w:szCs w:val="24"/>
              </w:rPr>
              <w:t>设备总价</w:t>
            </w:r>
          </w:p>
        </w:tc>
        <w:tc>
          <w:tcPr>
            <w:tcW w:w="1509" w:type="dxa"/>
            <w:tcBorders>
              <w:top w:val="single" w:color="auto" w:sz="4" w:space="0"/>
              <w:left w:val="single" w:color="auto" w:sz="4" w:space="0"/>
              <w:bottom w:val="single" w:color="auto" w:sz="4" w:space="0"/>
            </w:tcBorders>
            <w:vAlign w:val="center"/>
          </w:tcPr>
          <w:p>
            <w:pPr>
              <w:pStyle w:val="537"/>
              <w:autoSpaceDN w:val="0"/>
              <w:adjustRightInd w:val="0"/>
              <w:snapToGrid w:val="0"/>
              <w:spacing w:after="231" w:line="360" w:lineRule="auto"/>
              <w:jc w:val="center"/>
              <w:rPr>
                <w:b/>
                <w:bCs/>
                <w:sz w:val="24"/>
              </w:rPr>
            </w:pPr>
          </w:p>
        </w:tc>
      </w:tr>
    </w:tbl>
    <w:p>
      <w:pPr>
        <w:ind w:firstLine="482" w:firstLineChars="200"/>
        <w:rPr>
          <w:rFonts w:hint="eastAsia"/>
          <w:b/>
          <w:bCs/>
          <w:sz w:val="24"/>
        </w:rPr>
      </w:pPr>
      <w:r>
        <w:rPr>
          <w:rFonts w:hint="eastAsia"/>
          <w:b/>
          <w:bCs/>
          <w:sz w:val="24"/>
        </w:rPr>
        <w:t>第二条</w:t>
      </w:r>
      <w:r>
        <w:rPr>
          <w:b/>
          <w:bCs/>
          <w:sz w:val="24"/>
        </w:rPr>
        <w:t xml:space="preserve"> </w:t>
      </w:r>
      <w:r>
        <w:rPr>
          <w:rFonts w:hint="eastAsia"/>
          <w:b/>
          <w:bCs/>
          <w:sz w:val="24"/>
        </w:rPr>
        <w:t>合同总价款</w:t>
      </w:r>
    </w:p>
    <w:p>
      <w:pPr>
        <w:pStyle w:val="621"/>
        <w:spacing w:line="360" w:lineRule="auto"/>
        <w:ind w:firstLine="480" w:firstLineChars="200"/>
        <w:rPr>
          <w:rFonts w:eastAsia="宋体"/>
          <w:sz w:val="24"/>
          <w:szCs w:val="24"/>
        </w:rPr>
      </w:pPr>
      <w:r>
        <w:rPr>
          <w:rFonts w:hint="eastAsia" w:eastAsia="宋体"/>
          <w:sz w:val="24"/>
          <w:szCs w:val="24"/>
        </w:rPr>
        <w:t>甲方以支付总价款</w:t>
      </w:r>
      <w:r>
        <w:rPr>
          <w:rFonts w:eastAsia="宋体"/>
          <w:sz w:val="24"/>
          <w:szCs w:val="24"/>
        </w:rPr>
        <w:t>__________</w:t>
      </w:r>
      <w:r>
        <w:rPr>
          <w:rFonts w:hint="eastAsia" w:eastAsia="宋体"/>
          <w:sz w:val="24"/>
          <w:szCs w:val="24"/>
        </w:rPr>
        <w:t>元，（人民币大写：</w:t>
      </w:r>
      <w:r>
        <w:rPr>
          <w:rFonts w:eastAsia="宋体"/>
          <w:sz w:val="24"/>
          <w:szCs w:val="24"/>
        </w:rPr>
        <w:t xml:space="preserve">         </w:t>
      </w:r>
      <w:r>
        <w:rPr>
          <w:rFonts w:hint="eastAsia" w:eastAsia="宋体"/>
          <w:sz w:val="24"/>
          <w:szCs w:val="24"/>
        </w:rPr>
        <w:t>）接受乙方对上述货物的供货和伴随服务。包括乙方提供货物、包装、运输、货物的保险和储存、检测、验收、安装调试、保修服务、培训、资料及提供的伴随服务等所有成本、费用及税费，甲方（用户）无需再向乙方支付其他任何费用。详见附件分项报价表、设备配置清单和技术偏离表。（根据采购实际可自行调整。）</w:t>
      </w:r>
    </w:p>
    <w:p>
      <w:pPr>
        <w:ind w:firstLine="482" w:firstLineChars="200"/>
        <w:rPr>
          <w:rFonts w:hint="eastAsia"/>
          <w:b/>
          <w:bCs/>
          <w:sz w:val="24"/>
        </w:rPr>
      </w:pPr>
      <w:r>
        <w:rPr>
          <w:rFonts w:hint="eastAsia"/>
          <w:b/>
          <w:bCs/>
          <w:sz w:val="24"/>
        </w:rPr>
        <w:t>第三条</w:t>
      </w:r>
      <w:r>
        <w:rPr>
          <w:b/>
          <w:bCs/>
          <w:sz w:val="24"/>
        </w:rPr>
        <w:t xml:space="preserve"> </w:t>
      </w:r>
      <w:r>
        <w:rPr>
          <w:rFonts w:hint="eastAsia"/>
          <w:b/>
          <w:bCs/>
          <w:sz w:val="24"/>
        </w:rPr>
        <w:t>付款条件</w:t>
      </w:r>
    </w:p>
    <w:p>
      <w:pPr>
        <w:ind w:firstLine="480" w:firstLineChars="200"/>
        <w:rPr>
          <w:rFonts w:hint="eastAsia"/>
          <w:sz w:val="24"/>
        </w:rPr>
      </w:pPr>
      <w:r>
        <w:rPr>
          <w:rFonts w:hint="eastAsia"/>
          <w:sz w:val="24"/>
        </w:rPr>
        <w:t>（一）本合同以人民币付款。</w:t>
      </w:r>
    </w:p>
    <w:p>
      <w:pPr>
        <w:ind w:firstLine="480" w:firstLineChars="200"/>
        <w:rPr>
          <w:rFonts w:hint="eastAsia"/>
          <w:sz w:val="24"/>
        </w:rPr>
      </w:pPr>
      <w:r>
        <w:rPr>
          <w:rFonts w:hint="eastAsia"/>
          <w:sz w:val="24"/>
        </w:rPr>
        <w:t>（二）付款办法：</w:t>
      </w:r>
    </w:p>
    <w:p>
      <w:pPr>
        <w:ind w:firstLine="480" w:firstLineChars="200"/>
        <w:rPr>
          <w:rFonts w:hint="eastAsia"/>
          <w:sz w:val="24"/>
        </w:rPr>
      </w:pPr>
      <w:r>
        <w:rPr>
          <w:sz w:val="24"/>
        </w:rPr>
        <w:t>1.</w:t>
      </w:r>
      <w:r>
        <w:rPr>
          <w:rFonts w:hint="eastAsia"/>
          <w:sz w:val="24"/>
        </w:rPr>
        <w:t>乙方向甲方交付履约保函或保证金，比例等于合同金额的</w:t>
      </w:r>
      <w:r>
        <w:rPr>
          <w:sz w:val="24"/>
        </w:rPr>
        <w:t>10%</w:t>
      </w:r>
      <w:r>
        <w:rPr>
          <w:rFonts w:hint="eastAsia"/>
          <w:sz w:val="24"/>
        </w:rPr>
        <w:t>，并提交下列单据之日起</w:t>
      </w:r>
      <w:r>
        <w:rPr>
          <w:sz w:val="24"/>
        </w:rPr>
        <w:t>10</w:t>
      </w:r>
      <w:r>
        <w:rPr>
          <w:rFonts w:hint="eastAsia"/>
          <w:sz w:val="24"/>
        </w:rPr>
        <w:t>个工作日内，甲方向乙方支付合同总价</w:t>
      </w:r>
      <w:r>
        <w:rPr>
          <w:sz w:val="24"/>
          <w:u w:val="single"/>
        </w:rPr>
        <w:t>50</w:t>
      </w:r>
      <w:r>
        <w:rPr>
          <w:sz w:val="24"/>
        </w:rPr>
        <w:t>%</w:t>
      </w:r>
      <w:r>
        <w:rPr>
          <w:rFonts w:hint="eastAsia"/>
          <w:sz w:val="24"/>
        </w:rPr>
        <w:t>合同款（金额大写：</w:t>
      </w:r>
      <w:r>
        <w:rPr>
          <w:sz w:val="24"/>
        </w:rPr>
        <w:t xml:space="preserve">         </w:t>
      </w:r>
      <w:r>
        <w:rPr>
          <w:rFonts w:hint="eastAsia"/>
          <w:sz w:val="24"/>
        </w:rPr>
        <w:t>）。</w:t>
      </w:r>
    </w:p>
    <w:p>
      <w:pPr>
        <w:ind w:firstLine="480" w:firstLineChars="200"/>
        <w:rPr>
          <w:rFonts w:hint="eastAsia"/>
          <w:sz w:val="24"/>
        </w:rPr>
      </w:pPr>
      <w:r>
        <w:rPr>
          <w:rFonts w:hint="eastAsia"/>
          <w:sz w:val="24"/>
        </w:rPr>
        <w:t>乙方提交单据：合同（正文部分复印件）、中标通知书（或成交通知书复印件）、发票（原件）、履约保函或保证金单据复印件（如有）。</w:t>
      </w:r>
    </w:p>
    <w:p>
      <w:pPr>
        <w:ind w:firstLine="480" w:firstLineChars="200"/>
        <w:rPr>
          <w:rFonts w:hint="eastAsia"/>
          <w:sz w:val="24"/>
        </w:rPr>
      </w:pPr>
      <w:r>
        <w:rPr>
          <w:sz w:val="24"/>
        </w:rPr>
        <w:t>2.</w:t>
      </w:r>
      <w:r>
        <w:rPr>
          <w:rFonts w:hint="eastAsia"/>
          <w:sz w:val="24"/>
        </w:rPr>
        <w:t>设备全部到货并经甲方（用户）签收后，乙方向甲方提交下列单据之日起</w:t>
      </w:r>
      <w:r>
        <w:rPr>
          <w:sz w:val="24"/>
        </w:rPr>
        <w:t>10</w:t>
      </w:r>
      <w:r>
        <w:rPr>
          <w:rFonts w:hint="eastAsia"/>
          <w:sz w:val="24"/>
        </w:rPr>
        <w:t>个工作日内，甲方向乙方支付合同总价</w:t>
      </w:r>
      <w:r>
        <w:rPr>
          <w:sz w:val="24"/>
          <w:u w:val="single"/>
        </w:rPr>
        <w:t>50</w:t>
      </w:r>
      <w:r>
        <w:rPr>
          <w:sz w:val="24"/>
        </w:rPr>
        <w:t>%</w:t>
      </w:r>
      <w:r>
        <w:rPr>
          <w:rFonts w:hint="eastAsia"/>
          <w:sz w:val="24"/>
        </w:rPr>
        <w:t>合同款（金额大写：</w:t>
      </w:r>
      <w:r>
        <w:rPr>
          <w:sz w:val="24"/>
        </w:rPr>
        <w:t xml:space="preserve">            </w:t>
      </w:r>
      <w:r>
        <w:rPr>
          <w:rFonts w:hint="eastAsia"/>
          <w:sz w:val="24"/>
        </w:rPr>
        <w:t>）。</w:t>
      </w:r>
    </w:p>
    <w:p>
      <w:pPr>
        <w:ind w:firstLine="480" w:firstLineChars="200"/>
        <w:rPr>
          <w:rFonts w:hint="eastAsia"/>
          <w:sz w:val="24"/>
        </w:rPr>
      </w:pPr>
      <w:r>
        <w:rPr>
          <w:rFonts w:hint="eastAsia"/>
          <w:sz w:val="24"/>
        </w:rPr>
        <w:t>乙方提交单据：合同</w:t>
      </w:r>
      <w:r>
        <w:rPr>
          <w:sz w:val="24"/>
        </w:rPr>
        <w:t>(</w:t>
      </w:r>
      <w:r>
        <w:rPr>
          <w:rFonts w:hint="eastAsia"/>
          <w:sz w:val="24"/>
        </w:rPr>
        <w:t>正文部分复印件）、中标通知书（或成交通知书复印件）、发票（原件）、设备到货签收单（复印件）。</w:t>
      </w:r>
    </w:p>
    <w:p>
      <w:pPr>
        <w:ind w:firstLine="480" w:firstLineChars="200"/>
        <w:rPr>
          <w:rFonts w:hint="eastAsia"/>
          <w:sz w:val="24"/>
        </w:rPr>
      </w:pPr>
      <w:r>
        <w:rPr>
          <w:sz w:val="24"/>
        </w:rPr>
        <w:t>3.</w:t>
      </w:r>
      <w:r>
        <w:rPr>
          <w:rFonts w:hint="eastAsia"/>
          <w:sz w:val="24"/>
        </w:rPr>
        <w:t>设备全部安装调试，并经甲方（用户）验收合格后，乙方向甲方提交下列单据之日起</w:t>
      </w:r>
      <w:r>
        <w:rPr>
          <w:sz w:val="24"/>
        </w:rPr>
        <w:t>30</w:t>
      </w:r>
      <w:r>
        <w:rPr>
          <w:rFonts w:hint="eastAsia"/>
          <w:sz w:val="24"/>
        </w:rPr>
        <w:t>日内，甲方向乙方无息退还履约保函或保证金。</w:t>
      </w:r>
    </w:p>
    <w:p>
      <w:pPr>
        <w:ind w:firstLine="480" w:firstLineChars="200"/>
        <w:rPr>
          <w:rFonts w:hint="eastAsia"/>
          <w:sz w:val="24"/>
        </w:rPr>
      </w:pPr>
      <w:r>
        <w:rPr>
          <w:rFonts w:hint="eastAsia"/>
          <w:sz w:val="24"/>
        </w:rPr>
        <w:t>乙方提交单据：退还申请（原件）、安装调试验收合格报告（复印件）。</w:t>
      </w:r>
    </w:p>
    <w:p>
      <w:pPr>
        <w:ind w:firstLine="480" w:firstLineChars="200"/>
        <w:rPr>
          <w:rFonts w:hint="eastAsia"/>
          <w:sz w:val="24"/>
        </w:rPr>
      </w:pPr>
      <w:r>
        <w:rPr>
          <w:sz w:val="24"/>
        </w:rPr>
        <w:t>4.</w:t>
      </w:r>
      <w:r>
        <w:rPr>
          <w:rFonts w:hint="eastAsia"/>
          <w:sz w:val="24"/>
        </w:rPr>
        <w:t>因财政集中支付延误时间不计算在内。乙方提交付款单据延迟、缺失及账户信息错误的，甲方有权相应顺延付款期限，且甲方不承担延误付款责任。</w:t>
      </w:r>
    </w:p>
    <w:p>
      <w:pPr>
        <w:pStyle w:val="604"/>
        <w:autoSpaceDN w:val="0"/>
        <w:ind w:firstLine="480" w:firstLineChars="200"/>
        <w:jc w:val="left"/>
        <w:rPr>
          <w:snapToGrid w:val="0"/>
          <w:sz w:val="24"/>
          <w:szCs w:val="24"/>
        </w:rPr>
      </w:pPr>
      <w:r>
        <w:rPr>
          <w:rFonts w:hint="eastAsia"/>
          <w:snapToGrid w:val="0"/>
          <w:sz w:val="24"/>
          <w:szCs w:val="24"/>
        </w:rPr>
        <w:t>乙方收取货款账户为：</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8" w:type="dxa"/>
            <w:vAlign w:val="center"/>
          </w:tcPr>
          <w:p>
            <w:pPr>
              <w:pStyle w:val="604"/>
              <w:autoSpaceDN w:val="0"/>
              <w:rPr>
                <w:snapToGrid w:val="0"/>
                <w:sz w:val="24"/>
                <w:szCs w:val="24"/>
              </w:rPr>
            </w:pPr>
            <w:r>
              <w:rPr>
                <w:rFonts w:hint="eastAsia"/>
                <w:snapToGrid w:val="0"/>
                <w:sz w:val="24"/>
                <w:szCs w:val="24"/>
              </w:rPr>
              <w:t>乙方全称</w:t>
            </w:r>
          </w:p>
        </w:tc>
        <w:tc>
          <w:tcPr>
            <w:tcW w:w="6266" w:type="dxa"/>
            <w:vAlign w:val="center"/>
          </w:tcPr>
          <w:p>
            <w:pPr>
              <w:pStyle w:val="604"/>
              <w:autoSpaceDN w:val="0"/>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98" w:type="dxa"/>
            <w:vAlign w:val="center"/>
          </w:tcPr>
          <w:p>
            <w:pPr>
              <w:pStyle w:val="604"/>
              <w:autoSpaceDN w:val="0"/>
              <w:rPr>
                <w:snapToGrid w:val="0"/>
                <w:sz w:val="24"/>
                <w:szCs w:val="24"/>
              </w:rPr>
            </w:pPr>
            <w:r>
              <w:rPr>
                <w:rFonts w:hint="eastAsia"/>
                <w:snapToGrid w:val="0"/>
                <w:sz w:val="24"/>
                <w:szCs w:val="24"/>
              </w:rPr>
              <w:t>开户银行</w:t>
            </w:r>
          </w:p>
        </w:tc>
        <w:tc>
          <w:tcPr>
            <w:tcW w:w="6266" w:type="dxa"/>
            <w:vAlign w:val="center"/>
          </w:tcPr>
          <w:p>
            <w:pPr>
              <w:pStyle w:val="604"/>
              <w:autoSpaceDN w:val="0"/>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098" w:type="dxa"/>
            <w:vAlign w:val="center"/>
          </w:tcPr>
          <w:p>
            <w:pPr>
              <w:pStyle w:val="604"/>
              <w:autoSpaceDN w:val="0"/>
              <w:rPr>
                <w:snapToGrid w:val="0"/>
                <w:sz w:val="24"/>
                <w:szCs w:val="24"/>
              </w:rPr>
            </w:pPr>
            <w:r>
              <w:rPr>
                <w:rFonts w:hint="eastAsia"/>
                <w:snapToGrid w:val="0"/>
                <w:sz w:val="24"/>
                <w:szCs w:val="24"/>
              </w:rPr>
              <w:t>账号</w:t>
            </w:r>
          </w:p>
        </w:tc>
        <w:tc>
          <w:tcPr>
            <w:tcW w:w="6266" w:type="dxa"/>
            <w:vAlign w:val="center"/>
          </w:tcPr>
          <w:p>
            <w:pPr>
              <w:pStyle w:val="604"/>
              <w:autoSpaceDN w:val="0"/>
              <w:ind w:firstLine="480" w:firstLineChars="200"/>
              <w:jc w:val="left"/>
              <w:rPr>
                <w:snapToGrid w:val="0"/>
                <w:sz w:val="24"/>
                <w:szCs w:val="24"/>
              </w:rPr>
            </w:pPr>
          </w:p>
        </w:tc>
      </w:tr>
    </w:tbl>
    <w:p>
      <w:pPr>
        <w:ind w:firstLine="482" w:firstLineChars="200"/>
        <w:rPr>
          <w:rFonts w:hint="eastAsia"/>
          <w:b/>
          <w:bCs/>
          <w:sz w:val="24"/>
        </w:rPr>
      </w:pPr>
      <w:r>
        <w:rPr>
          <w:rFonts w:hint="eastAsia"/>
          <w:b/>
          <w:bCs/>
          <w:sz w:val="24"/>
        </w:rPr>
        <w:t>第四条</w:t>
      </w:r>
      <w:r>
        <w:rPr>
          <w:b/>
          <w:bCs/>
          <w:sz w:val="24"/>
        </w:rPr>
        <w:t xml:space="preserve"> </w:t>
      </w:r>
      <w:r>
        <w:rPr>
          <w:rFonts w:hint="eastAsia"/>
          <w:b/>
          <w:bCs/>
          <w:sz w:val="24"/>
        </w:rPr>
        <w:t>履约保证金</w:t>
      </w:r>
    </w:p>
    <w:p>
      <w:pPr>
        <w:ind w:firstLine="480" w:firstLineChars="200"/>
        <w:rPr>
          <w:rFonts w:hint="eastAsia"/>
          <w:sz w:val="24"/>
        </w:rPr>
      </w:pPr>
      <w:r>
        <w:rPr>
          <w:rFonts w:hint="eastAsia"/>
          <w:sz w:val="24"/>
        </w:rPr>
        <w:t>（一）合同签订之日起</w:t>
      </w:r>
      <w:r>
        <w:rPr>
          <w:sz w:val="24"/>
        </w:rPr>
        <w:t xml:space="preserve"> 10 </w:t>
      </w:r>
      <w:r>
        <w:rPr>
          <w:rFonts w:hint="eastAsia"/>
          <w:sz w:val="24"/>
        </w:rPr>
        <w:t>个工作日内，乙方须按合同金额的</w:t>
      </w:r>
      <w:r>
        <w:rPr>
          <w:sz w:val="24"/>
        </w:rPr>
        <w:t>_10_%</w:t>
      </w:r>
      <w:r>
        <w:rPr>
          <w:rFonts w:hint="eastAsia"/>
          <w:sz w:val="24"/>
        </w:rPr>
        <w:t>向甲方交纳履约保证金或保函。如果乙方未按照约定时间交付履约保证金的，甲方有权单方面解除合同。</w:t>
      </w:r>
    </w:p>
    <w:p>
      <w:pPr>
        <w:ind w:firstLine="480" w:firstLineChars="200"/>
        <w:rPr>
          <w:rFonts w:hint="eastAsia"/>
          <w:sz w:val="24"/>
        </w:rPr>
      </w:pPr>
      <w:r>
        <w:rPr>
          <w:rFonts w:hint="eastAsia"/>
          <w:sz w:val="24"/>
        </w:rPr>
        <w:t>甲方指定履约保证金收款账户为：（如为保函，则无需填甲方收款账户）</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pPr>
              <w:pStyle w:val="604"/>
              <w:autoSpaceDN w:val="0"/>
              <w:rPr>
                <w:snapToGrid w:val="0"/>
                <w:sz w:val="24"/>
                <w:szCs w:val="24"/>
              </w:rPr>
            </w:pPr>
            <w:r>
              <w:rPr>
                <w:rFonts w:hint="eastAsia"/>
                <w:snapToGrid w:val="0"/>
                <w:sz w:val="24"/>
                <w:szCs w:val="24"/>
              </w:rPr>
              <w:t>收款单位全称</w:t>
            </w:r>
          </w:p>
        </w:tc>
        <w:tc>
          <w:tcPr>
            <w:tcW w:w="5469" w:type="dxa"/>
            <w:vAlign w:val="center"/>
          </w:tcPr>
          <w:p>
            <w:pPr>
              <w:pStyle w:val="604"/>
              <w:autoSpaceDN w:val="0"/>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86" w:type="dxa"/>
            <w:vAlign w:val="center"/>
          </w:tcPr>
          <w:p>
            <w:pPr>
              <w:pStyle w:val="604"/>
              <w:autoSpaceDN w:val="0"/>
              <w:rPr>
                <w:snapToGrid w:val="0"/>
                <w:sz w:val="24"/>
                <w:szCs w:val="24"/>
              </w:rPr>
            </w:pPr>
            <w:r>
              <w:rPr>
                <w:rFonts w:hint="eastAsia"/>
                <w:snapToGrid w:val="0"/>
                <w:sz w:val="24"/>
                <w:szCs w:val="24"/>
              </w:rPr>
              <w:t>开户银行</w:t>
            </w:r>
          </w:p>
        </w:tc>
        <w:tc>
          <w:tcPr>
            <w:tcW w:w="5469" w:type="dxa"/>
            <w:vAlign w:val="center"/>
          </w:tcPr>
          <w:p>
            <w:pPr>
              <w:pStyle w:val="604"/>
              <w:autoSpaceDN w:val="0"/>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386" w:type="dxa"/>
            <w:vAlign w:val="center"/>
          </w:tcPr>
          <w:p>
            <w:pPr>
              <w:pStyle w:val="604"/>
              <w:autoSpaceDN w:val="0"/>
              <w:rPr>
                <w:snapToGrid w:val="0"/>
                <w:sz w:val="24"/>
                <w:szCs w:val="24"/>
              </w:rPr>
            </w:pPr>
            <w:r>
              <w:rPr>
                <w:rFonts w:hint="eastAsia"/>
                <w:snapToGrid w:val="0"/>
                <w:sz w:val="24"/>
                <w:szCs w:val="24"/>
              </w:rPr>
              <w:t>账号</w:t>
            </w:r>
          </w:p>
        </w:tc>
        <w:tc>
          <w:tcPr>
            <w:tcW w:w="5469" w:type="dxa"/>
            <w:vAlign w:val="center"/>
          </w:tcPr>
          <w:p>
            <w:pPr>
              <w:pStyle w:val="604"/>
              <w:autoSpaceDN w:val="0"/>
              <w:rPr>
                <w:snapToGrid w:val="0"/>
                <w:sz w:val="24"/>
                <w:szCs w:val="24"/>
              </w:rPr>
            </w:pPr>
          </w:p>
        </w:tc>
      </w:tr>
    </w:tbl>
    <w:p>
      <w:pPr>
        <w:pStyle w:val="623"/>
        <w:spacing w:line="360" w:lineRule="auto"/>
        <w:ind w:firstLine="480" w:firstLineChars="200"/>
        <w:rPr>
          <w:rFonts w:eastAsia="宋体"/>
          <w:sz w:val="24"/>
          <w:szCs w:val="24"/>
        </w:rPr>
      </w:pPr>
      <w:r>
        <w:rPr>
          <w:rFonts w:hint="eastAsia" w:eastAsia="宋体"/>
          <w:sz w:val="24"/>
          <w:szCs w:val="24"/>
        </w:rPr>
        <w:t>（二）履约保证金以银行保函、银行电汇向甲方提供。</w:t>
      </w:r>
    </w:p>
    <w:p>
      <w:pPr>
        <w:ind w:firstLine="480" w:firstLineChars="200"/>
        <w:rPr>
          <w:rFonts w:hint="eastAsia"/>
          <w:sz w:val="24"/>
        </w:rPr>
      </w:pPr>
      <w:r>
        <w:rPr>
          <w:rFonts w:hint="eastAsia"/>
          <w:sz w:val="24"/>
        </w:rPr>
        <w:t>（三）如乙方未能履行合同规定的义务，甲方有权按照本合同的约定从履约保证金中进行相应扣除。乙方应在甲方扣除履约保证金之日起</w:t>
      </w:r>
      <w:r>
        <w:rPr>
          <w:sz w:val="24"/>
        </w:rPr>
        <w:t>10</w:t>
      </w:r>
      <w:r>
        <w:rPr>
          <w:rFonts w:hint="eastAsia"/>
          <w:sz w:val="24"/>
        </w:rPr>
        <w:t>个工作日内，及时补充扣除部分金额。</w:t>
      </w:r>
    </w:p>
    <w:p>
      <w:pPr>
        <w:ind w:firstLine="480" w:firstLineChars="200"/>
        <w:rPr>
          <w:rFonts w:hint="eastAsia"/>
          <w:sz w:val="24"/>
        </w:rPr>
      </w:pPr>
      <w:r>
        <w:rPr>
          <w:rFonts w:hint="eastAsia"/>
          <w:sz w:val="24"/>
        </w:rPr>
        <w:t>（四）如乙方不履行合同，或履行合同义务不符合约定使得合同目的不能实现，履约保证金不予退还。</w:t>
      </w:r>
    </w:p>
    <w:p>
      <w:pPr>
        <w:ind w:firstLine="482" w:firstLineChars="200"/>
        <w:rPr>
          <w:rFonts w:hint="eastAsia"/>
          <w:b/>
          <w:bCs/>
          <w:sz w:val="24"/>
        </w:rPr>
      </w:pPr>
      <w:r>
        <w:rPr>
          <w:rFonts w:hint="eastAsia"/>
          <w:b/>
          <w:bCs/>
          <w:sz w:val="24"/>
        </w:rPr>
        <w:t>第五条</w:t>
      </w:r>
      <w:r>
        <w:rPr>
          <w:b/>
          <w:bCs/>
          <w:sz w:val="24"/>
        </w:rPr>
        <w:t xml:space="preserve"> </w:t>
      </w:r>
      <w:r>
        <w:rPr>
          <w:rFonts w:hint="eastAsia"/>
          <w:b/>
          <w:bCs/>
          <w:sz w:val="24"/>
        </w:rPr>
        <w:t>包装</w:t>
      </w:r>
    </w:p>
    <w:p>
      <w:pPr>
        <w:pStyle w:val="625"/>
        <w:spacing w:line="360" w:lineRule="auto"/>
        <w:ind w:firstLine="480" w:firstLineChars="200"/>
        <w:rPr>
          <w:rFonts w:eastAsia="宋体"/>
          <w:sz w:val="24"/>
          <w:szCs w:val="24"/>
        </w:rPr>
      </w:pPr>
      <w:r>
        <w:rPr>
          <w:rFonts w:hint="eastAsia" w:eastAsia="宋体"/>
          <w:sz w:val="24"/>
          <w:szCs w:val="24"/>
        </w:rPr>
        <w:t>（一）除合同另有规定外，乙方提供的全部货物均应按标准</w:t>
      </w:r>
      <w:r>
        <w:rPr>
          <w:rFonts w:hint="eastAsia" w:eastAsia="宋体"/>
          <w:snapToGrid w:val="0"/>
          <w:kern w:val="0"/>
          <w:sz w:val="24"/>
          <w:szCs w:val="24"/>
        </w:rPr>
        <w:t>保护措施进行包装，这类包装应适应于远距离运输、防潮、防震、</w:t>
      </w:r>
      <w:r>
        <w:rPr>
          <w:rFonts w:hint="eastAsia" w:eastAsia="宋体"/>
          <w:sz w:val="24"/>
          <w:szCs w:val="24"/>
        </w:rPr>
        <w:t>防锈和防野蛮装卸，以确保货物安全无损运抵指定交货地点。</w:t>
      </w:r>
    </w:p>
    <w:p>
      <w:pPr>
        <w:pStyle w:val="625"/>
        <w:spacing w:line="360" w:lineRule="auto"/>
        <w:ind w:firstLine="480" w:firstLineChars="200"/>
        <w:rPr>
          <w:rFonts w:eastAsia="宋体"/>
          <w:sz w:val="24"/>
          <w:szCs w:val="24"/>
        </w:rPr>
      </w:pPr>
      <w:r>
        <w:rPr>
          <w:rFonts w:hint="eastAsia" w:eastAsia="宋体"/>
          <w:sz w:val="24"/>
          <w:szCs w:val="24"/>
        </w:rPr>
        <w:t>（二）乙方应在包装箱外标明产品名称、型号，包装箱内随附一份详细装箱单和质量证书。</w:t>
      </w:r>
    </w:p>
    <w:p>
      <w:pPr>
        <w:ind w:firstLine="480" w:firstLineChars="200"/>
        <w:rPr>
          <w:rFonts w:hint="eastAsia"/>
          <w:sz w:val="24"/>
        </w:rPr>
      </w:pPr>
      <w:r>
        <w:rPr>
          <w:rFonts w:hint="eastAsia"/>
          <w:sz w:val="24"/>
        </w:rPr>
        <w:t>（三）乙方应承担由于其包装或防护措施不当而引起的货物损坏和丢失的任何损失责任和费用。</w:t>
      </w:r>
    </w:p>
    <w:p>
      <w:pPr>
        <w:ind w:firstLine="482" w:firstLineChars="200"/>
        <w:rPr>
          <w:rFonts w:hint="eastAsia"/>
          <w:b/>
          <w:bCs/>
          <w:sz w:val="24"/>
        </w:rPr>
      </w:pPr>
      <w:r>
        <w:rPr>
          <w:rFonts w:hint="eastAsia"/>
          <w:b/>
          <w:bCs/>
          <w:sz w:val="24"/>
        </w:rPr>
        <w:t>第六条</w:t>
      </w:r>
      <w:r>
        <w:rPr>
          <w:b/>
          <w:bCs/>
          <w:sz w:val="24"/>
        </w:rPr>
        <w:t xml:space="preserve"> </w:t>
      </w:r>
      <w:r>
        <w:rPr>
          <w:rFonts w:hint="eastAsia"/>
          <w:b/>
          <w:bCs/>
          <w:sz w:val="24"/>
        </w:rPr>
        <w:t>交货时间、地点、交货方法（运输方式）</w:t>
      </w:r>
    </w:p>
    <w:p>
      <w:pPr>
        <w:pStyle w:val="626"/>
        <w:spacing w:line="360" w:lineRule="auto"/>
        <w:ind w:firstLine="480" w:firstLineChars="200"/>
        <w:rPr>
          <w:rFonts w:eastAsia="宋体"/>
          <w:sz w:val="24"/>
          <w:szCs w:val="24"/>
        </w:rPr>
      </w:pPr>
      <w:r>
        <w:rPr>
          <w:rFonts w:hint="eastAsia" w:eastAsia="宋体"/>
          <w:sz w:val="24"/>
          <w:szCs w:val="24"/>
        </w:rPr>
        <w:t>（一</w:t>
      </w:r>
      <w:r>
        <w:rPr>
          <w:rFonts w:hint="eastAsia" w:eastAsia="宋体"/>
          <w:snapToGrid w:val="0"/>
          <w:kern w:val="0"/>
          <w:sz w:val="24"/>
          <w:szCs w:val="24"/>
        </w:rPr>
        <w:t>）交</w:t>
      </w:r>
      <w:r>
        <w:rPr>
          <w:rFonts w:hint="eastAsia" w:eastAsia="宋体"/>
          <w:sz w:val="24"/>
          <w:szCs w:val="24"/>
        </w:rPr>
        <w:t>货时间：自合同签定之日起</w:t>
      </w:r>
      <w:r>
        <w:rPr>
          <w:rFonts w:eastAsia="宋体"/>
          <w:sz w:val="24"/>
          <w:szCs w:val="24"/>
        </w:rPr>
        <w:t>60</w:t>
      </w:r>
      <w:r>
        <w:rPr>
          <w:rFonts w:hint="eastAsia" w:eastAsia="宋体"/>
          <w:sz w:val="24"/>
          <w:szCs w:val="24"/>
        </w:rPr>
        <w:t>日内。</w:t>
      </w:r>
    </w:p>
    <w:p>
      <w:pPr>
        <w:pStyle w:val="627"/>
        <w:spacing w:line="360" w:lineRule="auto"/>
        <w:ind w:firstLine="480" w:firstLineChars="200"/>
        <w:rPr>
          <w:rFonts w:eastAsia="宋体"/>
          <w:sz w:val="24"/>
          <w:szCs w:val="24"/>
        </w:rPr>
      </w:pPr>
      <w:r>
        <w:rPr>
          <w:rFonts w:hint="eastAsia" w:eastAsia="宋体"/>
          <w:sz w:val="24"/>
          <w:szCs w:val="24"/>
        </w:rPr>
        <w:t>（二）交货地点：深圳海关工业品检测技术中心指定地点（具体以中标后实际合同确定为准）。</w:t>
      </w:r>
    </w:p>
    <w:p>
      <w:pPr>
        <w:pStyle w:val="628"/>
        <w:spacing w:line="360" w:lineRule="auto"/>
        <w:ind w:firstLine="480" w:firstLineChars="200"/>
        <w:rPr>
          <w:rFonts w:eastAsia="宋体"/>
          <w:sz w:val="24"/>
          <w:szCs w:val="24"/>
        </w:rPr>
      </w:pPr>
      <w:r>
        <w:rPr>
          <w:rFonts w:hint="eastAsia" w:eastAsia="宋体"/>
          <w:sz w:val="24"/>
          <w:szCs w:val="24"/>
        </w:rPr>
        <w:t>（三）交货方法：由乙方负责采用适合的交通工具将采购货物及其附件运至交货现场并按甲方要求完成卸货，以双方签署设备到货验收签收单为准，交货时应一并交付货物的有关单证。货物从生产厂运至海关指定地点的运输、劳务及相关保险的办理由乙方负责并承担相应费用。</w:t>
      </w:r>
    </w:p>
    <w:p>
      <w:pPr>
        <w:pStyle w:val="629"/>
        <w:spacing w:line="360" w:lineRule="auto"/>
        <w:ind w:firstLine="480" w:firstLineChars="200"/>
        <w:rPr>
          <w:rFonts w:eastAsia="宋体"/>
          <w:sz w:val="24"/>
          <w:szCs w:val="24"/>
        </w:rPr>
      </w:pPr>
      <w:r>
        <w:rPr>
          <w:rFonts w:hint="eastAsia" w:eastAsia="宋体"/>
          <w:sz w:val="24"/>
          <w:szCs w:val="24"/>
        </w:rPr>
        <w:t>（四）风险责任承担：货物的风险责任和所有权在双方签署设备到货验收签收单</w:t>
      </w:r>
      <w:r>
        <w:rPr>
          <w:rFonts w:eastAsia="宋体"/>
          <w:sz w:val="24"/>
          <w:szCs w:val="24"/>
        </w:rPr>
        <w:t>/</w:t>
      </w:r>
      <w:r>
        <w:rPr>
          <w:rFonts w:hint="eastAsia" w:eastAsia="宋体"/>
          <w:sz w:val="24"/>
          <w:szCs w:val="24"/>
        </w:rPr>
        <w:t>安装调试验收合格报告后由甲方承担和享有，此前的风险责任由乙方承担。</w:t>
      </w:r>
    </w:p>
    <w:p>
      <w:pPr>
        <w:pStyle w:val="630"/>
        <w:spacing w:line="360" w:lineRule="auto"/>
        <w:ind w:firstLine="482" w:firstLineChars="200"/>
        <w:rPr>
          <w:sz w:val="24"/>
          <w:szCs w:val="24"/>
        </w:rPr>
      </w:pPr>
      <w:r>
        <w:rPr>
          <w:rFonts w:hint="eastAsia"/>
          <w:b/>
          <w:bCs/>
          <w:sz w:val="24"/>
          <w:szCs w:val="24"/>
        </w:rPr>
        <w:t>第七条</w:t>
      </w:r>
      <w:r>
        <w:rPr>
          <w:b/>
          <w:bCs/>
          <w:sz w:val="24"/>
          <w:szCs w:val="24"/>
        </w:rPr>
        <w:t xml:space="preserve"> </w:t>
      </w:r>
      <w:r>
        <w:rPr>
          <w:rFonts w:hint="eastAsia"/>
          <w:b/>
          <w:bCs/>
          <w:sz w:val="24"/>
          <w:szCs w:val="24"/>
        </w:rPr>
        <w:t>货物验收</w:t>
      </w:r>
    </w:p>
    <w:p>
      <w:pPr>
        <w:pStyle w:val="631"/>
        <w:ind w:firstLine="480" w:firstLineChars="200"/>
        <w:rPr>
          <w:sz w:val="24"/>
          <w:szCs w:val="24"/>
        </w:rPr>
      </w:pPr>
      <w:r>
        <w:rPr>
          <w:rFonts w:hint="eastAsia"/>
          <w:sz w:val="24"/>
          <w:szCs w:val="24"/>
        </w:rPr>
        <w:t>（一）货物运至甲方（用户）指定地点后，由甲乙双方指派人员按照本合同规定对货物进行验收，乙方应提供交货清单等文件供甲方（用户）审查，甲方（用户）将按合同清单进行规格、数量、外观的检查。</w:t>
      </w:r>
    </w:p>
    <w:p>
      <w:pPr>
        <w:pStyle w:val="632"/>
        <w:spacing w:line="360" w:lineRule="auto"/>
        <w:ind w:firstLine="480" w:firstLineChars="200"/>
        <w:rPr>
          <w:rFonts w:eastAsia="宋体"/>
          <w:sz w:val="24"/>
          <w:szCs w:val="24"/>
        </w:rPr>
      </w:pPr>
      <w:r>
        <w:rPr>
          <w:rFonts w:hint="eastAsia" w:eastAsia="宋体"/>
          <w:sz w:val="24"/>
          <w:szCs w:val="24"/>
        </w:rPr>
        <w:t>（二）收货后</w:t>
      </w:r>
      <w:r>
        <w:rPr>
          <w:rFonts w:eastAsia="宋体"/>
          <w:sz w:val="24"/>
          <w:szCs w:val="24"/>
          <w:u w:val="single"/>
        </w:rPr>
        <w:t xml:space="preserve"> 30 </w:t>
      </w:r>
      <w:r>
        <w:rPr>
          <w:rFonts w:hint="eastAsia" w:eastAsia="宋体"/>
          <w:sz w:val="24"/>
          <w:szCs w:val="24"/>
        </w:rPr>
        <w:t>个工作日内甲乙双方进行到货验收工作。如验收合格，甲方（用户）应及时履行验收手续，双方签署设备到货验收签收单；如验收不合格，甲方（用户）应以书面形式通知乙方原因，乙方收到通知后</w:t>
      </w:r>
      <w:r>
        <w:rPr>
          <w:rFonts w:eastAsia="宋体"/>
          <w:sz w:val="24"/>
          <w:szCs w:val="24"/>
          <w:u w:val="single"/>
        </w:rPr>
        <w:t xml:space="preserve">   10  </w:t>
      </w:r>
      <w:r>
        <w:rPr>
          <w:rFonts w:hint="eastAsia" w:eastAsia="宋体"/>
          <w:sz w:val="24"/>
          <w:szCs w:val="24"/>
        </w:rPr>
        <w:t>个工作日内提供解决方案。</w:t>
      </w:r>
    </w:p>
    <w:p>
      <w:pPr>
        <w:pStyle w:val="631"/>
        <w:ind w:firstLine="480" w:firstLineChars="200"/>
        <w:rPr>
          <w:sz w:val="24"/>
          <w:szCs w:val="24"/>
        </w:rPr>
      </w:pPr>
      <w:r>
        <w:rPr>
          <w:rFonts w:hint="eastAsia"/>
          <w:sz w:val="24"/>
          <w:szCs w:val="24"/>
        </w:rPr>
        <w:t>（三）在验收工作中，发现数量不足或有质量、技术等问题，乙方应按照合同要求采取补足、更换或退货等处理措施，并承担由此发生的一切费用和损失。</w:t>
      </w:r>
    </w:p>
    <w:p>
      <w:pPr>
        <w:pStyle w:val="631"/>
        <w:ind w:firstLine="480" w:firstLineChars="200"/>
        <w:rPr>
          <w:sz w:val="24"/>
          <w:szCs w:val="24"/>
        </w:rPr>
      </w:pPr>
      <w:r>
        <w:rPr>
          <w:rFonts w:hint="eastAsia"/>
          <w:sz w:val="24"/>
          <w:szCs w:val="24"/>
        </w:rPr>
        <w:t>（四）涉及设备安装调试的，乙方负责在甲方（用户）配合下完成所供设备安装调试并保证与用户原有设备互联互通，有关技术问题由乙方和制造商协同解决。安装调试后，双方签署设备安装调试验收报告。</w:t>
      </w:r>
    </w:p>
    <w:p>
      <w:pPr>
        <w:pStyle w:val="631"/>
        <w:ind w:firstLine="480" w:firstLineChars="200"/>
        <w:rPr>
          <w:sz w:val="24"/>
          <w:szCs w:val="24"/>
        </w:rPr>
      </w:pPr>
      <w:r>
        <w:rPr>
          <w:rFonts w:hint="eastAsia"/>
          <w:sz w:val="24"/>
          <w:szCs w:val="24"/>
        </w:rPr>
        <w:t>（五）合同项下货物生产期间，甲方（用户）有权派工作人员到生产厂进行监造、现场抽样和出厂前验核。此次验核不代表甲方（用户）对货物的最终验收。期间相关费用，包括技术交流和技术材料费等由乙方负担。</w:t>
      </w:r>
    </w:p>
    <w:p>
      <w:pPr>
        <w:pStyle w:val="631"/>
        <w:ind w:firstLine="480" w:firstLineChars="200"/>
        <w:rPr>
          <w:sz w:val="24"/>
          <w:szCs w:val="24"/>
        </w:rPr>
      </w:pPr>
      <w:r>
        <w:rPr>
          <w:rFonts w:hint="eastAsia"/>
          <w:sz w:val="24"/>
          <w:szCs w:val="24"/>
        </w:rPr>
        <w:t>（六）为验核货物内在功能是否完备，甲方（用户）有权组织对货物进行随机抽样，并委托有关检测单位进行检测，该检测结果将作为货物质量的评判依据，相关送检和检测费用由乙方承担。如检测指标不符合招标文件（谈判文件、询价通知书、磋商文件、单一来源）、投标（响应）文件要求的，甲方有权拒收全部此类货物，乙方应按照甲方要求无条件对拒收货物进行更换，并承担由此给甲方造成的工期延误等损失。对乙方可能涉嫌提供虚假材料或虚假响应的行为，甲方有权依法向监管部门反映并追究乙方法律责任。</w:t>
      </w:r>
    </w:p>
    <w:p>
      <w:pPr>
        <w:pStyle w:val="633"/>
        <w:spacing w:line="360" w:lineRule="auto"/>
        <w:ind w:firstLine="480" w:firstLineChars="200"/>
        <w:rPr>
          <w:rFonts w:eastAsia="宋体"/>
          <w:sz w:val="24"/>
          <w:szCs w:val="24"/>
        </w:rPr>
      </w:pPr>
      <w:r>
        <w:rPr>
          <w:rFonts w:hint="eastAsia" w:eastAsia="宋体"/>
          <w:sz w:val="24"/>
          <w:szCs w:val="24"/>
        </w:rPr>
        <w:t>（七）甲方（用户）认为必要时，对大型或者复杂的货物采购项目，可以邀请国家认可的质量检测机构参加验收工作，相关验收意见作为验收报告的参考资料，相关费用由乙方承担。</w:t>
      </w:r>
    </w:p>
    <w:p>
      <w:pPr>
        <w:pStyle w:val="633"/>
        <w:spacing w:line="360" w:lineRule="auto"/>
        <w:ind w:firstLine="480" w:firstLineChars="200"/>
        <w:rPr>
          <w:rFonts w:eastAsia="宋体"/>
          <w:sz w:val="24"/>
          <w:szCs w:val="24"/>
        </w:rPr>
      </w:pPr>
      <w:r>
        <w:rPr>
          <w:rFonts w:hint="eastAsia" w:eastAsia="宋体"/>
          <w:sz w:val="24"/>
          <w:szCs w:val="24"/>
        </w:rPr>
        <w:t>（八）验收标准以双方达成的对质量和技术标准的约定、乙方承诺的质量和技术标准、国家或行业规定的相关质量和技术标准中最高者为准，且应充分满足甲方使用要求。</w:t>
      </w:r>
    </w:p>
    <w:p>
      <w:pPr>
        <w:pStyle w:val="631"/>
        <w:ind w:firstLine="482" w:firstLineChars="200"/>
        <w:rPr>
          <w:sz w:val="24"/>
          <w:szCs w:val="24"/>
        </w:rPr>
      </w:pPr>
      <w:r>
        <w:rPr>
          <w:rFonts w:hint="eastAsia"/>
          <w:b/>
          <w:bCs/>
          <w:sz w:val="24"/>
          <w:szCs w:val="24"/>
        </w:rPr>
        <w:t>第八条</w:t>
      </w:r>
      <w:r>
        <w:rPr>
          <w:b/>
          <w:bCs/>
          <w:sz w:val="24"/>
          <w:szCs w:val="24"/>
        </w:rPr>
        <w:t xml:space="preserve"> </w:t>
      </w:r>
      <w:r>
        <w:rPr>
          <w:rFonts w:hint="eastAsia"/>
          <w:b/>
          <w:bCs/>
          <w:sz w:val="24"/>
          <w:szCs w:val="24"/>
        </w:rPr>
        <w:t>质量保证</w:t>
      </w:r>
    </w:p>
    <w:p>
      <w:pPr>
        <w:ind w:firstLine="480" w:firstLineChars="200"/>
        <w:rPr>
          <w:rFonts w:hint="eastAsia"/>
          <w:sz w:val="24"/>
        </w:rPr>
      </w:pPr>
      <w:r>
        <w:rPr>
          <w:rFonts w:hint="eastAsia"/>
          <w:sz w:val="24"/>
        </w:rPr>
        <w:t>（一）乙方应保证所供货物为</w:t>
      </w:r>
      <w:r>
        <w:rPr>
          <w:sz w:val="24"/>
          <w:u w:val="single"/>
        </w:rPr>
        <w:t xml:space="preserve">              </w:t>
      </w:r>
      <w:r>
        <w:rPr>
          <w:rFonts w:hint="eastAsia"/>
          <w:sz w:val="24"/>
        </w:rPr>
        <w:t>公司制造生产、原包装、全新未使用过的产品，与投标文件</w:t>
      </w:r>
      <w:r>
        <w:rPr>
          <w:sz w:val="24"/>
        </w:rPr>
        <w:t>/</w:t>
      </w:r>
      <w:r>
        <w:rPr>
          <w:rFonts w:hint="eastAsia"/>
          <w:sz w:val="24"/>
        </w:rPr>
        <w:t>应答文件承诺一致，并完全符合或高于合同要求的质量、规格和技术性能。</w:t>
      </w:r>
    </w:p>
    <w:p>
      <w:pPr>
        <w:ind w:firstLine="480" w:firstLineChars="200"/>
        <w:rPr>
          <w:rFonts w:hint="eastAsia"/>
          <w:sz w:val="24"/>
        </w:rPr>
      </w:pPr>
      <w:r>
        <w:rPr>
          <w:rFonts w:hint="eastAsia"/>
          <w:sz w:val="24"/>
        </w:rPr>
        <w:t>（二）乙方应保证所供货物没有因乙方的行为或疏忽而产生材料或工艺上的缺陷，并保证其货物在正确安装、正常使用和保养条件下，在其使用寿命期内具有满意的性能。在货物最终交付验收后不少于合同规定或乙方承诺（两者以较长的为准）的质量保证期内，本保证保持有效。</w:t>
      </w:r>
    </w:p>
    <w:p>
      <w:pPr>
        <w:ind w:firstLine="480" w:firstLineChars="200"/>
        <w:rPr>
          <w:rFonts w:hint="eastAsia"/>
          <w:sz w:val="24"/>
        </w:rPr>
      </w:pPr>
      <w:r>
        <w:rPr>
          <w:rFonts w:hint="eastAsia"/>
          <w:sz w:val="24"/>
        </w:rPr>
        <w:t>（三）如果乙方所供货物质量与合同不符，或证实所供货物是有缺陷的，包括潜在的缺陷或使用不符合要求的材料等，由此引起的全部损失及费用由乙方承担。若以上原因导致或引起甲方（用户）损失及导致或引起第三方受到损害的，全部赔偿责任均应由乙方承担。</w:t>
      </w:r>
    </w:p>
    <w:p>
      <w:pPr>
        <w:ind w:firstLine="480" w:firstLineChars="200"/>
        <w:rPr>
          <w:rFonts w:hint="eastAsia"/>
          <w:sz w:val="24"/>
        </w:rPr>
      </w:pPr>
      <w:r>
        <w:rPr>
          <w:rFonts w:hint="eastAsia"/>
          <w:sz w:val="24"/>
        </w:rPr>
        <w:t>（四）在质量保证期内所发现的缺陷，甲方（用户）应尽快以书面形式通知乙方。乙方收到通知后应</w:t>
      </w:r>
      <w:r>
        <w:rPr>
          <w:sz w:val="24"/>
        </w:rPr>
        <w:t>10</w:t>
      </w:r>
      <w:r>
        <w:rPr>
          <w:rFonts w:hint="eastAsia"/>
          <w:sz w:val="24"/>
        </w:rPr>
        <w:t>日内维修或更换有缺陷的货物或部件（不额外收费）。</w:t>
      </w:r>
    </w:p>
    <w:p>
      <w:pPr>
        <w:ind w:firstLine="480" w:firstLineChars="200"/>
        <w:rPr>
          <w:rFonts w:hint="eastAsia"/>
          <w:sz w:val="24"/>
        </w:rPr>
      </w:pPr>
      <w:r>
        <w:rPr>
          <w:rFonts w:hint="eastAsia"/>
          <w:sz w:val="24"/>
        </w:rPr>
        <w:t>（五）乙方在约定的时间内未能弥补缺陷，甲方（用户）可采取必要的补救措施，但其风险和费用将由乙方承担，甲方（用户）根据合同规定对乙方行使的其他权利不受影响。</w:t>
      </w:r>
    </w:p>
    <w:p>
      <w:pPr>
        <w:ind w:firstLine="480" w:firstLineChars="200"/>
        <w:rPr>
          <w:rFonts w:hint="eastAsia"/>
          <w:sz w:val="24"/>
        </w:rPr>
      </w:pPr>
      <w:r>
        <w:rPr>
          <w:rFonts w:hint="eastAsia"/>
          <w:sz w:val="24"/>
        </w:rPr>
        <w:t>（六）本合同项目所有货物质量保证期为：验收合格后提供三年质保。质保期内，中标人负责提供仪器维护及维修服务，包括整机零部件、备品备件及消耗件等维修或更换和每年一次全面的整机保养服务。提供工作站专用软件终身维护及更新。中标人不额外收取费用。</w:t>
      </w:r>
    </w:p>
    <w:p>
      <w:pPr>
        <w:ind w:firstLine="482" w:firstLineChars="200"/>
        <w:rPr>
          <w:rFonts w:hint="eastAsia"/>
          <w:b/>
          <w:bCs/>
          <w:sz w:val="24"/>
        </w:rPr>
      </w:pPr>
      <w:r>
        <w:rPr>
          <w:rFonts w:hint="eastAsia"/>
          <w:b/>
          <w:bCs/>
          <w:sz w:val="24"/>
        </w:rPr>
        <w:t>第九条</w:t>
      </w:r>
      <w:r>
        <w:rPr>
          <w:b/>
          <w:bCs/>
          <w:sz w:val="24"/>
        </w:rPr>
        <w:t xml:space="preserve"> </w:t>
      </w:r>
      <w:r>
        <w:rPr>
          <w:rFonts w:hint="eastAsia"/>
          <w:b/>
          <w:bCs/>
          <w:sz w:val="24"/>
        </w:rPr>
        <w:t>培训</w:t>
      </w:r>
    </w:p>
    <w:p>
      <w:pPr>
        <w:ind w:firstLine="480" w:firstLineChars="200"/>
        <w:rPr>
          <w:rFonts w:hint="eastAsia"/>
          <w:b/>
          <w:bCs/>
          <w:sz w:val="24"/>
        </w:rPr>
      </w:pPr>
      <w:r>
        <w:rPr>
          <w:rFonts w:hint="eastAsia"/>
          <w:bCs/>
          <w:sz w:val="24"/>
        </w:rPr>
        <w:t>本合同所包括的培训详见附件培训方案。</w:t>
      </w:r>
    </w:p>
    <w:p>
      <w:pPr>
        <w:ind w:firstLine="482" w:firstLineChars="200"/>
        <w:rPr>
          <w:rFonts w:hint="eastAsia"/>
          <w:b/>
          <w:bCs/>
          <w:sz w:val="24"/>
        </w:rPr>
      </w:pPr>
      <w:r>
        <w:rPr>
          <w:rFonts w:hint="eastAsia"/>
          <w:b/>
          <w:bCs/>
          <w:sz w:val="24"/>
        </w:rPr>
        <w:t>第十条</w:t>
      </w:r>
      <w:r>
        <w:rPr>
          <w:b/>
          <w:bCs/>
          <w:sz w:val="24"/>
        </w:rPr>
        <w:t xml:space="preserve"> </w:t>
      </w:r>
      <w:r>
        <w:rPr>
          <w:rFonts w:hint="eastAsia"/>
          <w:b/>
          <w:bCs/>
          <w:sz w:val="24"/>
        </w:rPr>
        <w:t>售后服务</w:t>
      </w:r>
    </w:p>
    <w:p>
      <w:pPr>
        <w:ind w:firstLine="480" w:firstLineChars="200"/>
        <w:rPr>
          <w:rFonts w:hint="eastAsia"/>
          <w:sz w:val="24"/>
        </w:rPr>
      </w:pPr>
      <w:r>
        <w:rPr>
          <w:rFonts w:hint="eastAsia"/>
          <w:sz w:val="24"/>
        </w:rPr>
        <w:t>（一）供应商（制造商）在质量保证期内提供</w:t>
      </w:r>
      <w:r>
        <w:rPr>
          <w:sz w:val="24"/>
        </w:rPr>
        <w:t>4</w:t>
      </w:r>
      <w:r>
        <w:rPr>
          <w:rFonts w:hint="eastAsia"/>
          <w:sz w:val="24"/>
        </w:rPr>
        <w:t>小时内响应，</w:t>
      </w:r>
      <w:r>
        <w:rPr>
          <w:sz w:val="24"/>
        </w:rPr>
        <w:t>24</w:t>
      </w:r>
      <w:r>
        <w:rPr>
          <w:rFonts w:hint="eastAsia"/>
          <w:sz w:val="24"/>
        </w:rPr>
        <w:t>小时内提出解决方案，</w:t>
      </w:r>
      <w:r>
        <w:rPr>
          <w:sz w:val="24"/>
        </w:rPr>
        <w:t>48</w:t>
      </w:r>
      <w:r>
        <w:rPr>
          <w:rFonts w:hint="eastAsia"/>
          <w:sz w:val="24"/>
        </w:rPr>
        <w:t>小时内到达现场。中标人不额外收取费用。。</w:t>
      </w:r>
    </w:p>
    <w:p>
      <w:pPr>
        <w:ind w:firstLine="480" w:firstLineChars="200"/>
        <w:rPr>
          <w:rFonts w:hint="eastAsia"/>
          <w:sz w:val="24"/>
        </w:rPr>
      </w:pPr>
      <w:r>
        <w:rPr>
          <w:rFonts w:hint="eastAsia"/>
          <w:sz w:val="24"/>
        </w:rPr>
        <w:t>（二）本合同所包含的售后服务，包含制造商售后服务和代理商售后服务，具体见附件技术支持及售后服务方案。</w:t>
      </w:r>
    </w:p>
    <w:p>
      <w:pPr>
        <w:ind w:firstLine="482" w:firstLineChars="200"/>
        <w:rPr>
          <w:rFonts w:hint="eastAsia"/>
          <w:b/>
          <w:bCs/>
          <w:sz w:val="24"/>
        </w:rPr>
      </w:pPr>
      <w:r>
        <w:rPr>
          <w:rFonts w:hint="eastAsia"/>
          <w:b/>
          <w:bCs/>
          <w:sz w:val="24"/>
        </w:rPr>
        <w:t>第十一条</w:t>
      </w:r>
      <w:r>
        <w:rPr>
          <w:b/>
          <w:bCs/>
          <w:sz w:val="24"/>
        </w:rPr>
        <w:t xml:space="preserve"> </w:t>
      </w:r>
      <w:r>
        <w:rPr>
          <w:rFonts w:hint="eastAsia"/>
          <w:b/>
          <w:bCs/>
          <w:sz w:val="24"/>
        </w:rPr>
        <w:t>违约责任</w:t>
      </w:r>
    </w:p>
    <w:p>
      <w:pPr>
        <w:ind w:firstLine="480" w:firstLineChars="200"/>
        <w:rPr>
          <w:rFonts w:hint="eastAsia"/>
          <w:sz w:val="24"/>
        </w:rPr>
      </w:pPr>
      <w:r>
        <w:rPr>
          <w:rFonts w:hint="eastAsia"/>
          <w:sz w:val="24"/>
        </w:rPr>
        <w:t>（一）因乙方原因未能按照本合同要求交付合格的货物或提供相关服务的违约责任。</w:t>
      </w:r>
    </w:p>
    <w:p>
      <w:pPr>
        <w:ind w:firstLine="480" w:firstLineChars="200"/>
        <w:rPr>
          <w:rFonts w:hint="eastAsia"/>
          <w:sz w:val="24"/>
        </w:rPr>
      </w:pPr>
      <w:r>
        <w:rPr>
          <w:sz w:val="24"/>
        </w:rPr>
        <w:t>1.</w:t>
      </w:r>
      <w:r>
        <w:rPr>
          <w:rFonts w:hint="eastAsia"/>
          <w:sz w:val="24"/>
        </w:rPr>
        <w:t>对于货物被证实存在缺陷（包括潜在的缺陷）或者不符合合同要求的，或原材料、技术标准、尺寸、颜色等存在质量问题，在合同条款规定的检验、安装、调试、验收和质量保证期内，甲方有权要求退货、退货重新制作、新货替换。乙方应按照甲方意见，用以下一种或几种方式结合解决：</w:t>
      </w:r>
    </w:p>
    <w:p>
      <w:pPr>
        <w:ind w:firstLine="480" w:firstLineChars="200"/>
        <w:rPr>
          <w:rFonts w:hint="eastAsia"/>
          <w:sz w:val="24"/>
        </w:rPr>
      </w:pPr>
      <w:r>
        <w:rPr>
          <w:rFonts w:hint="eastAsia"/>
          <w:sz w:val="24"/>
        </w:rPr>
        <w:t>（</w:t>
      </w:r>
      <w:r>
        <w:rPr>
          <w:sz w:val="24"/>
        </w:rPr>
        <w:t>1</w:t>
      </w:r>
      <w:r>
        <w:rPr>
          <w:rFonts w:hint="eastAsia"/>
          <w:sz w:val="24"/>
        </w:rPr>
        <w:t>）退货：甲方将货物退回乙方，乙方将合同货款退还给甲方，并承担由此发生的一切损失和费用。</w:t>
      </w:r>
    </w:p>
    <w:p>
      <w:pPr>
        <w:ind w:firstLine="480" w:firstLineChars="200"/>
        <w:rPr>
          <w:rFonts w:hint="eastAsia"/>
          <w:sz w:val="24"/>
        </w:rPr>
      </w:pPr>
      <w:r>
        <w:rPr>
          <w:rFonts w:hint="eastAsia"/>
          <w:sz w:val="24"/>
        </w:rPr>
        <w:t>（</w:t>
      </w:r>
      <w:r>
        <w:rPr>
          <w:sz w:val="24"/>
        </w:rPr>
        <w:t>2</w:t>
      </w:r>
      <w:r>
        <w:rPr>
          <w:rFonts w:hint="eastAsia"/>
          <w:sz w:val="24"/>
        </w:rPr>
        <w:t>）退货重新制作：甲方将货物退回乙方，乙方按照技术标准要求重新制作，并承担由此发生的一切损失和费用。</w:t>
      </w:r>
    </w:p>
    <w:p>
      <w:pPr>
        <w:ind w:firstLine="480" w:firstLineChars="200"/>
        <w:rPr>
          <w:rFonts w:hint="eastAsia"/>
          <w:sz w:val="24"/>
        </w:rPr>
      </w:pPr>
      <w:r>
        <w:rPr>
          <w:rFonts w:hint="eastAsia"/>
          <w:sz w:val="24"/>
        </w:rPr>
        <w:t>（</w:t>
      </w:r>
      <w:r>
        <w:rPr>
          <w:sz w:val="24"/>
        </w:rPr>
        <w:t>3</w:t>
      </w:r>
      <w:r>
        <w:rPr>
          <w:rFonts w:hint="eastAsia"/>
          <w:sz w:val="24"/>
        </w:rPr>
        <w:t>）新货替换：乙方用满足技术标准要求的货物替换存在缺陷的产品，承担甲方蒙受的全部损失和费用，并承担由此引发的一切风险，且相应延长所换货物的质量保证期。</w:t>
      </w:r>
    </w:p>
    <w:p>
      <w:pPr>
        <w:ind w:firstLine="480" w:firstLineChars="200"/>
        <w:rPr>
          <w:rFonts w:hint="eastAsia"/>
          <w:sz w:val="24"/>
        </w:rPr>
      </w:pPr>
      <w:r>
        <w:rPr>
          <w:sz w:val="24"/>
        </w:rPr>
        <w:t>2.</w:t>
      </w:r>
      <w:r>
        <w:rPr>
          <w:rFonts w:hint="eastAsia"/>
          <w:bCs/>
          <w:sz w:val="24"/>
        </w:rPr>
        <w:t>如果乙方</w:t>
      </w:r>
      <w:r>
        <w:rPr>
          <w:rFonts w:hint="eastAsia"/>
          <w:sz w:val="24"/>
        </w:rPr>
        <w:t>未在甲方要求的</w:t>
      </w:r>
      <w:r>
        <w:rPr>
          <w:sz w:val="24"/>
        </w:rPr>
        <w:t>10</w:t>
      </w:r>
      <w:r>
        <w:rPr>
          <w:rFonts w:hint="eastAsia"/>
          <w:sz w:val="24"/>
        </w:rPr>
        <w:t>日内或甲方同意的期限内，按照上述任何一种方式采取补救措施，甲方有权解除合同，扣除全部履约保证金并要求乙方退回甲方已支付的货款，并视损失情况根据《中华人民共和国民法典（合同编）》有关规定追究其相关责任，赔偿甲方（用户）的全部损失。</w:t>
      </w:r>
    </w:p>
    <w:p>
      <w:pPr>
        <w:pStyle w:val="634"/>
        <w:spacing w:line="360" w:lineRule="auto"/>
        <w:ind w:firstLine="480" w:firstLineChars="200"/>
        <w:rPr>
          <w:rFonts w:eastAsia="宋体"/>
          <w:sz w:val="24"/>
          <w:szCs w:val="24"/>
        </w:rPr>
      </w:pPr>
      <w:r>
        <w:rPr>
          <w:rFonts w:eastAsia="宋体"/>
          <w:sz w:val="24"/>
          <w:szCs w:val="24"/>
        </w:rPr>
        <w:t>3.</w:t>
      </w:r>
      <w:r>
        <w:rPr>
          <w:rFonts w:hint="eastAsia" w:eastAsia="宋体"/>
          <w:sz w:val="24"/>
          <w:szCs w:val="24"/>
        </w:rPr>
        <w:t>对于未能按合同要求提供服务或被证实未提供应当承担的服务的，甲方有权要求限期整改。无合理理由不进行整改的视为根本违约。</w:t>
      </w:r>
    </w:p>
    <w:p>
      <w:pPr>
        <w:ind w:firstLine="480" w:firstLineChars="200"/>
        <w:rPr>
          <w:rFonts w:hint="eastAsia"/>
          <w:sz w:val="24"/>
        </w:rPr>
      </w:pPr>
      <w:r>
        <w:rPr>
          <w:rFonts w:hint="eastAsia"/>
          <w:sz w:val="24"/>
        </w:rPr>
        <w:t>（二）乙方未按照本合同规定的时间交货和提供服务的违约责任。</w:t>
      </w:r>
    </w:p>
    <w:p>
      <w:pPr>
        <w:pStyle w:val="635"/>
        <w:spacing w:line="360" w:lineRule="auto"/>
        <w:ind w:firstLine="480" w:firstLineChars="200"/>
        <w:rPr>
          <w:rFonts w:eastAsia="宋体"/>
          <w:sz w:val="24"/>
          <w:szCs w:val="24"/>
        </w:rPr>
      </w:pPr>
      <w:r>
        <w:rPr>
          <w:rFonts w:eastAsia="宋体"/>
          <w:sz w:val="24"/>
          <w:szCs w:val="24"/>
        </w:rPr>
        <w:t>1.</w:t>
      </w:r>
      <w:r>
        <w:rPr>
          <w:rFonts w:hint="eastAsia" w:eastAsia="宋体"/>
          <w:sz w:val="24"/>
          <w:szCs w:val="24"/>
        </w:rPr>
        <w:t>在履行合同过程中，如果乙方遇到可能妨碍按时交货和提供服务的情形时，应及时以书面形式将延迟的事实、可能延迟的期限和理由通知甲方（用户）。甲方（用户）在收到乙方通知后，应尽快对情况进行评价，并确定是否同意延迟交货时间或延期提供服务，如甲方（用户）不同意延期，乙方仍应当按照约定的时间完成交货义务，如甲方（用户）同意延期，必须以双方签订的补充协议为准。</w:t>
      </w:r>
    </w:p>
    <w:p>
      <w:pPr>
        <w:pStyle w:val="635"/>
        <w:spacing w:line="360" w:lineRule="auto"/>
        <w:ind w:firstLine="480" w:firstLineChars="200"/>
        <w:rPr>
          <w:rFonts w:eastAsia="宋体"/>
          <w:sz w:val="24"/>
          <w:szCs w:val="24"/>
        </w:rPr>
      </w:pPr>
      <w:r>
        <w:rPr>
          <w:rFonts w:eastAsia="宋体"/>
          <w:sz w:val="24"/>
          <w:szCs w:val="24"/>
        </w:rPr>
        <w:t>2.</w:t>
      </w:r>
      <w:r>
        <w:rPr>
          <w:rFonts w:hint="eastAsia" w:eastAsia="宋体"/>
          <w:sz w:val="24"/>
          <w:szCs w:val="24"/>
        </w:rPr>
        <w:t>除甲乙双方另有约定外，如果乙方没有按照合同规定的时间交货和提供服务，甲方有权在不影响合同项下其他补救措施的情况下，要求乙方支付误期赔偿费，或从合同货款、履约保证金中扣除误期赔偿费。赔偿费按每周迟交货物价格或未提供服务费用的百分之零点五（</w:t>
      </w:r>
      <w:r>
        <w:rPr>
          <w:rFonts w:eastAsia="宋体"/>
          <w:sz w:val="24"/>
          <w:szCs w:val="24"/>
        </w:rPr>
        <w:t>0.5%</w:t>
      </w:r>
      <w:r>
        <w:rPr>
          <w:rFonts w:hint="eastAsia" w:eastAsia="宋体"/>
          <w:sz w:val="24"/>
          <w:szCs w:val="24"/>
        </w:rPr>
        <w:t>）计收，直到交货或提供服务为止。但误期赔偿费的最高限额不超过误期货物或服务合同价格的百分之十（</w:t>
      </w:r>
      <w:r>
        <w:rPr>
          <w:rFonts w:eastAsia="宋体"/>
          <w:sz w:val="24"/>
          <w:szCs w:val="24"/>
        </w:rPr>
        <w:t>10%</w:t>
      </w:r>
      <w:r>
        <w:rPr>
          <w:rFonts w:hint="eastAsia" w:eastAsia="宋体"/>
          <w:sz w:val="24"/>
          <w:szCs w:val="24"/>
        </w:rPr>
        <w:t>）。一周按七（</w:t>
      </w:r>
      <w:r>
        <w:rPr>
          <w:rFonts w:eastAsia="宋体"/>
          <w:sz w:val="24"/>
          <w:szCs w:val="24"/>
        </w:rPr>
        <w:t>7</w:t>
      </w:r>
      <w:r>
        <w:rPr>
          <w:rFonts w:hint="eastAsia" w:eastAsia="宋体"/>
          <w:sz w:val="24"/>
          <w:szCs w:val="24"/>
        </w:rPr>
        <w:t>）天计算，不足七（</w:t>
      </w:r>
      <w:r>
        <w:rPr>
          <w:rFonts w:eastAsia="宋体"/>
          <w:sz w:val="24"/>
          <w:szCs w:val="24"/>
        </w:rPr>
        <w:t>7</w:t>
      </w:r>
      <w:r>
        <w:rPr>
          <w:rFonts w:hint="eastAsia" w:eastAsia="宋体"/>
          <w:sz w:val="24"/>
          <w:szCs w:val="24"/>
        </w:rPr>
        <w:t>）天按一周计算。</w:t>
      </w:r>
    </w:p>
    <w:p>
      <w:pPr>
        <w:pStyle w:val="635"/>
        <w:spacing w:line="360" w:lineRule="auto"/>
        <w:ind w:firstLine="480" w:firstLineChars="200"/>
        <w:rPr>
          <w:rFonts w:eastAsia="宋体"/>
          <w:sz w:val="24"/>
          <w:szCs w:val="24"/>
        </w:rPr>
      </w:pPr>
      <w:r>
        <w:rPr>
          <w:rFonts w:eastAsia="宋体"/>
          <w:sz w:val="24"/>
          <w:szCs w:val="24"/>
        </w:rPr>
        <w:t>3.</w:t>
      </w:r>
      <w:r>
        <w:rPr>
          <w:rFonts w:hint="eastAsia" w:eastAsia="宋体"/>
          <w:sz w:val="24"/>
          <w:szCs w:val="24"/>
        </w:rPr>
        <w:t>出现上述没有按照合同规定的时间交货和提供服务的情形时，甲方也可以选择解除合同，要求乙方退回甲方已支付货款、扣除履约保证金并追究乙方相应违约责任、赔偿甲方（用户）的全部损失。</w:t>
      </w:r>
    </w:p>
    <w:p>
      <w:pPr>
        <w:pStyle w:val="635"/>
        <w:spacing w:line="360" w:lineRule="auto"/>
        <w:ind w:firstLine="480" w:firstLineChars="200"/>
        <w:rPr>
          <w:rFonts w:eastAsia="宋体"/>
          <w:sz w:val="24"/>
          <w:szCs w:val="24"/>
        </w:rPr>
      </w:pPr>
      <w:r>
        <w:rPr>
          <w:rFonts w:eastAsia="宋体"/>
          <w:sz w:val="24"/>
          <w:szCs w:val="24"/>
        </w:rPr>
        <w:t>4.</w:t>
      </w:r>
      <w:r>
        <w:rPr>
          <w:rFonts w:hint="eastAsia" w:eastAsia="宋体"/>
          <w:sz w:val="24"/>
          <w:szCs w:val="24"/>
        </w:rPr>
        <w:t>如合同被全部或部分解除，甲方可依其认为适当的条款和方法购买与未交货类似的货物，乙方应对购买类似货物所超出的那部分费用负责。同时，乙方应继续执行合同中未解除的部分。如乙方违约并经同意延期仍不能履行合同时，甲方有权解除合同，扣除履约保证金，且乙方应赔偿由此给甲方造成的损失。</w:t>
      </w:r>
    </w:p>
    <w:p>
      <w:pPr>
        <w:pStyle w:val="635"/>
        <w:spacing w:line="360" w:lineRule="auto"/>
        <w:ind w:firstLine="480" w:firstLineChars="200"/>
        <w:rPr>
          <w:rFonts w:eastAsia="宋体"/>
          <w:sz w:val="24"/>
          <w:szCs w:val="24"/>
        </w:rPr>
      </w:pPr>
      <w:r>
        <w:rPr>
          <w:rFonts w:hint="eastAsia" w:eastAsia="宋体"/>
          <w:sz w:val="24"/>
          <w:szCs w:val="24"/>
        </w:rPr>
        <w:t>（三）因乙方或乙方工作人员或乙方相关方的作为或不作为行为致使甲方或第三方遭受人员人身伤害或财产损失的，乙方应承担全部赔偿责任，赔偿全部损失，且甲方有权以全部履约保证金作为违约金，解除本合同。</w:t>
      </w:r>
    </w:p>
    <w:p>
      <w:pPr>
        <w:pStyle w:val="636"/>
        <w:spacing w:before="231" w:after="231" w:line="360" w:lineRule="auto"/>
        <w:ind w:firstLine="480" w:firstLineChars="200"/>
        <w:rPr>
          <w:rFonts w:eastAsia="宋体"/>
          <w:sz w:val="24"/>
          <w:szCs w:val="24"/>
        </w:rPr>
      </w:pPr>
      <w:r>
        <w:rPr>
          <w:rFonts w:hint="eastAsia" w:eastAsia="宋体"/>
          <w:sz w:val="24"/>
          <w:szCs w:val="24"/>
        </w:rPr>
        <w:t>（四）在本合同履行过程中，如果有证据证明乙方根本无法履行合同的，甲方可以行使不安抗辩权，有权解除合同，并扣除履约保证金，如因乙方不能履行给甲方造成其他损失的，乙方应继续承担赔偿责任。</w:t>
      </w:r>
    </w:p>
    <w:p>
      <w:pPr>
        <w:pStyle w:val="637"/>
        <w:spacing w:line="360" w:lineRule="auto"/>
        <w:ind w:firstLine="482" w:firstLineChars="200"/>
        <w:rPr>
          <w:rFonts w:eastAsia="宋体"/>
          <w:b/>
          <w:bCs/>
          <w:sz w:val="24"/>
          <w:szCs w:val="24"/>
        </w:rPr>
      </w:pPr>
      <w:r>
        <w:rPr>
          <w:rFonts w:hint="eastAsia" w:eastAsia="宋体"/>
          <w:b/>
          <w:bCs/>
          <w:sz w:val="24"/>
          <w:szCs w:val="24"/>
        </w:rPr>
        <w:t>第十二条</w:t>
      </w:r>
      <w:r>
        <w:rPr>
          <w:rFonts w:eastAsia="宋体"/>
          <w:b/>
          <w:bCs/>
          <w:sz w:val="24"/>
          <w:szCs w:val="24"/>
        </w:rPr>
        <w:t xml:space="preserve"> </w:t>
      </w:r>
      <w:r>
        <w:rPr>
          <w:rFonts w:hint="eastAsia" w:eastAsia="宋体"/>
          <w:b/>
          <w:bCs/>
          <w:sz w:val="24"/>
          <w:szCs w:val="24"/>
        </w:rPr>
        <w:t>异议的期限和方法</w:t>
      </w:r>
    </w:p>
    <w:p>
      <w:pPr>
        <w:pStyle w:val="637"/>
        <w:spacing w:line="360" w:lineRule="auto"/>
        <w:ind w:firstLine="480" w:firstLineChars="200"/>
        <w:rPr>
          <w:rFonts w:eastAsia="宋体"/>
          <w:sz w:val="24"/>
          <w:szCs w:val="24"/>
        </w:rPr>
      </w:pPr>
      <w:r>
        <w:rPr>
          <w:rFonts w:hint="eastAsia" w:eastAsia="宋体"/>
          <w:sz w:val="24"/>
          <w:szCs w:val="24"/>
        </w:rPr>
        <w:t>（一）异议期限自质量保证期开始之日起</w:t>
      </w:r>
      <w:r>
        <w:rPr>
          <w:rFonts w:eastAsia="宋体"/>
          <w:sz w:val="24"/>
          <w:szCs w:val="24"/>
        </w:rPr>
        <w:t>3</w:t>
      </w:r>
      <w:r>
        <w:rPr>
          <w:rFonts w:hint="eastAsia" w:eastAsia="宋体"/>
          <w:sz w:val="24"/>
          <w:szCs w:val="24"/>
        </w:rPr>
        <w:t>个月内。如果属于产品设计、材料、工艺或其他潜在的质量缺陷，甲方（用户）以书面形式提出异议及其处理意见。</w:t>
      </w:r>
    </w:p>
    <w:p>
      <w:pPr>
        <w:pStyle w:val="637"/>
        <w:spacing w:line="360" w:lineRule="auto"/>
        <w:ind w:firstLine="480" w:firstLineChars="200"/>
        <w:rPr>
          <w:rFonts w:eastAsia="宋体"/>
          <w:sz w:val="24"/>
          <w:szCs w:val="24"/>
        </w:rPr>
      </w:pPr>
      <w:r>
        <w:rPr>
          <w:rFonts w:hint="eastAsia" w:eastAsia="宋体"/>
          <w:sz w:val="24"/>
          <w:szCs w:val="24"/>
        </w:rPr>
        <w:t>（二）乙方接到甲方（用户）书面异议及其处理意见后，应在</w:t>
      </w:r>
      <w:r>
        <w:rPr>
          <w:rFonts w:eastAsia="宋体"/>
          <w:sz w:val="24"/>
          <w:szCs w:val="24"/>
        </w:rPr>
        <w:t>10</w:t>
      </w:r>
      <w:r>
        <w:rPr>
          <w:rFonts w:hint="eastAsia" w:eastAsia="宋体"/>
          <w:sz w:val="24"/>
          <w:szCs w:val="24"/>
        </w:rPr>
        <w:t>日内到甲方（用户）项目现场处理，否则即视为默认甲方（用户）提出的异议和处理意见。</w:t>
      </w:r>
    </w:p>
    <w:p>
      <w:pPr>
        <w:pStyle w:val="637"/>
        <w:spacing w:line="360" w:lineRule="auto"/>
        <w:ind w:firstLine="482" w:firstLineChars="200"/>
        <w:rPr>
          <w:rFonts w:eastAsia="宋体"/>
          <w:b/>
          <w:bCs/>
          <w:sz w:val="24"/>
          <w:szCs w:val="24"/>
        </w:rPr>
      </w:pPr>
      <w:r>
        <w:rPr>
          <w:rFonts w:hint="eastAsia" w:eastAsia="宋体"/>
          <w:b/>
          <w:bCs/>
          <w:sz w:val="24"/>
          <w:szCs w:val="24"/>
        </w:rPr>
        <w:t>第十三条</w:t>
      </w:r>
      <w:r>
        <w:rPr>
          <w:rFonts w:eastAsia="宋体"/>
          <w:b/>
          <w:bCs/>
          <w:sz w:val="24"/>
          <w:szCs w:val="24"/>
        </w:rPr>
        <w:t xml:space="preserve"> </w:t>
      </w:r>
      <w:r>
        <w:rPr>
          <w:rFonts w:hint="eastAsia" w:eastAsia="宋体"/>
          <w:b/>
          <w:bCs/>
          <w:sz w:val="24"/>
          <w:szCs w:val="24"/>
        </w:rPr>
        <w:t>使用合同文件和资料</w:t>
      </w:r>
    </w:p>
    <w:p>
      <w:pPr>
        <w:pStyle w:val="637"/>
        <w:spacing w:line="360" w:lineRule="auto"/>
        <w:ind w:firstLine="480" w:firstLineChars="200"/>
        <w:rPr>
          <w:rFonts w:eastAsia="宋体"/>
          <w:sz w:val="24"/>
          <w:szCs w:val="24"/>
        </w:rPr>
      </w:pPr>
      <w:r>
        <w:rPr>
          <w:rFonts w:hint="eastAsia" w:eastAsia="宋体"/>
          <w:sz w:val="24"/>
          <w:szCs w:val="24"/>
        </w:rPr>
        <w:t>（一）没有甲方（用户）事先书面同意，乙方不得将由甲方或代表甲方提供的有关合同或任何合同条文、规格或资料等提供给乙方雇佣于履行本合同以外的任何其他人。即使向本合同的雇员提供，也应注意保密并限于履行本合同必须的范围。</w:t>
      </w:r>
    </w:p>
    <w:p>
      <w:pPr>
        <w:pStyle w:val="637"/>
        <w:spacing w:line="360" w:lineRule="auto"/>
        <w:ind w:firstLine="480" w:firstLineChars="200"/>
        <w:rPr>
          <w:rFonts w:eastAsia="宋体"/>
          <w:sz w:val="24"/>
          <w:szCs w:val="24"/>
        </w:rPr>
      </w:pPr>
      <w:r>
        <w:rPr>
          <w:rFonts w:hint="eastAsia" w:eastAsia="宋体"/>
          <w:sz w:val="24"/>
          <w:szCs w:val="24"/>
        </w:rPr>
        <w:t>（二）没有甲方（用户）事先书面同意，除了履行本合同之外，乙方不应使用、传播与本合同相关的任何文件、资料。</w:t>
      </w:r>
    </w:p>
    <w:p>
      <w:pPr>
        <w:ind w:firstLine="482" w:firstLineChars="200"/>
        <w:rPr>
          <w:rFonts w:hint="eastAsia"/>
          <w:b/>
          <w:bCs/>
          <w:sz w:val="24"/>
        </w:rPr>
      </w:pPr>
      <w:r>
        <w:rPr>
          <w:rFonts w:hint="eastAsia"/>
          <w:b/>
          <w:bCs/>
          <w:sz w:val="24"/>
        </w:rPr>
        <w:t>第十四条</w:t>
      </w:r>
      <w:r>
        <w:rPr>
          <w:b/>
          <w:bCs/>
          <w:sz w:val="24"/>
        </w:rPr>
        <w:t xml:space="preserve"> </w:t>
      </w:r>
      <w:r>
        <w:rPr>
          <w:rFonts w:hint="eastAsia"/>
          <w:b/>
          <w:bCs/>
          <w:sz w:val="24"/>
        </w:rPr>
        <w:t>知识产权</w:t>
      </w:r>
    </w:p>
    <w:p>
      <w:pPr>
        <w:ind w:firstLine="480" w:firstLineChars="200"/>
        <w:rPr>
          <w:rFonts w:hint="eastAsia"/>
          <w:sz w:val="24"/>
        </w:rPr>
      </w:pPr>
      <w:r>
        <w:rPr>
          <w:rFonts w:hint="eastAsia"/>
          <w:sz w:val="24"/>
        </w:rPr>
        <w:t>（一）乙方应保证所提供的货物及服务不侵犯任何第三方的知识产权</w:t>
      </w:r>
      <w:r>
        <w:rPr>
          <w:sz w:val="24"/>
        </w:rPr>
        <w:t>(</w:t>
      </w:r>
      <w:r>
        <w:rPr>
          <w:rFonts w:hint="eastAsia"/>
          <w:sz w:val="24"/>
        </w:rPr>
        <w:t>专利权、商标权、版权等</w:t>
      </w:r>
      <w:r>
        <w:rPr>
          <w:sz w:val="24"/>
        </w:rPr>
        <w:t>)</w:t>
      </w:r>
      <w:r>
        <w:rPr>
          <w:rFonts w:hint="eastAsia"/>
          <w:sz w:val="24"/>
        </w:rPr>
        <w:t>及其他任何合法权益。如果甲方（用户）在使用乙方货物或服务的任何一部分过程中，遭致第三方索赔或主张权利的，乙方应当修正以避免侵权。</w:t>
      </w:r>
    </w:p>
    <w:p>
      <w:pPr>
        <w:ind w:firstLine="480" w:firstLineChars="200"/>
        <w:rPr>
          <w:rFonts w:hint="eastAsia"/>
          <w:sz w:val="24"/>
        </w:rPr>
      </w:pPr>
      <w:r>
        <w:rPr>
          <w:rFonts w:hint="eastAsia"/>
          <w:sz w:val="24"/>
        </w:rPr>
        <w:t>（二）如果甲方（用户）在使用乙方货物或货物的任何一部分过程中，因侵犯第三方合法权益（包括但不限于知识产权）而遭致第三方索赔或主张权利的，乙方将自费为甲方（用户）应诉，并支付法院最终判决的甲方（用户）应支付第三方的一切费用、并赔偿甲方（用户）由此遭受的全部损失及支出的合理费用。</w:t>
      </w:r>
    </w:p>
    <w:p>
      <w:pPr>
        <w:ind w:firstLine="480" w:firstLineChars="200"/>
        <w:rPr>
          <w:rFonts w:hint="eastAsia"/>
          <w:sz w:val="24"/>
        </w:rPr>
      </w:pPr>
      <w:r>
        <w:rPr>
          <w:rFonts w:hint="eastAsia"/>
          <w:sz w:val="24"/>
        </w:rPr>
        <w:t>（三）如乙方提供的货物或服务确实侵犯了第三方合法权益（包括但不限于知识产权）的，甲方有权解除合同，没收履约保证金，要求乙方退回已支付的全部货款，并赔偿甲方的全部损失及支出的合理费用。</w:t>
      </w:r>
    </w:p>
    <w:p>
      <w:pPr>
        <w:ind w:firstLine="482" w:firstLineChars="200"/>
        <w:rPr>
          <w:rFonts w:hint="eastAsia"/>
          <w:b/>
          <w:bCs/>
          <w:sz w:val="24"/>
        </w:rPr>
      </w:pPr>
      <w:r>
        <w:rPr>
          <w:rFonts w:hint="eastAsia"/>
          <w:b/>
          <w:bCs/>
          <w:sz w:val="24"/>
        </w:rPr>
        <w:t>第十五条</w:t>
      </w:r>
      <w:r>
        <w:rPr>
          <w:b/>
          <w:bCs/>
          <w:sz w:val="24"/>
        </w:rPr>
        <w:t xml:space="preserve"> </w:t>
      </w:r>
      <w:r>
        <w:rPr>
          <w:rFonts w:hint="eastAsia"/>
          <w:b/>
          <w:bCs/>
          <w:sz w:val="24"/>
        </w:rPr>
        <w:t>权利瑕疵担保</w:t>
      </w:r>
    </w:p>
    <w:p>
      <w:pPr>
        <w:ind w:firstLine="480" w:firstLineChars="200"/>
        <w:rPr>
          <w:rFonts w:hint="eastAsia"/>
          <w:sz w:val="24"/>
        </w:rPr>
      </w:pPr>
      <w:r>
        <w:rPr>
          <w:rFonts w:hint="eastAsia"/>
          <w:sz w:val="24"/>
        </w:rPr>
        <w:t>（一）乙方保证对其所提供的货物享有完全的所有权等合法权利，不存在任何未曾向甲方（用户）透露的担保物权（如抵押权、质押权、留置权等）或其他任何权利负担或争议。</w:t>
      </w:r>
    </w:p>
    <w:p>
      <w:pPr>
        <w:pStyle w:val="638"/>
        <w:spacing w:line="360" w:lineRule="auto"/>
        <w:ind w:firstLine="480" w:firstLineChars="200"/>
        <w:rPr>
          <w:rFonts w:eastAsia="宋体"/>
          <w:sz w:val="24"/>
          <w:szCs w:val="24"/>
        </w:rPr>
      </w:pPr>
      <w:r>
        <w:rPr>
          <w:rFonts w:hint="eastAsia" w:eastAsia="宋体"/>
          <w:sz w:val="24"/>
          <w:szCs w:val="24"/>
        </w:rPr>
        <w:t>（二）乙方应保证所提供的货物免受第三方提出的任何权利主张，如因第三方提出权利主张给甲方（用户）造成损失的，乙方应予以赔偿。</w:t>
      </w:r>
    </w:p>
    <w:p>
      <w:pPr>
        <w:ind w:firstLine="480" w:firstLineChars="200"/>
        <w:rPr>
          <w:rFonts w:hint="eastAsia"/>
          <w:sz w:val="24"/>
        </w:rPr>
      </w:pPr>
      <w:r>
        <w:rPr>
          <w:rFonts w:hint="eastAsia"/>
          <w:sz w:val="24"/>
        </w:rPr>
        <w:t>（三）如乙方所提供的货物存在前述担保货物或权利负担，甲方（用户）有权解除合同、没收履约保证金，并要求乙方退还已支付的全部货款，赔偿甲方（用户）的全部损失及支出的合理费用。</w:t>
      </w:r>
    </w:p>
    <w:p>
      <w:pPr>
        <w:ind w:firstLine="482" w:firstLineChars="200"/>
        <w:rPr>
          <w:rFonts w:hint="eastAsia"/>
          <w:b/>
          <w:bCs/>
          <w:sz w:val="24"/>
        </w:rPr>
      </w:pPr>
      <w:r>
        <w:rPr>
          <w:rFonts w:hint="eastAsia"/>
          <w:b/>
          <w:bCs/>
          <w:sz w:val="24"/>
        </w:rPr>
        <w:t>第十六条</w:t>
      </w:r>
      <w:r>
        <w:rPr>
          <w:b/>
          <w:bCs/>
          <w:sz w:val="24"/>
        </w:rPr>
        <w:t xml:space="preserve"> </w:t>
      </w:r>
      <w:r>
        <w:rPr>
          <w:rFonts w:hint="eastAsia"/>
          <w:b/>
          <w:bCs/>
          <w:sz w:val="24"/>
        </w:rPr>
        <w:t>不可抗力及其免责</w:t>
      </w:r>
    </w:p>
    <w:p>
      <w:pPr>
        <w:ind w:firstLine="480" w:firstLineChars="200"/>
        <w:rPr>
          <w:rFonts w:hint="eastAsia"/>
          <w:sz w:val="24"/>
        </w:rPr>
      </w:pPr>
      <w:r>
        <w:rPr>
          <w:rFonts w:hint="eastAsia"/>
          <w:sz w:val="24"/>
        </w:rPr>
        <w:t>（一）如果乙方因不可抗力而导致合同实施延误或不能履行合同义务时，在不可抗力影响的范围内不应该被没收履约保证金，也不承担误期赔偿或终止合同的责任。</w:t>
      </w:r>
    </w:p>
    <w:p>
      <w:pPr>
        <w:ind w:firstLine="480" w:firstLineChars="200"/>
        <w:rPr>
          <w:rFonts w:hint="eastAsia"/>
          <w:sz w:val="24"/>
        </w:rPr>
      </w:pPr>
      <w:r>
        <w:rPr>
          <w:rFonts w:hint="eastAsia"/>
          <w:sz w:val="24"/>
        </w:rPr>
        <w:t>（二）在不可抗力事件发生后，乙方应尽快以书面形式将不可抗力的情况和原因通知甲方，除甲方（用户）书面另行要求外，乙方应尽实际可能继续履行合同义务，以及寻求采取合理的方案履行不受不可抗力影响的其他事项。如果不可抗力事件影响延续超过一百二十天，双方应通过友好协商在合理的时间内就进一步实施合同达成协议。</w:t>
      </w:r>
    </w:p>
    <w:p>
      <w:pPr>
        <w:ind w:firstLine="480" w:firstLineChars="200"/>
        <w:rPr>
          <w:rFonts w:hint="eastAsia"/>
          <w:sz w:val="24"/>
        </w:rPr>
      </w:pPr>
      <w:r>
        <w:rPr>
          <w:rFonts w:hint="eastAsia"/>
          <w:sz w:val="24"/>
        </w:rPr>
        <w:t>（三）乙方在延迟履行合同期间由于不可抗力而不能履行合同的，不能被免除责任。</w:t>
      </w:r>
    </w:p>
    <w:p>
      <w:pPr>
        <w:ind w:firstLine="480" w:firstLineChars="200"/>
        <w:rPr>
          <w:rFonts w:hint="eastAsia"/>
          <w:sz w:val="24"/>
        </w:rPr>
      </w:pPr>
      <w:r>
        <w:rPr>
          <w:rFonts w:hint="eastAsia"/>
          <w:sz w:val="24"/>
        </w:rPr>
        <w:t>（四）甲方（用户）如遇不可抗力，应尽快以书面形式通知乙方，并尽实际可能履行不受不可抗力影响的其他事项。甲方（用户）不承担因不可抗力不能履行合同所造成的损失。</w:t>
      </w:r>
    </w:p>
    <w:p>
      <w:pPr>
        <w:ind w:firstLine="480" w:firstLineChars="200"/>
        <w:rPr>
          <w:rFonts w:hint="eastAsia"/>
          <w:sz w:val="24"/>
        </w:rPr>
      </w:pPr>
      <w:r>
        <w:rPr>
          <w:rFonts w:hint="eastAsia"/>
          <w:sz w:val="24"/>
        </w:rPr>
        <w:t>（五）本条所述的“不可抗力”指那些不能预见、不能避免并不能克服的客观情况，包括但不限于战争、动乱、严重火灾、洪水、台风、地震等及其他双方同意的情况，但不包括违约或疏忽。</w:t>
      </w:r>
    </w:p>
    <w:p>
      <w:pPr>
        <w:ind w:firstLine="482" w:firstLineChars="200"/>
        <w:rPr>
          <w:rFonts w:hint="eastAsia"/>
          <w:b/>
          <w:bCs/>
          <w:sz w:val="24"/>
        </w:rPr>
      </w:pPr>
      <w:r>
        <w:rPr>
          <w:rFonts w:hint="eastAsia"/>
          <w:b/>
          <w:bCs/>
          <w:sz w:val="24"/>
        </w:rPr>
        <w:t>第十七条</w:t>
      </w:r>
      <w:r>
        <w:rPr>
          <w:b/>
          <w:bCs/>
          <w:sz w:val="24"/>
        </w:rPr>
        <w:t xml:space="preserve"> </w:t>
      </w:r>
      <w:r>
        <w:rPr>
          <w:rFonts w:hint="eastAsia"/>
          <w:b/>
          <w:bCs/>
          <w:sz w:val="24"/>
        </w:rPr>
        <w:t>争议的解决</w:t>
      </w:r>
    </w:p>
    <w:p>
      <w:pPr>
        <w:ind w:firstLine="480" w:firstLineChars="200"/>
        <w:rPr>
          <w:rFonts w:hint="eastAsia"/>
          <w:sz w:val="24"/>
        </w:rPr>
      </w:pPr>
      <w:r>
        <w:rPr>
          <w:rFonts w:hint="eastAsia"/>
          <w:sz w:val="24"/>
        </w:rPr>
        <w:t>合同实施或与合同有关的一切争议应通过双方友好协商解决。如果友好协商还不能解决，合同双方均可向甲方所在地人民法院提起诉讼。在诉讼期间，除正在进行诉讼的部分外，本合同其他部分应继续履行。</w:t>
      </w:r>
    </w:p>
    <w:p>
      <w:pPr>
        <w:ind w:firstLine="482" w:firstLineChars="200"/>
        <w:rPr>
          <w:rFonts w:hint="eastAsia"/>
          <w:b/>
          <w:bCs/>
          <w:sz w:val="24"/>
        </w:rPr>
      </w:pPr>
      <w:r>
        <w:rPr>
          <w:rFonts w:hint="eastAsia"/>
          <w:b/>
          <w:bCs/>
          <w:sz w:val="24"/>
        </w:rPr>
        <w:t>第十八条</w:t>
      </w:r>
      <w:r>
        <w:rPr>
          <w:b/>
          <w:bCs/>
          <w:sz w:val="24"/>
        </w:rPr>
        <w:t xml:space="preserve"> </w:t>
      </w:r>
      <w:r>
        <w:rPr>
          <w:rFonts w:hint="eastAsia"/>
          <w:b/>
          <w:bCs/>
          <w:sz w:val="24"/>
        </w:rPr>
        <w:t>合同修改或变更</w:t>
      </w:r>
    </w:p>
    <w:p>
      <w:pPr>
        <w:ind w:firstLine="480" w:firstLineChars="200"/>
        <w:rPr>
          <w:rFonts w:hint="eastAsia"/>
          <w:sz w:val="24"/>
        </w:rPr>
      </w:pPr>
      <w:r>
        <w:rPr>
          <w:rFonts w:hint="eastAsia"/>
          <w:sz w:val="24"/>
        </w:rPr>
        <w:t>（一）如无重大变故，甲乙双方不得擅自变更合同。</w:t>
      </w:r>
    </w:p>
    <w:p>
      <w:pPr>
        <w:ind w:firstLine="480" w:firstLineChars="200"/>
        <w:rPr>
          <w:rFonts w:hint="eastAsia"/>
          <w:sz w:val="24"/>
        </w:rPr>
      </w:pPr>
      <w:r>
        <w:rPr>
          <w:rFonts w:hint="eastAsia"/>
          <w:sz w:val="24"/>
        </w:rPr>
        <w:t>（二）如确需变更合同，甲乙双方应签署书面变更协议。变更协议为本合同不可分割的一部分。</w:t>
      </w:r>
    </w:p>
    <w:p>
      <w:pPr>
        <w:ind w:firstLine="480" w:firstLineChars="200"/>
        <w:rPr>
          <w:rFonts w:hint="eastAsia"/>
          <w:sz w:val="24"/>
        </w:rPr>
      </w:pPr>
      <w:r>
        <w:rPr>
          <w:rFonts w:hint="eastAsia"/>
          <w:sz w:val="24"/>
        </w:rPr>
        <w:t>（三）在不改变合同其他条款的前提下，甲方（用户）有权在合同价款</w:t>
      </w:r>
      <w:r>
        <w:rPr>
          <w:sz w:val="24"/>
        </w:rPr>
        <w:t>10%</w:t>
      </w:r>
      <w:r>
        <w:rPr>
          <w:rFonts w:hint="eastAsia"/>
          <w:sz w:val="24"/>
        </w:rPr>
        <w:t>的范围内追加与合同标的相同的货物或服务，并就此与乙方签订补充合同，乙方不得拒绝。</w:t>
      </w:r>
    </w:p>
    <w:p>
      <w:pPr>
        <w:ind w:firstLine="482" w:firstLineChars="200"/>
        <w:rPr>
          <w:rFonts w:hint="eastAsia"/>
          <w:b/>
          <w:bCs/>
          <w:sz w:val="24"/>
        </w:rPr>
      </w:pPr>
      <w:r>
        <w:rPr>
          <w:rFonts w:hint="eastAsia"/>
          <w:b/>
          <w:bCs/>
          <w:sz w:val="24"/>
        </w:rPr>
        <w:t>第十九条</w:t>
      </w:r>
      <w:r>
        <w:rPr>
          <w:b/>
          <w:bCs/>
          <w:sz w:val="24"/>
        </w:rPr>
        <w:t xml:space="preserve"> </w:t>
      </w:r>
      <w:r>
        <w:rPr>
          <w:rFonts w:hint="eastAsia"/>
          <w:b/>
          <w:bCs/>
          <w:sz w:val="24"/>
        </w:rPr>
        <w:t>合同中止</w:t>
      </w:r>
    </w:p>
    <w:p>
      <w:pPr>
        <w:ind w:firstLine="480" w:firstLineChars="200"/>
        <w:rPr>
          <w:rFonts w:hint="eastAsia"/>
          <w:sz w:val="24"/>
        </w:rPr>
      </w:pPr>
      <w:r>
        <w:rPr>
          <w:rFonts w:hint="eastAsia"/>
          <w:sz w:val="24"/>
        </w:rPr>
        <w:t>（一）合同在履行过程中，因采购计划调整，甲方（用户）可以要求中止履行，待计划确定后继续履行。</w:t>
      </w:r>
    </w:p>
    <w:p>
      <w:pPr>
        <w:ind w:firstLine="480" w:firstLineChars="200"/>
        <w:rPr>
          <w:rFonts w:hint="eastAsia"/>
          <w:sz w:val="24"/>
        </w:rPr>
      </w:pPr>
      <w:r>
        <w:rPr>
          <w:rFonts w:hint="eastAsia"/>
          <w:sz w:val="24"/>
        </w:rPr>
        <w:t>（二）合同签订或履行过程中因其他供应商就采购过程或结果提起质疑、投诉、行政复议、行政诉讼的，甲方（用户）认为有必要或财政部责令中止的，应当中止合同的履行。</w:t>
      </w:r>
    </w:p>
    <w:p>
      <w:pPr>
        <w:ind w:firstLine="482" w:firstLineChars="200"/>
        <w:rPr>
          <w:rFonts w:hint="eastAsia"/>
          <w:b/>
          <w:bCs/>
          <w:sz w:val="24"/>
        </w:rPr>
      </w:pPr>
      <w:r>
        <w:rPr>
          <w:rFonts w:hint="eastAsia"/>
          <w:b/>
          <w:bCs/>
          <w:sz w:val="24"/>
        </w:rPr>
        <w:t>第二十条</w:t>
      </w:r>
      <w:r>
        <w:rPr>
          <w:b/>
          <w:bCs/>
          <w:sz w:val="24"/>
        </w:rPr>
        <w:t xml:space="preserve"> </w:t>
      </w:r>
      <w:r>
        <w:rPr>
          <w:rFonts w:hint="eastAsia"/>
          <w:b/>
          <w:bCs/>
          <w:sz w:val="24"/>
        </w:rPr>
        <w:t>合同解除</w:t>
      </w:r>
    </w:p>
    <w:p>
      <w:pPr>
        <w:ind w:firstLine="480" w:firstLineChars="200"/>
        <w:rPr>
          <w:rFonts w:hint="eastAsia"/>
          <w:sz w:val="24"/>
        </w:rPr>
      </w:pPr>
      <w:r>
        <w:rPr>
          <w:rFonts w:hint="eastAsia"/>
          <w:sz w:val="24"/>
        </w:rPr>
        <w:t>由于合同一方不履行合同或严重违反合同，造成合同部分或全部无法履行时，对方除有权向违约方索赔外，并有权部分或全部解除合同。对于部分解除的合同，违约方除应承担规定的责任外，还应继续履行合同的剩余部分。</w:t>
      </w:r>
    </w:p>
    <w:p>
      <w:pPr>
        <w:ind w:firstLine="480" w:firstLineChars="200"/>
        <w:rPr>
          <w:rFonts w:hint="eastAsia"/>
          <w:sz w:val="24"/>
        </w:rPr>
      </w:pPr>
      <w:r>
        <w:rPr>
          <w:rFonts w:hint="eastAsia"/>
          <w:sz w:val="24"/>
        </w:rPr>
        <w:t>（一）因违约解除合同</w:t>
      </w:r>
    </w:p>
    <w:p>
      <w:pPr>
        <w:ind w:firstLine="480" w:firstLineChars="200"/>
        <w:rPr>
          <w:rFonts w:hint="eastAsia"/>
          <w:sz w:val="24"/>
        </w:rPr>
      </w:pPr>
      <w:r>
        <w:rPr>
          <w:sz w:val="24"/>
        </w:rPr>
        <w:t>1.</w:t>
      </w:r>
      <w:r>
        <w:rPr>
          <w:rFonts w:hint="eastAsia"/>
          <w:sz w:val="24"/>
        </w:rPr>
        <w:t>在甲方（用户）对乙方违约而采取的任何补救措施不受影响的情况下，甲方（用户）可向乙方发出书面违约通知书，提出解除部分或全部合同：</w:t>
      </w:r>
    </w:p>
    <w:p>
      <w:pPr>
        <w:ind w:firstLine="480" w:firstLineChars="200"/>
        <w:rPr>
          <w:rFonts w:hint="eastAsia"/>
          <w:sz w:val="24"/>
        </w:rPr>
      </w:pPr>
      <w:r>
        <w:rPr>
          <w:rFonts w:hint="eastAsia"/>
          <w:sz w:val="24"/>
        </w:rPr>
        <w:t>（</w:t>
      </w:r>
      <w:r>
        <w:rPr>
          <w:sz w:val="24"/>
        </w:rPr>
        <w:t>1</w:t>
      </w:r>
      <w:r>
        <w:rPr>
          <w:rFonts w:hint="eastAsia"/>
          <w:sz w:val="24"/>
        </w:rPr>
        <w:t>）如果乙方未能在合同规定的期限或甲方（用户）根据合同条款的规定同意延长的限期内提供部分或全部的货物或服务，达到合同所规定的要求；</w:t>
      </w:r>
    </w:p>
    <w:p>
      <w:pPr>
        <w:pStyle w:val="639"/>
        <w:spacing w:line="360" w:lineRule="auto"/>
        <w:ind w:firstLine="480" w:firstLineChars="200"/>
        <w:rPr>
          <w:rFonts w:eastAsia="宋体"/>
          <w:sz w:val="24"/>
          <w:szCs w:val="24"/>
        </w:rPr>
      </w:pPr>
      <w:r>
        <w:rPr>
          <w:rFonts w:hint="eastAsia" w:eastAsia="宋体"/>
          <w:sz w:val="24"/>
          <w:szCs w:val="24"/>
        </w:rPr>
        <w:t>（</w:t>
      </w:r>
      <w:r>
        <w:rPr>
          <w:rFonts w:eastAsia="宋体"/>
          <w:sz w:val="24"/>
          <w:szCs w:val="24"/>
        </w:rPr>
        <w:t>2</w:t>
      </w:r>
      <w:r>
        <w:rPr>
          <w:rFonts w:hint="eastAsia" w:eastAsia="宋体"/>
          <w:sz w:val="24"/>
          <w:szCs w:val="24"/>
        </w:rPr>
        <w:t>）如果甲方（用户）发现乙方在本合同的竞争或实施中有欺诈行为。</w:t>
      </w:r>
    </w:p>
    <w:p>
      <w:pPr>
        <w:ind w:firstLine="480" w:firstLineChars="200"/>
        <w:rPr>
          <w:rFonts w:hint="eastAsia"/>
          <w:sz w:val="24"/>
        </w:rPr>
      </w:pPr>
      <w:r>
        <w:rPr>
          <w:rFonts w:hint="eastAsia"/>
          <w:sz w:val="24"/>
        </w:rPr>
        <w:t>（</w:t>
      </w:r>
      <w:r>
        <w:rPr>
          <w:sz w:val="24"/>
        </w:rPr>
        <w:t>3</w:t>
      </w:r>
      <w:r>
        <w:rPr>
          <w:rFonts w:hint="eastAsia"/>
          <w:sz w:val="24"/>
        </w:rPr>
        <w:t>）如果乙方未能履行合同规定的其他任何义务。</w:t>
      </w:r>
    </w:p>
    <w:p>
      <w:pPr>
        <w:ind w:firstLine="480" w:firstLineChars="200"/>
        <w:rPr>
          <w:rFonts w:hint="eastAsia"/>
          <w:sz w:val="24"/>
        </w:rPr>
      </w:pPr>
      <w:r>
        <w:rPr>
          <w:sz w:val="24"/>
        </w:rPr>
        <w:t>2.</w:t>
      </w:r>
      <w:r>
        <w:rPr>
          <w:rFonts w:hint="eastAsia"/>
          <w:sz w:val="24"/>
        </w:rPr>
        <w:t>如果甲方（用户）根据上述规定与乙方全部或部分解除合同，</w:t>
      </w:r>
      <w:r>
        <w:rPr>
          <w:rFonts w:hint="eastAsia"/>
          <w:bCs/>
          <w:sz w:val="24"/>
        </w:rPr>
        <w:t>甲方（用户）可以依其认为适当的条件和方法购买乙方未能提供的货物或服务，乙方应对甲方购买类似货物或服务所超出的费用负责</w:t>
      </w:r>
      <w:r>
        <w:rPr>
          <w:rFonts w:hint="eastAsia"/>
          <w:sz w:val="24"/>
        </w:rPr>
        <w:t>。</w:t>
      </w:r>
      <w:r>
        <w:rPr>
          <w:rFonts w:hint="eastAsia"/>
          <w:bCs/>
          <w:sz w:val="24"/>
        </w:rPr>
        <w:t>同时，乙方应继续执行合同中未解除的部分。</w:t>
      </w:r>
    </w:p>
    <w:p>
      <w:pPr>
        <w:ind w:firstLine="480" w:firstLineChars="200"/>
        <w:rPr>
          <w:rFonts w:hint="eastAsia"/>
          <w:sz w:val="24"/>
        </w:rPr>
      </w:pPr>
      <w:r>
        <w:rPr>
          <w:rFonts w:hint="eastAsia"/>
          <w:sz w:val="24"/>
        </w:rPr>
        <w:t>（二）因破产而解除合同</w:t>
      </w:r>
    </w:p>
    <w:p>
      <w:pPr>
        <w:ind w:firstLine="480" w:firstLineChars="200"/>
        <w:rPr>
          <w:rFonts w:hint="eastAsia"/>
          <w:sz w:val="24"/>
        </w:rPr>
      </w:pPr>
      <w:r>
        <w:rPr>
          <w:sz w:val="24"/>
        </w:rPr>
        <w:t>1.</w:t>
      </w:r>
      <w:r>
        <w:rPr>
          <w:rFonts w:hint="eastAsia"/>
          <w:sz w:val="24"/>
        </w:rPr>
        <w:t>如果乙方破产或无清偿能力，甲方（用户）可在任何时候以书面形式通知乙方，提出解除合同而不给乙方补偿，并有权要求乙方退回甲方（用户）已支付的合同货款。</w:t>
      </w:r>
    </w:p>
    <w:p>
      <w:pPr>
        <w:ind w:firstLine="480" w:firstLineChars="200"/>
        <w:rPr>
          <w:rFonts w:hint="eastAsia"/>
          <w:sz w:val="24"/>
        </w:rPr>
      </w:pPr>
      <w:r>
        <w:rPr>
          <w:sz w:val="24"/>
        </w:rPr>
        <w:t>2.</w:t>
      </w:r>
      <w:r>
        <w:rPr>
          <w:rFonts w:hint="eastAsia"/>
          <w:sz w:val="24"/>
        </w:rPr>
        <w:t>该解除合同将不损害或影响甲方已经采取或将要采取的任何行动或补救措施的权利。</w:t>
      </w:r>
    </w:p>
    <w:p>
      <w:pPr>
        <w:ind w:firstLine="480" w:firstLineChars="200"/>
        <w:rPr>
          <w:rFonts w:hint="eastAsia"/>
          <w:sz w:val="24"/>
        </w:rPr>
      </w:pPr>
      <w:r>
        <w:rPr>
          <w:rFonts w:hint="eastAsia"/>
          <w:sz w:val="24"/>
        </w:rPr>
        <w:t>（三）其他解除合同情况</w:t>
      </w:r>
    </w:p>
    <w:p>
      <w:pPr>
        <w:ind w:firstLine="480" w:firstLineChars="200"/>
        <w:rPr>
          <w:rFonts w:hint="eastAsia"/>
          <w:sz w:val="24"/>
        </w:rPr>
      </w:pPr>
      <w:r>
        <w:rPr>
          <w:sz w:val="24"/>
        </w:rPr>
        <w:t>1.</w:t>
      </w:r>
      <w:r>
        <w:rPr>
          <w:rFonts w:hint="eastAsia"/>
          <w:sz w:val="24"/>
        </w:rPr>
        <w:t>若合同继续履行将给甲方造成重大损失的，甲方（用户）可以解除合同而不给予乙方任何补偿。</w:t>
      </w:r>
    </w:p>
    <w:p>
      <w:pPr>
        <w:ind w:firstLine="480" w:firstLineChars="200"/>
        <w:rPr>
          <w:rFonts w:hint="eastAsia"/>
          <w:sz w:val="24"/>
        </w:rPr>
      </w:pPr>
      <w:r>
        <w:rPr>
          <w:sz w:val="24"/>
        </w:rPr>
        <w:t>2.</w:t>
      </w:r>
      <w:r>
        <w:rPr>
          <w:rFonts w:hint="eastAsia"/>
          <w:sz w:val="24"/>
        </w:rPr>
        <w:t>乙方在执行合同的过程中发生重大变故，对履行合同有影响的，甲方（用户）可以解除合同而不给予乙方任何补偿。</w:t>
      </w:r>
    </w:p>
    <w:p>
      <w:pPr>
        <w:ind w:firstLine="480" w:firstLineChars="200"/>
        <w:rPr>
          <w:rFonts w:hint="eastAsia"/>
          <w:sz w:val="24"/>
        </w:rPr>
      </w:pPr>
      <w:r>
        <w:rPr>
          <w:sz w:val="24"/>
        </w:rPr>
        <w:t>3.</w:t>
      </w:r>
      <w:r>
        <w:rPr>
          <w:rFonts w:hint="eastAsia"/>
          <w:sz w:val="24"/>
        </w:rPr>
        <w:t>甲方（用户）因重大变故取消或部分取消原来的采购任务，导致合同全部或部分内容无需继续履行的，可以解除合同而不给予乙方任何补偿。</w:t>
      </w:r>
    </w:p>
    <w:p>
      <w:pPr>
        <w:ind w:firstLine="482" w:firstLineChars="200"/>
        <w:rPr>
          <w:rFonts w:hint="eastAsia"/>
          <w:b/>
          <w:bCs/>
          <w:sz w:val="24"/>
        </w:rPr>
      </w:pPr>
      <w:r>
        <w:rPr>
          <w:rFonts w:hint="eastAsia"/>
          <w:b/>
          <w:bCs/>
          <w:sz w:val="24"/>
        </w:rPr>
        <w:t>第二十一条</w:t>
      </w:r>
      <w:r>
        <w:rPr>
          <w:b/>
          <w:bCs/>
          <w:sz w:val="24"/>
        </w:rPr>
        <w:t xml:space="preserve"> </w:t>
      </w:r>
      <w:r>
        <w:rPr>
          <w:rFonts w:hint="eastAsia"/>
          <w:b/>
          <w:bCs/>
          <w:sz w:val="24"/>
        </w:rPr>
        <w:t>合同终止</w:t>
      </w:r>
    </w:p>
    <w:p>
      <w:pPr>
        <w:pStyle w:val="640"/>
        <w:autoSpaceDN w:val="0"/>
        <w:spacing w:line="360" w:lineRule="auto"/>
        <w:ind w:firstLine="480" w:firstLineChars="200"/>
        <w:jc w:val="left"/>
        <w:rPr>
          <w:snapToGrid w:val="0"/>
          <w:kern w:val="0"/>
          <w:sz w:val="24"/>
          <w:szCs w:val="24"/>
        </w:rPr>
      </w:pPr>
      <w:r>
        <w:rPr>
          <w:rFonts w:hint="eastAsia"/>
          <w:snapToGrid w:val="0"/>
          <w:kern w:val="0"/>
          <w:sz w:val="24"/>
          <w:szCs w:val="24"/>
        </w:rPr>
        <w:t>（一）本合同因下列原因而终止：</w:t>
      </w:r>
    </w:p>
    <w:p>
      <w:pPr>
        <w:pStyle w:val="640"/>
        <w:autoSpaceDN w:val="0"/>
        <w:spacing w:line="360" w:lineRule="auto"/>
        <w:ind w:firstLine="480" w:firstLineChars="200"/>
        <w:jc w:val="left"/>
        <w:rPr>
          <w:snapToGrid w:val="0"/>
          <w:kern w:val="0"/>
          <w:sz w:val="24"/>
          <w:szCs w:val="24"/>
        </w:rPr>
      </w:pPr>
      <w:r>
        <w:rPr>
          <w:snapToGrid w:val="0"/>
          <w:kern w:val="0"/>
          <w:sz w:val="24"/>
          <w:szCs w:val="24"/>
        </w:rPr>
        <w:t>1.</w:t>
      </w:r>
      <w:r>
        <w:rPr>
          <w:rFonts w:hint="eastAsia"/>
          <w:snapToGrid w:val="0"/>
          <w:kern w:val="0"/>
          <w:sz w:val="24"/>
          <w:szCs w:val="24"/>
        </w:rPr>
        <w:t>本合同正常履行完毕；</w:t>
      </w:r>
    </w:p>
    <w:p>
      <w:pPr>
        <w:pStyle w:val="640"/>
        <w:autoSpaceDN w:val="0"/>
        <w:spacing w:line="360" w:lineRule="auto"/>
        <w:ind w:firstLine="480" w:firstLineChars="200"/>
        <w:jc w:val="left"/>
        <w:rPr>
          <w:snapToGrid w:val="0"/>
          <w:kern w:val="0"/>
          <w:sz w:val="24"/>
          <w:szCs w:val="24"/>
        </w:rPr>
      </w:pPr>
      <w:r>
        <w:rPr>
          <w:snapToGrid w:val="0"/>
          <w:kern w:val="0"/>
          <w:sz w:val="24"/>
          <w:szCs w:val="24"/>
        </w:rPr>
        <w:t>2.</w:t>
      </w:r>
      <w:r>
        <w:rPr>
          <w:rFonts w:hint="eastAsia"/>
          <w:snapToGrid w:val="0"/>
          <w:kern w:val="0"/>
          <w:sz w:val="24"/>
          <w:szCs w:val="24"/>
        </w:rPr>
        <w:t>合同双方协议终止本合同的履行；</w:t>
      </w:r>
    </w:p>
    <w:p>
      <w:pPr>
        <w:pStyle w:val="640"/>
        <w:autoSpaceDN w:val="0"/>
        <w:spacing w:line="360" w:lineRule="auto"/>
        <w:ind w:firstLine="480" w:firstLineChars="200"/>
        <w:jc w:val="left"/>
        <w:rPr>
          <w:snapToGrid w:val="0"/>
          <w:kern w:val="0"/>
          <w:sz w:val="24"/>
          <w:szCs w:val="24"/>
        </w:rPr>
      </w:pPr>
      <w:r>
        <w:rPr>
          <w:snapToGrid w:val="0"/>
          <w:kern w:val="0"/>
          <w:sz w:val="24"/>
          <w:szCs w:val="24"/>
        </w:rPr>
        <w:t>3.</w:t>
      </w:r>
      <w:r>
        <w:rPr>
          <w:rFonts w:hint="eastAsia"/>
          <w:snapToGrid w:val="0"/>
          <w:kern w:val="0"/>
          <w:sz w:val="24"/>
          <w:szCs w:val="24"/>
        </w:rPr>
        <w:t>不可抗力事件导致本合同无法履行或履行不必要；</w:t>
      </w:r>
    </w:p>
    <w:p>
      <w:pPr>
        <w:pStyle w:val="640"/>
        <w:autoSpaceDN w:val="0"/>
        <w:spacing w:line="360" w:lineRule="auto"/>
        <w:ind w:firstLine="480" w:firstLineChars="200"/>
        <w:jc w:val="left"/>
        <w:rPr>
          <w:snapToGrid w:val="0"/>
          <w:kern w:val="0"/>
          <w:sz w:val="24"/>
          <w:szCs w:val="24"/>
        </w:rPr>
      </w:pPr>
      <w:r>
        <w:rPr>
          <w:snapToGrid w:val="0"/>
          <w:kern w:val="0"/>
          <w:sz w:val="24"/>
          <w:szCs w:val="24"/>
        </w:rPr>
        <w:t>4.</w:t>
      </w:r>
      <w:r>
        <w:rPr>
          <w:rFonts w:hint="eastAsia"/>
          <w:snapToGrid w:val="0"/>
          <w:kern w:val="0"/>
          <w:sz w:val="24"/>
          <w:szCs w:val="24"/>
        </w:rPr>
        <w:t>任何一方行使解除权，解除本合同；</w:t>
      </w:r>
    </w:p>
    <w:p>
      <w:pPr>
        <w:pStyle w:val="640"/>
        <w:autoSpaceDN w:val="0"/>
        <w:spacing w:line="360" w:lineRule="auto"/>
        <w:ind w:firstLine="480" w:firstLineChars="200"/>
        <w:jc w:val="left"/>
        <w:rPr>
          <w:snapToGrid w:val="0"/>
          <w:kern w:val="0"/>
          <w:sz w:val="24"/>
          <w:szCs w:val="24"/>
        </w:rPr>
      </w:pPr>
      <w:bookmarkStart w:id="92" w:name="孔子"/>
      <w:bookmarkEnd w:id="92"/>
      <w:r>
        <w:rPr>
          <w:rFonts w:hint="eastAsia"/>
          <w:snapToGrid w:val="0"/>
          <w:kern w:val="0"/>
          <w:sz w:val="24"/>
          <w:szCs w:val="24"/>
        </w:rPr>
        <w:t>（二）对本合同终止有过错的一方应赔偿另一方因合同终止而受到的损失。</w:t>
      </w:r>
    </w:p>
    <w:p>
      <w:pPr>
        <w:ind w:firstLine="482" w:firstLineChars="200"/>
        <w:rPr>
          <w:rFonts w:hint="eastAsia"/>
          <w:b/>
          <w:bCs/>
          <w:sz w:val="24"/>
        </w:rPr>
      </w:pPr>
      <w:r>
        <w:rPr>
          <w:rFonts w:hint="eastAsia"/>
          <w:b/>
          <w:bCs/>
          <w:sz w:val="24"/>
        </w:rPr>
        <w:t>第二十二条</w:t>
      </w:r>
      <w:r>
        <w:rPr>
          <w:b/>
          <w:bCs/>
          <w:sz w:val="24"/>
        </w:rPr>
        <w:t xml:space="preserve"> </w:t>
      </w:r>
      <w:r>
        <w:rPr>
          <w:rFonts w:hint="eastAsia"/>
          <w:b/>
          <w:bCs/>
          <w:sz w:val="24"/>
        </w:rPr>
        <w:t>其他</w:t>
      </w:r>
    </w:p>
    <w:p>
      <w:pPr>
        <w:ind w:firstLine="480" w:firstLineChars="200"/>
        <w:rPr>
          <w:rFonts w:hint="eastAsia"/>
          <w:sz w:val="24"/>
        </w:rPr>
      </w:pPr>
      <w:r>
        <w:rPr>
          <w:rFonts w:hint="eastAsia"/>
          <w:sz w:val="24"/>
        </w:rPr>
        <w:t>中标通知书（成交通知书）、中标人的投标文件</w:t>
      </w:r>
      <w:r>
        <w:rPr>
          <w:sz w:val="24"/>
        </w:rPr>
        <w:t>/</w:t>
      </w:r>
      <w:r>
        <w:rPr>
          <w:rFonts w:hint="eastAsia"/>
          <w:sz w:val="24"/>
        </w:rPr>
        <w:t>应答文件、招标文件</w:t>
      </w:r>
      <w:r>
        <w:rPr>
          <w:sz w:val="24"/>
        </w:rPr>
        <w:t>/</w:t>
      </w:r>
      <w:r>
        <w:rPr>
          <w:rFonts w:hint="eastAsia"/>
          <w:sz w:val="24"/>
        </w:rPr>
        <w:t>谈判文件</w:t>
      </w:r>
      <w:r>
        <w:rPr>
          <w:sz w:val="24"/>
        </w:rPr>
        <w:t>/</w:t>
      </w:r>
      <w:r>
        <w:rPr>
          <w:rFonts w:hint="eastAsia"/>
          <w:sz w:val="24"/>
        </w:rPr>
        <w:t>询价通知书</w:t>
      </w:r>
      <w:r>
        <w:rPr>
          <w:sz w:val="24"/>
        </w:rPr>
        <w:t>/</w:t>
      </w:r>
      <w:r>
        <w:rPr>
          <w:rFonts w:hint="eastAsia"/>
          <w:sz w:val="24"/>
        </w:rPr>
        <w:t>磋商文件</w:t>
      </w:r>
      <w:r>
        <w:rPr>
          <w:sz w:val="24"/>
        </w:rPr>
        <w:t>/</w:t>
      </w:r>
      <w:r>
        <w:rPr>
          <w:rFonts w:hint="eastAsia"/>
          <w:sz w:val="24"/>
        </w:rPr>
        <w:t>单一来源、合同条款、合同附件（协商、变更的，明确双方权利义务的，以书面形式而表现出来的协议或书面通知或确认书等）是本合同不可分割的部分，与本合同具有同等法律效力。</w:t>
      </w:r>
    </w:p>
    <w:p>
      <w:pPr>
        <w:ind w:firstLine="482" w:firstLineChars="200"/>
        <w:rPr>
          <w:rFonts w:hint="eastAsia"/>
          <w:b/>
          <w:bCs/>
          <w:sz w:val="24"/>
        </w:rPr>
      </w:pPr>
      <w:r>
        <w:rPr>
          <w:rFonts w:hint="eastAsia"/>
          <w:b/>
          <w:bCs/>
          <w:sz w:val="24"/>
        </w:rPr>
        <w:t>第二十四条</w:t>
      </w:r>
      <w:r>
        <w:rPr>
          <w:b/>
          <w:bCs/>
          <w:sz w:val="24"/>
        </w:rPr>
        <w:t xml:space="preserve"> </w:t>
      </w:r>
      <w:r>
        <w:rPr>
          <w:rFonts w:hint="eastAsia"/>
          <w:b/>
          <w:bCs/>
          <w:sz w:val="24"/>
        </w:rPr>
        <w:t>合同生效</w:t>
      </w:r>
    </w:p>
    <w:p>
      <w:pPr>
        <w:ind w:firstLine="480" w:firstLineChars="200"/>
        <w:rPr>
          <w:rFonts w:hint="eastAsia"/>
          <w:sz w:val="24"/>
        </w:rPr>
      </w:pPr>
      <w:r>
        <w:rPr>
          <w:rFonts w:hint="eastAsia"/>
          <w:sz w:val="24"/>
        </w:rPr>
        <w:t>本合同一式</w:t>
      </w:r>
      <w:r>
        <w:rPr>
          <w:sz w:val="24"/>
        </w:rPr>
        <w:t>___</w:t>
      </w:r>
      <w:r>
        <w:rPr>
          <w:rFonts w:hint="eastAsia"/>
          <w:sz w:val="24"/>
        </w:rPr>
        <w:t>份，甲方执</w:t>
      </w:r>
      <w:r>
        <w:rPr>
          <w:sz w:val="24"/>
        </w:rPr>
        <w:t>___</w:t>
      </w:r>
      <w:r>
        <w:rPr>
          <w:rFonts w:hint="eastAsia"/>
          <w:sz w:val="24"/>
        </w:rPr>
        <w:t>份，乙方执</w:t>
      </w:r>
      <w:r>
        <w:rPr>
          <w:sz w:val="24"/>
        </w:rPr>
        <w:t>___</w:t>
      </w:r>
      <w:r>
        <w:rPr>
          <w:rFonts w:hint="eastAsia"/>
          <w:sz w:val="24"/>
        </w:rPr>
        <w:t>份；自甲乙双方签字盖章之日起生效。对本合同的任何更改及补充，均需双方共同协商，并以书面形式盖章确认。</w:t>
      </w:r>
    </w:p>
    <w:p>
      <w:pPr>
        <w:rPr>
          <w:rFonts w:hint="eastAsia"/>
          <w:sz w:val="24"/>
        </w:rPr>
      </w:pPr>
    </w:p>
    <w:p>
      <w:pPr>
        <w:rPr>
          <w:rFonts w:hint="eastAsia"/>
          <w:sz w:val="24"/>
        </w:rPr>
      </w:pPr>
      <w:r>
        <w:rPr>
          <w:rFonts w:hint="eastAsia"/>
          <w:sz w:val="24"/>
        </w:rPr>
        <w:t>甲方（公章</w:t>
      </w:r>
      <w:r>
        <w:rPr>
          <w:rFonts w:hint="eastAsia"/>
          <w:snapToGrid w:val="0"/>
          <w:sz w:val="24"/>
        </w:rPr>
        <w:t>或合同章</w:t>
      </w:r>
      <w:r>
        <w:rPr>
          <w:rFonts w:hint="eastAsia"/>
          <w:sz w:val="24"/>
        </w:rPr>
        <w:t>）：</w:t>
      </w:r>
      <w:r>
        <w:rPr>
          <w:sz w:val="24"/>
        </w:rPr>
        <w:t xml:space="preserve">            </w:t>
      </w:r>
      <w:r>
        <w:rPr>
          <w:rFonts w:hint="eastAsia"/>
          <w:sz w:val="24"/>
        </w:rPr>
        <w:t>乙方（公章</w:t>
      </w:r>
      <w:r>
        <w:rPr>
          <w:rFonts w:hint="eastAsia"/>
          <w:snapToGrid w:val="0"/>
          <w:sz w:val="24"/>
        </w:rPr>
        <w:t>或合同章</w:t>
      </w:r>
      <w:r>
        <w:rPr>
          <w:rFonts w:hint="eastAsia"/>
          <w:sz w:val="24"/>
        </w:rPr>
        <w:t>）：</w:t>
      </w:r>
    </w:p>
    <w:p>
      <w:pPr>
        <w:rPr>
          <w:rFonts w:hint="eastAsia"/>
          <w:sz w:val="24"/>
        </w:rPr>
      </w:pPr>
      <w:r>
        <w:rPr>
          <w:rFonts w:hint="eastAsia"/>
          <w:sz w:val="24"/>
        </w:rPr>
        <w:t>甲方代表或授权人签字：</w:t>
      </w:r>
      <w:r>
        <w:rPr>
          <w:sz w:val="24"/>
        </w:rPr>
        <w:t xml:space="preserve">            </w:t>
      </w:r>
      <w:r>
        <w:rPr>
          <w:rFonts w:hint="eastAsia"/>
          <w:sz w:val="24"/>
        </w:rPr>
        <w:t>乙方代表或授权人签字：</w:t>
      </w:r>
    </w:p>
    <w:p>
      <w:pPr>
        <w:rPr>
          <w:rFonts w:hint="eastAsia"/>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p>
      <w:pPr>
        <w:rPr>
          <w:rFonts w:hint="eastAsia"/>
          <w:sz w:val="24"/>
        </w:rPr>
      </w:pPr>
      <w:r>
        <w:rPr>
          <w:rFonts w:hint="eastAsia"/>
          <w:sz w:val="24"/>
        </w:rPr>
        <w:t>联系人</w:t>
      </w:r>
      <w:r>
        <w:rPr>
          <w:sz w:val="24"/>
        </w:rPr>
        <w:t xml:space="preserve">:                           </w:t>
      </w:r>
      <w:r>
        <w:rPr>
          <w:rFonts w:hint="eastAsia"/>
          <w:sz w:val="24"/>
        </w:rPr>
        <w:t>联系人：</w:t>
      </w:r>
    </w:p>
    <w:p>
      <w:pPr>
        <w:rPr>
          <w:rFonts w:hint="eastAsia"/>
          <w:sz w:val="24"/>
        </w:rPr>
      </w:pPr>
      <w:r>
        <w:rPr>
          <w:rFonts w:hint="eastAsia"/>
          <w:sz w:val="24"/>
        </w:rPr>
        <w:t>电话</w:t>
      </w:r>
      <w:r>
        <w:rPr>
          <w:sz w:val="24"/>
        </w:rPr>
        <w:t xml:space="preserve">:                             </w:t>
      </w:r>
      <w:r>
        <w:rPr>
          <w:rFonts w:hint="eastAsia"/>
          <w:sz w:val="24"/>
        </w:rPr>
        <w:t>电话：</w:t>
      </w:r>
    </w:p>
    <w:p>
      <w:pPr>
        <w:rPr>
          <w:rFonts w:hint="eastAsia"/>
          <w:sz w:val="24"/>
        </w:rPr>
      </w:pPr>
      <w:r>
        <w:rPr>
          <w:rFonts w:hint="eastAsia"/>
          <w:sz w:val="24"/>
        </w:rPr>
        <w:t>地址：</w:t>
      </w:r>
      <w:r>
        <w:rPr>
          <w:sz w:val="24"/>
        </w:rPr>
        <w:t xml:space="preserve">                            </w:t>
      </w:r>
      <w:r>
        <w:rPr>
          <w:rFonts w:hint="eastAsia"/>
          <w:sz w:val="24"/>
        </w:rPr>
        <w:t>地址：</w:t>
      </w:r>
    </w:p>
    <w:p>
      <w:pPr>
        <w:shd w:val="clear" w:color="auto" w:fill="auto"/>
        <w:tabs>
          <w:tab w:val="clear" w:pos="426"/>
        </w:tabs>
        <w:adjustRightInd/>
        <w:snapToGrid/>
        <w:jc w:val="left"/>
        <w:rPr>
          <w:rFonts w:ascii="Calibri" w:hAnsi="Calibri" w:cs="Times New Roman"/>
          <w:kern w:val="2"/>
        </w:rPr>
      </w:pPr>
      <w:r>
        <w:rPr>
          <w:rFonts w:ascii="Calibri" w:hAnsi="Calibri" w:cs="Times New Roman"/>
          <w:kern w:val="2"/>
        </w:rPr>
        <w:br w:type="page"/>
      </w:r>
    </w:p>
    <w:p>
      <w:pPr>
        <w:rPr>
          <w:rFonts w:hint="eastAsia"/>
          <w:color w:val="000000"/>
          <w:sz w:val="24"/>
        </w:rPr>
      </w:pPr>
      <w:r>
        <w:rPr>
          <w:rFonts w:hint="eastAsia"/>
          <w:color w:val="000000"/>
          <w:sz w:val="24"/>
        </w:rPr>
        <w:t>附件</w:t>
      </w:r>
      <w:r>
        <w:rPr>
          <w:color w:val="000000"/>
          <w:sz w:val="24"/>
        </w:rPr>
        <w:t>1</w:t>
      </w:r>
      <w:r>
        <w:rPr>
          <w:rFonts w:hint="eastAsia"/>
          <w:color w:val="000000"/>
          <w:sz w:val="24"/>
        </w:rPr>
        <w:t>：</w:t>
      </w:r>
      <w:r>
        <w:rPr>
          <w:rFonts w:hint="eastAsia"/>
          <w:bCs/>
          <w:color w:val="000000"/>
          <w:sz w:val="24"/>
        </w:rPr>
        <w:t>分项报价表、设备配置清单和技术偏离表</w:t>
      </w:r>
    </w:p>
    <w:p>
      <w:pPr>
        <w:shd w:val="clear" w:color="auto" w:fill="auto"/>
        <w:tabs>
          <w:tab w:val="clear" w:pos="426"/>
        </w:tabs>
        <w:adjustRightInd/>
        <w:snapToGrid/>
        <w:jc w:val="left"/>
        <w:rPr>
          <w:rFonts w:hint="eastAsia"/>
          <w:bCs/>
          <w:color w:val="000000"/>
          <w:sz w:val="24"/>
        </w:rPr>
      </w:pPr>
      <w:r>
        <w:rPr>
          <w:bCs/>
          <w:color w:val="000000"/>
          <w:sz w:val="24"/>
        </w:rPr>
        <w:br w:type="page"/>
      </w:r>
    </w:p>
    <w:p>
      <w:pPr>
        <w:rPr>
          <w:rFonts w:hint="eastAsia"/>
          <w:bCs/>
          <w:color w:val="000000"/>
          <w:sz w:val="24"/>
        </w:rPr>
      </w:pPr>
      <w:r>
        <w:rPr>
          <w:rFonts w:hint="eastAsia"/>
          <w:bCs/>
          <w:color w:val="000000"/>
          <w:sz w:val="24"/>
        </w:rPr>
        <w:t>附件</w:t>
      </w:r>
      <w:r>
        <w:rPr>
          <w:bCs/>
          <w:color w:val="000000"/>
          <w:sz w:val="24"/>
        </w:rPr>
        <w:t>2</w:t>
      </w:r>
      <w:r>
        <w:rPr>
          <w:rFonts w:hint="eastAsia"/>
          <w:bCs/>
          <w:color w:val="000000"/>
          <w:sz w:val="24"/>
        </w:rPr>
        <w:t>：培训方案</w:t>
      </w:r>
    </w:p>
    <w:p>
      <w:pPr>
        <w:shd w:val="clear" w:color="auto" w:fill="auto"/>
        <w:tabs>
          <w:tab w:val="clear" w:pos="426"/>
        </w:tabs>
        <w:adjustRightInd/>
        <w:snapToGrid/>
        <w:jc w:val="left"/>
        <w:rPr>
          <w:rFonts w:hint="eastAsia"/>
          <w:bCs/>
          <w:color w:val="000000"/>
          <w:sz w:val="24"/>
        </w:rPr>
      </w:pPr>
      <w:r>
        <w:rPr>
          <w:bCs/>
          <w:color w:val="000000"/>
          <w:sz w:val="24"/>
        </w:rPr>
        <w:br w:type="page"/>
      </w:r>
    </w:p>
    <w:p>
      <w:pPr>
        <w:rPr>
          <w:rFonts w:hint="eastAsia"/>
          <w:bCs/>
          <w:color w:val="000000"/>
          <w:sz w:val="24"/>
        </w:rPr>
      </w:pPr>
      <w:r>
        <w:rPr>
          <w:rFonts w:hint="eastAsia"/>
          <w:bCs/>
          <w:color w:val="000000"/>
          <w:sz w:val="24"/>
        </w:rPr>
        <w:t>附件</w:t>
      </w:r>
      <w:r>
        <w:rPr>
          <w:bCs/>
          <w:color w:val="000000"/>
          <w:sz w:val="24"/>
        </w:rPr>
        <w:t>3</w:t>
      </w:r>
      <w:r>
        <w:rPr>
          <w:rFonts w:hint="eastAsia"/>
          <w:bCs/>
          <w:color w:val="000000"/>
          <w:sz w:val="24"/>
        </w:rPr>
        <w:t>：技术支持及售后服务方案</w:t>
      </w:r>
    </w:p>
    <w:p>
      <w:pPr>
        <w:rPr>
          <w:rFonts w:hint="eastAsia"/>
          <w:sz w:val="24"/>
        </w:rPr>
      </w:pPr>
    </w:p>
    <w:p>
      <w:pPr>
        <w:rPr>
          <w:rFonts w:hint="eastAsia"/>
          <w:b/>
          <w:sz w:val="24"/>
        </w:rPr>
      </w:pPr>
      <w:r>
        <w:rPr>
          <w:b/>
          <w:sz w:val="24"/>
        </w:rPr>
        <w:br w:type="page"/>
      </w:r>
    </w:p>
    <w:p>
      <w:pPr>
        <w:widowControl w:val="0"/>
        <w:shd w:val="clear" w:color="auto" w:fill="auto"/>
        <w:tabs>
          <w:tab w:val="clear" w:pos="426"/>
        </w:tabs>
        <w:adjustRightInd/>
        <w:snapToGrid/>
        <w:jc w:val="center"/>
        <w:rPr>
          <w:rFonts w:hint="eastAsia"/>
          <w:b/>
          <w:sz w:val="24"/>
        </w:rPr>
      </w:pPr>
      <w:r>
        <w:rPr>
          <w:b/>
          <w:sz w:val="24"/>
        </w:rPr>
        <w:t>02</w:t>
      </w:r>
      <w:r>
        <w:rPr>
          <w:rFonts w:hint="eastAsia"/>
          <w:b/>
          <w:sz w:val="24"/>
        </w:rPr>
        <w:t>包</w:t>
      </w:r>
    </w:p>
    <w:p>
      <w:pPr>
        <w:pStyle w:val="426"/>
        <w:spacing w:line="360" w:lineRule="auto"/>
        <w:rPr>
          <w:rFonts w:eastAsia="方正小标宋_GBK"/>
          <w:sz w:val="36"/>
          <w:szCs w:val="36"/>
        </w:rPr>
      </w:pPr>
      <w:r>
        <w:rPr>
          <w:rFonts w:hint="eastAsia" w:eastAsia="方正小标宋_GBK"/>
          <w:sz w:val="36"/>
          <w:szCs w:val="36"/>
        </w:rPr>
        <w:t>危险化学品粉尘检验类设备采购项目（第二次招标）合同书</w:t>
      </w:r>
    </w:p>
    <w:p>
      <w:pPr>
        <w:rPr>
          <w:rFonts w:hint="eastAsia"/>
          <w:sz w:val="24"/>
        </w:rPr>
      </w:pPr>
    </w:p>
    <w:p>
      <w:pPr>
        <w:rPr>
          <w:rFonts w:hint="eastAsia"/>
          <w:sz w:val="24"/>
        </w:rPr>
      </w:pPr>
      <w:r>
        <w:rPr>
          <w:rFonts w:hint="eastAsia"/>
          <w:sz w:val="24"/>
        </w:rPr>
        <w:t>甲方（采购人）</w:t>
      </w:r>
      <w:r>
        <w:rPr>
          <w:sz w:val="24"/>
        </w:rPr>
        <w:t>:</w:t>
      </w:r>
      <w:r>
        <w:rPr>
          <w:rFonts w:hint="eastAsia"/>
          <w:sz w:val="24"/>
        </w:rPr>
        <w:t>深圳海关工业品检测技术中心</w:t>
      </w:r>
    </w:p>
    <w:p>
      <w:pPr>
        <w:rPr>
          <w:rFonts w:hint="eastAsia"/>
          <w:sz w:val="24"/>
        </w:rPr>
      </w:pPr>
      <w:r>
        <w:rPr>
          <w:rFonts w:hint="eastAsia"/>
          <w:sz w:val="24"/>
        </w:rPr>
        <w:t>乙方（供应商）</w:t>
      </w:r>
      <w:r>
        <w:rPr>
          <w:sz w:val="24"/>
        </w:rPr>
        <w:t xml:space="preserve">:                                  </w:t>
      </w:r>
    </w:p>
    <w:p>
      <w:pPr>
        <w:widowControl w:val="0"/>
        <w:shd w:val="clear" w:color="auto" w:fill="auto"/>
        <w:tabs>
          <w:tab w:val="clear" w:pos="426"/>
        </w:tabs>
        <w:adjustRightInd/>
        <w:snapToGrid/>
        <w:ind w:firstLine="480" w:firstLineChars="200"/>
        <w:rPr>
          <w:rFonts w:hint="eastAsia"/>
          <w:sz w:val="24"/>
        </w:rPr>
      </w:pPr>
      <w:r>
        <w:rPr>
          <w:rFonts w:hint="eastAsia"/>
          <w:sz w:val="24"/>
        </w:rPr>
        <w:t>根据</w:t>
      </w:r>
      <w:r>
        <w:rPr>
          <w:rFonts w:hint="eastAsia"/>
          <w:snapToGrid w:val="0"/>
          <w:sz w:val="24"/>
        </w:rPr>
        <w:t>《中华人民共和国民法典（合同编）》、</w:t>
      </w:r>
      <w:r>
        <w:rPr>
          <w:rFonts w:hint="eastAsia"/>
          <w:sz w:val="24"/>
        </w:rPr>
        <w:t>《中华人民共和国政府采购法》等相关法律规定，甲方对</w:t>
      </w:r>
      <w:r>
        <w:rPr>
          <w:rFonts w:hint="eastAsia"/>
          <w:sz w:val="24"/>
          <w:u w:val="single"/>
        </w:rPr>
        <w:t>危险化学品粉尘检验类设备采购项目（第二次招标）</w:t>
      </w:r>
      <w:r>
        <w:rPr>
          <w:rFonts w:hint="eastAsia"/>
          <w:sz w:val="24"/>
        </w:rPr>
        <w:t>以</w:t>
      </w:r>
      <w:r>
        <w:rPr>
          <w:rFonts w:hint="eastAsia"/>
          <w:sz w:val="24"/>
          <w:u w:val="single"/>
        </w:rPr>
        <w:t>公开招标</w:t>
      </w:r>
      <w:r>
        <w:rPr>
          <w:rFonts w:hint="eastAsia"/>
          <w:sz w:val="24"/>
        </w:rPr>
        <w:t>方式进行采购，确定乙方为中标人（成交商），现依照招标文件、投标文件等相关文件的内容，双方达成如下协议：</w:t>
      </w:r>
    </w:p>
    <w:p>
      <w:pPr>
        <w:ind w:firstLine="482" w:firstLineChars="200"/>
        <w:rPr>
          <w:rFonts w:hint="eastAsia"/>
          <w:b/>
          <w:bCs/>
          <w:sz w:val="24"/>
        </w:rPr>
      </w:pPr>
      <w:r>
        <w:rPr>
          <w:rFonts w:hint="eastAsia"/>
          <w:b/>
          <w:bCs/>
          <w:sz w:val="24"/>
        </w:rPr>
        <w:t>第一条</w:t>
      </w:r>
      <w:r>
        <w:rPr>
          <w:b/>
          <w:bCs/>
          <w:sz w:val="24"/>
        </w:rPr>
        <w:t xml:space="preserve"> </w:t>
      </w:r>
      <w:r>
        <w:rPr>
          <w:rFonts w:hint="eastAsia"/>
          <w:b/>
          <w:bCs/>
          <w:sz w:val="24"/>
        </w:rPr>
        <w:t>采购货物清单</w:t>
      </w:r>
    </w:p>
    <w:tbl>
      <w:tblPr>
        <w:tblStyle w:val="85"/>
        <w:tblW w:w="9059"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1144"/>
        <w:gridCol w:w="1219"/>
        <w:gridCol w:w="1013"/>
        <w:gridCol w:w="900"/>
        <w:gridCol w:w="1481"/>
        <w:gridCol w:w="1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93" w:type="dxa"/>
            <w:tcBorders>
              <w:top w:val="single" w:color="auto" w:sz="4" w:space="0"/>
              <w:bottom w:val="single" w:color="auto" w:sz="4" w:space="0"/>
              <w:right w:val="single" w:color="auto" w:sz="4" w:space="0"/>
            </w:tcBorders>
            <w:vAlign w:val="center"/>
          </w:tcPr>
          <w:p>
            <w:pPr>
              <w:pStyle w:val="585"/>
              <w:autoSpaceDN w:val="0"/>
              <w:jc w:val="center"/>
              <w:rPr>
                <w:rFonts w:ascii="Times New Roman"/>
                <w:b/>
                <w:bCs/>
                <w:sz w:val="24"/>
                <w:szCs w:val="24"/>
              </w:rPr>
            </w:pPr>
            <w:r>
              <w:rPr>
                <w:rFonts w:hint="eastAsia" w:ascii="Times New Roman"/>
                <w:b/>
                <w:bCs/>
                <w:sz w:val="24"/>
                <w:szCs w:val="24"/>
              </w:rPr>
              <w:t>货物名称</w:t>
            </w:r>
          </w:p>
        </w:tc>
        <w:tc>
          <w:tcPr>
            <w:tcW w:w="1144" w:type="dxa"/>
            <w:tcBorders>
              <w:top w:val="single" w:color="auto" w:sz="4" w:space="0"/>
              <w:left w:val="single" w:color="auto" w:sz="4" w:space="0"/>
              <w:bottom w:val="single" w:color="auto" w:sz="4" w:space="0"/>
              <w:right w:val="single" w:color="auto" w:sz="4" w:space="0"/>
            </w:tcBorders>
            <w:vAlign w:val="center"/>
          </w:tcPr>
          <w:p>
            <w:pPr>
              <w:pStyle w:val="586"/>
              <w:autoSpaceDN w:val="0"/>
              <w:spacing w:after="231"/>
              <w:jc w:val="center"/>
              <w:rPr>
                <w:rFonts w:ascii="Times New Roman"/>
                <w:b/>
                <w:bCs/>
                <w:sz w:val="24"/>
                <w:szCs w:val="24"/>
              </w:rPr>
            </w:pPr>
            <w:r>
              <w:rPr>
                <w:rFonts w:hint="eastAsia" w:ascii="Times New Roman"/>
                <w:b/>
                <w:bCs/>
                <w:sz w:val="24"/>
                <w:szCs w:val="24"/>
              </w:rPr>
              <w:t>品牌</w:t>
            </w:r>
          </w:p>
        </w:tc>
        <w:tc>
          <w:tcPr>
            <w:tcW w:w="1219"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hAnsi="Times New Roman"/>
                <w:b/>
                <w:bCs/>
                <w:sz w:val="24"/>
                <w:szCs w:val="24"/>
              </w:rPr>
            </w:pPr>
            <w:r>
              <w:rPr>
                <w:rFonts w:hint="eastAsia" w:ascii="Times New Roman" w:hAnsi="Times New Roman"/>
                <w:b/>
                <w:bCs/>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588"/>
              <w:autoSpaceDN w:val="0"/>
              <w:jc w:val="center"/>
              <w:rPr>
                <w:rFonts w:ascii="Times New Roman"/>
                <w:b/>
                <w:bCs/>
                <w:sz w:val="24"/>
                <w:szCs w:val="24"/>
              </w:rPr>
            </w:pPr>
            <w:r>
              <w:rPr>
                <w:rFonts w:hint="eastAsia" w:ascii="Times New Roman"/>
                <w:b/>
                <w:bCs/>
                <w:sz w:val="24"/>
                <w:szCs w:val="24"/>
              </w:rPr>
              <w:t>产地</w:t>
            </w:r>
          </w:p>
        </w:tc>
        <w:tc>
          <w:tcPr>
            <w:tcW w:w="900" w:type="dxa"/>
            <w:tcBorders>
              <w:top w:val="single" w:color="auto" w:sz="4" w:space="0"/>
              <w:left w:val="single" w:color="auto" w:sz="4" w:space="0"/>
              <w:bottom w:val="single" w:color="auto" w:sz="4" w:space="0"/>
              <w:right w:val="single" w:color="auto" w:sz="4" w:space="0"/>
            </w:tcBorders>
            <w:vAlign w:val="center"/>
          </w:tcPr>
          <w:p>
            <w:pPr>
              <w:pStyle w:val="588"/>
              <w:autoSpaceDN w:val="0"/>
              <w:jc w:val="center"/>
              <w:rPr>
                <w:rFonts w:ascii="Times New Roman"/>
                <w:b/>
                <w:bCs/>
                <w:sz w:val="24"/>
                <w:szCs w:val="24"/>
              </w:rPr>
            </w:pPr>
            <w:r>
              <w:rPr>
                <w:rFonts w:hint="eastAsia" w:ascii="Times New Roman"/>
                <w:b/>
                <w:bCs/>
                <w:sz w:val="24"/>
                <w:szCs w:val="24"/>
              </w:rPr>
              <w:t>数量</w:t>
            </w:r>
          </w:p>
        </w:tc>
        <w:tc>
          <w:tcPr>
            <w:tcW w:w="1481" w:type="dxa"/>
            <w:tcBorders>
              <w:top w:val="single" w:color="auto" w:sz="4" w:space="0"/>
              <w:left w:val="single" w:color="auto" w:sz="4" w:space="0"/>
              <w:bottom w:val="single" w:color="auto" w:sz="4" w:space="0"/>
              <w:right w:val="single" w:color="auto" w:sz="4" w:space="0"/>
            </w:tcBorders>
            <w:vAlign w:val="center"/>
          </w:tcPr>
          <w:p>
            <w:pPr>
              <w:pStyle w:val="589"/>
              <w:autoSpaceDN w:val="0"/>
              <w:jc w:val="center"/>
              <w:rPr>
                <w:rFonts w:ascii="Times New Roman"/>
                <w:b/>
                <w:bCs/>
                <w:sz w:val="24"/>
                <w:szCs w:val="24"/>
              </w:rPr>
            </w:pPr>
            <w:r>
              <w:rPr>
                <w:rFonts w:hint="eastAsia" w:ascii="Times New Roman"/>
                <w:b/>
                <w:bCs/>
                <w:sz w:val="24"/>
                <w:szCs w:val="24"/>
              </w:rPr>
              <w:t>单价（元）</w:t>
            </w:r>
          </w:p>
        </w:tc>
        <w:tc>
          <w:tcPr>
            <w:tcW w:w="1509" w:type="dxa"/>
            <w:tcBorders>
              <w:top w:val="single" w:color="auto" w:sz="4" w:space="0"/>
              <w:left w:val="single" w:color="auto" w:sz="4" w:space="0"/>
              <w:bottom w:val="single" w:color="auto" w:sz="4" w:space="0"/>
            </w:tcBorders>
            <w:vAlign w:val="center"/>
          </w:tcPr>
          <w:p>
            <w:pPr>
              <w:pStyle w:val="590"/>
              <w:autoSpaceDN w:val="0"/>
              <w:jc w:val="center"/>
              <w:rPr>
                <w:rFonts w:ascii="Times New Roman"/>
                <w:b/>
                <w:bCs/>
                <w:sz w:val="24"/>
                <w:szCs w:val="24"/>
              </w:rPr>
            </w:pPr>
            <w:r>
              <w:rPr>
                <w:rFonts w:hint="eastAsia" w:ascii="Times New Roman"/>
                <w:b/>
                <w:bCs/>
                <w:sz w:val="24"/>
                <w:szCs w:val="24"/>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bottom w:val="single" w:color="auto" w:sz="4" w:space="0"/>
              <w:right w:val="single" w:color="auto" w:sz="4" w:space="0"/>
            </w:tcBorders>
            <w:vAlign w:val="center"/>
          </w:tcPr>
          <w:p>
            <w:pPr>
              <w:pStyle w:val="591"/>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2"/>
              <w:autoSpaceDN w:val="0"/>
              <w:ind w:left="482" w:hanging="482"/>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3"/>
              <w:autoSpaceDN w:val="0"/>
              <w:ind w:left="294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4"/>
              <w:autoSpaceDN w:val="0"/>
              <w:ind w:left="482" w:hanging="482"/>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4"/>
              <w:autoSpaceDN w:val="0"/>
              <w:ind w:left="482" w:hanging="482"/>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595"/>
              <w:autoSpaceDN w:val="0"/>
              <w:ind w:left="2940"/>
              <w:jc w:val="center"/>
              <w:rPr>
                <w:rFonts w:ascii="Times New Roman"/>
                <w:b/>
                <w:bCs/>
                <w:sz w:val="24"/>
                <w:szCs w:val="24"/>
              </w:rPr>
            </w:pPr>
          </w:p>
        </w:tc>
        <w:tc>
          <w:tcPr>
            <w:tcW w:w="1509" w:type="dxa"/>
            <w:tcBorders>
              <w:top w:val="single" w:color="auto" w:sz="4" w:space="0"/>
              <w:left w:val="single" w:color="auto" w:sz="4" w:space="0"/>
              <w:bottom w:val="single" w:color="auto" w:sz="4" w:space="0"/>
            </w:tcBorders>
            <w:vAlign w:val="center"/>
          </w:tcPr>
          <w:p>
            <w:pPr>
              <w:pStyle w:val="596"/>
              <w:autoSpaceDN w:val="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bottom w:val="single" w:color="auto" w:sz="4" w:space="0"/>
              <w:right w:val="single" w:color="auto" w:sz="4" w:space="0"/>
            </w:tcBorders>
            <w:vAlign w:val="center"/>
          </w:tcPr>
          <w:p>
            <w:pPr>
              <w:pStyle w:val="597"/>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8"/>
              <w:autoSpaceDN w:val="0"/>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600"/>
              <w:autoSpaceDN w:val="0"/>
              <w:ind w:left="4410"/>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600"/>
              <w:autoSpaceDN w:val="0"/>
              <w:ind w:left="4410"/>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601"/>
              <w:autoSpaceDN w:val="0"/>
              <w:jc w:val="center"/>
              <w:rPr>
                <w:rFonts w:ascii="Times New Roman"/>
                <w:b/>
                <w:bCs/>
                <w:sz w:val="24"/>
                <w:szCs w:val="24"/>
              </w:rPr>
            </w:pPr>
          </w:p>
        </w:tc>
        <w:tc>
          <w:tcPr>
            <w:tcW w:w="1509" w:type="dxa"/>
            <w:tcBorders>
              <w:top w:val="single" w:color="auto" w:sz="4" w:space="0"/>
              <w:left w:val="single" w:color="auto" w:sz="4" w:space="0"/>
              <w:bottom w:val="single" w:color="auto" w:sz="4" w:space="0"/>
            </w:tcBorders>
            <w:vAlign w:val="center"/>
          </w:tcPr>
          <w:p>
            <w:pPr>
              <w:pStyle w:val="602"/>
              <w:autoSpaceDN w:val="0"/>
              <w:ind w:left="441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0" w:hRule="atLeast"/>
        </w:trPr>
        <w:tc>
          <w:tcPr>
            <w:tcW w:w="7550" w:type="dxa"/>
            <w:gridSpan w:val="6"/>
            <w:tcBorders>
              <w:top w:val="single" w:color="auto" w:sz="4" w:space="0"/>
              <w:bottom w:val="single" w:color="auto" w:sz="4" w:space="0"/>
              <w:right w:val="single" w:color="auto" w:sz="4" w:space="0"/>
            </w:tcBorders>
            <w:vAlign w:val="center"/>
          </w:tcPr>
          <w:p>
            <w:pPr>
              <w:pStyle w:val="603"/>
              <w:autoSpaceDN w:val="0"/>
              <w:ind w:firstLine="482"/>
              <w:jc w:val="center"/>
              <w:rPr>
                <w:rFonts w:ascii="Times New Roman"/>
                <w:b/>
                <w:bCs/>
                <w:sz w:val="24"/>
                <w:szCs w:val="24"/>
              </w:rPr>
            </w:pPr>
            <w:r>
              <w:rPr>
                <w:rFonts w:ascii="Times New Roman"/>
                <w:b/>
                <w:bCs/>
                <w:sz w:val="24"/>
                <w:szCs w:val="24"/>
              </w:rPr>
              <w:t xml:space="preserve">                                                </w:t>
            </w:r>
            <w:r>
              <w:rPr>
                <w:rFonts w:hint="eastAsia" w:ascii="Times New Roman"/>
                <w:b/>
                <w:bCs/>
                <w:sz w:val="24"/>
                <w:szCs w:val="24"/>
              </w:rPr>
              <w:t>设备总价</w:t>
            </w:r>
          </w:p>
        </w:tc>
        <w:tc>
          <w:tcPr>
            <w:tcW w:w="1509" w:type="dxa"/>
            <w:tcBorders>
              <w:top w:val="single" w:color="auto" w:sz="4" w:space="0"/>
              <w:left w:val="single" w:color="auto" w:sz="4" w:space="0"/>
              <w:bottom w:val="single" w:color="auto" w:sz="4" w:space="0"/>
            </w:tcBorders>
            <w:vAlign w:val="center"/>
          </w:tcPr>
          <w:p>
            <w:pPr>
              <w:pStyle w:val="537"/>
              <w:autoSpaceDN w:val="0"/>
              <w:adjustRightInd w:val="0"/>
              <w:snapToGrid w:val="0"/>
              <w:spacing w:after="231" w:line="360" w:lineRule="auto"/>
              <w:ind w:left="1322" w:hanging="482"/>
              <w:jc w:val="center"/>
              <w:rPr>
                <w:b/>
                <w:bCs/>
                <w:sz w:val="24"/>
              </w:rPr>
            </w:pPr>
          </w:p>
        </w:tc>
      </w:tr>
    </w:tbl>
    <w:p>
      <w:pPr>
        <w:ind w:firstLine="482" w:firstLineChars="200"/>
        <w:rPr>
          <w:rFonts w:hint="eastAsia"/>
          <w:b/>
          <w:bCs/>
          <w:sz w:val="24"/>
        </w:rPr>
      </w:pPr>
      <w:r>
        <w:rPr>
          <w:rFonts w:hint="eastAsia"/>
          <w:b/>
          <w:bCs/>
          <w:sz w:val="24"/>
        </w:rPr>
        <w:t>第二条</w:t>
      </w:r>
      <w:r>
        <w:rPr>
          <w:b/>
          <w:bCs/>
          <w:sz w:val="24"/>
        </w:rPr>
        <w:t xml:space="preserve"> </w:t>
      </w:r>
      <w:r>
        <w:rPr>
          <w:rFonts w:hint="eastAsia"/>
          <w:b/>
          <w:bCs/>
          <w:sz w:val="24"/>
        </w:rPr>
        <w:t>合同总价款</w:t>
      </w:r>
    </w:p>
    <w:p>
      <w:pPr>
        <w:pStyle w:val="621"/>
        <w:spacing w:line="360" w:lineRule="auto"/>
        <w:ind w:firstLine="480" w:firstLineChars="200"/>
        <w:rPr>
          <w:rFonts w:eastAsia="宋体"/>
          <w:sz w:val="24"/>
          <w:szCs w:val="24"/>
        </w:rPr>
      </w:pPr>
      <w:r>
        <w:rPr>
          <w:rFonts w:hint="eastAsia" w:eastAsia="宋体"/>
          <w:sz w:val="24"/>
          <w:szCs w:val="24"/>
        </w:rPr>
        <w:t>甲方以支付总价款</w:t>
      </w:r>
      <w:r>
        <w:rPr>
          <w:rFonts w:eastAsia="宋体"/>
          <w:sz w:val="24"/>
          <w:szCs w:val="24"/>
        </w:rPr>
        <w:t>__________</w:t>
      </w:r>
      <w:r>
        <w:rPr>
          <w:rFonts w:hint="eastAsia" w:eastAsia="宋体"/>
          <w:sz w:val="24"/>
          <w:szCs w:val="24"/>
        </w:rPr>
        <w:t>元，（人民币大写：</w:t>
      </w:r>
      <w:r>
        <w:rPr>
          <w:rFonts w:eastAsia="宋体"/>
          <w:sz w:val="24"/>
          <w:szCs w:val="24"/>
        </w:rPr>
        <w:t xml:space="preserve">         </w:t>
      </w:r>
      <w:r>
        <w:rPr>
          <w:rFonts w:hint="eastAsia" w:eastAsia="宋体"/>
          <w:sz w:val="24"/>
          <w:szCs w:val="24"/>
        </w:rPr>
        <w:t>）接受乙方对上述货物的供货和伴随服务。包括乙方提供货物、包装、运输、货物的保险和储存、检测、验收、安装调试、保修服务、培训、资料及提供的伴随服务等所有成本、费用及税费，甲方（用户）无需再向乙方支付其他任何费用。详见附件分项报价表、设备配置清单和技术偏离表。（根据采购实际可自行调整。）</w:t>
      </w:r>
    </w:p>
    <w:p>
      <w:pPr>
        <w:pStyle w:val="622"/>
        <w:spacing w:line="360" w:lineRule="auto"/>
        <w:ind w:left="420" w:firstLine="482" w:firstLineChars="200"/>
        <w:rPr>
          <w:rFonts w:ascii="Times New Roman" w:eastAsia="宋体"/>
          <w:color w:val="auto"/>
          <w:sz w:val="24"/>
          <w:szCs w:val="24"/>
        </w:rPr>
      </w:pPr>
      <w:r>
        <w:rPr>
          <w:rFonts w:hint="eastAsia" w:ascii="Times New Roman" w:eastAsia="宋体"/>
          <w:b/>
          <w:bCs/>
          <w:color w:val="auto"/>
          <w:sz w:val="24"/>
          <w:szCs w:val="24"/>
        </w:rPr>
        <w:t>第三条</w:t>
      </w:r>
      <w:r>
        <w:rPr>
          <w:rFonts w:ascii="Times New Roman" w:eastAsia="宋体"/>
          <w:b/>
          <w:bCs/>
          <w:color w:val="auto"/>
          <w:sz w:val="24"/>
          <w:szCs w:val="24"/>
        </w:rPr>
        <w:t xml:space="preserve"> </w:t>
      </w:r>
      <w:r>
        <w:rPr>
          <w:rFonts w:hint="eastAsia" w:ascii="Times New Roman" w:eastAsia="宋体"/>
          <w:b/>
          <w:bCs/>
          <w:color w:val="auto"/>
          <w:sz w:val="24"/>
          <w:szCs w:val="24"/>
        </w:rPr>
        <w:t>付款条件</w:t>
      </w:r>
    </w:p>
    <w:p>
      <w:pPr>
        <w:ind w:firstLine="480" w:firstLineChars="200"/>
        <w:rPr>
          <w:rFonts w:hint="eastAsia"/>
          <w:sz w:val="24"/>
        </w:rPr>
      </w:pPr>
      <w:r>
        <w:rPr>
          <w:rFonts w:hint="eastAsia"/>
          <w:sz w:val="24"/>
        </w:rPr>
        <w:t>（一）本合同以人民币付款。</w:t>
      </w:r>
    </w:p>
    <w:p>
      <w:pPr>
        <w:ind w:firstLine="480" w:firstLineChars="200"/>
        <w:rPr>
          <w:rFonts w:hint="eastAsia"/>
          <w:sz w:val="24"/>
        </w:rPr>
      </w:pPr>
      <w:r>
        <w:rPr>
          <w:rFonts w:hint="eastAsia"/>
          <w:sz w:val="24"/>
        </w:rPr>
        <w:t>（二）付款办法：</w:t>
      </w:r>
    </w:p>
    <w:p>
      <w:pPr>
        <w:ind w:firstLine="480" w:firstLineChars="200"/>
        <w:rPr>
          <w:rFonts w:hint="eastAsia"/>
          <w:sz w:val="24"/>
        </w:rPr>
      </w:pPr>
      <w:r>
        <w:rPr>
          <w:sz w:val="24"/>
        </w:rPr>
        <w:t>1.</w:t>
      </w:r>
      <w:r>
        <w:rPr>
          <w:rFonts w:hint="eastAsia"/>
          <w:sz w:val="24"/>
        </w:rPr>
        <w:t>乙方向甲方交付履约保函或保证金，比例等于合同金额的</w:t>
      </w:r>
      <w:r>
        <w:rPr>
          <w:sz w:val="24"/>
        </w:rPr>
        <w:t>10%</w:t>
      </w:r>
      <w:r>
        <w:rPr>
          <w:rFonts w:hint="eastAsia"/>
          <w:sz w:val="24"/>
        </w:rPr>
        <w:t>，并提交下列单据之日起</w:t>
      </w:r>
      <w:r>
        <w:rPr>
          <w:sz w:val="24"/>
        </w:rPr>
        <w:t>10</w:t>
      </w:r>
      <w:r>
        <w:rPr>
          <w:rFonts w:hint="eastAsia"/>
          <w:sz w:val="24"/>
        </w:rPr>
        <w:t>个工作日内，甲方向乙方支付合同总价</w:t>
      </w:r>
      <w:r>
        <w:rPr>
          <w:sz w:val="24"/>
          <w:u w:val="single"/>
        </w:rPr>
        <w:t>50</w:t>
      </w:r>
      <w:r>
        <w:rPr>
          <w:sz w:val="24"/>
        </w:rPr>
        <w:t>%</w:t>
      </w:r>
      <w:r>
        <w:rPr>
          <w:rFonts w:hint="eastAsia"/>
          <w:sz w:val="24"/>
        </w:rPr>
        <w:t>合同款（金额大写：</w:t>
      </w:r>
      <w:r>
        <w:rPr>
          <w:sz w:val="24"/>
        </w:rPr>
        <w:t xml:space="preserve">         </w:t>
      </w:r>
      <w:r>
        <w:rPr>
          <w:rFonts w:hint="eastAsia"/>
          <w:sz w:val="24"/>
        </w:rPr>
        <w:t>）。</w:t>
      </w:r>
    </w:p>
    <w:p>
      <w:pPr>
        <w:ind w:firstLine="480" w:firstLineChars="200"/>
        <w:rPr>
          <w:rFonts w:hint="eastAsia"/>
          <w:sz w:val="24"/>
        </w:rPr>
      </w:pPr>
      <w:r>
        <w:rPr>
          <w:rFonts w:hint="eastAsia"/>
          <w:sz w:val="24"/>
        </w:rPr>
        <w:t>乙方提交单据：合同（正文部分复印件）、中标通知书（或成交通知书复印件）、发票（原件）、履约保函或保证金单据复印件（如有）。</w:t>
      </w:r>
    </w:p>
    <w:p>
      <w:pPr>
        <w:ind w:firstLine="480" w:firstLineChars="200"/>
        <w:rPr>
          <w:rFonts w:hint="eastAsia"/>
          <w:sz w:val="24"/>
        </w:rPr>
      </w:pPr>
      <w:r>
        <w:rPr>
          <w:sz w:val="24"/>
        </w:rPr>
        <w:t>2.</w:t>
      </w:r>
      <w:r>
        <w:rPr>
          <w:rFonts w:hint="eastAsia"/>
          <w:sz w:val="24"/>
        </w:rPr>
        <w:t>设备全部到货并经甲方（用户）签收后，乙方向甲方提交下列单据之日起</w:t>
      </w:r>
      <w:r>
        <w:rPr>
          <w:sz w:val="24"/>
        </w:rPr>
        <w:t>10</w:t>
      </w:r>
      <w:r>
        <w:rPr>
          <w:rFonts w:hint="eastAsia"/>
          <w:sz w:val="24"/>
        </w:rPr>
        <w:t>个工作日内，甲方向乙方支付合同总价</w:t>
      </w:r>
      <w:r>
        <w:rPr>
          <w:sz w:val="24"/>
          <w:u w:val="single"/>
        </w:rPr>
        <w:t>50</w:t>
      </w:r>
      <w:r>
        <w:rPr>
          <w:sz w:val="24"/>
        </w:rPr>
        <w:t>%</w:t>
      </w:r>
      <w:r>
        <w:rPr>
          <w:rFonts w:hint="eastAsia"/>
          <w:sz w:val="24"/>
        </w:rPr>
        <w:t>合同款（金额大写：</w:t>
      </w:r>
      <w:r>
        <w:rPr>
          <w:sz w:val="24"/>
        </w:rPr>
        <w:t xml:space="preserve">            </w:t>
      </w:r>
      <w:r>
        <w:rPr>
          <w:rFonts w:hint="eastAsia"/>
          <w:sz w:val="24"/>
        </w:rPr>
        <w:t>）。</w:t>
      </w:r>
    </w:p>
    <w:p>
      <w:pPr>
        <w:ind w:firstLine="480" w:firstLineChars="200"/>
        <w:rPr>
          <w:rFonts w:hint="eastAsia"/>
          <w:sz w:val="24"/>
        </w:rPr>
      </w:pPr>
      <w:r>
        <w:rPr>
          <w:rFonts w:hint="eastAsia"/>
          <w:sz w:val="24"/>
        </w:rPr>
        <w:t>乙方提交单据：合同</w:t>
      </w:r>
      <w:r>
        <w:rPr>
          <w:sz w:val="24"/>
        </w:rPr>
        <w:t>(</w:t>
      </w:r>
      <w:r>
        <w:rPr>
          <w:rFonts w:hint="eastAsia"/>
          <w:sz w:val="24"/>
        </w:rPr>
        <w:t>正文部分复印件）、中标通知书（或成交通知书复印件）、发票（原件）、设备到货签收单（复印件）。</w:t>
      </w:r>
    </w:p>
    <w:p>
      <w:pPr>
        <w:ind w:firstLine="480" w:firstLineChars="200"/>
        <w:rPr>
          <w:rFonts w:hint="eastAsia"/>
          <w:sz w:val="24"/>
        </w:rPr>
      </w:pPr>
      <w:r>
        <w:rPr>
          <w:sz w:val="24"/>
        </w:rPr>
        <w:t>3.</w:t>
      </w:r>
      <w:r>
        <w:rPr>
          <w:rFonts w:hint="eastAsia"/>
          <w:sz w:val="24"/>
        </w:rPr>
        <w:t>设备全部安装调试，并经甲方（用户）验收合格后，乙方向甲方提交下列单据之日起</w:t>
      </w:r>
      <w:r>
        <w:rPr>
          <w:sz w:val="24"/>
        </w:rPr>
        <w:t>30</w:t>
      </w:r>
      <w:r>
        <w:rPr>
          <w:rFonts w:hint="eastAsia"/>
          <w:sz w:val="24"/>
        </w:rPr>
        <w:t>日内，甲方向乙方无息退还履约保函或保证金。</w:t>
      </w:r>
    </w:p>
    <w:p>
      <w:pPr>
        <w:ind w:firstLine="480" w:firstLineChars="200"/>
        <w:rPr>
          <w:rFonts w:hint="eastAsia"/>
          <w:sz w:val="24"/>
        </w:rPr>
      </w:pPr>
      <w:r>
        <w:rPr>
          <w:rFonts w:hint="eastAsia"/>
          <w:sz w:val="24"/>
        </w:rPr>
        <w:t>乙方提交单据：退还申请（原件）、安装调试验收合格报告（复印件）。</w:t>
      </w:r>
    </w:p>
    <w:p>
      <w:pPr>
        <w:ind w:firstLine="480" w:firstLineChars="200"/>
        <w:rPr>
          <w:rFonts w:hint="eastAsia"/>
          <w:sz w:val="24"/>
        </w:rPr>
      </w:pPr>
      <w:r>
        <w:rPr>
          <w:sz w:val="24"/>
        </w:rPr>
        <w:t>4.</w:t>
      </w:r>
      <w:r>
        <w:rPr>
          <w:rFonts w:hint="eastAsia"/>
          <w:sz w:val="24"/>
        </w:rPr>
        <w:t>因财政集中支付延误时间不计算在内。乙方提交付款单据延迟、缺失及账户信息错误的，甲方有权相应顺延付款期限，且甲方不承担延误付款责任。</w:t>
      </w:r>
    </w:p>
    <w:p>
      <w:pPr>
        <w:pStyle w:val="604"/>
        <w:autoSpaceDN w:val="0"/>
        <w:ind w:firstLine="480" w:firstLineChars="200"/>
        <w:jc w:val="left"/>
        <w:rPr>
          <w:snapToGrid w:val="0"/>
          <w:sz w:val="24"/>
          <w:szCs w:val="24"/>
        </w:rPr>
      </w:pPr>
      <w:r>
        <w:rPr>
          <w:rFonts w:hint="eastAsia"/>
          <w:snapToGrid w:val="0"/>
          <w:sz w:val="24"/>
          <w:szCs w:val="24"/>
        </w:rPr>
        <w:t>乙方收取货款账户为：</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8" w:type="dxa"/>
            <w:vAlign w:val="center"/>
          </w:tcPr>
          <w:p>
            <w:pPr>
              <w:pStyle w:val="604"/>
              <w:autoSpaceDN w:val="0"/>
              <w:rPr>
                <w:snapToGrid w:val="0"/>
                <w:sz w:val="24"/>
                <w:szCs w:val="24"/>
              </w:rPr>
            </w:pPr>
            <w:r>
              <w:rPr>
                <w:rFonts w:hint="eastAsia"/>
                <w:snapToGrid w:val="0"/>
                <w:sz w:val="24"/>
                <w:szCs w:val="24"/>
              </w:rPr>
              <w:t>乙方全称</w:t>
            </w:r>
          </w:p>
        </w:tc>
        <w:tc>
          <w:tcPr>
            <w:tcW w:w="6266" w:type="dxa"/>
            <w:vAlign w:val="center"/>
          </w:tcPr>
          <w:p>
            <w:pPr>
              <w:pStyle w:val="604"/>
              <w:autoSpaceDN w:val="0"/>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98" w:type="dxa"/>
            <w:vAlign w:val="center"/>
          </w:tcPr>
          <w:p>
            <w:pPr>
              <w:pStyle w:val="604"/>
              <w:autoSpaceDN w:val="0"/>
              <w:rPr>
                <w:snapToGrid w:val="0"/>
                <w:sz w:val="24"/>
                <w:szCs w:val="24"/>
              </w:rPr>
            </w:pPr>
            <w:r>
              <w:rPr>
                <w:rFonts w:hint="eastAsia"/>
                <w:snapToGrid w:val="0"/>
                <w:sz w:val="24"/>
                <w:szCs w:val="24"/>
              </w:rPr>
              <w:t>开户银行</w:t>
            </w:r>
          </w:p>
        </w:tc>
        <w:tc>
          <w:tcPr>
            <w:tcW w:w="6266" w:type="dxa"/>
            <w:vAlign w:val="center"/>
          </w:tcPr>
          <w:p>
            <w:pPr>
              <w:pStyle w:val="604"/>
              <w:autoSpaceDN w:val="0"/>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098" w:type="dxa"/>
            <w:vAlign w:val="center"/>
          </w:tcPr>
          <w:p>
            <w:pPr>
              <w:pStyle w:val="604"/>
              <w:autoSpaceDN w:val="0"/>
              <w:rPr>
                <w:snapToGrid w:val="0"/>
                <w:sz w:val="24"/>
                <w:szCs w:val="24"/>
              </w:rPr>
            </w:pPr>
            <w:r>
              <w:rPr>
                <w:rFonts w:hint="eastAsia"/>
                <w:snapToGrid w:val="0"/>
                <w:sz w:val="24"/>
                <w:szCs w:val="24"/>
              </w:rPr>
              <w:t>账号</w:t>
            </w:r>
          </w:p>
        </w:tc>
        <w:tc>
          <w:tcPr>
            <w:tcW w:w="6266" w:type="dxa"/>
            <w:vAlign w:val="center"/>
          </w:tcPr>
          <w:p>
            <w:pPr>
              <w:pStyle w:val="604"/>
              <w:autoSpaceDN w:val="0"/>
              <w:ind w:firstLine="480" w:firstLineChars="200"/>
              <w:jc w:val="left"/>
              <w:rPr>
                <w:snapToGrid w:val="0"/>
                <w:sz w:val="24"/>
                <w:szCs w:val="24"/>
              </w:rPr>
            </w:pPr>
          </w:p>
        </w:tc>
      </w:tr>
    </w:tbl>
    <w:p>
      <w:pPr>
        <w:ind w:firstLine="482" w:firstLineChars="200"/>
        <w:rPr>
          <w:rFonts w:hint="eastAsia"/>
          <w:b/>
          <w:bCs/>
          <w:sz w:val="24"/>
        </w:rPr>
      </w:pPr>
      <w:r>
        <w:rPr>
          <w:rFonts w:hint="eastAsia"/>
          <w:b/>
          <w:bCs/>
          <w:sz w:val="24"/>
        </w:rPr>
        <w:t>第四条</w:t>
      </w:r>
      <w:r>
        <w:rPr>
          <w:b/>
          <w:bCs/>
          <w:sz w:val="24"/>
        </w:rPr>
        <w:t xml:space="preserve"> </w:t>
      </w:r>
      <w:r>
        <w:rPr>
          <w:rFonts w:hint="eastAsia"/>
          <w:b/>
          <w:bCs/>
          <w:sz w:val="24"/>
        </w:rPr>
        <w:t>履约保证金</w:t>
      </w:r>
    </w:p>
    <w:p>
      <w:pPr>
        <w:ind w:firstLine="480" w:firstLineChars="200"/>
        <w:rPr>
          <w:rFonts w:hint="eastAsia"/>
          <w:sz w:val="24"/>
        </w:rPr>
      </w:pPr>
      <w:r>
        <w:rPr>
          <w:rFonts w:hint="eastAsia"/>
          <w:sz w:val="24"/>
        </w:rPr>
        <w:t>（一）合同签订之日起</w:t>
      </w:r>
      <w:r>
        <w:rPr>
          <w:sz w:val="24"/>
        </w:rPr>
        <w:t xml:space="preserve"> 10 </w:t>
      </w:r>
      <w:r>
        <w:rPr>
          <w:rFonts w:hint="eastAsia"/>
          <w:sz w:val="24"/>
        </w:rPr>
        <w:t>个工作日内，乙方须按合同金额的</w:t>
      </w:r>
      <w:r>
        <w:rPr>
          <w:sz w:val="24"/>
        </w:rPr>
        <w:t>_10_%</w:t>
      </w:r>
      <w:r>
        <w:rPr>
          <w:rFonts w:hint="eastAsia"/>
          <w:sz w:val="24"/>
        </w:rPr>
        <w:t>向甲方交纳履约保证金或保函。如果乙方未按照约定时间交付履约保证金的，甲方有权单方面解除合同。</w:t>
      </w:r>
    </w:p>
    <w:p>
      <w:pPr>
        <w:ind w:firstLine="480" w:firstLineChars="200"/>
        <w:rPr>
          <w:rFonts w:hint="eastAsia"/>
          <w:sz w:val="24"/>
        </w:rPr>
      </w:pPr>
      <w:r>
        <w:rPr>
          <w:rFonts w:hint="eastAsia"/>
          <w:sz w:val="24"/>
        </w:rPr>
        <w:t>甲方指定履约保证金收款账户为：（如为保函，则无需填甲方收款账户）</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pPr>
              <w:pStyle w:val="604"/>
              <w:autoSpaceDN w:val="0"/>
              <w:rPr>
                <w:snapToGrid w:val="0"/>
                <w:sz w:val="24"/>
                <w:szCs w:val="24"/>
              </w:rPr>
            </w:pPr>
            <w:r>
              <w:rPr>
                <w:rFonts w:hint="eastAsia"/>
                <w:snapToGrid w:val="0"/>
                <w:sz w:val="24"/>
                <w:szCs w:val="24"/>
              </w:rPr>
              <w:t>收款单位全称</w:t>
            </w:r>
          </w:p>
        </w:tc>
        <w:tc>
          <w:tcPr>
            <w:tcW w:w="5469" w:type="dxa"/>
            <w:vAlign w:val="center"/>
          </w:tcPr>
          <w:p>
            <w:pPr>
              <w:pStyle w:val="604"/>
              <w:autoSpaceDN w:val="0"/>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86" w:type="dxa"/>
            <w:vAlign w:val="center"/>
          </w:tcPr>
          <w:p>
            <w:pPr>
              <w:pStyle w:val="604"/>
              <w:autoSpaceDN w:val="0"/>
              <w:rPr>
                <w:snapToGrid w:val="0"/>
                <w:sz w:val="24"/>
                <w:szCs w:val="24"/>
              </w:rPr>
            </w:pPr>
            <w:r>
              <w:rPr>
                <w:rFonts w:hint="eastAsia"/>
                <w:snapToGrid w:val="0"/>
                <w:sz w:val="24"/>
                <w:szCs w:val="24"/>
              </w:rPr>
              <w:t>开户银行</w:t>
            </w:r>
          </w:p>
        </w:tc>
        <w:tc>
          <w:tcPr>
            <w:tcW w:w="5469" w:type="dxa"/>
            <w:vAlign w:val="center"/>
          </w:tcPr>
          <w:p>
            <w:pPr>
              <w:pStyle w:val="604"/>
              <w:autoSpaceDN w:val="0"/>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386" w:type="dxa"/>
            <w:vAlign w:val="center"/>
          </w:tcPr>
          <w:p>
            <w:pPr>
              <w:pStyle w:val="604"/>
              <w:autoSpaceDN w:val="0"/>
              <w:rPr>
                <w:snapToGrid w:val="0"/>
                <w:sz w:val="24"/>
                <w:szCs w:val="24"/>
              </w:rPr>
            </w:pPr>
            <w:r>
              <w:rPr>
                <w:rFonts w:hint="eastAsia"/>
                <w:snapToGrid w:val="0"/>
                <w:sz w:val="24"/>
                <w:szCs w:val="24"/>
              </w:rPr>
              <w:t>账号</w:t>
            </w:r>
          </w:p>
        </w:tc>
        <w:tc>
          <w:tcPr>
            <w:tcW w:w="5469" w:type="dxa"/>
            <w:vAlign w:val="center"/>
          </w:tcPr>
          <w:p>
            <w:pPr>
              <w:pStyle w:val="604"/>
              <w:autoSpaceDN w:val="0"/>
              <w:rPr>
                <w:snapToGrid w:val="0"/>
                <w:sz w:val="24"/>
                <w:szCs w:val="24"/>
              </w:rPr>
            </w:pPr>
          </w:p>
        </w:tc>
      </w:tr>
    </w:tbl>
    <w:p>
      <w:pPr>
        <w:pStyle w:val="623"/>
        <w:spacing w:line="360" w:lineRule="auto"/>
        <w:ind w:firstLine="480" w:firstLineChars="200"/>
        <w:rPr>
          <w:rFonts w:eastAsia="宋体"/>
          <w:sz w:val="24"/>
          <w:szCs w:val="24"/>
        </w:rPr>
      </w:pPr>
      <w:r>
        <w:rPr>
          <w:rFonts w:hint="eastAsia" w:eastAsia="宋体"/>
          <w:sz w:val="24"/>
          <w:szCs w:val="24"/>
        </w:rPr>
        <w:t>（二）履约保证金以银行保函、银行电汇向甲方提供。</w:t>
      </w:r>
    </w:p>
    <w:p>
      <w:pPr>
        <w:ind w:firstLine="480" w:firstLineChars="200"/>
        <w:rPr>
          <w:rFonts w:hint="eastAsia"/>
          <w:sz w:val="24"/>
        </w:rPr>
      </w:pPr>
      <w:r>
        <w:rPr>
          <w:rFonts w:hint="eastAsia"/>
          <w:sz w:val="24"/>
        </w:rPr>
        <w:t>（三）如乙方未能履行合同规定的义务，甲方有权按照本合同的约定从履约保证金中进行相应扣除。乙方应在甲方扣除履约保证金之日起</w:t>
      </w:r>
      <w:r>
        <w:rPr>
          <w:sz w:val="24"/>
        </w:rPr>
        <w:t>10</w:t>
      </w:r>
      <w:r>
        <w:rPr>
          <w:rFonts w:hint="eastAsia"/>
          <w:sz w:val="24"/>
        </w:rPr>
        <w:t>个工作日内，及时补充扣除部分金额。</w:t>
      </w:r>
    </w:p>
    <w:p>
      <w:pPr>
        <w:ind w:firstLine="480" w:firstLineChars="200"/>
        <w:rPr>
          <w:rFonts w:hint="eastAsia"/>
          <w:sz w:val="24"/>
        </w:rPr>
      </w:pPr>
      <w:r>
        <w:rPr>
          <w:rFonts w:hint="eastAsia"/>
          <w:sz w:val="24"/>
        </w:rPr>
        <w:t>（四）如乙方不履行合同，或履行合同义务不符合约定使得合同目的不能实现，履约保证金不予退还。</w:t>
      </w:r>
    </w:p>
    <w:p>
      <w:pPr>
        <w:ind w:firstLine="482" w:firstLineChars="200"/>
        <w:rPr>
          <w:rFonts w:hint="eastAsia"/>
          <w:b/>
          <w:bCs/>
          <w:sz w:val="24"/>
        </w:rPr>
      </w:pPr>
      <w:r>
        <w:rPr>
          <w:rFonts w:hint="eastAsia"/>
          <w:b/>
          <w:bCs/>
          <w:sz w:val="24"/>
        </w:rPr>
        <w:t>第五条</w:t>
      </w:r>
      <w:r>
        <w:rPr>
          <w:b/>
          <w:bCs/>
          <w:sz w:val="24"/>
        </w:rPr>
        <w:t xml:space="preserve"> </w:t>
      </w:r>
      <w:r>
        <w:rPr>
          <w:rFonts w:hint="eastAsia"/>
          <w:b/>
          <w:bCs/>
          <w:sz w:val="24"/>
        </w:rPr>
        <w:t>包装</w:t>
      </w:r>
    </w:p>
    <w:p>
      <w:pPr>
        <w:ind w:firstLine="480" w:firstLineChars="200"/>
        <w:rPr>
          <w:rFonts w:hint="eastAsia"/>
          <w:sz w:val="24"/>
        </w:rPr>
      </w:pPr>
      <w:r>
        <w:rPr>
          <w:rFonts w:hint="eastAsia"/>
          <w:sz w:val="24"/>
        </w:rPr>
        <w:t>（一）除合同另有规定外，乙方提供的全部货物均应按标准保护措施进行包装，这类包装应适应于远距离运输、防潮、防震、防锈和防野蛮装卸，以确保货物安全无损运抵指定交货地点。</w:t>
      </w:r>
    </w:p>
    <w:p>
      <w:pPr>
        <w:ind w:firstLine="480" w:firstLineChars="200"/>
        <w:rPr>
          <w:rFonts w:hint="eastAsia"/>
          <w:sz w:val="24"/>
        </w:rPr>
      </w:pPr>
      <w:r>
        <w:rPr>
          <w:rFonts w:hint="eastAsia"/>
          <w:sz w:val="24"/>
        </w:rPr>
        <w:t>（二）乙方应在包装箱外标明产品名称、型号，包装箱内随附一份详细装箱单和质量证书。</w:t>
      </w:r>
    </w:p>
    <w:p>
      <w:pPr>
        <w:ind w:firstLine="480" w:firstLineChars="200"/>
        <w:rPr>
          <w:rFonts w:hint="eastAsia"/>
          <w:sz w:val="24"/>
        </w:rPr>
      </w:pPr>
      <w:r>
        <w:rPr>
          <w:rFonts w:hint="eastAsia"/>
          <w:sz w:val="24"/>
        </w:rPr>
        <w:t>（三）乙方应承担由于其包装或防护措施不当而引起的货物损坏和丢失的任何损失责任和费用。</w:t>
      </w:r>
    </w:p>
    <w:p>
      <w:pPr>
        <w:ind w:firstLine="482" w:firstLineChars="200"/>
        <w:rPr>
          <w:rFonts w:hint="eastAsia"/>
          <w:b/>
          <w:bCs/>
          <w:sz w:val="24"/>
        </w:rPr>
      </w:pPr>
      <w:r>
        <w:rPr>
          <w:rFonts w:hint="eastAsia"/>
          <w:b/>
          <w:bCs/>
          <w:sz w:val="24"/>
        </w:rPr>
        <w:t>第六条</w:t>
      </w:r>
      <w:r>
        <w:rPr>
          <w:b/>
          <w:bCs/>
          <w:sz w:val="24"/>
        </w:rPr>
        <w:t xml:space="preserve"> </w:t>
      </w:r>
      <w:r>
        <w:rPr>
          <w:rFonts w:hint="eastAsia"/>
          <w:b/>
          <w:bCs/>
          <w:sz w:val="24"/>
        </w:rPr>
        <w:t>交货时间、地点、交货方法（运输方式）</w:t>
      </w:r>
    </w:p>
    <w:p>
      <w:pPr>
        <w:ind w:firstLine="480" w:firstLineChars="200"/>
        <w:rPr>
          <w:rFonts w:hint="eastAsia"/>
          <w:sz w:val="24"/>
        </w:rPr>
      </w:pPr>
      <w:r>
        <w:rPr>
          <w:rFonts w:hint="eastAsia"/>
          <w:sz w:val="24"/>
        </w:rPr>
        <w:t>（一）交货时间：自合同签定之日起60日内。</w:t>
      </w:r>
    </w:p>
    <w:p>
      <w:pPr>
        <w:ind w:firstLine="480" w:firstLineChars="200"/>
        <w:rPr>
          <w:rFonts w:hint="eastAsia"/>
          <w:sz w:val="24"/>
        </w:rPr>
      </w:pPr>
      <w:r>
        <w:rPr>
          <w:rFonts w:hint="eastAsia"/>
          <w:sz w:val="24"/>
        </w:rPr>
        <w:t>（二）交货地点：深圳海关工业品检测技术中心指定地点（具体以中标后实际合同确定为准）。</w:t>
      </w:r>
    </w:p>
    <w:p>
      <w:pPr>
        <w:ind w:firstLine="480" w:firstLineChars="200"/>
        <w:rPr>
          <w:rFonts w:hint="eastAsia"/>
          <w:sz w:val="24"/>
        </w:rPr>
      </w:pPr>
      <w:r>
        <w:rPr>
          <w:rFonts w:hint="eastAsia"/>
          <w:sz w:val="24"/>
        </w:rPr>
        <w:t>（三）交货方法：由乙方负责采用适合的交通工具将采购货物及其附件运至交货现场并按甲方要求完成卸货，以双方签署设备到货验收签收单为准，交货时应一并交付货物的有关单证。货物从生产厂运至海关指定地点的运输、劳务及相关保险的办理由乙方负责并承担相应费用。</w:t>
      </w:r>
    </w:p>
    <w:p>
      <w:pPr>
        <w:ind w:firstLine="480" w:firstLineChars="200"/>
        <w:rPr>
          <w:rFonts w:hint="eastAsia"/>
          <w:sz w:val="24"/>
        </w:rPr>
      </w:pPr>
      <w:r>
        <w:rPr>
          <w:rFonts w:hint="eastAsia"/>
          <w:sz w:val="24"/>
        </w:rPr>
        <w:t>（四）风险责任承担：货物的风险责任和所有权在双方签署设备到货验收签收单/安装调试验收合格报告后由甲方承担和享有，此前的风险责任由乙方承担。</w:t>
      </w:r>
    </w:p>
    <w:p>
      <w:pPr>
        <w:pStyle w:val="630"/>
        <w:spacing w:line="360" w:lineRule="auto"/>
        <w:ind w:firstLine="482" w:firstLineChars="200"/>
        <w:rPr>
          <w:sz w:val="24"/>
          <w:szCs w:val="24"/>
        </w:rPr>
      </w:pPr>
      <w:r>
        <w:rPr>
          <w:rFonts w:hint="eastAsia"/>
          <w:b/>
          <w:bCs/>
          <w:sz w:val="24"/>
          <w:szCs w:val="24"/>
        </w:rPr>
        <w:t>第七条</w:t>
      </w:r>
      <w:r>
        <w:rPr>
          <w:b/>
          <w:bCs/>
          <w:sz w:val="24"/>
          <w:szCs w:val="24"/>
        </w:rPr>
        <w:t xml:space="preserve"> </w:t>
      </w:r>
      <w:r>
        <w:rPr>
          <w:rFonts w:hint="eastAsia"/>
          <w:b/>
          <w:bCs/>
          <w:sz w:val="24"/>
          <w:szCs w:val="24"/>
        </w:rPr>
        <w:t>货物验收</w:t>
      </w:r>
    </w:p>
    <w:p>
      <w:pPr>
        <w:pStyle w:val="631"/>
        <w:ind w:firstLine="480" w:firstLineChars="200"/>
        <w:rPr>
          <w:sz w:val="24"/>
          <w:szCs w:val="24"/>
        </w:rPr>
      </w:pPr>
      <w:r>
        <w:rPr>
          <w:rFonts w:hint="eastAsia"/>
          <w:sz w:val="24"/>
          <w:szCs w:val="24"/>
        </w:rPr>
        <w:t>（一）货物运至甲方（用户）指定地点后，由甲乙双方指派人员按照本合同规定对货物进行验收，乙方应提供交货清单等文件供甲方（用户）审查，甲方（用户）将按合同清单进行规格、数量、外观的检查。</w:t>
      </w:r>
    </w:p>
    <w:p>
      <w:pPr>
        <w:pStyle w:val="632"/>
        <w:spacing w:line="360" w:lineRule="auto"/>
        <w:ind w:firstLine="480" w:firstLineChars="200"/>
        <w:rPr>
          <w:rFonts w:eastAsia="宋体"/>
          <w:sz w:val="24"/>
          <w:szCs w:val="24"/>
        </w:rPr>
      </w:pPr>
      <w:r>
        <w:rPr>
          <w:rFonts w:hint="eastAsia" w:eastAsia="宋体"/>
          <w:sz w:val="24"/>
          <w:szCs w:val="24"/>
        </w:rPr>
        <w:t>（二）收货后</w:t>
      </w:r>
      <w:r>
        <w:rPr>
          <w:rFonts w:eastAsia="宋体"/>
          <w:sz w:val="24"/>
          <w:szCs w:val="24"/>
          <w:u w:val="single"/>
        </w:rPr>
        <w:t xml:space="preserve"> 30 </w:t>
      </w:r>
      <w:r>
        <w:rPr>
          <w:rFonts w:hint="eastAsia" w:eastAsia="宋体"/>
          <w:sz w:val="24"/>
          <w:szCs w:val="24"/>
        </w:rPr>
        <w:t>个工作日内甲乙双方进行到货验收工作。如验收合格，甲方（用户）应及时履行验收手续，双方签署设备到货验收签收单；如验收不合格，甲方（用户）应以书面形式通知乙方原因，乙方收到通知后</w:t>
      </w:r>
      <w:r>
        <w:rPr>
          <w:rFonts w:eastAsia="宋体"/>
          <w:sz w:val="24"/>
          <w:szCs w:val="24"/>
          <w:u w:val="single"/>
        </w:rPr>
        <w:t xml:space="preserve">   10  </w:t>
      </w:r>
      <w:r>
        <w:rPr>
          <w:rFonts w:hint="eastAsia" w:eastAsia="宋体"/>
          <w:sz w:val="24"/>
          <w:szCs w:val="24"/>
        </w:rPr>
        <w:t>个工作日内提供解决方案。</w:t>
      </w:r>
    </w:p>
    <w:p>
      <w:pPr>
        <w:pStyle w:val="631"/>
        <w:ind w:firstLine="480" w:firstLineChars="200"/>
        <w:rPr>
          <w:sz w:val="24"/>
          <w:szCs w:val="24"/>
        </w:rPr>
      </w:pPr>
      <w:r>
        <w:rPr>
          <w:rFonts w:hint="eastAsia"/>
          <w:sz w:val="24"/>
          <w:szCs w:val="24"/>
        </w:rPr>
        <w:t>（三）在验收工作中，发现数量不足或有质量、技术等问题，乙方应按照合同要求采取补足、更换或退货等处理措施，并承担由此发生的一切费用和损失。</w:t>
      </w:r>
    </w:p>
    <w:p>
      <w:pPr>
        <w:pStyle w:val="631"/>
        <w:ind w:firstLine="480" w:firstLineChars="200"/>
        <w:rPr>
          <w:sz w:val="24"/>
          <w:szCs w:val="24"/>
        </w:rPr>
      </w:pPr>
      <w:r>
        <w:rPr>
          <w:rFonts w:hint="eastAsia"/>
          <w:sz w:val="24"/>
          <w:szCs w:val="24"/>
        </w:rPr>
        <w:t>（四）涉及设备安装调试的，乙方负责在甲方（用户）配合下完成所供设备安装调试并保证与用户原有设备互联互通，有关技术问题由乙方和制造商协同解决。安装调试后，双方签署设备安装调试验收报告。</w:t>
      </w:r>
    </w:p>
    <w:p>
      <w:pPr>
        <w:pStyle w:val="631"/>
        <w:ind w:firstLine="480" w:firstLineChars="200"/>
        <w:rPr>
          <w:sz w:val="24"/>
          <w:szCs w:val="24"/>
        </w:rPr>
      </w:pPr>
      <w:r>
        <w:rPr>
          <w:rFonts w:hint="eastAsia"/>
          <w:sz w:val="24"/>
          <w:szCs w:val="24"/>
        </w:rPr>
        <w:t>（五）合同项下货物生产期间，甲方（用户）有权派工作人员到生产厂进行监造、现场抽样和出厂前验核。此次验核不代表甲方（用户）对货物的最终验收。期间相关费用，包括技术交流和技术材料费等由乙方负担。</w:t>
      </w:r>
    </w:p>
    <w:p>
      <w:pPr>
        <w:pStyle w:val="631"/>
        <w:ind w:firstLine="480" w:firstLineChars="200"/>
        <w:rPr>
          <w:sz w:val="24"/>
          <w:szCs w:val="24"/>
        </w:rPr>
      </w:pPr>
      <w:r>
        <w:rPr>
          <w:rFonts w:hint="eastAsia"/>
          <w:sz w:val="24"/>
          <w:szCs w:val="24"/>
        </w:rPr>
        <w:t>（六）为验核货物内在功能是否完备，甲方（用户）有权组织对货物进行随机抽样，并委托有关检测单位进行检测，该检测结果将作为货物质量的评判依据，相关送检和检测费用由乙方承担。如检测指标不符合招标文件（谈判文件、询价通知书、磋商文件、单一来源）、投标（响应）文件要求的，甲方有权拒收全部此类货物，乙方应按照甲方要求无条件对拒收货物进行更换，并承担由此给甲方造成的工期延误等损失。对乙方可能涉嫌提供虚假材料或虚假响应的行为，甲方有权依法向监管部门反映并追究乙方法律责任。</w:t>
      </w:r>
    </w:p>
    <w:p>
      <w:pPr>
        <w:pStyle w:val="633"/>
        <w:spacing w:line="360" w:lineRule="auto"/>
        <w:ind w:firstLine="480" w:firstLineChars="200"/>
        <w:rPr>
          <w:rFonts w:eastAsia="宋体"/>
          <w:sz w:val="24"/>
          <w:szCs w:val="24"/>
        </w:rPr>
      </w:pPr>
      <w:r>
        <w:rPr>
          <w:rFonts w:hint="eastAsia" w:eastAsia="宋体"/>
          <w:sz w:val="24"/>
          <w:szCs w:val="24"/>
        </w:rPr>
        <w:t>（七）甲方（用户）认为必要时，对大型或者复杂的货物采购项目，可以邀请国家认可的质量检测机构参加验收工作，相关验收意见作为验收报告的参考资料，相关费用由乙方承担。</w:t>
      </w:r>
    </w:p>
    <w:p>
      <w:pPr>
        <w:pStyle w:val="633"/>
        <w:spacing w:line="360" w:lineRule="auto"/>
        <w:ind w:firstLine="480" w:firstLineChars="200"/>
        <w:rPr>
          <w:rFonts w:eastAsia="宋体"/>
          <w:sz w:val="24"/>
          <w:szCs w:val="24"/>
        </w:rPr>
      </w:pPr>
      <w:r>
        <w:rPr>
          <w:rFonts w:hint="eastAsia" w:eastAsia="宋体"/>
          <w:sz w:val="24"/>
          <w:szCs w:val="24"/>
        </w:rPr>
        <w:t>（八）验收标准以双方达成的对质量和技术标准的约定、乙方承诺的质量和技术标准、国家或行业规定的相关质量和技术标准中最高者为准，且应充分满足甲方使用要求。</w:t>
      </w:r>
    </w:p>
    <w:p>
      <w:pPr>
        <w:pStyle w:val="631"/>
        <w:ind w:firstLine="482" w:firstLineChars="200"/>
        <w:rPr>
          <w:sz w:val="24"/>
          <w:szCs w:val="24"/>
        </w:rPr>
      </w:pPr>
      <w:r>
        <w:rPr>
          <w:rFonts w:hint="eastAsia"/>
          <w:b/>
          <w:bCs/>
          <w:sz w:val="24"/>
          <w:szCs w:val="24"/>
        </w:rPr>
        <w:t>第八条</w:t>
      </w:r>
      <w:r>
        <w:rPr>
          <w:b/>
          <w:bCs/>
          <w:sz w:val="24"/>
          <w:szCs w:val="24"/>
        </w:rPr>
        <w:t xml:space="preserve"> </w:t>
      </w:r>
      <w:r>
        <w:rPr>
          <w:rFonts w:hint="eastAsia"/>
          <w:b/>
          <w:bCs/>
          <w:sz w:val="24"/>
          <w:szCs w:val="24"/>
        </w:rPr>
        <w:t>质量保证</w:t>
      </w:r>
    </w:p>
    <w:p>
      <w:pPr>
        <w:ind w:firstLine="480" w:firstLineChars="200"/>
        <w:rPr>
          <w:rFonts w:hint="eastAsia"/>
          <w:sz w:val="24"/>
        </w:rPr>
      </w:pPr>
      <w:r>
        <w:rPr>
          <w:rFonts w:hint="eastAsia"/>
          <w:sz w:val="24"/>
        </w:rPr>
        <w:t>（一）乙方应保证所供货物为</w:t>
      </w:r>
      <w:r>
        <w:rPr>
          <w:sz w:val="24"/>
          <w:u w:val="single"/>
        </w:rPr>
        <w:t xml:space="preserve">              </w:t>
      </w:r>
      <w:r>
        <w:rPr>
          <w:rFonts w:hint="eastAsia"/>
          <w:sz w:val="24"/>
        </w:rPr>
        <w:t>公司制造生产、原包装、全新未使用过的产品，与投标文件</w:t>
      </w:r>
      <w:r>
        <w:rPr>
          <w:sz w:val="24"/>
        </w:rPr>
        <w:t>/</w:t>
      </w:r>
      <w:r>
        <w:rPr>
          <w:rFonts w:hint="eastAsia"/>
          <w:sz w:val="24"/>
        </w:rPr>
        <w:t>应答文件承诺一致，并完全符合或高于合同要求的质量、规格和技术性能。</w:t>
      </w:r>
    </w:p>
    <w:p>
      <w:pPr>
        <w:ind w:firstLine="480" w:firstLineChars="200"/>
        <w:rPr>
          <w:rFonts w:hint="eastAsia"/>
          <w:sz w:val="24"/>
        </w:rPr>
      </w:pPr>
      <w:r>
        <w:rPr>
          <w:rFonts w:hint="eastAsia"/>
          <w:sz w:val="24"/>
        </w:rPr>
        <w:t>（二）乙方应保证所供货物没有因乙方的行为或疏忽而产生材料或工艺上的缺陷，并保证其货物在正确安装、正常使用和保养条件下，在其使用寿命期内具有满意的性能。在货物最终交付验收后不少于合同规定或乙方承诺（两者以较长的为准）的质量保证期内，本保证保持有效。</w:t>
      </w:r>
    </w:p>
    <w:p>
      <w:pPr>
        <w:ind w:firstLine="480" w:firstLineChars="200"/>
        <w:rPr>
          <w:rFonts w:hint="eastAsia"/>
          <w:sz w:val="24"/>
        </w:rPr>
      </w:pPr>
      <w:r>
        <w:rPr>
          <w:rFonts w:hint="eastAsia"/>
          <w:sz w:val="24"/>
        </w:rPr>
        <w:t>（三）如果乙方所供货物质量与合同不符，或证实所供货物是有缺陷的，包括潜在的缺陷或使用不符合要求的材料等，由此引起的全部损失及费用由乙方承担。若以上原因导致或引起甲方（用户）损失及导致或引起第三方受到损害的，全部赔偿责任均应由乙方承担。</w:t>
      </w:r>
    </w:p>
    <w:p>
      <w:pPr>
        <w:ind w:firstLine="480" w:firstLineChars="200"/>
        <w:rPr>
          <w:rFonts w:hint="eastAsia"/>
          <w:sz w:val="24"/>
        </w:rPr>
      </w:pPr>
      <w:r>
        <w:rPr>
          <w:rFonts w:hint="eastAsia"/>
          <w:sz w:val="24"/>
        </w:rPr>
        <w:t>（四）在质量保证期内所发现的缺陷，甲方（用户）应尽快以书面形式通知乙方。乙方收到通知后应</w:t>
      </w:r>
      <w:r>
        <w:rPr>
          <w:sz w:val="24"/>
        </w:rPr>
        <w:t>10</w:t>
      </w:r>
      <w:r>
        <w:rPr>
          <w:rFonts w:hint="eastAsia"/>
          <w:sz w:val="24"/>
        </w:rPr>
        <w:t>日内维修或更换有缺陷的货物或部件（不额外收费）。</w:t>
      </w:r>
    </w:p>
    <w:p>
      <w:pPr>
        <w:ind w:firstLine="480" w:firstLineChars="200"/>
        <w:rPr>
          <w:rFonts w:hint="eastAsia"/>
          <w:sz w:val="24"/>
        </w:rPr>
      </w:pPr>
      <w:r>
        <w:rPr>
          <w:rFonts w:hint="eastAsia"/>
          <w:sz w:val="24"/>
        </w:rPr>
        <w:t>（五）乙方在约定的时间内未能弥补缺陷，甲方（用户）可采取必要的补救措施，但其风险和费用将由乙方承担，甲方（用户）根据合同规定对乙方行使的其他权利不受影响。</w:t>
      </w:r>
    </w:p>
    <w:p>
      <w:pPr>
        <w:ind w:firstLine="480" w:firstLineChars="200"/>
        <w:rPr>
          <w:rFonts w:hint="eastAsia"/>
          <w:sz w:val="24"/>
        </w:rPr>
      </w:pPr>
      <w:r>
        <w:rPr>
          <w:rFonts w:hint="eastAsia"/>
          <w:sz w:val="24"/>
        </w:rPr>
        <w:t>（六）本合同项目所有货物质量保证期为：验收合格后提供三年质保。质保期内，中标人负责提供仪器维护及维修服务，包括整机零部件、备品备件及消耗件等维修或更换和每年一次全面的整机保养服务。提供工作站专用软件终身维护及更新。中标人不额外收取费用。</w:t>
      </w:r>
    </w:p>
    <w:p>
      <w:pPr>
        <w:ind w:firstLine="482" w:firstLineChars="200"/>
        <w:rPr>
          <w:rFonts w:hint="eastAsia"/>
          <w:b/>
          <w:bCs/>
          <w:sz w:val="24"/>
        </w:rPr>
      </w:pPr>
      <w:r>
        <w:rPr>
          <w:rFonts w:hint="eastAsia"/>
          <w:b/>
          <w:bCs/>
          <w:sz w:val="24"/>
        </w:rPr>
        <w:t>第九条</w:t>
      </w:r>
      <w:r>
        <w:rPr>
          <w:b/>
          <w:bCs/>
          <w:sz w:val="24"/>
        </w:rPr>
        <w:t xml:space="preserve"> </w:t>
      </w:r>
      <w:r>
        <w:rPr>
          <w:rFonts w:hint="eastAsia"/>
          <w:b/>
          <w:bCs/>
          <w:sz w:val="24"/>
        </w:rPr>
        <w:t>培训</w:t>
      </w:r>
    </w:p>
    <w:p>
      <w:pPr>
        <w:ind w:firstLine="480" w:firstLineChars="200"/>
        <w:rPr>
          <w:rFonts w:hint="eastAsia"/>
          <w:b/>
          <w:bCs/>
          <w:sz w:val="24"/>
        </w:rPr>
      </w:pPr>
      <w:r>
        <w:rPr>
          <w:rFonts w:hint="eastAsia"/>
          <w:bCs/>
          <w:sz w:val="24"/>
        </w:rPr>
        <w:t>本合同所包括的培训详见附件培训方案。</w:t>
      </w:r>
    </w:p>
    <w:p>
      <w:pPr>
        <w:ind w:firstLine="482" w:firstLineChars="200"/>
        <w:rPr>
          <w:rFonts w:hint="eastAsia"/>
          <w:b/>
          <w:bCs/>
          <w:sz w:val="24"/>
        </w:rPr>
      </w:pPr>
      <w:r>
        <w:rPr>
          <w:rFonts w:hint="eastAsia"/>
          <w:b/>
          <w:bCs/>
          <w:sz w:val="24"/>
        </w:rPr>
        <w:t>第十条</w:t>
      </w:r>
      <w:r>
        <w:rPr>
          <w:b/>
          <w:bCs/>
          <w:sz w:val="24"/>
        </w:rPr>
        <w:t xml:space="preserve"> </w:t>
      </w:r>
      <w:r>
        <w:rPr>
          <w:rFonts w:hint="eastAsia"/>
          <w:b/>
          <w:bCs/>
          <w:sz w:val="24"/>
        </w:rPr>
        <w:t>售后服务</w:t>
      </w:r>
    </w:p>
    <w:p>
      <w:pPr>
        <w:ind w:firstLine="480" w:firstLineChars="200"/>
        <w:rPr>
          <w:rFonts w:hint="eastAsia"/>
          <w:sz w:val="24"/>
        </w:rPr>
      </w:pPr>
      <w:r>
        <w:rPr>
          <w:rFonts w:hint="eastAsia"/>
          <w:sz w:val="24"/>
        </w:rPr>
        <w:t>（一）供应商（制造商）在质量保证期内提供</w:t>
      </w:r>
      <w:r>
        <w:rPr>
          <w:sz w:val="24"/>
        </w:rPr>
        <w:t>4</w:t>
      </w:r>
      <w:r>
        <w:rPr>
          <w:rFonts w:hint="eastAsia"/>
          <w:sz w:val="24"/>
        </w:rPr>
        <w:t>小时内响应，</w:t>
      </w:r>
      <w:r>
        <w:rPr>
          <w:sz w:val="24"/>
        </w:rPr>
        <w:t>24</w:t>
      </w:r>
      <w:r>
        <w:rPr>
          <w:rFonts w:hint="eastAsia"/>
          <w:sz w:val="24"/>
        </w:rPr>
        <w:t>小时内提出解决方案，</w:t>
      </w:r>
      <w:r>
        <w:rPr>
          <w:sz w:val="24"/>
        </w:rPr>
        <w:t>48</w:t>
      </w:r>
      <w:r>
        <w:rPr>
          <w:rFonts w:hint="eastAsia"/>
          <w:sz w:val="24"/>
        </w:rPr>
        <w:t>小时内到达现场。中标人不额外收取费用。。</w:t>
      </w:r>
    </w:p>
    <w:p>
      <w:pPr>
        <w:ind w:firstLine="480" w:firstLineChars="200"/>
        <w:rPr>
          <w:rFonts w:hint="eastAsia"/>
          <w:sz w:val="24"/>
        </w:rPr>
      </w:pPr>
      <w:r>
        <w:rPr>
          <w:rFonts w:hint="eastAsia"/>
          <w:sz w:val="24"/>
        </w:rPr>
        <w:t>（二）本合同所包含的售后服务，包含制造商售后服务和代理商售后服务，具体见附件技术支持及售后服务方案。</w:t>
      </w:r>
    </w:p>
    <w:p>
      <w:pPr>
        <w:ind w:firstLine="482" w:firstLineChars="200"/>
        <w:rPr>
          <w:rFonts w:hint="eastAsia"/>
          <w:b/>
          <w:bCs/>
          <w:sz w:val="24"/>
        </w:rPr>
      </w:pPr>
      <w:r>
        <w:rPr>
          <w:rFonts w:hint="eastAsia"/>
          <w:b/>
          <w:bCs/>
          <w:sz w:val="24"/>
        </w:rPr>
        <w:t>第十一条</w:t>
      </w:r>
      <w:r>
        <w:rPr>
          <w:b/>
          <w:bCs/>
          <w:sz w:val="24"/>
        </w:rPr>
        <w:t xml:space="preserve"> </w:t>
      </w:r>
      <w:r>
        <w:rPr>
          <w:rFonts w:hint="eastAsia"/>
          <w:b/>
          <w:bCs/>
          <w:sz w:val="24"/>
        </w:rPr>
        <w:t>违约责任</w:t>
      </w:r>
    </w:p>
    <w:p>
      <w:pPr>
        <w:ind w:firstLine="480" w:firstLineChars="200"/>
        <w:rPr>
          <w:rFonts w:hint="eastAsia"/>
          <w:sz w:val="24"/>
        </w:rPr>
      </w:pPr>
      <w:r>
        <w:rPr>
          <w:rFonts w:hint="eastAsia"/>
          <w:sz w:val="24"/>
        </w:rPr>
        <w:t>（一）因乙方原因未能按照本合同要求交付合格的货物或提供相关服务的违约责任。</w:t>
      </w:r>
    </w:p>
    <w:p>
      <w:pPr>
        <w:ind w:firstLine="480" w:firstLineChars="200"/>
        <w:rPr>
          <w:rFonts w:hint="eastAsia"/>
          <w:sz w:val="24"/>
        </w:rPr>
      </w:pPr>
      <w:r>
        <w:rPr>
          <w:sz w:val="24"/>
        </w:rPr>
        <w:t>1.</w:t>
      </w:r>
      <w:r>
        <w:rPr>
          <w:rFonts w:hint="eastAsia"/>
          <w:sz w:val="24"/>
        </w:rPr>
        <w:t>对于货物被证实存在缺陷（包括潜在的缺陷）或者不符合合同要求的，或原材料、技术标准、尺寸、颜色等存在质量问题，在合同条款规定的检验、安装、调试、验收和质量保证期内，甲方有权要求退货、退货重新制作、新货替换。乙方应按照甲方意见，用以下一种或几种方式结合解决：</w:t>
      </w:r>
    </w:p>
    <w:p>
      <w:pPr>
        <w:ind w:firstLine="480" w:firstLineChars="200"/>
        <w:rPr>
          <w:rFonts w:hint="eastAsia"/>
          <w:sz w:val="24"/>
        </w:rPr>
      </w:pPr>
      <w:r>
        <w:rPr>
          <w:rFonts w:hint="eastAsia"/>
          <w:sz w:val="24"/>
        </w:rPr>
        <w:t>（</w:t>
      </w:r>
      <w:r>
        <w:rPr>
          <w:sz w:val="24"/>
        </w:rPr>
        <w:t>1</w:t>
      </w:r>
      <w:r>
        <w:rPr>
          <w:rFonts w:hint="eastAsia"/>
          <w:sz w:val="24"/>
        </w:rPr>
        <w:t>）退货：甲方将货物退回乙方，乙方将合同货款退还给甲方，并承担由此发生的一切损失和费用。</w:t>
      </w:r>
    </w:p>
    <w:p>
      <w:pPr>
        <w:ind w:firstLine="480" w:firstLineChars="200"/>
        <w:rPr>
          <w:rFonts w:hint="eastAsia"/>
          <w:sz w:val="24"/>
        </w:rPr>
      </w:pPr>
      <w:r>
        <w:rPr>
          <w:rFonts w:hint="eastAsia"/>
          <w:sz w:val="24"/>
        </w:rPr>
        <w:t>（</w:t>
      </w:r>
      <w:r>
        <w:rPr>
          <w:sz w:val="24"/>
        </w:rPr>
        <w:t>2</w:t>
      </w:r>
      <w:r>
        <w:rPr>
          <w:rFonts w:hint="eastAsia"/>
          <w:sz w:val="24"/>
        </w:rPr>
        <w:t>）退货重新制作：甲方将货物退回乙方，乙方按照技术标准要求重新制作，并承担由此发生的一切损失和费用。</w:t>
      </w:r>
    </w:p>
    <w:p>
      <w:pPr>
        <w:ind w:firstLine="480" w:firstLineChars="200"/>
        <w:rPr>
          <w:rFonts w:hint="eastAsia"/>
          <w:sz w:val="24"/>
        </w:rPr>
      </w:pPr>
      <w:r>
        <w:rPr>
          <w:rFonts w:hint="eastAsia"/>
          <w:sz w:val="24"/>
        </w:rPr>
        <w:t>（</w:t>
      </w:r>
      <w:r>
        <w:rPr>
          <w:sz w:val="24"/>
        </w:rPr>
        <w:t>3</w:t>
      </w:r>
      <w:r>
        <w:rPr>
          <w:rFonts w:hint="eastAsia"/>
          <w:sz w:val="24"/>
        </w:rPr>
        <w:t>）新货替换：乙方用满足技术标准要求的货物替换存在缺陷的产品，承担甲方蒙受的全部损失和费用，并承担由此引发的一切风险，且相应延长所换货物的质量保证期。</w:t>
      </w:r>
    </w:p>
    <w:p>
      <w:pPr>
        <w:ind w:firstLine="480" w:firstLineChars="200"/>
        <w:rPr>
          <w:rFonts w:hint="eastAsia"/>
          <w:sz w:val="24"/>
        </w:rPr>
      </w:pPr>
      <w:r>
        <w:rPr>
          <w:sz w:val="24"/>
        </w:rPr>
        <w:t>2.</w:t>
      </w:r>
      <w:r>
        <w:rPr>
          <w:rFonts w:hint="eastAsia"/>
          <w:bCs/>
          <w:sz w:val="24"/>
        </w:rPr>
        <w:t>如果乙方</w:t>
      </w:r>
      <w:r>
        <w:rPr>
          <w:rFonts w:hint="eastAsia"/>
          <w:sz w:val="24"/>
        </w:rPr>
        <w:t>未在甲方要求的</w:t>
      </w:r>
      <w:r>
        <w:rPr>
          <w:sz w:val="24"/>
        </w:rPr>
        <w:t>10</w:t>
      </w:r>
      <w:r>
        <w:rPr>
          <w:rFonts w:hint="eastAsia"/>
          <w:sz w:val="24"/>
        </w:rPr>
        <w:t>日内或甲方同意的期限内，按照上述任何一种方式采取补救措施，甲方有权解除合同，扣除全部履约保证金并要求乙方退回甲方已支付的货款，并视损失情况根据《中华人民共和国民法典（合同编）》有关规定追究其相关责任，赔偿甲方（用户）的全部损失。</w:t>
      </w:r>
    </w:p>
    <w:p>
      <w:pPr>
        <w:pStyle w:val="634"/>
        <w:spacing w:line="360" w:lineRule="auto"/>
        <w:ind w:firstLine="480" w:firstLineChars="200"/>
        <w:rPr>
          <w:rFonts w:eastAsia="宋体"/>
          <w:sz w:val="24"/>
          <w:szCs w:val="24"/>
        </w:rPr>
      </w:pPr>
      <w:r>
        <w:rPr>
          <w:rFonts w:eastAsia="宋体"/>
          <w:sz w:val="24"/>
          <w:szCs w:val="24"/>
        </w:rPr>
        <w:t>3.</w:t>
      </w:r>
      <w:r>
        <w:rPr>
          <w:rFonts w:hint="eastAsia" w:eastAsia="宋体"/>
          <w:sz w:val="24"/>
          <w:szCs w:val="24"/>
        </w:rPr>
        <w:t>对于未能按合同要求提供服务或被证实未提供应当承担的服务的，甲方有权要求限期整改。无合理理由不进行整改的视为根本违约。</w:t>
      </w:r>
    </w:p>
    <w:p>
      <w:pPr>
        <w:ind w:firstLine="480" w:firstLineChars="200"/>
        <w:rPr>
          <w:rFonts w:hint="eastAsia"/>
          <w:sz w:val="24"/>
        </w:rPr>
      </w:pPr>
      <w:r>
        <w:rPr>
          <w:rFonts w:hint="eastAsia"/>
          <w:sz w:val="24"/>
        </w:rPr>
        <w:t>（二）乙方未按照本合同规定的时间交货和提供服务的违约责任。</w:t>
      </w:r>
    </w:p>
    <w:p>
      <w:pPr>
        <w:pStyle w:val="635"/>
        <w:spacing w:line="360" w:lineRule="auto"/>
        <w:ind w:firstLine="480" w:firstLineChars="200"/>
        <w:rPr>
          <w:rFonts w:eastAsia="宋体"/>
          <w:sz w:val="24"/>
          <w:szCs w:val="24"/>
        </w:rPr>
      </w:pPr>
      <w:r>
        <w:rPr>
          <w:rFonts w:eastAsia="宋体"/>
          <w:sz w:val="24"/>
          <w:szCs w:val="24"/>
        </w:rPr>
        <w:t>1.</w:t>
      </w:r>
      <w:r>
        <w:rPr>
          <w:rFonts w:hint="eastAsia" w:eastAsia="宋体"/>
          <w:sz w:val="24"/>
          <w:szCs w:val="24"/>
        </w:rPr>
        <w:t>在履行合同过程中，如果乙方遇到可能妨碍按时交货和提供服务的情形时，应及时以书面形式将延迟的事实、可能延迟的期限和理由通知甲方（用户）。甲方（用户）在收到乙方通知后，应尽快对情况进行评价，并确定是否同意延迟交货时间或延期提供服务，如甲方（用户）不同意延期，乙方仍应当按照约定的时间完成交货义务，如甲方（用户）同意延期，必须以双方签订的补充协议为准。</w:t>
      </w:r>
    </w:p>
    <w:p>
      <w:pPr>
        <w:pStyle w:val="635"/>
        <w:spacing w:line="360" w:lineRule="auto"/>
        <w:ind w:firstLine="480" w:firstLineChars="200"/>
        <w:rPr>
          <w:rFonts w:eastAsia="宋体"/>
          <w:sz w:val="24"/>
          <w:szCs w:val="24"/>
        </w:rPr>
      </w:pPr>
      <w:r>
        <w:rPr>
          <w:rFonts w:eastAsia="宋体"/>
          <w:sz w:val="24"/>
          <w:szCs w:val="24"/>
        </w:rPr>
        <w:t>2.</w:t>
      </w:r>
      <w:r>
        <w:rPr>
          <w:rFonts w:hint="eastAsia" w:eastAsia="宋体"/>
          <w:sz w:val="24"/>
          <w:szCs w:val="24"/>
        </w:rPr>
        <w:t>除甲乙双方另有约定外，如果乙方没有按照合同规定的时间交货和提供服务，甲方有权在不影响合同项下其他补救措施的情况下，要求乙方支付误期赔偿费，或从合同货款、履约保证金中扣除误期赔偿费。赔偿费按每周迟交货物价格或未提供服务费用的百分之零点五（</w:t>
      </w:r>
      <w:r>
        <w:rPr>
          <w:rFonts w:eastAsia="宋体"/>
          <w:sz w:val="24"/>
          <w:szCs w:val="24"/>
        </w:rPr>
        <w:t>0.5%</w:t>
      </w:r>
      <w:r>
        <w:rPr>
          <w:rFonts w:hint="eastAsia" w:eastAsia="宋体"/>
          <w:sz w:val="24"/>
          <w:szCs w:val="24"/>
        </w:rPr>
        <w:t>）计收，直到交货或提供服务为止。但误期赔偿费的最高限额不超过误期货物或服务合同价格的百分之十（</w:t>
      </w:r>
      <w:r>
        <w:rPr>
          <w:rFonts w:eastAsia="宋体"/>
          <w:sz w:val="24"/>
          <w:szCs w:val="24"/>
        </w:rPr>
        <w:t>10%</w:t>
      </w:r>
      <w:r>
        <w:rPr>
          <w:rFonts w:hint="eastAsia" w:eastAsia="宋体"/>
          <w:sz w:val="24"/>
          <w:szCs w:val="24"/>
        </w:rPr>
        <w:t>）。一周按七（</w:t>
      </w:r>
      <w:r>
        <w:rPr>
          <w:rFonts w:eastAsia="宋体"/>
          <w:sz w:val="24"/>
          <w:szCs w:val="24"/>
        </w:rPr>
        <w:t>7</w:t>
      </w:r>
      <w:r>
        <w:rPr>
          <w:rFonts w:hint="eastAsia" w:eastAsia="宋体"/>
          <w:sz w:val="24"/>
          <w:szCs w:val="24"/>
        </w:rPr>
        <w:t>）天计算，不足七（</w:t>
      </w:r>
      <w:r>
        <w:rPr>
          <w:rFonts w:eastAsia="宋体"/>
          <w:sz w:val="24"/>
          <w:szCs w:val="24"/>
        </w:rPr>
        <w:t>7</w:t>
      </w:r>
      <w:r>
        <w:rPr>
          <w:rFonts w:hint="eastAsia" w:eastAsia="宋体"/>
          <w:sz w:val="24"/>
          <w:szCs w:val="24"/>
        </w:rPr>
        <w:t>）天按一周计算。</w:t>
      </w:r>
    </w:p>
    <w:p>
      <w:pPr>
        <w:pStyle w:val="635"/>
        <w:spacing w:line="360" w:lineRule="auto"/>
        <w:ind w:firstLine="480" w:firstLineChars="200"/>
        <w:rPr>
          <w:rFonts w:eastAsia="宋体"/>
          <w:sz w:val="24"/>
          <w:szCs w:val="24"/>
        </w:rPr>
      </w:pPr>
      <w:r>
        <w:rPr>
          <w:rFonts w:eastAsia="宋体"/>
          <w:sz w:val="24"/>
          <w:szCs w:val="24"/>
        </w:rPr>
        <w:t>3.</w:t>
      </w:r>
      <w:r>
        <w:rPr>
          <w:rFonts w:hint="eastAsia" w:eastAsia="宋体"/>
          <w:sz w:val="24"/>
          <w:szCs w:val="24"/>
        </w:rPr>
        <w:t>出现上述没有按照合同规定的时间交货和提供服务的情形时，甲方也可以选择解除合同，要求乙方退回甲方已支付货款、扣除履约保证金并追究乙方相应违约责任、赔偿甲方（用户）的全部损失。</w:t>
      </w:r>
    </w:p>
    <w:p>
      <w:pPr>
        <w:pStyle w:val="635"/>
        <w:spacing w:line="360" w:lineRule="auto"/>
        <w:ind w:firstLine="480" w:firstLineChars="200"/>
        <w:rPr>
          <w:rFonts w:eastAsia="宋体"/>
          <w:sz w:val="24"/>
          <w:szCs w:val="24"/>
        </w:rPr>
      </w:pPr>
      <w:r>
        <w:rPr>
          <w:rFonts w:eastAsia="宋体"/>
          <w:sz w:val="24"/>
          <w:szCs w:val="24"/>
        </w:rPr>
        <w:t>4.</w:t>
      </w:r>
      <w:r>
        <w:rPr>
          <w:rFonts w:hint="eastAsia" w:eastAsia="宋体"/>
          <w:sz w:val="24"/>
          <w:szCs w:val="24"/>
        </w:rPr>
        <w:t>如合同被全部或部分解除，甲方可依其认为适当的条款和方法购买与未交货类似的货物，乙方应对购买类似货物所超出的那部分费用负责。同时，乙方应继续执行合同中未解除的部分。如乙方违约并经同意延期仍不能履行合同时，甲方有权解除合同，扣除履约保证金，且乙方应赔偿由此给甲方造成的损失。</w:t>
      </w:r>
    </w:p>
    <w:p>
      <w:pPr>
        <w:pStyle w:val="635"/>
        <w:spacing w:line="360" w:lineRule="auto"/>
        <w:ind w:firstLine="480" w:firstLineChars="200"/>
        <w:rPr>
          <w:rFonts w:eastAsia="宋体"/>
          <w:sz w:val="24"/>
          <w:szCs w:val="24"/>
        </w:rPr>
      </w:pPr>
      <w:r>
        <w:rPr>
          <w:rFonts w:hint="eastAsia" w:eastAsia="宋体"/>
          <w:sz w:val="24"/>
          <w:szCs w:val="24"/>
        </w:rPr>
        <w:t>（三）因乙方或乙方工作人员或乙方相关方的作为或不作为行为致使甲方或第三方遭受人员人身伤害或财产损失的，乙方应承担全部赔偿责任，赔偿全部损失，且甲方有权以全部履约保证金作为违约金，解除本合同。</w:t>
      </w:r>
    </w:p>
    <w:p>
      <w:pPr>
        <w:pStyle w:val="636"/>
        <w:spacing w:before="231" w:after="231" w:line="360" w:lineRule="auto"/>
        <w:ind w:firstLine="480" w:firstLineChars="200"/>
        <w:rPr>
          <w:rFonts w:eastAsia="宋体"/>
          <w:sz w:val="24"/>
          <w:szCs w:val="24"/>
        </w:rPr>
      </w:pPr>
      <w:r>
        <w:rPr>
          <w:rFonts w:hint="eastAsia" w:eastAsia="宋体"/>
          <w:sz w:val="24"/>
          <w:szCs w:val="24"/>
        </w:rPr>
        <w:t>（四）在本合同履行过程中，如果有证据证明乙方根本无法履行合同的，甲方可以行使不安抗辩权，有权解除合同，并扣除履约保证金，如因乙方不能履行给甲方造成其他损失的，乙方应继续承担赔偿责任。</w:t>
      </w:r>
    </w:p>
    <w:p>
      <w:pPr>
        <w:pStyle w:val="637"/>
        <w:spacing w:line="360" w:lineRule="auto"/>
        <w:ind w:firstLine="482" w:firstLineChars="200"/>
        <w:rPr>
          <w:rFonts w:eastAsia="宋体"/>
          <w:b/>
          <w:bCs/>
          <w:sz w:val="24"/>
          <w:szCs w:val="24"/>
        </w:rPr>
      </w:pPr>
      <w:r>
        <w:rPr>
          <w:rFonts w:hint="eastAsia" w:eastAsia="宋体"/>
          <w:b/>
          <w:bCs/>
          <w:sz w:val="24"/>
          <w:szCs w:val="24"/>
        </w:rPr>
        <w:t>第十二条</w:t>
      </w:r>
      <w:r>
        <w:rPr>
          <w:rFonts w:eastAsia="宋体"/>
          <w:b/>
          <w:bCs/>
          <w:sz w:val="24"/>
          <w:szCs w:val="24"/>
        </w:rPr>
        <w:t xml:space="preserve"> </w:t>
      </w:r>
      <w:r>
        <w:rPr>
          <w:rFonts w:hint="eastAsia" w:eastAsia="宋体"/>
          <w:b/>
          <w:bCs/>
          <w:sz w:val="24"/>
          <w:szCs w:val="24"/>
        </w:rPr>
        <w:t>异议的期限和方法</w:t>
      </w:r>
    </w:p>
    <w:p>
      <w:pPr>
        <w:pStyle w:val="637"/>
        <w:spacing w:line="360" w:lineRule="auto"/>
        <w:ind w:firstLine="480" w:firstLineChars="200"/>
        <w:rPr>
          <w:rFonts w:eastAsia="宋体"/>
          <w:sz w:val="24"/>
          <w:szCs w:val="24"/>
        </w:rPr>
      </w:pPr>
      <w:r>
        <w:rPr>
          <w:rFonts w:hint="eastAsia" w:eastAsia="宋体"/>
          <w:sz w:val="24"/>
          <w:szCs w:val="24"/>
        </w:rPr>
        <w:t>（一）异议期限自质量保证期开始之日起</w:t>
      </w:r>
      <w:r>
        <w:rPr>
          <w:rFonts w:eastAsia="宋体"/>
          <w:sz w:val="24"/>
          <w:szCs w:val="24"/>
        </w:rPr>
        <w:t>3</w:t>
      </w:r>
      <w:r>
        <w:rPr>
          <w:rFonts w:hint="eastAsia" w:eastAsia="宋体"/>
          <w:sz w:val="24"/>
          <w:szCs w:val="24"/>
        </w:rPr>
        <w:t>个月内。如果属于产品设计、材料、工艺或其他潜在的质量缺陷，甲方（用户）以书面形式提出异议及其处理意见。</w:t>
      </w:r>
    </w:p>
    <w:p>
      <w:pPr>
        <w:pStyle w:val="637"/>
        <w:spacing w:line="360" w:lineRule="auto"/>
        <w:ind w:firstLine="480" w:firstLineChars="200"/>
        <w:rPr>
          <w:rFonts w:eastAsia="宋体"/>
          <w:sz w:val="24"/>
          <w:szCs w:val="24"/>
        </w:rPr>
      </w:pPr>
      <w:r>
        <w:rPr>
          <w:rFonts w:hint="eastAsia" w:eastAsia="宋体"/>
          <w:sz w:val="24"/>
          <w:szCs w:val="24"/>
        </w:rPr>
        <w:t>（二）乙方接到甲方（用户）书面异议及其处理意见后，应在</w:t>
      </w:r>
      <w:r>
        <w:rPr>
          <w:rFonts w:eastAsia="宋体"/>
          <w:sz w:val="24"/>
          <w:szCs w:val="24"/>
        </w:rPr>
        <w:t>10</w:t>
      </w:r>
      <w:r>
        <w:rPr>
          <w:rFonts w:hint="eastAsia" w:eastAsia="宋体"/>
          <w:sz w:val="24"/>
          <w:szCs w:val="24"/>
        </w:rPr>
        <w:t>日内到甲方（用户）项目现场处理，否则即视为默认甲方（用户）提出的异议和处理意见。</w:t>
      </w:r>
    </w:p>
    <w:p>
      <w:pPr>
        <w:pStyle w:val="637"/>
        <w:spacing w:line="360" w:lineRule="auto"/>
        <w:ind w:firstLine="482" w:firstLineChars="200"/>
        <w:rPr>
          <w:rFonts w:eastAsia="宋体"/>
          <w:b/>
          <w:bCs/>
          <w:sz w:val="24"/>
          <w:szCs w:val="24"/>
        </w:rPr>
      </w:pPr>
      <w:r>
        <w:rPr>
          <w:rFonts w:hint="eastAsia" w:eastAsia="宋体"/>
          <w:b/>
          <w:bCs/>
          <w:sz w:val="24"/>
          <w:szCs w:val="24"/>
        </w:rPr>
        <w:t>第十三条</w:t>
      </w:r>
      <w:r>
        <w:rPr>
          <w:rFonts w:eastAsia="宋体"/>
          <w:b/>
          <w:bCs/>
          <w:sz w:val="24"/>
          <w:szCs w:val="24"/>
        </w:rPr>
        <w:t xml:space="preserve"> </w:t>
      </w:r>
      <w:r>
        <w:rPr>
          <w:rFonts w:hint="eastAsia" w:eastAsia="宋体"/>
          <w:b/>
          <w:bCs/>
          <w:sz w:val="24"/>
          <w:szCs w:val="24"/>
        </w:rPr>
        <w:t>使用合同文件和资料</w:t>
      </w:r>
    </w:p>
    <w:p>
      <w:pPr>
        <w:pStyle w:val="637"/>
        <w:spacing w:line="360" w:lineRule="auto"/>
        <w:ind w:firstLine="480" w:firstLineChars="200"/>
        <w:rPr>
          <w:rFonts w:eastAsia="宋体"/>
          <w:sz w:val="24"/>
          <w:szCs w:val="24"/>
        </w:rPr>
      </w:pPr>
      <w:r>
        <w:rPr>
          <w:rFonts w:hint="eastAsia" w:eastAsia="宋体"/>
          <w:sz w:val="24"/>
          <w:szCs w:val="24"/>
        </w:rPr>
        <w:t>（一）没有甲方（用户）事先书面同意，乙方不得将由甲方或代表甲方提供的有关合同或任何合同条文、规格或资料等提供给乙方雇佣于履行本合同以外的任何其他人。即使向本合同的雇员提供，也应注意保密并限于履行本合同必须的范围。</w:t>
      </w:r>
    </w:p>
    <w:p>
      <w:pPr>
        <w:pStyle w:val="637"/>
        <w:spacing w:line="360" w:lineRule="auto"/>
        <w:ind w:firstLine="480" w:firstLineChars="200"/>
        <w:rPr>
          <w:rFonts w:eastAsia="宋体"/>
          <w:sz w:val="24"/>
          <w:szCs w:val="24"/>
        </w:rPr>
      </w:pPr>
      <w:r>
        <w:rPr>
          <w:rFonts w:hint="eastAsia" w:eastAsia="宋体"/>
          <w:sz w:val="24"/>
          <w:szCs w:val="24"/>
        </w:rPr>
        <w:t>（二）没有甲方（用户）事先书面同意，除了履行本合同之外，乙方不应使用、传播与本合同相关的任何文件、资料。</w:t>
      </w:r>
    </w:p>
    <w:p>
      <w:pPr>
        <w:ind w:firstLine="482" w:firstLineChars="200"/>
        <w:rPr>
          <w:rFonts w:hint="eastAsia"/>
          <w:b/>
          <w:bCs/>
          <w:sz w:val="24"/>
        </w:rPr>
      </w:pPr>
      <w:r>
        <w:rPr>
          <w:rFonts w:hint="eastAsia"/>
          <w:b/>
          <w:bCs/>
          <w:sz w:val="24"/>
        </w:rPr>
        <w:t>第十四条</w:t>
      </w:r>
      <w:r>
        <w:rPr>
          <w:b/>
          <w:bCs/>
          <w:sz w:val="24"/>
        </w:rPr>
        <w:t xml:space="preserve"> </w:t>
      </w:r>
      <w:r>
        <w:rPr>
          <w:rFonts w:hint="eastAsia"/>
          <w:b/>
          <w:bCs/>
          <w:sz w:val="24"/>
        </w:rPr>
        <w:t>知识产权</w:t>
      </w:r>
    </w:p>
    <w:p>
      <w:pPr>
        <w:ind w:firstLine="480" w:firstLineChars="200"/>
        <w:rPr>
          <w:rFonts w:hint="eastAsia"/>
          <w:sz w:val="24"/>
        </w:rPr>
      </w:pPr>
      <w:r>
        <w:rPr>
          <w:rFonts w:hint="eastAsia"/>
          <w:sz w:val="24"/>
        </w:rPr>
        <w:t>（一）乙方应保证所提供的货物及服务不侵犯任何第三方的知识产权</w:t>
      </w:r>
      <w:r>
        <w:rPr>
          <w:sz w:val="24"/>
        </w:rPr>
        <w:t>(</w:t>
      </w:r>
      <w:r>
        <w:rPr>
          <w:rFonts w:hint="eastAsia"/>
          <w:sz w:val="24"/>
        </w:rPr>
        <w:t>专利权、商标权、版权等</w:t>
      </w:r>
      <w:r>
        <w:rPr>
          <w:sz w:val="24"/>
        </w:rPr>
        <w:t>)</w:t>
      </w:r>
      <w:r>
        <w:rPr>
          <w:rFonts w:hint="eastAsia"/>
          <w:sz w:val="24"/>
        </w:rPr>
        <w:t>及其他任何合法权益。如果甲方（用户）在使用乙方货物或服务的任何一部分过程中，遭致第三方索赔或主张权利的，乙方应当修正以避免侵权。</w:t>
      </w:r>
    </w:p>
    <w:p>
      <w:pPr>
        <w:ind w:firstLine="480" w:firstLineChars="200"/>
        <w:rPr>
          <w:rFonts w:hint="eastAsia"/>
          <w:sz w:val="24"/>
        </w:rPr>
      </w:pPr>
      <w:r>
        <w:rPr>
          <w:rFonts w:hint="eastAsia"/>
          <w:sz w:val="24"/>
        </w:rPr>
        <w:t>（二）如果甲方（用户）在使用乙方货物或货物的任何一部分过程中，因侵犯第三方合法权益（包括但不限于知识产权）而遭致第三方索赔或主张权利的，乙方将自费为甲方（用户）应诉，并支付法院最终判决的甲方（用户）应支付第三方的一切费用、并赔偿甲方（用户）由此遭受的全部损失及支出的合理费用。</w:t>
      </w:r>
    </w:p>
    <w:p>
      <w:pPr>
        <w:ind w:firstLine="480" w:firstLineChars="200"/>
        <w:rPr>
          <w:rFonts w:hint="eastAsia"/>
          <w:sz w:val="24"/>
        </w:rPr>
      </w:pPr>
      <w:r>
        <w:rPr>
          <w:rFonts w:hint="eastAsia"/>
          <w:sz w:val="24"/>
        </w:rPr>
        <w:t>（三）如乙方提供的货物或服务确实侵犯了第三方合法权益（包括但不限于知识产权）的，甲方有权解除合同，没收履约保证金，要求乙方退回已支付的全部货款，并赔偿甲方的全部损失及支出的合理费用。</w:t>
      </w:r>
    </w:p>
    <w:p>
      <w:pPr>
        <w:ind w:firstLine="482" w:firstLineChars="200"/>
        <w:rPr>
          <w:rFonts w:hint="eastAsia"/>
          <w:b/>
          <w:bCs/>
          <w:sz w:val="24"/>
        </w:rPr>
      </w:pPr>
      <w:r>
        <w:rPr>
          <w:rFonts w:hint="eastAsia"/>
          <w:b/>
          <w:bCs/>
          <w:sz w:val="24"/>
        </w:rPr>
        <w:t>第十五条</w:t>
      </w:r>
      <w:r>
        <w:rPr>
          <w:b/>
          <w:bCs/>
          <w:sz w:val="24"/>
        </w:rPr>
        <w:t xml:space="preserve"> </w:t>
      </w:r>
      <w:r>
        <w:rPr>
          <w:rFonts w:hint="eastAsia"/>
          <w:b/>
          <w:bCs/>
          <w:sz w:val="24"/>
        </w:rPr>
        <w:t>权利瑕疵担保</w:t>
      </w:r>
    </w:p>
    <w:p>
      <w:pPr>
        <w:ind w:firstLine="480" w:firstLineChars="200"/>
        <w:rPr>
          <w:rFonts w:hint="eastAsia"/>
          <w:sz w:val="24"/>
        </w:rPr>
      </w:pPr>
      <w:r>
        <w:rPr>
          <w:rFonts w:hint="eastAsia"/>
          <w:sz w:val="24"/>
        </w:rPr>
        <w:t>（一）乙方保证对其所提供的货物享有完全的所有权等合法权利，不存在任何未曾向甲方（用户）透露的担保物权（如抵押权、质押权、留置权等）或其他任何权利负担或争议。</w:t>
      </w:r>
    </w:p>
    <w:p>
      <w:pPr>
        <w:pStyle w:val="638"/>
        <w:spacing w:line="360" w:lineRule="auto"/>
        <w:ind w:firstLine="480" w:firstLineChars="200"/>
        <w:rPr>
          <w:rFonts w:eastAsia="宋体"/>
          <w:sz w:val="24"/>
          <w:szCs w:val="24"/>
        </w:rPr>
      </w:pPr>
      <w:r>
        <w:rPr>
          <w:rFonts w:hint="eastAsia" w:eastAsia="宋体"/>
          <w:sz w:val="24"/>
          <w:szCs w:val="24"/>
        </w:rPr>
        <w:t>（二）乙方应保证所提供的货物免受第三方提出的任何权利主张，如因第三方提出权利主张给甲方（用户）造成损失的，乙方应予以赔偿。</w:t>
      </w:r>
    </w:p>
    <w:p>
      <w:pPr>
        <w:ind w:firstLine="480" w:firstLineChars="200"/>
        <w:rPr>
          <w:rFonts w:hint="eastAsia"/>
          <w:sz w:val="24"/>
        </w:rPr>
      </w:pPr>
      <w:r>
        <w:rPr>
          <w:rFonts w:hint="eastAsia"/>
          <w:sz w:val="24"/>
        </w:rPr>
        <w:t>（三）如乙方所提供的货物存在前述担保货物或权利负担，甲方（用户）有权解除合同、没收履约保证金，并要求乙方退还已支付的全部货款，赔偿甲方（用户）的全部损失及支出的合理费用。</w:t>
      </w:r>
    </w:p>
    <w:p>
      <w:pPr>
        <w:ind w:firstLine="482" w:firstLineChars="200"/>
        <w:rPr>
          <w:rFonts w:hint="eastAsia"/>
          <w:b/>
          <w:bCs/>
          <w:sz w:val="24"/>
        </w:rPr>
      </w:pPr>
      <w:r>
        <w:rPr>
          <w:rFonts w:hint="eastAsia"/>
          <w:b/>
          <w:bCs/>
          <w:sz w:val="24"/>
        </w:rPr>
        <w:t>第十六条</w:t>
      </w:r>
      <w:r>
        <w:rPr>
          <w:b/>
          <w:bCs/>
          <w:sz w:val="24"/>
        </w:rPr>
        <w:t xml:space="preserve"> </w:t>
      </w:r>
      <w:r>
        <w:rPr>
          <w:rFonts w:hint="eastAsia"/>
          <w:b/>
          <w:bCs/>
          <w:sz w:val="24"/>
        </w:rPr>
        <w:t>不可抗力及其免责</w:t>
      </w:r>
    </w:p>
    <w:p>
      <w:pPr>
        <w:ind w:firstLine="480" w:firstLineChars="200"/>
        <w:rPr>
          <w:rFonts w:hint="eastAsia"/>
          <w:sz w:val="24"/>
        </w:rPr>
      </w:pPr>
      <w:r>
        <w:rPr>
          <w:rFonts w:hint="eastAsia"/>
          <w:sz w:val="24"/>
        </w:rPr>
        <w:t>（一）如果乙方因不可抗力而导致合同实施延误或不能履行合同义务时，在不可抗力影响的范围内不应该被没收履约保证金，也不承担误期赔偿或终止合同的责任。</w:t>
      </w:r>
    </w:p>
    <w:p>
      <w:pPr>
        <w:ind w:firstLine="480" w:firstLineChars="200"/>
        <w:rPr>
          <w:rFonts w:hint="eastAsia"/>
          <w:sz w:val="24"/>
        </w:rPr>
      </w:pPr>
      <w:r>
        <w:rPr>
          <w:rFonts w:hint="eastAsia"/>
          <w:sz w:val="24"/>
        </w:rPr>
        <w:t>（二）在不可抗力事件发生后，乙方应尽快以书面形式将不可抗力的情况和原因通知甲方，除甲方（用户）书面另行要求外，乙方应尽实际可能继续履行合同义务，以及寻求采取合理的方案履行不受不可抗力影响的其他事项。如果不可抗力事件影响延续超过一百二十天，双方应通过友好协商在合理的时间内就进一步实施合同达成协议。</w:t>
      </w:r>
    </w:p>
    <w:p>
      <w:pPr>
        <w:ind w:firstLine="480" w:firstLineChars="200"/>
        <w:rPr>
          <w:rFonts w:hint="eastAsia"/>
          <w:sz w:val="24"/>
        </w:rPr>
      </w:pPr>
      <w:r>
        <w:rPr>
          <w:rFonts w:hint="eastAsia"/>
          <w:sz w:val="24"/>
        </w:rPr>
        <w:t>（三）乙方在延迟履行合同期间由于不可抗力而不能履行合同的，不能被免除责任。</w:t>
      </w:r>
    </w:p>
    <w:p>
      <w:pPr>
        <w:ind w:firstLine="480" w:firstLineChars="200"/>
        <w:rPr>
          <w:rFonts w:hint="eastAsia"/>
          <w:sz w:val="24"/>
        </w:rPr>
      </w:pPr>
      <w:r>
        <w:rPr>
          <w:rFonts w:hint="eastAsia"/>
          <w:sz w:val="24"/>
        </w:rPr>
        <w:t>（四）甲方（用户）如遇不可抗力，应尽快以书面形式通知乙方，并尽实际可能履行不受不可抗力影响的其他事项。甲方（用户）不承担因不可抗力不能履行合同所造成的损失。</w:t>
      </w:r>
    </w:p>
    <w:p>
      <w:pPr>
        <w:ind w:firstLine="480" w:firstLineChars="200"/>
        <w:rPr>
          <w:rFonts w:hint="eastAsia"/>
          <w:sz w:val="24"/>
        </w:rPr>
      </w:pPr>
      <w:r>
        <w:rPr>
          <w:rFonts w:hint="eastAsia"/>
          <w:sz w:val="24"/>
        </w:rPr>
        <w:t>（五）本条所述的“不可抗力”指那些不能预见、不能避免并不能克服的客观情况，包括但不限于战争、动乱、严重火灾、洪水、台风、地震等及其他双方同意的情况，但不包括违约或疏忽。</w:t>
      </w:r>
    </w:p>
    <w:p>
      <w:pPr>
        <w:ind w:firstLine="482" w:firstLineChars="200"/>
        <w:rPr>
          <w:rFonts w:hint="eastAsia"/>
          <w:b/>
          <w:bCs/>
          <w:sz w:val="24"/>
        </w:rPr>
      </w:pPr>
      <w:r>
        <w:rPr>
          <w:rFonts w:hint="eastAsia"/>
          <w:b/>
          <w:bCs/>
          <w:sz w:val="24"/>
        </w:rPr>
        <w:t>第十七条</w:t>
      </w:r>
      <w:r>
        <w:rPr>
          <w:b/>
          <w:bCs/>
          <w:sz w:val="24"/>
        </w:rPr>
        <w:t xml:space="preserve"> </w:t>
      </w:r>
      <w:r>
        <w:rPr>
          <w:rFonts w:hint="eastAsia"/>
          <w:b/>
          <w:bCs/>
          <w:sz w:val="24"/>
        </w:rPr>
        <w:t>争议的解决</w:t>
      </w:r>
    </w:p>
    <w:p>
      <w:pPr>
        <w:ind w:firstLine="480" w:firstLineChars="200"/>
        <w:rPr>
          <w:rFonts w:hint="eastAsia"/>
          <w:sz w:val="24"/>
        </w:rPr>
      </w:pPr>
      <w:r>
        <w:rPr>
          <w:rFonts w:hint="eastAsia"/>
          <w:sz w:val="24"/>
        </w:rPr>
        <w:t>合同实施或与合同有关的一切争议应通过双方友好协商解决。如果友好协商还不能解决，合同双方均可向甲方所在地人民法院提起诉讼。在诉讼期间，除正在进行诉讼的部分外，本合同其他部分应继续履行。</w:t>
      </w:r>
    </w:p>
    <w:p>
      <w:pPr>
        <w:ind w:firstLine="482" w:firstLineChars="200"/>
        <w:rPr>
          <w:rFonts w:hint="eastAsia"/>
          <w:b/>
          <w:bCs/>
          <w:sz w:val="24"/>
        </w:rPr>
      </w:pPr>
      <w:r>
        <w:rPr>
          <w:rFonts w:hint="eastAsia"/>
          <w:b/>
          <w:bCs/>
          <w:sz w:val="24"/>
        </w:rPr>
        <w:t>第十八条</w:t>
      </w:r>
      <w:r>
        <w:rPr>
          <w:b/>
          <w:bCs/>
          <w:sz w:val="24"/>
        </w:rPr>
        <w:t xml:space="preserve"> </w:t>
      </w:r>
      <w:r>
        <w:rPr>
          <w:rFonts w:hint="eastAsia"/>
          <w:b/>
          <w:bCs/>
          <w:sz w:val="24"/>
        </w:rPr>
        <w:t>合同修改或变更</w:t>
      </w:r>
    </w:p>
    <w:p>
      <w:pPr>
        <w:ind w:firstLine="480" w:firstLineChars="200"/>
        <w:rPr>
          <w:rFonts w:hint="eastAsia"/>
          <w:sz w:val="24"/>
        </w:rPr>
      </w:pPr>
      <w:r>
        <w:rPr>
          <w:rFonts w:hint="eastAsia"/>
          <w:sz w:val="24"/>
        </w:rPr>
        <w:t>（一）如无重大变故，甲乙双方不得擅自变更合同。</w:t>
      </w:r>
    </w:p>
    <w:p>
      <w:pPr>
        <w:ind w:firstLine="480" w:firstLineChars="200"/>
        <w:rPr>
          <w:rFonts w:hint="eastAsia"/>
          <w:sz w:val="24"/>
        </w:rPr>
      </w:pPr>
      <w:r>
        <w:rPr>
          <w:rFonts w:hint="eastAsia"/>
          <w:sz w:val="24"/>
        </w:rPr>
        <w:t>（二）如确需变更合同，甲乙双方应签署书面变更协议。变更协议为本合同不可分割的一部分。</w:t>
      </w:r>
    </w:p>
    <w:p>
      <w:pPr>
        <w:ind w:firstLine="480" w:firstLineChars="200"/>
        <w:rPr>
          <w:rFonts w:hint="eastAsia"/>
          <w:sz w:val="24"/>
        </w:rPr>
      </w:pPr>
      <w:r>
        <w:rPr>
          <w:rFonts w:hint="eastAsia"/>
          <w:sz w:val="24"/>
        </w:rPr>
        <w:t>（三）在不改变合同其他条款的前提下，甲方（用户）有权在合同价款</w:t>
      </w:r>
      <w:r>
        <w:rPr>
          <w:sz w:val="24"/>
        </w:rPr>
        <w:t>10%</w:t>
      </w:r>
      <w:r>
        <w:rPr>
          <w:rFonts w:hint="eastAsia"/>
          <w:sz w:val="24"/>
        </w:rPr>
        <w:t>的范围内追加与合同标的相同的货物或服务，并就此与乙方签订补充合同，乙方不得拒绝。</w:t>
      </w:r>
    </w:p>
    <w:p>
      <w:pPr>
        <w:ind w:firstLine="482" w:firstLineChars="200"/>
        <w:rPr>
          <w:rFonts w:hint="eastAsia"/>
          <w:b/>
          <w:bCs/>
          <w:sz w:val="24"/>
        </w:rPr>
      </w:pPr>
      <w:r>
        <w:rPr>
          <w:rFonts w:hint="eastAsia"/>
          <w:b/>
          <w:bCs/>
          <w:sz w:val="24"/>
        </w:rPr>
        <w:t>第十九条</w:t>
      </w:r>
      <w:r>
        <w:rPr>
          <w:b/>
          <w:bCs/>
          <w:sz w:val="24"/>
        </w:rPr>
        <w:t xml:space="preserve"> </w:t>
      </w:r>
      <w:r>
        <w:rPr>
          <w:rFonts w:hint="eastAsia"/>
          <w:b/>
          <w:bCs/>
          <w:sz w:val="24"/>
        </w:rPr>
        <w:t>合同中止</w:t>
      </w:r>
    </w:p>
    <w:p>
      <w:pPr>
        <w:ind w:firstLine="480" w:firstLineChars="200"/>
        <w:rPr>
          <w:rFonts w:hint="eastAsia"/>
          <w:sz w:val="24"/>
        </w:rPr>
      </w:pPr>
      <w:r>
        <w:rPr>
          <w:rFonts w:hint="eastAsia"/>
          <w:sz w:val="24"/>
        </w:rPr>
        <w:t>（一）合同在履行过程中，因采购计划调整，甲方（用户）可以要求中止履行，待计划确定后继续履行。</w:t>
      </w:r>
    </w:p>
    <w:p>
      <w:pPr>
        <w:ind w:firstLine="480" w:firstLineChars="200"/>
        <w:rPr>
          <w:rFonts w:hint="eastAsia"/>
          <w:sz w:val="24"/>
        </w:rPr>
      </w:pPr>
      <w:r>
        <w:rPr>
          <w:rFonts w:hint="eastAsia"/>
          <w:sz w:val="24"/>
        </w:rPr>
        <w:t>（二）合同签订或履行过程中因其他供应商就采购过程或结果提起质疑、投诉、行政复议、行政诉讼的，甲方（用户）认为有必要或财政部责令中止的，应当中止合同的履行。</w:t>
      </w:r>
    </w:p>
    <w:p>
      <w:pPr>
        <w:ind w:firstLine="482" w:firstLineChars="200"/>
        <w:rPr>
          <w:rFonts w:hint="eastAsia"/>
          <w:b/>
          <w:bCs/>
          <w:sz w:val="24"/>
        </w:rPr>
      </w:pPr>
      <w:r>
        <w:rPr>
          <w:rFonts w:hint="eastAsia"/>
          <w:b/>
          <w:bCs/>
          <w:sz w:val="24"/>
        </w:rPr>
        <w:t>第二十条</w:t>
      </w:r>
      <w:r>
        <w:rPr>
          <w:b/>
          <w:bCs/>
          <w:sz w:val="24"/>
        </w:rPr>
        <w:t xml:space="preserve"> </w:t>
      </w:r>
      <w:r>
        <w:rPr>
          <w:rFonts w:hint="eastAsia"/>
          <w:b/>
          <w:bCs/>
          <w:sz w:val="24"/>
        </w:rPr>
        <w:t>合同解除</w:t>
      </w:r>
    </w:p>
    <w:p>
      <w:pPr>
        <w:ind w:firstLine="480" w:firstLineChars="200"/>
        <w:rPr>
          <w:rFonts w:hint="eastAsia"/>
          <w:sz w:val="24"/>
        </w:rPr>
      </w:pPr>
      <w:r>
        <w:rPr>
          <w:rFonts w:hint="eastAsia"/>
          <w:sz w:val="24"/>
        </w:rPr>
        <w:t>由于合同一方不履行合同或严重违反合同，造成合同部分或全部无法履行时，对方除有权向违约方索赔外，并有权部分或全部解除合同。对于部分解除的合同，违约方除应承担规定的责任外，还应继续履行合同的剩余部分。</w:t>
      </w:r>
    </w:p>
    <w:p>
      <w:pPr>
        <w:ind w:firstLine="480" w:firstLineChars="200"/>
        <w:rPr>
          <w:rFonts w:hint="eastAsia"/>
          <w:sz w:val="24"/>
        </w:rPr>
      </w:pPr>
      <w:r>
        <w:rPr>
          <w:rFonts w:hint="eastAsia"/>
          <w:sz w:val="24"/>
        </w:rPr>
        <w:t>（一）因违约解除合同</w:t>
      </w:r>
    </w:p>
    <w:p>
      <w:pPr>
        <w:ind w:firstLine="480" w:firstLineChars="200"/>
        <w:rPr>
          <w:rFonts w:hint="eastAsia"/>
          <w:sz w:val="24"/>
        </w:rPr>
      </w:pPr>
      <w:r>
        <w:rPr>
          <w:sz w:val="24"/>
        </w:rPr>
        <w:t>1.</w:t>
      </w:r>
      <w:r>
        <w:rPr>
          <w:rFonts w:hint="eastAsia"/>
          <w:sz w:val="24"/>
        </w:rPr>
        <w:t>在甲方（用户）对乙方违约而采取的任何补救措施不受影响的情况下，甲方（用户）可向乙方发出书面违约通知书，提出解除部分或全部合同：</w:t>
      </w:r>
    </w:p>
    <w:p>
      <w:pPr>
        <w:ind w:firstLine="480" w:firstLineChars="200"/>
        <w:rPr>
          <w:rFonts w:hint="eastAsia"/>
          <w:sz w:val="24"/>
        </w:rPr>
      </w:pPr>
      <w:r>
        <w:rPr>
          <w:rFonts w:hint="eastAsia"/>
          <w:sz w:val="24"/>
        </w:rPr>
        <w:t>（</w:t>
      </w:r>
      <w:r>
        <w:rPr>
          <w:sz w:val="24"/>
        </w:rPr>
        <w:t>1</w:t>
      </w:r>
      <w:r>
        <w:rPr>
          <w:rFonts w:hint="eastAsia"/>
          <w:sz w:val="24"/>
        </w:rPr>
        <w:t>）如果乙方未能在合同规定的期限或甲方（用户）根据合同条款的规定同意延长的限期内提供部分或全部的货物或服务，达到合同所规定的要求；</w:t>
      </w:r>
    </w:p>
    <w:p>
      <w:pPr>
        <w:pStyle w:val="639"/>
        <w:spacing w:before="231" w:after="231" w:line="360" w:lineRule="auto"/>
        <w:ind w:firstLine="480" w:firstLineChars="200"/>
        <w:rPr>
          <w:rFonts w:eastAsia="宋体"/>
          <w:sz w:val="24"/>
          <w:szCs w:val="24"/>
        </w:rPr>
      </w:pPr>
      <w:r>
        <w:rPr>
          <w:rFonts w:hint="eastAsia" w:eastAsia="宋体"/>
          <w:sz w:val="24"/>
          <w:szCs w:val="24"/>
        </w:rPr>
        <w:t>（</w:t>
      </w:r>
      <w:r>
        <w:rPr>
          <w:rFonts w:eastAsia="宋体"/>
          <w:sz w:val="24"/>
          <w:szCs w:val="24"/>
        </w:rPr>
        <w:t>2</w:t>
      </w:r>
      <w:r>
        <w:rPr>
          <w:rFonts w:hint="eastAsia" w:eastAsia="宋体"/>
          <w:sz w:val="24"/>
          <w:szCs w:val="24"/>
        </w:rPr>
        <w:t>）如果甲方（用户）发现乙方在本合同的竞争或实施中有欺诈行为。</w:t>
      </w:r>
    </w:p>
    <w:p>
      <w:pPr>
        <w:ind w:firstLine="480" w:firstLineChars="200"/>
        <w:rPr>
          <w:rFonts w:hint="eastAsia"/>
          <w:sz w:val="24"/>
        </w:rPr>
      </w:pPr>
      <w:r>
        <w:rPr>
          <w:rFonts w:hint="eastAsia"/>
          <w:sz w:val="24"/>
        </w:rPr>
        <w:t>（</w:t>
      </w:r>
      <w:r>
        <w:rPr>
          <w:sz w:val="24"/>
        </w:rPr>
        <w:t>3</w:t>
      </w:r>
      <w:r>
        <w:rPr>
          <w:rFonts w:hint="eastAsia"/>
          <w:sz w:val="24"/>
        </w:rPr>
        <w:t>）如果乙方未能履行合同规定的其他任何义务。</w:t>
      </w:r>
    </w:p>
    <w:p>
      <w:pPr>
        <w:ind w:firstLine="480" w:firstLineChars="200"/>
        <w:rPr>
          <w:rFonts w:hint="eastAsia"/>
          <w:sz w:val="24"/>
        </w:rPr>
      </w:pPr>
      <w:r>
        <w:rPr>
          <w:sz w:val="24"/>
        </w:rPr>
        <w:t>2.</w:t>
      </w:r>
      <w:r>
        <w:rPr>
          <w:rFonts w:hint="eastAsia"/>
          <w:sz w:val="24"/>
        </w:rPr>
        <w:t>如果甲方（用户）根据上述规定与乙方全部或部分解除合同，</w:t>
      </w:r>
      <w:r>
        <w:rPr>
          <w:rFonts w:hint="eastAsia"/>
          <w:bCs/>
          <w:sz w:val="24"/>
        </w:rPr>
        <w:t>甲方（用户）可以依其认为适当的条件和方法购买乙方未能提供的货物或服务，乙方应对甲方购买类似货物或服务所超出的费用负责</w:t>
      </w:r>
      <w:r>
        <w:rPr>
          <w:rFonts w:hint="eastAsia"/>
          <w:sz w:val="24"/>
        </w:rPr>
        <w:t>。</w:t>
      </w:r>
      <w:r>
        <w:rPr>
          <w:rFonts w:hint="eastAsia"/>
          <w:bCs/>
          <w:sz w:val="24"/>
        </w:rPr>
        <w:t>同时，乙方应继续执行合同中未解除的部分。</w:t>
      </w:r>
    </w:p>
    <w:p>
      <w:pPr>
        <w:ind w:firstLine="480" w:firstLineChars="200"/>
        <w:rPr>
          <w:rFonts w:hint="eastAsia"/>
          <w:sz w:val="24"/>
        </w:rPr>
      </w:pPr>
      <w:r>
        <w:rPr>
          <w:rFonts w:hint="eastAsia"/>
          <w:sz w:val="24"/>
        </w:rPr>
        <w:t>（二）因破产而解除合同</w:t>
      </w:r>
    </w:p>
    <w:p>
      <w:pPr>
        <w:ind w:firstLine="480" w:firstLineChars="200"/>
        <w:rPr>
          <w:rFonts w:hint="eastAsia"/>
          <w:sz w:val="24"/>
        </w:rPr>
      </w:pPr>
      <w:r>
        <w:rPr>
          <w:sz w:val="24"/>
        </w:rPr>
        <w:t>1.</w:t>
      </w:r>
      <w:r>
        <w:rPr>
          <w:rFonts w:hint="eastAsia"/>
          <w:sz w:val="24"/>
        </w:rPr>
        <w:t>如果乙方破产或无清偿能力，甲方（用户）可在任何时候以书面形式通知乙方，提出解除合同而不给乙方补偿，并有权要求乙方退回甲方（用户）已支付的合同货款。</w:t>
      </w:r>
    </w:p>
    <w:p>
      <w:pPr>
        <w:ind w:firstLine="480" w:firstLineChars="200"/>
        <w:rPr>
          <w:rFonts w:hint="eastAsia"/>
          <w:sz w:val="24"/>
        </w:rPr>
      </w:pPr>
      <w:r>
        <w:rPr>
          <w:sz w:val="24"/>
        </w:rPr>
        <w:t>2.</w:t>
      </w:r>
      <w:r>
        <w:rPr>
          <w:rFonts w:hint="eastAsia"/>
          <w:sz w:val="24"/>
        </w:rPr>
        <w:t>该解除合同将不损害或影响甲方已经采取或将要采取的任何行动或补救措施的权利。</w:t>
      </w:r>
    </w:p>
    <w:p>
      <w:pPr>
        <w:ind w:firstLine="480" w:firstLineChars="200"/>
        <w:rPr>
          <w:rFonts w:hint="eastAsia"/>
          <w:sz w:val="24"/>
        </w:rPr>
      </w:pPr>
      <w:r>
        <w:rPr>
          <w:rFonts w:hint="eastAsia"/>
          <w:sz w:val="24"/>
        </w:rPr>
        <w:t>（三）其他解除合同情况</w:t>
      </w:r>
    </w:p>
    <w:p>
      <w:pPr>
        <w:ind w:firstLine="480" w:firstLineChars="200"/>
        <w:rPr>
          <w:rFonts w:hint="eastAsia"/>
          <w:sz w:val="24"/>
        </w:rPr>
      </w:pPr>
      <w:r>
        <w:rPr>
          <w:sz w:val="24"/>
        </w:rPr>
        <w:t>1.</w:t>
      </w:r>
      <w:r>
        <w:rPr>
          <w:rFonts w:hint="eastAsia"/>
          <w:sz w:val="24"/>
        </w:rPr>
        <w:t>若合同继续履行将给甲方造成重大损失的，甲方（用户）可以解除合同而不给予乙方任何补偿。</w:t>
      </w:r>
    </w:p>
    <w:p>
      <w:pPr>
        <w:ind w:firstLine="480" w:firstLineChars="200"/>
        <w:rPr>
          <w:rFonts w:hint="eastAsia"/>
          <w:sz w:val="24"/>
        </w:rPr>
      </w:pPr>
      <w:r>
        <w:rPr>
          <w:sz w:val="24"/>
        </w:rPr>
        <w:t>2.</w:t>
      </w:r>
      <w:r>
        <w:rPr>
          <w:rFonts w:hint="eastAsia"/>
          <w:sz w:val="24"/>
        </w:rPr>
        <w:t>乙方在执行合同的过程中发生重大变故，对履行合同有影响的，甲方（用户）可以解除合同而不给予乙方任何补偿。</w:t>
      </w:r>
    </w:p>
    <w:p>
      <w:pPr>
        <w:ind w:firstLine="480" w:firstLineChars="200"/>
        <w:rPr>
          <w:rFonts w:hint="eastAsia"/>
          <w:sz w:val="24"/>
        </w:rPr>
      </w:pPr>
      <w:r>
        <w:rPr>
          <w:sz w:val="24"/>
        </w:rPr>
        <w:t>3.</w:t>
      </w:r>
      <w:r>
        <w:rPr>
          <w:rFonts w:hint="eastAsia"/>
          <w:sz w:val="24"/>
        </w:rPr>
        <w:t>甲方（用户）因重大变故取消或部分取消原来的采购任务，导致合同全部或部分内容无需继续履行的，可以解除合同而不给予乙方任何补偿。</w:t>
      </w:r>
    </w:p>
    <w:p>
      <w:pPr>
        <w:ind w:firstLine="482" w:firstLineChars="200"/>
        <w:rPr>
          <w:rFonts w:hint="eastAsia"/>
          <w:b/>
          <w:bCs/>
          <w:sz w:val="24"/>
        </w:rPr>
      </w:pPr>
      <w:r>
        <w:rPr>
          <w:rFonts w:hint="eastAsia"/>
          <w:b/>
          <w:bCs/>
          <w:sz w:val="24"/>
        </w:rPr>
        <w:t>第二十一条</w:t>
      </w:r>
      <w:r>
        <w:rPr>
          <w:b/>
          <w:bCs/>
          <w:sz w:val="24"/>
        </w:rPr>
        <w:t xml:space="preserve"> </w:t>
      </w:r>
      <w:r>
        <w:rPr>
          <w:rFonts w:hint="eastAsia"/>
          <w:b/>
          <w:bCs/>
          <w:sz w:val="24"/>
        </w:rPr>
        <w:t>合同终止</w:t>
      </w:r>
    </w:p>
    <w:p>
      <w:pPr>
        <w:pStyle w:val="640"/>
        <w:autoSpaceDN w:val="0"/>
        <w:spacing w:line="360" w:lineRule="auto"/>
        <w:ind w:firstLine="480" w:firstLineChars="200"/>
        <w:jc w:val="left"/>
        <w:rPr>
          <w:snapToGrid w:val="0"/>
          <w:kern w:val="0"/>
          <w:sz w:val="24"/>
          <w:szCs w:val="24"/>
        </w:rPr>
      </w:pPr>
      <w:r>
        <w:rPr>
          <w:rFonts w:hint="eastAsia"/>
          <w:snapToGrid w:val="0"/>
          <w:kern w:val="0"/>
          <w:sz w:val="24"/>
          <w:szCs w:val="24"/>
        </w:rPr>
        <w:t>（一）本合同因下列原因而终止：</w:t>
      </w:r>
    </w:p>
    <w:p>
      <w:pPr>
        <w:pStyle w:val="640"/>
        <w:autoSpaceDN w:val="0"/>
        <w:spacing w:line="360" w:lineRule="auto"/>
        <w:ind w:firstLine="480" w:firstLineChars="200"/>
        <w:jc w:val="left"/>
        <w:rPr>
          <w:snapToGrid w:val="0"/>
          <w:kern w:val="0"/>
          <w:sz w:val="24"/>
          <w:szCs w:val="24"/>
        </w:rPr>
      </w:pPr>
      <w:r>
        <w:rPr>
          <w:snapToGrid w:val="0"/>
          <w:kern w:val="0"/>
          <w:sz w:val="24"/>
          <w:szCs w:val="24"/>
        </w:rPr>
        <w:t>1.</w:t>
      </w:r>
      <w:r>
        <w:rPr>
          <w:rFonts w:hint="eastAsia"/>
          <w:snapToGrid w:val="0"/>
          <w:kern w:val="0"/>
          <w:sz w:val="24"/>
          <w:szCs w:val="24"/>
        </w:rPr>
        <w:t>本合同正常履行完毕；</w:t>
      </w:r>
    </w:p>
    <w:p>
      <w:pPr>
        <w:pStyle w:val="640"/>
        <w:autoSpaceDN w:val="0"/>
        <w:spacing w:line="360" w:lineRule="auto"/>
        <w:ind w:firstLine="480" w:firstLineChars="200"/>
        <w:jc w:val="left"/>
        <w:rPr>
          <w:snapToGrid w:val="0"/>
          <w:kern w:val="0"/>
          <w:sz w:val="24"/>
          <w:szCs w:val="24"/>
        </w:rPr>
      </w:pPr>
      <w:r>
        <w:rPr>
          <w:snapToGrid w:val="0"/>
          <w:kern w:val="0"/>
          <w:sz w:val="24"/>
          <w:szCs w:val="24"/>
        </w:rPr>
        <w:t>2.</w:t>
      </w:r>
      <w:r>
        <w:rPr>
          <w:rFonts w:hint="eastAsia"/>
          <w:snapToGrid w:val="0"/>
          <w:kern w:val="0"/>
          <w:sz w:val="24"/>
          <w:szCs w:val="24"/>
        </w:rPr>
        <w:t>合同双方协议终止本合同的履行；</w:t>
      </w:r>
    </w:p>
    <w:p>
      <w:pPr>
        <w:pStyle w:val="640"/>
        <w:autoSpaceDN w:val="0"/>
        <w:spacing w:line="360" w:lineRule="auto"/>
        <w:ind w:firstLine="480" w:firstLineChars="200"/>
        <w:jc w:val="left"/>
        <w:rPr>
          <w:snapToGrid w:val="0"/>
          <w:kern w:val="0"/>
          <w:sz w:val="24"/>
          <w:szCs w:val="24"/>
        </w:rPr>
      </w:pPr>
      <w:r>
        <w:rPr>
          <w:snapToGrid w:val="0"/>
          <w:kern w:val="0"/>
          <w:sz w:val="24"/>
          <w:szCs w:val="24"/>
        </w:rPr>
        <w:t>3.</w:t>
      </w:r>
      <w:r>
        <w:rPr>
          <w:rFonts w:hint="eastAsia"/>
          <w:snapToGrid w:val="0"/>
          <w:kern w:val="0"/>
          <w:sz w:val="24"/>
          <w:szCs w:val="24"/>
        </w:rPr>
        <w:t>不可抗力事件导致本合同无法履行或履行不必要；</w:t>
      </w:r>
    </w:p>
    <w:p>
      <w:pPr>
        <w:pStyle w:val="640"/>
        <w:autoSpaceDN w:val="0"/>
        <w:spacing w:line="360" w:lineRule="auto"/>
        <w:ind w:firstLine="480" w:firstLineChars="200"/>
        <w:jc w:val="left"/>
        <w:rPr>
          <w:snapToGrid w:val="0"/>
          <w:kern w:val="0"/>
          <w:sz w:val="24"/>
          <w:szCs w:val="24"/>
        </w:rPr>
      </w:pPr>
      <w:r>
        <w:rPr>
          <w:snapToGrid w:val="0"/>
          <w:kern w:val="0"/>
          <w:sz w:val="24"/>
          <w:szCs w:val="24"/>
        </w:rPr>
        <w:t>4.</w:t>
      </w:r>
      <w:r>
        <w:rPr>
          <w:rFonts w:hint="eastAsia"/>
          <w:snapToGrid w:val="0"/>
          <w:kern w:val="0"/>
          <w:sz w:val="24"/>
          <w:szCs w:val="24"/>
        </w:rPr>
        <w:t>任何一方行使解除权，解除本合同；</w:t>
      </w:r>
    </w:p>
    <w:p>
      <w:pPr>
        <w:pStyle w:val="640"/>
        <w:autoSpaceDN w:val="0"/>
        <w:spacing w:line="360" w:lineRule="auto"/>
        <w:ind w:firstLine="480" w:firstLineChars="200"/>
        <w:jc w:val="left"/>
        <w:rPr>
          <w:snapToGrid w:val="0"/>
          <w:kern w:val="0"/>
          <w:sz w:val="24"/>
          <w:szCs w:val="24"/>
        </w:rPr>
      </w:pPr>
      <w:r>
        <w:rPr>
          <w:rFonts w:hint="eastAsia"/>
          <w:snapToGrid w:val="0"/>
          <w:kern w:val="0"/>
          <w:sz w:val="24"/>
          <w:szCs w:val="24"/>
        </w:rPr>
        <w:t>（二）对本合同终止有过错的一方应赔偿另一方因合同终止而受到的损失。</w:t>
      </w:r>
    </w:p>
    <w:p>
      <w:pPr>
        <w:ind w:firstLine="482" w:firstLineChars="200"/>
        <w:rPr>
          <w:rFonts w:hint="eastAsia"/>
          <w:b/>
          <w:bCs/>
          <w:sz w:val="24"/>
        </w:rPr>
      </w:pPr>
      <w:r>
        <w:rPr>
          <w:rFonts w:hint="eastAsia"/>
          <w:b/>
          <w:bCs/>
          <w:sz w:val="24"/>
        </w:rPr>
        <w:t>第二十二条</w:t>
      </w:r>
      <w:r>
        <w:rPr>
          <w:b/>
          <w:bCs/>
          <w:sz w:val="24"/>
        </w:rPr>
        <w:t xml:space="preserve"> </w:t>
      </w:r>
      <w:r>
        <w:rPr>
          <w:rFonts w:hint="eastAsia"/>
          <w:b/>
          <w:bCs/>
          <w:sz w:val="24"/>
        </w:rPr>
        <w:t>其他</w:t>
      </w:r>
    </w:p>
    <w:p>
      <w:pPr>
        <w:ind w:firstLine="480" w:firstLineChars="200"/>
        <w:rPr>
          <w:rFonts w:hint="eastAsia"/>
          <w:sz w:val="24"/>
        </w:rPr>
      </w:pPr>
      <w:r>
        <w:rPr>
          <w:rFonts w:hint="eastAsia"/>
          <w:sz w:val="24"/>
        </w:rPr>
        <w:t>中标通知书（成交通知书）、中标人的投标文件</w:t>
      </w:r>
      <w:r>
        <w:rPr>
          <w:sz w:val="24"/>
        </w:rPr>
        <w:t>/</w:t>
      </w:r>
      <w:r>
        <w:rPr>
          <w:rFonts w:hint="eastAsia"/>
          <w:sz w:val="24"/>
        </w:rPr>
        <w:t>应答文件、招标文件</w:t>
      </w:r>
      <w:r>
        <w:rPr>
          <w:sz w:val="24"/>
        </w:rPr>
        <w:t>/</w:t>
      </w:r>
      <w:r>
        <w:rPr>
          <w:rFonts w:hint="eastAsia"/>
          <w:sz w:val="24"/>
        </w:rPr>
        <w:t>谈判文件</w:t>
      </w:r>
      <w:r>
        <w:rPr>
          <w:sz w:val="24"/>
        </w:rPr>
        <w:t>/</w:t>
      </w:r>
      <w:r>
        <w:rPr>
          <w:rFonts w:hint="eastAsia"/>
          <w:sz w:val="24"/>
        </w:rPr>
        <w:t>询价通知书</w:t>
      </w:r>
      <w:r>
        <w:rPr>
          <w:sz w:val="24"/>
        </w:rPr>
        <w:t>/</w:t>
      </w:r>
      <w:r>
        <w:rPr>
          <w:rFonts w:hint="eastAsia"/>
          <w:sz w:val="24"/>
        </w:rPr>
        <w:t>磋商文件</w:t>
      </w:r>
      <w:r>
        <w:rPr>
          <w:sz w:val="24"/>
        </w:rPr>
        <w:t>/</w:t>
      </w:r>
      <w:r>
        <w:rPr>
          <w:rFonts w:hint="eastAsia"/>
          <w:sz w:val="24"/>
        </w:rPr>
        <w:t>单一来源、合同条款、合同附件（协商、变更的，明确双方权利义务的，以书面形式而表现出来的协议或书面通知或确认书等）是本合同不可分割的部分，与本合同具有同等法律效力。</w:t>
      </w:r>
    </w:p>
    <w:p>
      <w:pPr>
        <w:ind w:firstLine="482" w:firstLineChars="200"/>
        <w:rPr>
          <w:rFonts w:hint="eastAsia"/>
          <w:b/>
          <w:bCs/>
          <w:sz w:val="24"/>
        </w:rPr>
      </w:pPr>
      <w:r>
        <w:rPr>
          <w:rFonts w:hint="eastAsia"/>
          <w:b/>
          <w:bCs/>
          <w:sz w:val="24"/>
        </w:rPr>
        <w:t>第二十四条</w:t>
      </w:r>
      <w:r>
        <w:rPr>
          <w:b/>
          <w:bCs/>
          <w:sz w:val="24"/>
        </w:rPr>
        <w:t xml:space="preserve"> </w:t>
      </w:r>
      <w:r>
        <w:rPr>
          <w:rFonts w:hint="eastAsia"/>
          <w:b/>
          <w:bCs/>
          <w:sz w:val="24"/>
        </w:rPr>
        <w:t>合同生效</w:t>
      </w:r>
    </w:p>
    <w:p>
      <w:pPr>
        <w:ind w:firstLine="480" w:firstLineChars="200"/>
        <w:rPr>
          <w:rFonts w:hint="eastAsia"/>
          <w:sz w:val="24"/>
        </w:rPr>
      </w:pPr>
      <w:r>
        <w:rPr>
          <w:rFonts w:hint="eastAsia"/>
          <w:sz w:val="24"/>
        </w:rPr>
        <w:t>本合同一式</w:t>
      </w:r>
      <w:r>
        <w:rPr>
          <w:sz w:val="24"/>
        </w:rPr>
        <w:t>___</w:t>
      </w:r>
      <w:r>
        <w:rPr>
          <w:rFonts w:hint="eastAsia"/>
          <w:sz w:val="24"/>
        </w:rPr>
        <w:t>份，甲方执</w:t>
      </w:r>
      <w:r>
        <w:rPr>
          <w:sz w:val="24"/>
        </w:rPr>
        <w:t>___</w:t>
      </w:r>
      <w:r>
        <w:rPr>
          <w:rFonts w:hint="eastAsia"/>
          <w:sz w:val="24"/>
        </w:rPr>
        <w:t>份，乙方执</w:t>
      </w:r>
      <w:r>
        <w:rPr>
          <w:sz w:val="24"/>
        </w:rPr>
        <w:t>___</w:t>
      </w:r>
      <w:r>
        <w:rPr>
          <w:rFonts w:hint="eastAsia"/>
          <w:sz w:val="24"/>
        </w:rPr>
        <w:t>份；自甲乙双方签字盖章之日起生效。对本合同的任何更改及补充，均需双方共同协商，并以书面形式盖章确认。</w:t>
      </w:r>
    </w:p>
    <w:p>
      <w:pPr>
        <w:rPr>
          <w:rFonts w:hint="eastAsia"/>
          <w:sz w:val="24"/>
        </w:rPr>
      </w:pPr>
    </w:p>
    <w:p>
      <w:pPr>
        <w:rPr>
          <w:rFonts w:hint="eastAsia"/>
          <w:sz w:val="24"/>
        </w:rPr>
      </w:pPr>
      <w:r>
        <w:rPr>
          <w:rFonts w:hint="eastAsia"/>
          <w:sz w:val="24"/>
        </w:rPr>
        <w:t>甲方（公章</w:t>
      </w:r>
      <w:r>
        <w:rPr>
          <w:rFonts w:hint="eastAsia"/>
          <w:snapToGrid w:val="0"/>
          <w:sz w:val="24"/>
        </w:rPr>
        <w:t>或合同章</w:t>
      </w:r>
      <w:r>
        <w:rPr>
          <w:rFonts w:hint="eastAsia"/>
          <w:sz w:val="24"/>
        </w:rPr>
        <w:t>）：</w:t>
      </w:r>
      <w:r>
        <w:rPr>
          <w:sz w:val="24"/>
        </w:rPr>
        <w:t xml:space="preserve">            </w:t>
      </w:r>
      <w:r>
        <w:rPr>
          <w:rFonts w:hint="eastAsia"/>
          <w:sz w:val="24"/>
        </w:rPr>
        <w:t>乙方（公章</w:t>
      </w:r>
      <w:r>
        <w:rPr>
          <w:rFonts w:hint="eastAsia"/>
          <w:snapToGrid w:val="0"/>
          <w:sz w:val="24"/>
        </w:rPr>
        <w:t>或合同章</w:t>
      </w:r>
      <w:r>
        <w:rPr>
          <w:rFonts w:hint="eastAsia"/>
          <w:sz w:val="24"/>
        </w:rPr>
        <w:t>）：</w:t>
      </w:r>
    </w:p>
    <w:p>
      <w:pPr>
        <w:rPr>
          <w:rFonts w:hint="eastAsia"/>
          <w:sz w:val="24"/>
        </w:rPr>
      </w:pPr>
      <w:r>
        <w:rPr>
          <w:rFonts w:hint="eastAsia"/>
          <w:sz w:val="24"/>
        </w:rPr>
        <w:t>甲方代表或授权人签字：</w:t>
      </w:r>
      <w:r>
        <w:rPr>
          <w:sz w:val="24"/>
        </w:rPr>
        <w:t xml:space="preserve">            </w:t>
      </w:r>
      <w:r>
        <w:rPr>
          <w:rFonts w:hint="eastAsia"/>
          <w:sz w:val="24"/>
        </w:rPr>
        <w:t>乙方代表或授权人签字：</w:t>
      </w:r>
    </w:p>
    <w:p>
      <w:pPr>
        <w:rPr>
          <w:rFonts w:hint="eastAsia"/>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p>
      <w:pPr>
        <w:rPr>
          <w:rFonts w:hint="eastAsia"/>
          <w:sz w:val="24"/>
        </w:rPr>
      </w:pPr>
      <w:r>
        <w:rPr>
          <w:rFonts w:hint="eastAsia"/>
          <w:sz w:val="24"/>
        </w:rPr>
        <w:t>联系人</w:t>
      </w:r>
      <w:r>
        <w:rPr>
          <w:sz w:val="24"/>
        </w:rPr>
        <w:t xml:space="preserve">:                           </w:t>
      </w:r>
      <w:r>
        <w:rPr>
          <w:rFonts w:hint="eastAsia"/>
          <w:sz w:val="24"/>
        </w:rPr>
        <w:t>联系人：</w:t>
      </w:r>
    </w:p>
    <w:p>
      <w:pPr>
        <w:rPr>
          <w:rFonts w:hint="eastAsia"/>
          <w:sz w:val="24"/>
        </w:rPr>
      </w:pPr>
      <w:r>
        <w:rPr>
          <w:rFonts w:hint="eastAsia"/>
          <w:sz w:val="24"/>
        </w:rPr>
        <w:t>电话</w:t>
      </w:r>
      <w:r>
        <w:rPr>
          <w:sz w:val="24"/>
        </w:rPr>
        <w:t xml:space="preserve">:                             </w:t>
      </w:r>
      <w:r>
        <w:rPr>
          <w:rFonts w:hint="eastAsia"/>
          <w:sz w:val="24"/>
        </w:rPr>
        <w:t>电话：</w:t>
      </w:r>
    </w:p>
    <w:p>
      <w:pPr>
        <w:rPr>
          <w:rFonts w:hint="eastAsia"/>
          <w:sz w:val="24"/>
        </w:rPr>
      </w:pPr>
      <w:r>
        <w:rPr>
          <w:rFonts w:hint="eastAsia"/>
          <w:sz w:val="24"/>
        </w:rPr>
        <w:t>地址：</w:t>
      </w:r>
      <w:r>
        <w:rPr>
          <w:sz w:val="24"/>
        </w:rPr>
        <w:t xml:space="preserve">                            </w:t>
      </w:r>
      <w:r>
        <w:rPr>
          <w:rFonts w:hint="eastAsia"/>
          <w:sz w:val="24"/>
        </w:rPr>
        <w:t>地址：</w:t>
      </w:r>
    </w:p>
    <w:p>
      <w:pPr>
        <w:shd w:val="clear" w:color="auto" w:fill="auto"/>
        <w:tabs>
          <w:tab w:val="clear" w:pos="426"/>
        </w:tabs>
        <w:adjustRightInd/>
        <w:snapToGrid/>
        <w:jc w:val="left"/>
        <w:rPr>
          <w:rFonts w:ascii="Calibri" w:hAnsi="Calibri" w:cs="Times New Roman"/>
          <w:kern w:val="2"/>
        </w:rPr>
      </w:pPr>
      <w:r>
        <w:rPr>
          <w:rFonts w:ascii="Calibri" w:hAnsi="Calibri" w:cs="Times New Roman"/>
          <w:kern w:val="2"/>
        </w:rPr>
        <w:br w:type="page"/>
      </w:r>
    </w:p>
    <w:p>
      <w:pPr>
        <w:rPr>
          <w:rFonts w:hint="eastAsia"/>
          <w:color w:val="000000"/>
          <w:sz w:val="24"/>
        </w:rPr>
      </w:pPr>
      <w:r>
        <w:rPr>
          <w:rFonts w:hint="eastAsia"/>
          <w:color w:val="000000"/>
          <w:sz w:val="24"/>
        </w:rPr>
        <w:t>附件</w:t>
      </w:r>
      <w:r>
        <w:rPr>
          <w:color w:val="000000"/>
          <w:sz w:val="24"/>
        </w:rPr>
        <w:t>1</w:t>
      </w:r>
      <w:r>
        <w:rPr>
          <w:rFonts w:hint="eastAsia"/>
          <w:color w:val="000000"/>
          <w:sz w:val="24"/>
        </w:rPr>
        <w:t>：</w:t>
      </w:r>
      <w:r>
        <w:rPr>
          <w:rFonts w:hint="eastAsia"/>
          <w:bCs/>
          <w:color w:val="000000"/>
          <w:sz w:val="24"/>
        </w:rPr>
        <w:t>分项报价表、设备配置清单和技术偏离表</w:t>
      </w:r>
    </w:p>
    <w:p>
      <w:pPr>
        <w:shd w:val="clear" w:color="auto" w:fill="auto"/>
        <w:tabs>
          <w:tab w:val="clear" w:pos="426"/>
        </w:tabs>
        <w:adjustRightInd/>
        <w:snapToGrid/>
        <w:jc w:val="left"/>
        <w:rPr>
          <w:rFonts w:hint="eastAsia"/>
          <w:bCs/>
          <w:color w:val="000000"/>
          <w:sz w:val="24"/>
        </w:rPr>
      </w:pPr>
      <w:r>
        <w:rPr>
          <w:bCs/>
          <w:color w:val="000000"/>
          <w:sz w:val="24"/>
        </w:rPr>
        <w:br w:type="page"/>
      </w:r>
    </w:p>
    <w:p>
      <w:pPr>
        <w:rPr>
          <w:rFonts w:hint="eastAsia"/>
          <w:bCs/>
          <w:color w:val="000000"/>
          <w:sz w:val="24"/>
        </w:rPr>
      </w:pPr>
      <w:r>
        <w:rPr>
          <w:rFonts w:hint="eastAsia"/>
          <w:bCs/>
          <w:color w:val="000000"/>
          <w:sz w:val="24"/>
        </w:rPr>
        <w:t>附件</w:t>
      </w:r>
      <w:r>
        <w:rPr>
          <w:bCs/>
          <w:color w:val="000000"/>
          <w:sz w:val="24"/>
        </w:rPr>
        <w:t>2</w:t>
      </w:r>
      <w:r>
        <w:rPr>
          <w:rFonts w:hint="eastAsia"/>
          <w:bCs/>
          <w:color w:val="000000"/>
          <w:sz w:val="24"/>
        </w:rPr>
        <w:t>：培训方案</w:t>
      </w:r>
    </w:p>
    <w:p>
      <w:pPr>
        <w:shd w:val="clear" w:color="auto" w:fill="auto"/>
        <w:tabs>
          <w:tab w:val="clear" w:pos="426"/>
        </w:tabs>
        <w:adjustRightInd/>
        <w:snapToGrid/>
        <w:jc w:val="left"/>
        <w:rPr>
          <w:rFonts w:hint="eastAsia"/>
          <w:bCs/>
          <w:color w:val="000000"/>
          <w:sz w:val="24"/>
        </w:rPr>
      </w:pPr>
      <w:r>
        <w:rPr>
          <w:bCs/>
          <w:color w:val="000000"/>
          <w:sz w:val="24"/>
        </w:rPr>
        <w:br w:type="page"/>
      </w:r>
    </w:p>
    <w:p>
      <w:pPr>
        <w:rPr>
          <w:rFonts w:hint="eastAsia"/>
          <w:bCs/>
          <w:color w:val="000000"/>
          <w:sz w:val="24"/>
        </w:rPr>
      </w:pPr>
      <w:r>
        <w:rPr>
          <w:rFonts w:hint="eastAsia"/>
          <w:bCs/>
          <w:color w:val="000000"/>
          <w:sz w:val="24"/>
        </w:rPr>
        <w:t>附件</w:t>
      </w:r>
      <w:r>
        <w:rPr>
          <w:bCs/>
          <w:color w:val="000000"/>
          <w:sz w:val="24"/>
        </w:rPr>
        <w:t>3</w:t>
      </w:r>
      <w:r>
        <w:rPr>
          <w:rFonts w:hint="eastAsia"/>
          <w:bCs/>
          <w:color w:val="000000"/>
          <w:sz w:val="24"/>
        </w:rPr>
        <w:t>：技术支持及售后服务方案</w:t>
      </w:r>
    </w:p>
    <w:p>
      <w:pPr>
        <w:widowControl w:val="0"/>
        <w:shd w:val="clear" w:color="auto" w:fill="auto"/>
        <w:tabs>
          <w:tab w:val="clear" w:pos="426"/>
        </w:tabs>
        <w:adjustRightInd/>
        <w:snapToGrid/>
        <w:spacing w:line="240" w:lineRule="auto"/>
        <w:jc w:val="center"/>
        <w:rPr>
          <w:rFonts w:ascii="Calibri" w:hAnsi="Calibri" w:cs="Times New Roman"/>
          <w:kern w:val="2"/>
        </w:rPr>
      </w:pPr>
    </w:p>
    <w:p>
      <w:pPr>
        <w:pStyle w:val="62"/>
      </w:pPr>
      <w:r>
        <w:br w:type="page"/>
      </w:r>
      <w:bookmarkEnd w:id="90"/>
      <w:bookmarkEnd w:id="91"/>
      <w:bookmarkStart w:id="93" w:name="_Toc30017"/>
      <w:r>
        <w:rPr>
          <w:rFonts w:hint="eastAsia"/>
        </w:rPr>
        <w:t>第六章</w:t>
      </w:r>
      <w:r>
        <w:t xml:space="preserve"> </w:t>
      </w:r>
      <w:r>
        <w:rPr>
          <w:rFonts w:hint="eastAsia"/>
        </w:rPr>
        <w:t>投标资料表</w:t>
      </w:r>
      <w:bookmarkEnd w:id="93"/>
    </w:p>
    <w:p>
      <w:pPr>
        <w:tabs>
          <w:tab w:val="clear" w:pos="426"/>
        </w:tabs>
        <w:spacing w:line="276" w:lineRule="auto"/>
        <w:rPr>
          <w:rFonts w:hint="eastAsia"/>
        </w:rPr>
      </w:pPr>
    </w:p>
    <w:p>
      <w:pPr>
        <w:tabs>
          <w:tab w:val="clear" w:pos="426"/>
        </w:tabs>
        <w:spacing w:line="276" w:lineRule="auto"/>
        <w:rPr>
          <w:rFonts w:hint="eastAsia"/>
        </w:rPr>
      </w:pPr>
    </w:p>
    <w:p>
      <w:pPr>
        <w:tabs>
          <w:tab w:val="clear" w:pos="426"/>
        </w:tabs>
        <w:spacing w:line="276" w:lineRule="auto"/>
        <w:rPr>
          <w:rFonts w:hint="eastAsia"/>
        </w:rPr>
      </w:pPr>
      <w:r>
        <w:rPr>
          <w:rFonts w:hint="eastAsia"/>
        </w:rPr>
        <w:t>投标文件组成：</w:t>
      </w:r>
    </w:p>
    <w:p>
      <w:pPr>
        <w:tabs>
          <w:tab w:val="clear" w:pos="426"/>
        </w:tabs>
        <w:spacing w:line="276" w:lineRule="auto"/>
        <w:rPr>
          <w:rFonts w:hint="eastAsia"/>
        </w:rPr>
      </w:pPr>
    </w:p>
    <w:p>
      <w:pPr>
        <w:tabs>
          <w:tab w:val="clear" w:pos="426"/>
        </w:tabs>
        <w:spacing w:line="276" w:lineRule="auto"/>
        <w:rPr>
          <w:rFonts w:hint="eastAsia"/>
        </w:rPr>
      </w:pPr>
      <w:r>
        <w:rPr>
          <w:rFonts w:hint="eastAsia"/>
        </w:rPr>
        <w:t>密封袋封条格式</w:t>
      </w:r>
    </w:p>
    <w:p>
      <w:pPr>
        <w:tabs>
          <w:tab w:val="clear" w:pos="426"/>
        </w:tabs>
        <w:spacing w:line="276" w:lineRule="auto"/>
        <w:rPr>
          <w:rFonts w:hint="eastAsia"/>
        </w:rPr>
      </w:pPr>
      <w:r>
        <w:rPr>
          <w:rFonts w:hint="eastAsia"/>
        </w:rPr>
        <w:t>投标文件封面格式</w:t>
      </w:r>
    </w:p>
    <w:p>
      <w:pPr>
        <w:tabs>
          <w:tab w:val="clear" w:pos="426"/>
        </w:tabs>
        <w:spacing w:line="276" w:lineRule="auto"/>
        <w:rPr>
          <w:rFonts w:hint="eastAsia"/>
        </w:rPr>
      </w:pPr>
      <w:r>
        <w:rPr>
          <w:rFonts w:hint="eastAsia"/>
        </w:rPr>
        <w:t>目录（目录格式自定）</w:t>
      </w:r>
    </w:p>
    <w:p>
      <w:pPr>
        <w:tabs>
          <w:tab w:val="clear" w:pos="426"/>
        </w:tabs>
        <w:spacing w:line="276" w:lineRule="auto"/>
        <w:rPr>
          <w:rFonts w:hint="eastAsia"/>
        </w:rPr>
      </w:pPr>
      <w:r>
        <w:rPr>
          <w:rFonts w:hint="eastAsia"/>
        </w:rPr>
        <w:t>评标指引表</w:t>
      </w:r>
    </w:p>
    <w:p>
      <w:pPr>
        <w:pStyle w:val="316"/>
        <w:numPr>
          <w:ilvl w:val="255"/>
          <w:numId w:val="0"/>
        </w:numPr>
        <w:spacing w:line="240" w:lineRule="auto"/>
        <w:ind w:left="567" w:leftChars="270"/>
      </w:pPr>
      <w:r>
        <w:rPr>
          <w:rFonts w:hint="eastAsia" w:asciiTheme="minorEastAsia" w:hAnsiTheme="minorEastAsia" w:eastAsiaTheme="minorEastAsia"/>
          <w:sz w:val="21"/>
          <w:szCs w:val="21"/>
        </w:rPr>
        <w:t>格式1：投标函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格式2：法定代表人（单位负责人）证明书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格式3：授权委托书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格式4：资格条款偏离表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格式5：法人或者其他组织的营业执照等证明文件</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格式6：投标人资格声明函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格式7：开标一览表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格式8：投标分项报价表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格式9：技术规格偏离表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格式10：技术保障措施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格式11：售后服务方案</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格式12：商务条款偏离表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格式13：投标人综合概况简表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格式14：企业类型声明函（可选）</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格式15：残疾人福利性单位声明函（可选）</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格式16：同类项目业绩情况</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格式17：相关认证情况</w:t>
      </w:r>
      <w:r>
        <w:br w:type="page"/>
      </w:r>
      <w:bookmarkStart w:id="94" w:name="_Toc518464366"/>
      <w:bookmarkStart w:id="95" w:name="_Toc528675178"/>
      <w:bookmarkStart w:id="96" w:name="_Toc528170806"/>
    </w:p>
    <w:p>
      <w:pPr>
        <w:pStyle w:val="62"/>
      </w:pPr>
      <w:bookmarkStart w:id="97" w:name="_Toc20407"/>
      <w:r>
        <w:rPr>
          <w:rFonts w:hint="eastAsia"/>
        </w:rPr>
        <w:t>第七章</w:t>
      </w:r>
      <w:r>
        <w:t xml:space="preserve"> </w:t>
      </w:r>
      <w:r>
        <w:rPr>
          <w:rFonts w:hint="eastAsia"/>
        </w:rPr>
        <w:t>投标文件格式</w:t>
      </w:r>
      <w:bookmarkEnd w:id="97"/>
    </w:p>
    <w:p>
      <w:pPr>
        <w:adjustRightInd/>
        <w:snapToGrid/>
        <w:spacing w:before="280" w:after="290" w:line="377" w:lineRule="auto"/>
        <w:jc w:val="center"/>
        <w:outlineLvl w:val="2"/>
        <w:rPr>
          <w:rFonts w:hint="eastAsia"/>
          <w:b/>
          <w:sz w:val="24"/>
        </w:rPr>
      </w:pPr>
      <w:bookmarkStart w:id="98" w:name="_Toc15041"/>
      <w:r>
        <w:rPr>
          <w:rFonts w:hint="eastAsia"/>
          <w:b/>
          <w:sz w:val="24"/>
        </w:rPr>
        <w:t>投标文件编制说明</w:t>
      </w:r>
      <w:bookmarkEnd w:id="98"/>
    </w:p>
    <w:p>
      <w:pPr>
        <w:spacing w:line="276" w:lineRule="auto"/>
        <w:ind w:firstLine="420" w:firstLineChars="200"/>
        <w:rPr>
          <w:rFonts w:hint="eastAsia"/>
        </w:rPr>
      </w:pPr>
      <w:r>
        <w:rPr>
          <w:rFonts w:hint="eastAsia"/>
        </w:rPr>
        <w:t>投标供应商在编辑投标文件时，应严格按照招标文件提供的格式进行编写，因未按要求编写导致投标文件不予受理、无效标或废标的，一切后果由供应商自行承担。</w:t>
      </w:r>
    </w:p>
    <w:p>
      <w:pPr>
        <w:spacing w:line="276" w:lineRule="auto"/>
        <w:ind w:firstLine="422" w:firstLineChars="200"/>
        <w:rPr>
          <w:rFonts w:hint="eastAsia"/>
          <w:b/>
          <w:bCs/>
        </w:rPr>
      </w:pPr>
      <w:r>
        <w:rPr>
          <w:rFonts w:hint="eastAsia"/>
          <w:b/>
          <w:bCs/>
        </w:rPr>
        <w:t>投标供应商制作标书时，若同时投标</w:t>
      </w:r>
      <w:r>
        <w:rPr>
          <w:b/>
          <w:bCs/>
        </w:rPr>
        <w:t>2</w:t>
      </w:r>
      <w:r>
        <w:rPr>
          <w:rFonts w:hint="eastAsia"/>
          <w:b/>
          <w:bCs/>
        </w:rPr>
        <w:t>个包，要求必须对</w:t>
      </w:r>
      <w:r>
        <w:rPr>
          <w:b/>
          <w:bCs/>
        </w:rPr>
        <w:t>2</w:t>
      </w:r>
      <w:r>
        <w:rPr>
          <w:rFonts w:hint="eastAsia"/>
          <w:b/>
          <w:bCs/>
        </w:rPr>
        <w:t>个包分别响应。每个包的投标文件以包为单位分开制作，按照本招标文件中的投标文件格式进行密封装订，并请注意填写封面投标包的相关信息。若只投标</w:t>
      </w:r>
      <w:r>
        <w:rPr>
          <w:b/>
          <w:bCs/>
        </w:rPr>
        <w:t>1</w:t>
      </w:r>
      <w:r>
        <w:rPr>
          <w:rFonts w:hint="eastAsia"/>
          <w:b/>
          <w:bCs/>
        </w:rPr>
        <w:t>个包，按照本招标文件中的投标文件格式进行密封装订，并请注意填写封面投标包的相关信息。</w:t>
      </w:r>
    </w:p>
    <w:p>
      <w:pPr>
        <w:spacing w:line="276" w:lineRule="auto"/>
        <w:ind w:firstLine="420" w:firstLineChars="200"/>
        <w:rPr>
          <w:rFonts w:hint="eastAsia"/>
        </w:rPr>
      </w:pPr>
    </w:p>
    <w:p>
      <w:pPr>
        <w:adjustRightInd/>
        <w:snapToGrid/>
        <w:spacing w:before="280" w:after="290" w:line="377" w:lineRule="auto"/>
        <w:jc w:val="center"/>
        <w:rPr>
          <w:rFonts w:hint="eastAsia"/>
          <w:b/>
          <w:sz w:val="24"/>
        </w:rPr>
      </w:pPr>
    </w:p>
    <w:p>
      <w:pPr>
        <w:rPr>
          <w:rFonts w:hint="eastAsia"/>
          <w:b/>
          <w:sz w:val="24"/>
        </w:rPr>
      </w:pPr>
      <w:r>
        <w:rPr>
          <w:b/>
          <w:sz w:val="24"/>
        </w:rPr>
        <w:br w:type="page"/>
      </w:r>
    </w:p>
    <w:p>
      <w:pPr>
        <w:adjustRightInd/>
        <w:snapToGrid/>
        <w:spacing w:before="280" w:after="290" w:line="377" w:lineRule="auto"/>
        <w:jc w:val="center"/>
        <w:rPr>
          <w:rFonts w:hint="eastAsia"/>
          <w:b/>
          <w:sz w:val="24"/>
        </w:rPr>
      </w:pPr>
      <w:r>
        <w:rPr>
          <w:rFonts w:hint="eastAsia"/>
          <w:b/>
          <w:sz w:val="24"/>
        </w:rPr>
        <w:t>密封袋封条格式</w:t>
      </w:r>
      <w:bookmarkEnd w:id="94"/>
      <w:bookmarkEnd w:id="95"/>
      <w:bookmarkEnd w:id="96"/>
    </w:p>
    <w:p>
      <w:pPr>
        <w:tabs>
          <w:tab w:val="clear" w:pos="426"/>
        </w:tabs>
        <w:jc w:val="center"/>
        <w:rPr>
          <w:rFonts w:hint="eastAsia"/>
          <w:sz w:val="44"/>
          <w:szCs w:val="44"/>
          <w:u w:val="single"/>
        </w:rPr>
      </w:pPr>
    </w:p>
    <w:p>
      <w:pPr>
        <w:tabs>
          <w:tab w:val="clear" w:pos="426"/>
        </w:tabs>
        <w:jc w:val="center"/>
        <w:rPr>
          <w:rFonts w:hint="eastAsia"/>
          <w:sz w:val="44"/>
          <w:szCs w:val="44"/>
        </w:rPr>
      </w:pPr>
      <w:r>
        <w:rPr>
          <w:rFonts w:hint="eastAsia"/>
          <w:sz w:val="44"/>
          <w:szCs w:val="44"/>
          <w:u w:val="single"/>
        </w:rPr>
        <w:t>危险化学品粉尘检验类设备采购项目（第二次招标）</w:t>
      </w:r>
    </w:p>
    <w:p>
      <w:pPr>
        <w:tabs>
          <w:tab w:val="clear" w:pos="426"/>
        </w:tabs>
        <w:jc w:val="center"/>
        <w:rPr>
          <w:rFonts w:hint="eastAsia"/>
          <w:sz w:val="44"/>
          <w:szCs w:val="44"/>
        </w:rPr>
      </w:pPr>
      <w:r>
        <w:rPr>
          <w:sz w:val="44"/>
          <w:szCs w:val="44"/>
          <w:u w:val="single"/>
        </w:rPr>
        <w:t xml:space="preserve">   </w:t>
      </w:r>
      <w:r>
        <w:rPr>
          <w:rFonts w:hint="eastAsia"/>
          <w:sz w:val="44"/>
          <w:szCs w:val="44"/>
        </w:rPr>
        <w:t>包</w:t>
      </w:r>
    </w:p>
    <w:p>
      <w:pPr>
        <w:tabs>
          <w:tab w:val="clear" w:pos="426"/>
        </w:tabs>
        <w:jc w:val="center"/>
        <w:rPr>
          <w:rFonts w:hint="eastAsia"/>
        </w:rPr>
      </w:pPr>
    </w:p>
    <w:p>
      <w:pPr>
        <w:tabs>
          <w:tab w:val="clear" w:pos="426"/>
        </w:tabs>
        <w:jc w:val="center"/>
        <w:rPr>
          <w:rFonts w:hint="eastAsia"/>
        </w:rPr>
      </w:pPr>
    </w:p>
    <w:p>
      <w:pPr>
        <w:tabs>
          <w:tab w:val="clear" w:pos="426"/>
        </w:tabs>
        <w:jc w:val="center"/>
        <w:rPr>
          <w:rFonts w:hint="eastAsia"/>
          <w:sz w:val="52"/>
          <w:szCs w:val="52"/>
        </w:rPr>
      </w:pPr>
      <w:r>
        <w:rPr>
          <w:rFonts w:hint="eastAsia"/>
          <w:sz w:val="52"/>
          <w:szCs w:val="52"/>
        </w:rPr>
        <w:t>□投标文件</w:t>
      </w:r>
    </w:p>
    <w:p>
      <w:pPr>
        <w:tabs>
          <w:tab w:val="clear" w:pos="426"/>
        </w:tabs>
        <w:jc w:val="center"/>
        <w:rPr>
          <w:rFonts w:hint="eastAsia"/>
          <w:sz w:val="52"/>
          <w:szCs w:val="52"/>
        </w:rPr>
      </w:pPr>
      <w:r>
        <w:rPr>
          <w:rFonts w:hint="eastAsia"/>
          <w:sz w:val="52"/>
          <w:szCs w:val="52"/>
        </w:rPr>
        <w:t>□开标信封</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ind w:left="708" w:leftChars="337" w:right="706" w:rightChars="336"/>
        <w:rPr>
          <w:rFonts w:hint="eastAsia"/>
          <w:sz w:val="28"/>
          <w:szCs w:val="28"/>
        </w:rPr>
      </w:pPr>
      <w:r>
        <w:rPr>
          <w:rFonts w:hint="eastAsia"/>
          <w:sz w:val="28"/>
          <w:szCs w:val="28"/>
        </w:rPr>
        <w:t>项目编号：</w:t>
      </w:r>
    </w:p>
    <w:p>
      <w:pPr>
        <w:ind w:left="708" w:leftChars="337"/>
        <w:rPr>
          <w:rFonts w:hint="eastAsia"/>
          <w:sz w:val="28"/>
          <w:szCs w:val="28"/>
        </w:rPr>
      </w:pPr>
      <w:r>
        <w:rPr>
          <w:rFonts w:hint="eastAsia"/>
          <w:sz w:val="28"/>
          <w:szCs w:val="28"/>
        </w:rPr>
        <w:t>投标供应商名称（公章</w:t>
      </w:r>
      <w:r>
        <w:rPr>
          <w:sz w:val="28"/>
          <w:szCs w:val="28"/>
        </w:rPr>
        <w:t>)</w:t>
      </w:r>
      <w:r>
        <w:rPr>
          <w:rFonts w:hint="eastAsia"/>
          <w:sz w:val="28"/>
          <w:szCs w:val="28"/>
        </w:rPr>
        <w:t>：</w:t>
      </w:r>
    </w:p>
    <w:p>
      <w:pPr>
        <w:ind w:left="708" w:leftChars="337"/>
        <w:rPr>
          <w:rFonts w:hint="eastAsia"/>
          <w:sz w:val="28"/>
          <w:szCs w:val="28"/>
        </w:rPr>
      </w:pPr>
      <w:r>
        <w:rPr>
          <w:rFonts w:hint="eastAsia"/>
          <w:sz w:val="28"/>
          <w:szCs w:val="28"/>
        </w:rPr>
        <w:t>投标供应商代表（签字或盖章）：</w:t>
      </w:r>
    </w:p>
    <w:p>
      <w:pPr>
        <w:ind w:left="708" w:leftChars="337"/>
        <w:rPr>
          <w:rFonts w:hint="eastAsia"/>
          <w:sz w:val="28"/>
          <w:szCs w:val="28"/>
        </w:rPr>
      </w:pPr>
      <w:r>
        <w:rPr>
          <w:rFonts w:hint="eastAsia"/>
          <w:sz w:val="28"/>
          <w:szCs w:val="28"/>
        </w:rPr>
        <w:t>投标截止日期：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r>
        <w:rPr>
          <w:sz w:val="28"/>
          <w:szCs w:val="28"/>
        </w:rPr>
        <w:t>____</w:t>
      </w:r>
      <w:r>
        <w:rPr>
          <w:rFonts w:hint="eastAsia"/>
          <w:sz w:val="28"/>
          <w:szCs w:val="28"/>
        </w:rPr>
        <w:t>时</w:t>
      </w:r>
      <w:r>
        <w:rPr>
          <w:sz w:val="28"/>
          <w:szCs w:val="28"/>
        </w:rPr>
        <w:t>____</w:t>
      </w:r>
      <w:r>
        <w:rPr>
          <w:rFonts w:hint="eastAsia"/>
          <w:sz w:val="28"/>
          <w:szCs w:val="28"/>
        </w:rPr>
        <w:t>分（前不得开封）</w:t>
      </w:r>
    </w:p>
    <w:p>
      <w:pPr>
        <w:adjustRightInd/>
        <w:snapToGrid/>
        <w:spacing w:before="280" w:after="290" w:line="377" w:lineRule="auto"/>
        <w:jc w:val="center"/>
        <w:rPr>
          <w:rFonts w:hint="eastAsia"/>
          <w:b/>
          <w:sz w:val="24"/>
        </w:rPr>
      </w:pPr>
      <w:r>
        <w:br w:type="page"/>
      </w:r>
      <w:bookmarkStart w:id="99" w:name="_Toc528675179"/>
      <w:bookmarkStart w:id="100" w:name="_Toc518464367"/>
      <w:bookmarkStart w:id="101" w:name="_Toc528170807"/>
      <w:r>
        <w:rPr>
          <w:rFonts w:hint="eastAsia"/>
          <w:b/>
          <w:sz w:val="24"/>
        </w:rPr>
        <w:t>投标文件封面格式</w:t>
      </w:r>
      <w:bookmarkEnd w:id="99"/>
      <w:bookmarkEnd w:id="100"/>
      <w:bookmarkEnd w:id="101"/>
    </w:p>
    <w:p>
      <w:pPr>
        <w:tabs>
          <w:tab w:val="clear" w:pos="426"/>
        </w:tabs>
        <w:jc w:val="right"/>
        <w:rPr>
          <w:rFonts w:hint="eastAsia"/>
          <w:sz w:val="44"/>
          <w:szCs w:val="44"/>
          <w:u w:val="single"/>
        </w:rPr>
      </w:pPr>
      <w:r>
        <w:rPr>
          <w:rFonts w:hint="eastAsia"/>
          <w:sz w:val="44"/>
          <w:szCs w:val="44"/>
          <w:u w:val="single"/>
        </w:rPr>
        <w:t>正</w:t>
      </w:r>
      <w:r>
        <w:rPr>
          <w:sz w:val="44"/>
          <w:szCs w:val="44"/>
          <w:u w:val="single"/>
        </w:rPr>
        <w:t>/</w:t>
      </w:r>
      <w:r>
        <w:rPr>
          <w:rFonts w:hint="eastAsia"/>
          <w:sz w:val="44"/>
          <w:szCs w:val="44"/>
          <w:u w:val="single"/>
        </w:rPr>
        <w:t>副本</w:t>
      </w:r>
    </w:p>
    <w:p>
      <w:pPr>
        <w:tabs>
          <w:tab w:val="clear" w:pos="426"/>
        </w:tabs>
        <w:jc w:val="center"/>
        <w:rPr>
          <w:rFonts w:hint="eastAsia"/>
          <w:sz w:val="44"/>
          <w:szCs w:val="44"/>
          <w:u w:val="single"/>
        </w:rPr>
      </w:pPr>
    </w:p>
    <w:p>
      <w:pPr>
        <w:tabs>
          <w:tab w:val="clear" w:pos="426"/>
        </w:tabs>
        <w:jc w:val="center"/>
        <w:rPr>
          <w:rFonts w:hint="eastAsia"/>
          <w:sz w:val="44"/>
          <w:szCs w:val="44"/>
        </w:rPr>
      </w:pPr>
      <w:r>
        <w:rPr>
          <w:rFonts w:hint="eastAsia"/>
          <w:sz w:val="44"/>
          <w:szCs w:val="44"/>
          <w:u w:val="single"/>
        </w:rPr>
        <w:t>危险化学品粉尘检验类设备采购项目（第二次招标）</w:t>
      </w:r>
    </w:p>
    <w:p>
      <w:pPr>
        <w:tabs>
          <w:tab w:val="clear" w:pos="426"/>
        </w:tabs>
        <w:jc w:val="center"/>
        <w:rPr>
          <w:rFonts w:hint="eastAsia"/>
          <w:sz w:val="44"/>
          <w:szCs w:val="44"/>
        </w:rPr>
      </w:pPr>
      <w:r>
        <w:rPr>
          <w:sz w:val="44"/>
          <w:szCs w:val="44"/>
          <w:u w:val="single"/>
        </w:rPr>
        <w:t xml:space="preserve">   </w:t>
      </w:r>
      <w:r>
        <w:rPr>
          <w:rFonts w:hint="eastAsia"/>
          <w:sz w:val="44"/>
          <w:szCs w:val="44"/>
        </w:rPr>
        <w:t>包</w:t>
      </w:r>
    </w:p>
    <w:p>
      <w:pPr>
        <w:tabs>
          <w:tab w:val="clear" w:pos="426"/>
        </w:tabs>
        <w:jc w:val="center"/>
        <w:rPr>
          <w:rFonts w:hint="eastAsia"/>
        </w:rPr>
      </w:pPr>
    </w:p>
    <w:p>
      <w:pPr>
        <w:tabs>
          <w:tab w:val="clear" w:pos="426"/>
        </w:tabs>
        <w:jc w:val="center"/>
        <w:rPr>
          <w:rFonts w:hint="eastAsia"/>
        </w:rPr>
      </w:pPr>
    </w:p>
    <w:p>
      <w:pPr>
        <w:tabs>
          <w:tab w:val="clear" w:pos="426"/>
        </w:tabs>
        <w:jc w:val="center"/>
        <w:rPr>
          <w:rFonts w:hint="eastAsia"/>
          <w:sz w:val="52"/>
          <w:szCs w:val="52"/>
        </w:rPr>
      </w:pPr>
      <w:r>
        <w:rPr>
          <w:rFonts w:hint="eastAsia"/>
          <w:sz w:val="52"/>
          <w:szCs w:val="52"/>
        </w:rPr>
        <w:t>投标文件</w:t>
      </w:r>
    </w:p>
    <w:p>
      <w:pPr>
        <w:tabs>
          <w:tab w:val="clear" w:pos="426"/>
        </w:tabs>
        <w:jc w:val="center"/>
        <w:rPr>
          <w:rFonts w:hint="eastAsia"/>
        </w:rPr>
      </w:pPr>
    </w:p>
    <w:p>
      <w:pPr>
        <w:tabs>
          <w:tab w:val="clear" w:pos="426"/>
        </w:tabs>
        <w:jc w:val="center"/>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ind w:left="1275" w:leftChars="607"/>
        <w:rPr>
          <w:rFonts w:hint="eastAsia"/>
          <w:sz w:val="28"/>
          <w:szCs w:val="28"/>
        </w:rPr>
      </w:pPr>
      <w:r>
        <w:rPr>
          <w:rFonts w:hint="eastAsia"/>
          <w:sz w:val="28"/>
          <w:szCs w:val="28"/>
        </w:rPr>
        <w:t>项目编号：</w:t>
      </w:r>
    </w:p>
    <w:p>
      <w:pPr>
        <w:ind w:left="1275" w:leftChars="607"/>
        <w:rPr>
          <w:rFonts w:hint="eastAsia"/>
          <w:sz w:val="28"/>
          <w:szCs w:val="28"/>
        </w:rPr>
      </w:pPr>
      <w:r>
        <w:rPr>
          <w:rFonts w:hint="eastAsia"/>
          <w:sz w:val="28"/>
          <w:szCs w:val="28"/>
        </w:rPr>
        <w:t>投标供应商名称（公章</w:t>
      </w:r>
      <w:r>
        <w:rPr>
          <w:sz w:val="28"/>
          <w:szCs w:val="28"/>
        </w:rPr>
        <w:t>)</w:t>
      </w:r>
      <w:r>
        <w:rPr>
          <w:rFonts w:hint="eastAsia"/>
          <w:sz w:val="28"/>
          <w:szCs w:val="28"/>
        </w:rPr>
        <w:t>：</w:t>
      </w:r>
    </w:p>
    <w:p>
      <w:pPr>
        <w:ind w:left="1275" w:leftChars="607"/>
        <w:rPr>
          <w:rFonts w:hint="eastAsia"/>
          <w:sz w:val="28"/>
          <w:szCs w:val="28"/>
        </w:rPr>
      </w:pPr>
      <w:r>
        <w:rPr>
          <w:rFonts w:hint="eastAsia"/>
          <w:sz w:val="28"/>
          <w:szCs w:val="28"/>
        </w:rPr>
        <w:t>投标供应商代表（签字或盖章）：</w:t>
      </w:r>
    </w:p>
    <w:p>
      <w:pPr>
        <w:ind w:left="1275" w:leftChars="607"/>
        <w:rPr>
          <w:rFonts w:hint="eastAsia"/>
          <w:sz w:val="28"/>
          <w:szCs w:val="28"/>
        </w:rPr>
      </w:pPr>
      <w:r>
        <w:rPr>
          <w:rFonts w:hint="eastAsia"/>
          <w:sz w:val="28"/>
          <w:szCs w:val="28"/>
        </w:rPr>
        <w:t>投标日期：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p>
    <w:p>
      <w:pPr>
        <w:tabs>
          <w:tab w:val="clear" w:pos="426"/>
        </w:tabs>
        <w:rPr>
          <w:rFonts w:hint="eastAsia"/>
        </w:rPr>
      </w:pPr>
    </w:p>
    <w:p>
      <w:pPr>
        <w:adjustRightInd/>
        <w:snapToGrid/>
        <w:spacing w:before="280" w:after="290" w:line="377" w:lineRule="auto"/>
        <w:jc w:val="center"/>
        <w:rPr>
          <w:rFonts w:hint="eastAsia"/>
          <w:b/>
          <w:sz w:val="24"/>
        </w:rPr>
      </w:pPr>
      <w:r>
        <w:br w:type="page"/>
      </w:r>
      <w:bookmarkStart w:id="102" w:name="_Toc518464368"/>
      <w:bookmarkStart w:id="103" w:name="_Toc528170808"/>
      <w:bookmarkStart w:id="104" w:name="_Toc528675180"/>
      <w:r>
        <w:rPr>
          <w:rFonts w:hint="eastAsia"/>
          <w:b/>
          <w:sz w:val="24"/>
        </w:rPr>
        <w:t>投标文件目录（目录格式自定）</w:t>
      </w:r>
      <w:bookmarkEnd w:id="102"/>
      <w:bookmarkEnd w:id="103"/>
      <w:bookmarkEnd w:id="104"/>
    </w:p>
    <w:p>
      <w:pPr>
        <w:tabs>
          <w:tab w:val="clear" w:pos="426"/>
        </w:tabs>
        <w:rPr>
          <w:rFonts w:hint="eastAsia"/>
        </w:rPr>
      </w:pPr>
      <w:r>
        <w:rPr>
          <w:rFonts w:hint="eastAsia"/>
        </w:rPr>
        <w:t>按照招标文件的要求编制投标文件相应内容，请标明各部分内容的页码。</w:t>
      </w:r>
    </w:p>
    <w:p>
      <w:pPr>
        <w:tabs>
          <w:tab w:val="clear" w:pos="426"/>
        </w:tabs>
        <w:rPr>
          <w:rFonts w:hint="eastAsia"/>
        </w:rPr>
      </w:pPr>
    </w:p>
    <w:p>
      <w:pPr>
        <w:tabs>
          <w:tab w:val="clear" w:pos="426"/>
        </w:tabs>
        <w:rPr>
          <w:rFonts w:hint="eastAsia"/>
        </w:rPr>
      </w:pPr>
    </w:p>
    <w:p>
      <w:pPr>
        <w:adjustRightInd/>
        <w:snapToGrid/>
        <w:spacing w:before="280" w:after="290" w:line="377" w:lineRule="auto"/>
        <w:jc w:val="center"/>
        <w:rPr>
          <w:rFonts w:hint="eastAsia"/>
          <w:b/>
          <w:sz w:val="24"/>
        </w:rPr>
      </w:pPr>
      <w:r>
        <w:br w:type="page"/>
      </w:r>
      <w:bookmarkStart w:id="105" w:name="_Toc528170809"/>
      <w:bookmarkStart w:id="106" w:name="_Toc528675181"/>
      <w:bookmarkStart w:id="107" w:name="_Toc518464369"/>
      <w:r>
        <w:rPr>
          <w:rFonts w:hint="eastAsia"/>
          <w:b/>
          <w:sz w:val="24"/>
        </w:rPr>
        <w:t>评标指引表</w:t>
      </w:r>
      <w:bookmarkEnd w:id="105"/>
      <w:bookmarkEnd w:id="106"/>
      <w:bookmarkEnd w:id="107"/>
    </w:p>
    <w:p>
      <w:pPr>
        <w:tabs>
          <w:tab w:val="clear" w:pos="426"/>
        </w:tabs>
        <w:jc w:val="center"/>
        <w:rPr>
          <w:rFonts w:hint="eastAsia"/>
          <w:b/>
        </w:rPr>
      </w:pPr>
      <w:r>
        <w:rPr>
          <w:rFonts w:hint="eastAsia"/>
          <w:b/>
        </w:rPr>
        <w:t>（置于投标文件的首页）</w:t>
      </w:r>
    </w:p>
    <w:p>
      <w:pPr>
        <w:ind w:firstLine="420" w:firstLineChars="200"/>
        <w:rPr>
          <w:rFonts w:hint="eastAsia"/>
        </w:rPr>
      </w:pPr>
      <w:r>
        <w:rPr>
          <w:rFonts w:hint="eastAsia"/>
          <w:szCs w:val="21"/>
        </w:rPr>
        <w:t>为方便参与该项目的评委专家的评标，快速找到评标事项与该项目投标文件所对应的位置，请投标供应商参照下表格式，编制本项目评标指引表。</w:t>
      </w:r>
    </w:p>
    <w:p>
      <w:pPr>
        <w:pStyle w:val="7"/>
        <w:tabs>
          <w:tab w:val="clear" w:pos="426"/>
        </w:tabs>
        <w:ind w:firstLine="0"/>
      </w:pPr>
      <w:r>
        <w:rPr>
          <w:rFonts w:hint="eastAsia"/>
        </w:rPr>
        <w:t>项目名称：</w:t>
      </w:r>
    </w:p>
    <w:p>
      <w:pPr>
        <w:pStyle w:val="7"/>
        <w:tabs>
          <w:tab w:val="clear" w:pos="426"/>
        </w:tabs>
        <w:ind w:firstLine="0"/>
      </w:pPr>
      <w:r>
        <w:rPr>
          <w:rFonts w:hint="eastAsia"/>
        </w:rPr>
        <w:t>项目编号：</w:t>
      </w:r>
    </w:p>
    <w:p>
      <w:pPr>
        <w:tabs>
          <w:tab w:val="clear" w:pos="426"/>
        </w:tabs>
        <w:jc w:val="center"/>
        <w:rPr>
          <w:rFonts w:hint="eastAsia"/>
          <w:b/>
        </w:rPr>
      </w:pPr>
      <w:r>
        <w:rPr>
          <w:rFonts w:hint="eastAsia"/>
          <w:b/>
        </w:rPr>
        <w:t>项目评标指引表</w:t>
      </w:r>
    </w:p>
    <w:tbl>
      <w:tblPr>
        <w:tblStyle w:val="85"/>
        <w:tblW w:w="957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rFonts w:hint="eastAsia"/>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rPr>
            </w:pPr>
            <w:r>
              <w:rPr>
                <w:rFonts w:hint="eastAsia"/>
                <w:b/>
              </w:rPr>
              <w:t>序号</w:t>
            </w:r>
          </w:p>
        </w:tc>
        <w:tc>
          <w:tcPr>
            <w:tcW w:w="4203" w:type="dxa"/>
            <w:gridSpan w:val="2"/>
            <w:vAlign w:val="center"/>
          </w:tcPr>
          <w:p>
            <w:pPr>
              <w:tabs>
                <w:tab w:val="clear" w:pos="426"/>
              </w:tabs>
              <w:adjustRightInd/>
              <w:snapToGrid/>
              <w:spacing w:line="240" w:lineRule="auto"/>
              <w:ind w:firstLine="422"/>
              <w:jc w:val="center"/>
              <w:rPr>
                <w:rFonts w:hint="eastAsia"/>
                <w:b/>
                <w:kern w:val="2"/>
              </w:rPr>
            </w:pPr>
            <w:r>
              <w:rPr>
                <w:rFonts w:hint="eastAsia"/>
                <w:b/>
              </w:rPr>
              <w:t>资格性检查项目</w:t>
            </w:r>
          </w:p>
        </w:tc>
        <w:tc>
          <w:tcPr>
            <w:tcW w:w="3105" w:type="dxa"/>
            <w:gridSpan w:val="3"/>
            <w:vAlign w:val="center"/>
          </w:tcPr>
          <w:p>
            <w:pPr>
              <w:tabs>
                <w:tab w:val="clear" w:pos="426"/>
              </w:tabs>
              <w:adjustRightInd/>
              <w:snapToGrid/>
              <w:spacing w:line="240" w:lineRule="auto"/>
              <w:jc w:val="center"/>
              <w:rPr>
                <w:rFonts w:hint="eastAsia"/>
                <w:b/>
              </w:rPr>
            </w:pPr>
            <w:r>
              <w:rPr>
                <w:rFonts w:hint="eastAsia"/>
                <w:b/>
              </w:rPr>
              <w:t>证明文件</w:t>
            </w:r>
          </w:p>
        </w:tc>
        <w:tc>
          <w:tcPr>
            <w:tcW w:w="1397" w:type="dxa"/>
            <w:vAlign w:val="center"/>
          </w:tcPr>
          <w:p>
            <w:pPr>
              <w:tabs>
                <w:tab w:val="clear" w:pos="426"/>
              </w:tabs>
              <w:adjustRightInd/>
              <w:snapToGrid/>
              <w:spacing w:line="240" w:lineRule="auto"/>
              <w:jc w:val="center"/>
              <w:rPr>
                <w:rFonts w:hint="eastAsia"/>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rFonts w:hint="eastAsia"/>
                <w:b/>
              </w:rPr>
            </w:pPr>
            <w:r>
              <w:rPr>
                <w:b/>
              </w:rPr>
              <w:t>1</w:t>
            </w:r>
          </w:p>
        </w:tc>
        <w:tc>
          <w:tcPr>
            <w:tcW w:w="4203" w:type="dxa"/>
            <w:gridSpan w:val="2"/>
            <w:vMerge w:val="restart"/>
            <w:vAlign w:val="center"/>
          </w:tcPr>
          <w:p>
            <w:pPr>
              <w:tabs>
                <w:tab w:val="clear" w:pos="426"/>
              </w:tabs>
              <w:adjustRightInd/>
              <w:snapToGrid/>
              <w:spacing w:line="240" w:lineRule="auto"/>
              <w:jc w:val="center"/>
              <w:rPr>
                <w:rFonts w:hint="eastAsia"/>
                <w:b/>
                <w:kern w:val="2"/>
              </w:rPr>
            </w:pPr>
            <w:r>
              <w:rPr>
                <w:rFonts w:hint="eastAsia"/>
              </w:rPr>
              <w:t>申请人的资格要求</w:t>
            </w:r>
          </w:p>
        </w:tc>
        <w:tc>
          <w:tcPr>
            <w:tcW w:w="3105" w:type="dxa"/>
            <w:gridSpan w:val="3"/>
            <w:vAlign w:val="center"/>
          </w:tcPr>
          <w:p>
            <w:pPr>
              <w:tabs>
                <w:tab w:val="clear" w:pos="426"/>
              </w:tabs>
              <w:adjustRightInd/>
              <w:snapToGrid/>
              <w:spacing w:line="240" w:lineRule="auto"/>
              <w:jc w:val="center"/>
              <w:rPr>
                <w:rFonts w:hint="eastAsia"/>
                <w:kern w:val="2"/>
              </w:rPr>
            </w:pPr>
            <w:r>
              <w:rPr>
                <w:rFonts w:hint="eastAsia"/>
              </w:rPr>
              <w:t>营业执照</w:t>
            </w: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rPr>
            </w:pPr>
            <w:r>
              <w:rPr>
                <w:rFonts w:hint="eastAsia"/>
              </w:rPr>
              <w:t>…</w:t>
            </w: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kern w:val="2"/>
              </w:rPr>
            </w:pPr>
            <w:r>
              <w:rPr>
                <w:rFonts w:hint="eastAsia"/>
                <w:b/>
              </w:rPr>
              <w:t>序号</w:t>
            </w:r>
          </w:p>
        </w:tc>
        <w:tc>
          <w:tcPr>
            <w:tcW w:w="5943" w:type="dxa"/>
            <w:gridSpan w:val="4"/>
            <w:vAlign w:val="center"/>
          </w:tcPr>
          <w:p>
            <w:pPr>
              <w:tabs>
                <w:tab w:val="clear" w:pos="426"/>
              </w:tabs>
              <w:adjustRightInd/>
              <w:snapToGrid/>
              <w:spacing w:line="240" w:lineRule="auto"/>
              <w:jc w:val="center"/>
              <w:rPr>
                <w:rFonts w:hint="eastAsia"/>
                <w:b/>
                <w:kern w:val="2"/>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rFonts w:hint="eastAsia"/>
                <w:b/>
                <w:kern w:val="2"/>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1</w:t>
            </w:r>
          </w:p>
        </w:tc>
        <w:tc>
          <w:tcPr>
            <w:tcW w:w="5943" w:type="dxa"/>
            <w:gridSpan w:val="4"/>
            <w:vAlign w:val="center"/>
          </w:tcPr>
          <w:p>
            <w:pPr>
              <w:tabs>
                <w:tab w:val="clear" w:pos="426"/>
              </w:tabs>
              <w:adjustRightInd/>
              <w:snapToGrid/>
              <w:spacing w:line="240" w:lineRule="auto"/>
              <w:rPr>
                <w:rFonts w:hint="eastAsia"/>
              </w:rPr>
            </w:pPr>
            <w:r>
              <w:rPr>
                <w:rFonts w:hint="eastAsia"/>
              </w:rPr>
              <w:t>未出现将一个包或一个标段的内容拆开投标；</w:t>
            </w:r>
          </w:p>
        </w:tc>
        <w:tc>
          <w:tcPr>
            <w:tcW w:w="2762" w:type="dxa"/>
            <w:gridSpan w:val="2"/>
            <w:vAlign w:val="center"/>
          </w:tcPr>
          <w:p>
            <w:pPr>
              <w:tabs>
                <w:tab w:val="clear" w:pos="426"/>
              </w:tabs>
              <w:adjustRightInd/>
              <w:snapToGrid/>
              <w:spacing w:line="240" w:lineRule="auto"/>
              <w:jc w:val="center"/>
              <w:rPr>
                <w:rFonts w:hint="eastAsia"/>
                <w:kern w:val="2"/>
              </w:rPr>
            </w:pPr>
            <w:r>
              <w:rPr>
                <w:rFonts w:hint="eastAsia"/>
              </w:rPr>
              <w:t>符合</w:t>
            </w:r>
            <w: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2</w:t>
            </w:r>
          </w:p>
        </w:tc>
        <w:tc>
          <w:tcPr>
            <w:tcW w:w="5943" w:type="dxa"/>
            <w:gridSpan w:val="4"/>
            <w:vAlign w:val="center"/>
          </w:tcPr>
          <w:p>
            <w:pPr>
              <w:tabs>
                <w:tab w:val="clear" w:pos="426"/>
              </w:tabs>
              <w:adjustRightInd/>
              <w:snapToGrid/>
              <w:spacing w:line="240" w:lineRule="auto"/>
              <w:rPr>
                <w:rFonts w:hint="eastAsia"/>
              </w:rPr>
            </w:pPr>
            <w:r>
              <w:rPr>
                <w:rFonts w:hint="eastAsia"/>
              </w:rPr>
              <w:t>投标文件及开标一览表按规定密封、签字、盖章</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3</w:t>
            </w:r>
          </w:p>
        </w:tc>
        <w:tc>
          <w:tcPr>
            <w:tcW w:w="5943" w:type="dxa"/>
            <w:gridSpan w:val="4"/>
            <w:vAlign w:val="center"/>
          </w:tcPr>
          <w:p>
            <w:pPr>
              <w:tabs>
                <w:tab w:val="clear" w:pos="426"/>
              </w:tabs>
              <w:adjustRightInd/>
              <w:snapToGrid/>
              <w:spacing w:line="240" w:lineRule="auto"/>
              <w:rPr>
                <w:rFonts w:hint="eastAsia"/>
              </w:rPr>
            </w:pPr>
            <w:r>
              <w:rPr>
                <w:rFonts w:hint="eastAsia"/>
              </w:rPr>
              <w:t>除招标文件规定允许有替代方案外，对同一项目投标时，未提供两套或两套以上的投标方案</w:t>
            </w:r>
            <w:r>
              <w:t>(</w:t>
            </w:r>
            <w:r>
              <w:rPr>
                <w:rFonts w:hint="eastAsia"/>
              </w:rPr>
              <w:t>招标文件另有规定的除外</w:t>
            </w:r>
            <w:r>
              <w:t>)</w:t>
            </w:r>
            <w:r>
              <w:rPr>
                <w:rFonts w:hint="eastAsia"/>
              </w:rPr>
              <w:t>；</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4</w:t>
            </w:r>
          </w:p>
        </w:tc>
        <w:tc>
          <w:tcPr>
            <w:tcW w:w="5943" w:type="dxa"/>
            <w:gridSpan w:val="4"/>
            <w:vAlign w:val="center"/>
          </w:tcPr>
          <w:p>
            <w:pPr>
              <w:tabs>
                <w:tab w:val="clear" w:pos="426"/>
              </w:tabs>
              <w:adjustRightInd/>
              <w:snapToGrid/>
              <w:spacing w:line="240" w:lineRule="auto"/>
              <w:rPr>
                <w:rFonts w:hint="eastAsia"/>
              </w:rPr>
            </w:pPr>
            <w:r>
              <w:rPr>
                <w:rFonts w:hint="eastAsia"/>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5</w:t>
            </w:r>
          </w:p>
        </w:tc>
        <w:tc>
          <w:tcPr>
            <w:tcW w:w="5943" w:type="dxa"/>
            <w:gridSpan w:val="4"/>
            <w:vAlign w:val="center"/>
          </w:tcPr>
          <w:p>
            <w:pPr>
              <w:tabs>
                <w:tab w:val="clear" w:pos="426"/>
              </w:tabs>
              <w:adjustRightInd/>
              <w:snapToGrid/>
              <w:spacing w:line="240" w:lineRule="auto"/>
              <w:rPr>
                <w:rFonts w:hint="eastAsia"/>
              </w:rPr>
            </w:pPr>
            <w:r>
              <w:rPr>
                <w:rFonts w:hint="eastAsia"/>
              </w:rPr>
              <w:t>按招标文件所提供的样式填写《投标函》；按招标文件所提供的《投标人资格声明函》进行承诺；</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6</w:t>
            </w:r>
          </w:p>
        </w:tc>
        <w:tc>
          <w:tcPr>
            <w:tcW w:w="5943" w:type="dxa"/>
            <w:gridSpan w:val="4"/>
            <w:vAlign w:val="center"/>
          </w:tcPr>
          <w:p>
            <w:pPr>
              <w:tabs>
                <w:tab w:val="clear" w:pos="426"/>
              </w:tabs>
              <w:adjustRightInd/>
              <w:snapToGrid/>
              <w:spacing w:line="240" w:lineRule="auto"/>
              <w:rPr>
                <w:rFonts w:hint="eastAsia"/>
              </w:rPr>
            </w:pPr>
            <w:r>
              <w:rPr>
                <w:rFonts w:hint="eastAsia"/>
              </w:rPr>
              <w:t>投标总价或分项报价不高于财政预算限额</w:t>
            </w:r>
            <w:r>
              <w:rPr>
                <w:rFonts w:hint="eastAsia"/>
                <w:szCs w:val="21"/>
              </w:rPr>
              <w:t>（最高投标限价）</w:t>
            </w:r>
            <w:r>
              <w:rPr>
                <w:rFonts w:hint="eastAsia"/>
              </w:rPr>
              <w:t>；</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7</w:t>
            </w:r>
          </w:p>
        </w:tc>
        <w:tc>
          <w:tcPr>
            <w:tcW w:w="5943" w:type="dxa"/>
            <w:gridSpan w:val="4"/>
            <w:vAlign w:val="center"/>
          </w:tcPr>
          <w:p>
            <w:pPr>
              <w:tabs>
                <w:tab w:val="clear" w:pos="426"/>
              </w:tabs>
              <w:adjustRightInd/>
              <w:snapToGrid/>
              <w:spacing w:line="240" w:lineRule="auto"/>
              <w:rPr>
                <w:rFonts w:hint="eastAsia"/>
              </w:rPr>
            </w:pPr>
            <w:r>
              <w:rPr>
                <w:rFonts w:hint="eastAsia"/>
              </w:rPr>
              <w:t>不存在以下情形：</w:t>
            </w:r>
            <w:r>
              <w:rPr>
                <w:rFonts w:hint="eastAsia"/>
                <w:szCs w:val="21"/>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8</w:t>
            </w:r>
          </w:p>
        </w:tc>
        <w:tc>
          <w:tcPr>
            <w:tcW w:w="5943" w:type="dxa"/>
            <w:gridSpan w:val="4"/>
            <w:vAlign w:val="center"/>
          </w:tcPr>
          <w:p>
            <w:pPr>
              <w:tabs>
                <w:tab w:val="clear" w:pos="426"/>
              </w:tabs>
              <w:adjustRightInd/>
              <w:snapToGrid/>
              <w:spacing w:line="240" w:lineRule="auto"/>
              <w:rPr>
                <w:rFonts w:hint="eastAsia"/>
              </w:rPr>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9</w:t>
            </w:r>
          </w:p>
        </w:tc>
        <w:tc>
          <w:tcPr>
            <w:tcW w:w="5943" w:type="dxa"/>
            <w:gridSpan w:val="4"/>
            <w:vAlign w:val="center"/>
          </w:tcPr>
          <w:p>
            <w:pPr>
              <w:tabs>
                <w:tab w:val="clear" w:pos="426"/>
              </w:tabs>
              <w:adjustRightInd/>
              <w:snapToGrid/>
              <w:spacing w:line="240" w:lineRule="auto"/>
              <w:rPr>
                <w:rFonts w:hint="eastAsia"/>
              </w:rPr>
            </w:pPr>
            <w:r>
              <w:rPr>
                <w:rFonts w:hint="eastAsia"/>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10</w:t>
            </w:r>
          </w:p>
        </w:tc>
        <w:tc>
          <w:tcPr>
            <w:tcW w:w="5943" w:type="dxa"/>
            <w:gridSpan w:val="4"/>
            <w:vAlign w:val="center"/>
          </w:tcPr>
          <w:p>
            <w:pPr>
              <w:tabs>
                <w:tab w:val="clear" w:pos="426"/>
              </w:tabs>
              <w:adjustRightInd/>
              <w:snapToGrid/>
              <w:spacing w:line="240" w:lineRule="auto"/>
              <w:rPr>
                <w:rFonts w:hint="eastAsia"/>
              </w:rPr>
            </w:pPr>
            <w:r>
              <w:rPr>
                <w:rFonts w:hint="eastAsia"/>
              </w:rPr>
              <w:t>投标文件载明的质保期未低于招标文件规定的期限；</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11</w:t>
            </w:r>
          </w:p>
        </w:tc>
        <w:tc>
          <w:tcPr>
            <w:tcW w:w="5943" w:type="dxa"/>
            <w:gridSpan w:val="4"/>
            <w:vAlign w:val="center"/>
          </w:tcPr>
          <w:p>
            <w:pPr>
              <w:tabs>
                <w:tab w:val="clear" w:pos="426"/>
              </w:tabs>
              <w:adjustRightInd/>
              <w:snapToGrid/>
              <w:spacing w:line="240" w:lineRule="auto"/>
              <w:rPr>
                <w:rFonts w:hint="eastAsia"/>
              </w:rPr>
            </w:pPr>
            <w:r>
              <w:rPr>
                <w:rFonts w:hint="eastAsia"/>
              </w:rPr>
              <w:t>所投产品、工程、服务在商务、技术等方面实质性满足招标文件要求的；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t>12</w:t>
            </w:r>
          </w:p>
        </w:tc>
        <w:tc>
          <w:tcPr>
            <w:tcW w:w="5943" w:type="dxa"/>
            <w:gridSpan w:val="4"/>
            <w:vAlign w:val="center"/>
          </w:tcPr>
          <w:p>
            <w:pPr>
              <w:tabs>
                <w:tab w:val="clear" w:pos="426"/>
              </w:tabs>
              <w:adjustRightInd/>
              <w:snapToGrid/>
              <w:spacing w:line="240" w:lineRule="auto"/>
              <w:rPr>
                <w:rFonts w:hint="eastAsia"/>
              </w:rPr>
            </w:pPr>
            <w:r>
              <w:rPr>
                <w:rFonts w:hint="eastAsia"/>
              </w:rPr>
              <w:t>投标报价没有严重缺漏项目；投标报价没有对招标文件规定的货物清单项目及数量进行修改；采购标的响应齐全；</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t>13</w:t>
            </w:r>
          </w:p>
        </w:tc>
        <w:tc>
          <w:tcPr>
            <w:tcW w:w="5943" w:type="dxa"/>
            <w:gridSpan w:val="4"/>
            <w:vAlign w:val="center"/>
          </w:tcPr>
          <w:p>
            <w:pPr>
              <w:tabs>
                <w:tab w:val="clear" w:pos="426"/>
              </w:tabs>
              <w:adjustRightInd/>
              <w:snapToGrid/>
              <w:spacing w:line="240" w:lineRule="auto"/>
              <w:rPr>
                <w:rFonts w:hint="eastAsia"/>
              </w:rPr>
            </w:pPr>
            <w:r>
              <w:rPr>
                <w:rFonts w:hint="eastAsia"/>
              </w:rPr>
              <w:t>《技术规格偏离表》或《商务条款偏离表》未出现填写不全、不明或不实；</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t>14</w:t>
            </w:r>
          </w:p>
        </w:tc>
        <w:tc>
          <w:tcPr>
            <w:tcW w:w="5943" w:type="dxa"/>
            <w:gridSpan w:val="4"/>
            <w:vAlign w:val="center"/>
          </w:tcPr>
          <w:p>
            <w:pPr>
              <w:tabs>
                <w:tab w:val="clear" w:pos="426"/>
              </w:tabs>
              <w:adjustRightInd/>
              <w:snapToGrid/>
              <w:spacing w:line="240" w:lineRule="auto"/>
              <w:rPr>
                <w:rFonts w:hint="eastAsia"/>
              </w:rPr>
            </w:pPr>
            <w:r>
              <w:rPr>
                <w:rFonts w:hint="eastAsia"/>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t>15</w:t>
            </w:r>
          </w:p>
        </w:tc>
        <w:tc>
          <w:tcPr>
            <w:tcW w:w="5943" w:type="dxa"/>
            <w:gridSpan w:val="4"/>
            <w:vAlign w:val="center"/>
          </w:tcPr>
          <w:p>
            <w:pPr>
              <w:tabs>
                <w:tab w:val="clear" w:pos="426"/>
              </w:tabs>
              <w:adjustRightInd/>
              <w:snapToGrid/>
              <w:spacing w:line="240" w:lineRule="auto"/>
              <w:rPr>
                <w:rFonts w:ascii="Times New Roman" w:hAnsi="Times New Roman" w:cs="Times New Roman"/>
                <w:szCs w:val="21"/>
              </w:rPr>
            </w:pPr>
            <w:r>
              <w:rPr>
                <w:rFonts w:hint="eastAsia"/>
              </w:rPr>
              <w:t>不属于法律、法规规定的投标无效的其他情形。</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rFonts w:hint="eastAsia"/>
                <w:b/>
                <w:kern w:val="2"/>
              </w:rPr>
            </w:pPr>
            <w:r>
              <w:rPr>
                <w:rFonts w:hint="eastAsia"/>
                <w:b/>
              </w:rPr>
              <w:t>评分类别</w:t>
            </w:r>
          </w:p>
        </w:tc>
        <w:tc>
          <w:tcPr>
            <w:tcW w:w="5499" w:type="dxa"/>
            <w:gridSpan w:val="2"/>
            <w:vAlign w:val="center"/>
          </w:tcPr>
          <w:p>
            <w:pPr>
              <w:tabs>
                <w:tab w:val="clear" w:pos="426"/>
              </w:tabs>
              <w:adjustRightInd/>
              <w:snapToGrid/>
              <w:spacing w:line="240" w:lineRule="auto"/>
              <w:jc w:val="center"/>
              <w:rPr>
                <w:rFonts w:hint="eastAsia"/>
                <w:b/>
                <w:kern w:val="2"/>
              </w:rPr>
            </w:pPr>
            <w:r>
              <w:rPr>
                <w:rFonts w:hint="eastAsia"/>
                <w:b/>
              </w:rPr>
              <w:t>评分项目</w:t>
            </w:r>
          </w:p>
        </w:tc>
        <w:tc>
          <w:tcPr>
            <w:tcW w:w="1463" w:type="dxa"/>
            <w:gridSpan w:val="2"/>
            <w:vAlign w:val="center"/>
          </w:tcPr>
          <w:p>
            <w:pPr>
              <w:tabs>
                <w:tab w:val="clear" w:pos="426"/>
              </w:tabs>
              <w:adjustRightInd/>
              <w:snapToGrid/>
              <w:spacing w:line="240" w:lineRule="auto"/>
              <w:jc w:val="center"/>
              <w:rPr>
                <w:rFonts w:hint="eastAsia"/>
                <w:b/>
                <w:kern w:val="2"/>
              </w:rPr>
            </w:pPr>
            <w:r>
              <w:rPr>
                <w:rFonts w:hint="eastAsia"/>
                <w:b/>
              </w:rPr>
              <w:t>对应章节</w:t>
            </w:r>
          </w:p>
        </w:tc>
        <w:tc>
          <w:tcPr>
            <w:tcW w:w="1397" w:type="dxa"/>
            <w:vAlign w:val="center"/>
          </w:tcPr>
          <w:p>
            <w:pPr>
              <w:tabs>
                <w:tab w:val="clear" w:pos="426"/>
              </w:tabs>
              <w:adjustRightInd/>
              <w:snapToGrid/>
              <w:spacing w:line="240" w:lineRule="auto"/>
              <w:jc w:val="center"/>
              <w:rPr>
                <w:rFonts w:hint="eastAsia"/>
                <w:b/>
                <w:kern w:val="2"/>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rPr>
            </w:pPr>
          </w:p>
        </w:tc>
        <w:tc>
          <w:tcPr>
            <w:tcW w:w="5499" w:type="dxa"/>
            <w:gridSpan w:val="2"/>
            <w:vAlign w:val="center"/>
          </w:tcPr>
          <w:p>
            <w:pPr>
              <w:tabs>
                <w:tab w:val="clear" w:pos="426"/>
              </w:tabs>
              <w:adjustRightInd/>
              <w:snapToGrid/>
              <w:spacing w:line="240" w:lineRule="auto"/>
              <w:jc w:val="center"/>
              <w:rPr>
                <w:rFonts w:hint="eastAsia"/>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bl>
    <w:p>
      <w:pPr>
        <w:tabs>
          <w:tab w:val="clear" w:pos="426"/>
        </w:tabs>
        <w:rPr>
          <w:rFonts w:hint="eastAsia"/>
          <w:szCs w:val="21"/>
        </w:rPr>
      </w:pPr>
      <w:r>
        <w:rPr>
          <w:rFonts w:hint="eastAsia"/>
          <w:szCs w:val="21"/>
        </w:rPr>
        <w:t>备注：对于“</w:t>
      </w:r>
      <w:r>
        <w:rPr>
          <w:rFonts w:hint="eastAsia"/>
          <w:b/>
        </w:rPr>
        <w:t>综合评分指引”</w:t>
      </w:r>
      <w:r>
        <w:rPr>
          <w:rFonts w:hint="eastAsia"/>
          <w:szCs w:val="21"/>
        </w:rPr>
        <w:t>请投标供应商按照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pPr>
        <w:adjustRightInd/>
        <w:snapToGrid/>
        <w:spacing w:before="280" w:after="290" w:line="377" w:lineRule="auto"/>
        <w:outlineLvl w:val="2"/>
        <w:rPr>
          <w:rFonts w:hint="eastAsia"/>
          <w:b/>
          <w:sz w:val="24"/>
        </w:rPr>
      </w:pPr>
      <w:bookmarkStart w:id="108" w:name="_Toc150960251"/>
      <w:bookmarkStart w:id="109" w:name="_Toc151386161"/>
      <w:bookmarkStart w:id="110" w:name="_Toc20303"/>
      <w:bookmarkStart w:id="111" w:name="_Toc43264525"/>
      <w:bookmarkStart w:id="112" w:name="_Toc43264518"/>
      <w:bookmarkStart w:id="113" w:name="_Toc50691037"/>
      <w:bookmarkStart w:id="114" w:name="_Toc50703730"/>
      <w:r>
        <w:rPr>
          <w:rFonts w:hint="eastAsia"/>
          <w:b/>
          <w:sz w:val="24"/>
        </w:rPr>
        <w:t>格式</w:t>
      </w:r>
      <w:r>
        <w:rPr>
          <w:b/>
          <w:sz w:val="24"/>
        </w:rPr>
        <w:t>1</w:t>
      </w:r>
      <w:r>
        <w:rPr>
          <w:rFonts w:hint="eastAsia"/>
          <w:b/>
          <w:sz w:val="24"/>
        </w:rPr>
        <w:t>：投标函</w:t>
      </w:r>
      <w:bookmarkEnd w:id="108"/>
      <w:bookmarkEnd w:id="109"/>
      <w:bookmarkEnd w:id="110"/>
    </w:p>
    <w:p>
      <w:pPr>
        <w:widowControl w:val="0"/>
        <w:shd w:val="clear" w:color="auto" w:fill="auto"/>
        <w:tabs>
          <w:tab w:val="clear" w:pos="426"/>
        </w:tabs>
        <w:adjustRightInd/>
        <w:snapToGrid/>
        <w:spacing w:line="300" w:lineRule="auto"/>
        <w:jc w:val="center"/>
        <w:rPr>
          <w:rFonts w:hint="eastAsia" w:cs="Times New Roman"/>
          <w:bCs/>
          <w:kern w:val="2"/>
          <w:sz w:val="32"/>
          <w:szCs w:val="32"/>
        </w:rPr>
      </w:pPr>
      <w:bookmarkStart w:id="115" w:name="_Toc201719122"/>
      <w:bookmarkStart w:id="116" w:name="_Toc201997950"/>
      <w:bookmarkStart w:id="117" w:name="_Toc201743120"/>
      <w:bookmarkStart w:id="118" w:name="_Toc201742865"/>
      <w:r>
        <w:rPr>
          <w:rFonts w:hint="eastAsia" w:cs="Times New Roman"/>
          <w:bCs/>
          <w:kern w:val="2"/>
          <w:sz w:val="32"/>
          <w:szCs w:val="32"/>
        </w:rPr>
        <w:t>投标函</w:t>
      </w:r>
      <w:bookmarkEnd w:id="115"/>
      <w:bookmarkEnd w:id="116"/>
      <w:bookmarkEnd w:id="117"/>
      <w:bookmarkEnd w:id="118"/>
    </w:p>
    <w:p>
      <w:pPr>
        <w:tabs>
          <w:tab w:val="clear" w:pos="426"/>
        </w:tabs>
        <w:spacing w:line="300" w:lineRule="auto"/>
        <w:rPr>
          <w:rFonts w:hint="eastAsia"/>
          <w:szCs w:val="21"/>
        </w:rPr>
      </w:pPr>
    </w:p>
    <w:p>
      <w:pPr>
        <w:tabs>
          <w:tab w:val="clear" w:pos="426"/>
        </w:tabs>
        <w:spacing w:line="300" w:lineRule="auto"/>
        <w:rPr>
          <w:rFonts w:hint="eastAsia"/>
          <w:szCs w:val="21"/>
        </w:rPr>
      </w:pPr>
      <w:r>
        <w:rPr>
          <w:rFonts w:hint="eastAsia"/>
          <w:szCs w:val="21"/>
        </w:rPr>
        <w:t>致：</w:t>
      </w:r>
      <w:r>
        <w:rPr>
          <w:rFonts w:hint="eastAsia"/>
          <w:szCs w:val="21"/>
          <w:u w:val="single"/>
        </w:rPr>
        <w:t>深圳市深水水务咨询有限公司</w:t>
      </w:r>
    </w:p>
    <w:p>
      <w:pPr>
        <w:spacing w:after="231" w:afterLines="50"/>
        <w:ind w:firstLine="420" w:firstLineChars="200"/>
        <w:rPr>
          <w:rFonts w:hint="eastAsia"/>
          <w:szCs w:val="21"/>
        </w:rPr>
      </w:pPr>
      <w:r>
        <w:rPr>
          <w:szCs w:val="21"/>
        </w:rPr>
        <w:t>1.</w:t>
      </w:r>
      <w:r>
        <w:rPr>
          <w:rFonts w:hint="eastAsia"/>
          <w:szCs w:val="21"/>
        </w:rPr>
        <w:t>根据已收到贵方的项目编号为</w:t>
      </w:r>
      <w:r>
        <w:rPr>
          <w:szCs w:val="21"/>
          <w:u w:val="single"/>
        </w:rPr>
        <w:t>_________</w:t>
      </w:r>
      <w:r>
        <w:rPr>
          <w:rFonts w:hint="eastAsia"/>
          <w:szCs w:val="21"/>
        </w:rPr>
        <w:t>的</w:t>
      </w:r>
      <w:r>
        <w:rPr>
          <w:szCs w:val="21"/>
          <w:u w:val="single"/>
        </w:rPr>
        <w:t>_________________</w:t>
      </w:r>
      <w:r>
        <w:rPr>
          <w:rFonts w:hint="eastAsia"/>
          <w:szCs w:val="21"/>
        </w:rPr>
        <w:t>项目的招标文件，遵照《中华人民共和国政府采购法》《中华人民共和国政府采购法实施条例》等有关规定，我单位经研究上述招标文件的专用条款及通用条款后，我方愿以投标书《开标一览表》中填写的投标报价并按招标文件要求承包上述项目并修补其任何缺陷。</w:t>
      </w:r>
    </w:p>
    <w:p>
      <w:pPr>
        <w:spacing w:after="231" w:afterLines="50"/>
        <w:ind w:firstLine="420" w:firstLineChars="200"/>
        <w:rPr>
          <w:rFonts w:hAnsi="Times New Roman"/>
          <w:szCs w:val="21"/>
        </w:rPr>
      </w:pPr>
      <w:r>
        <w:rPr>
          <w:rFonts w:hAnsi="Times New Roman"/>
          <w:szCs w:val="21"/>
        </w:rPr>
        <w:t>2.</w:t>
      </w:r>
      <w:r>
        <w:rPr>
          <w:rFonts w:hint="eastAsia" w:hAnsi="Times New Roman"/>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231" w:afterLines="50"/>
        <w:ind w:firstLine="411" w:firstLineChars="196"/>
        <w:rPr>
          <w:rFonts w:hAnsi="Times New Roman"/>
          <w:szCs w:val="21"/>
        </w:rPr>
      </w:pPr>
      <w:r>
        <w:rPr>
          <w:rFonts w:hAnsi="Times New Roman"/>
          <w:szCs w:val="21"/>
        </w:rPr>
        <w:t>3.</w:t>
      </w:r>
      <w:r>
        <w:rPr>
          <w:rFonts w:hint="eastAsia" w:hAnsi="Times New Roman"/>
          <w:szCs w:val="21"/>
        </w:rPr>
        <w:t>我方同意所递交的投标文件在“对通用条款的补充内容”中的投标有效期内有效，在此期间内我方的投标有可能中标，我方将受此约束。如果在投标有效期内撤回其投标，自行承担一切后果。</w:t>
      </w:r>
    </w:p>
    <w:p>
      <w:pPr>
        <w:spacing w:after="231" w:afterLines="50"/>
        <w:ind w:firstLine="411" w:firstLineChars="196"/>
        <w:rPr>
          <w:rFonts w:hAnsi="Times New Roman"/>
          <w:szCs w:val="21"/>
        </w:rPr>
      </w:pPr>
      <w:r>
        <w:rPr>
          <w:rFonts w:hAnsi="Times New Roman"/>
          <w:szCs w:val="21"/>
        </w:rPr>
        <w:t>4.</w:t>
      </w:r>
      <w:r>
        <w:rPr>
          <w:rFonts w:hint="eastAsia" w:hAnsi="Times New Roman"/>
          <w:szCs w:val="21"/>
        </w:rPr>
        <w:t>除非另外达成协议并生效，贵方的中标通知书和本投标文件将构成约束我们双方的合同。</w:t>
      </w:r>
    </w:p>
    <w:p>
      <w:pPr>
        <w:spacing w:after="231" w:afterLines="50"/>
        <w:ind w:firstLine="420" w:firstLineChars="200"/>
        <w:rPr>
          <w:rFonts w:hAnsi="Times New Roman"/>
          <w:szCs w:val="21"/>
        </w:rPr>
      </w:pPr>
      <w:r>
        <w:rPr>
          <w:rFonts w:hAnsi="Times New Roman"/>
          <w:szCs w:val="21"/>
        </w:rPr>
        <w:t>5.</w:t>
      </w:r>
      <w:r>
        <w:rPr>
          <w:rFonts w:hint="eastAsia" w:hAnsi="Times New Roman"/>
          <w:szCs w:val="21"/>
        </w:rPr>
        <w:t>我方理解贵方将不受必须接受你们所收到的最低标价或其它任何投标文件的约束。</w:t>
      </w:r>
    </w:p>
    <w:p>
      <w:pPr>
        <w:spacing w:line="300" w:lineRule="auto"/>
        <w:ind w:left="424" w:leftChars="202"/>
        <w:rPr>
          <w:rFonts w:hint="eastAsia"/>
          <w:szCs w:val="21"/>
        </w:rPr>
      </w:pPr>
    </w:p>
    <w:p>
      <w:pPr>
        <w:spacing w:line="300" w:lineRule="auto"/>
        <w:ind w:left="424" w:leftChars="202"/>
        <w:rPr>
          <w:rFonts w:hint="eastAsia"/>
          <w:szCs w:val="21"/>
        </w:rPr>
      </w:pPr>
    </w:p>
    <w:p>
      <w:pPr>
        <w:spacing w:line="300" w:lineRule="auto"/>
        <w:ind w:left="424" w:leftChars="202"/>
        <w:rPr>
          <w:rFonts w:hint="eastAsia"/>
          <w:szCs w:val="21"/>
        </w:rPr>
      </w:pPr>
    </w:p>
    <w:p>
      <w:pPr>
        <w:spacing w:line="300" w:lineRule="auto"/>
        <w:ind w:left="424" w:leftChars="202"/>
        <w:rPr>
          <w:rFonts w:hint="eastAsia"/>
          <w:szCs w:val="21"/>
        </w:rPr>
      </w:pPr>
      <w:r>
        <w:rPr>
          <w:rFonts w:hint="eastAsia"/>
          <w:szCs w:val="21"/>
        </w:rPr>
        <w:t>地址：</w:t>
      </w:r>
      <w:r>
        <w:rPr>
          <w:szCs w:val="21"/>
          <w:u w:val="single"/>
        </w:rPr>
        <w:t>__________________________</w:t>
      </w:r>
      <w:r>
        <w:rPr>
          <w:szCs w:val="21"/>
        </w:rPr>
        <w:t xml:space="preserve">  </w:t>
      </w:r>
      <w:r>
        <w:rPr>
          <w:rFonts w:hint="eastAsia"/>
          <w:szCs w:val="21"/>
        </w:rPr>
        <w:t>电话：</w:t>
      </w:r>
      <w:r>
        <w:rPr>
          <w:szCs w:val="21"/>
          <w:u w:val="single"/>
        </w:rPr>
        <w:t>________________________</w:t>
      </w:r>
    </w:p>
    <w:p>
      <w:pPr>
        <w:spacing w:line="300" w:lineRule="auto"/>
        <w:ind w:left="424" w:leftChars="202"/>
        <w:rPr>
          <w:rFonts w:hint="eastAsia"/>
          <w:szCs w:val="21"/>
          <w:u w:val="single"/>
        </w:rPr>
      </w:pPr>
      <w:r>
        <w:rPr>
          <w:rFonts w:hint="eastAsia"/>
          <w:szCs w:val="21"/>
        </w:rPr>
        <w:t>投标人名称（公章）：</w:t>
      </w:r>
      <w:r>
        <w:rPr>
          <w:szCs w:val="21"/>
          <w:u w:val="single"/>
        </w:rPr>
        <w:t>_____________________________________________</w:t>
      </w:r>
    </w:p>
    <w:p>
      <w:pPr>
        <w:spacing w:line="300" w:lineRule="auto"/>
        <w:ind w:left="424" w:leftChars="202"/>
        <w:rPr>
          <w:rFonts w:hint="eastAsia"/>
          <w:szCs w:val="21"/>
          <w:u w:val="single"/>
        </w:rPr>
      </w:pPr>
      <w:r>
        <w:rPr>
          <w:rFonts w:hint="eastAsia"/>
          <w:szCs w:val="21"/>
        </w:rPr>
        <w:t>投标人代表（签字或盖章</w:t>
      </w:r>
      <w:r>
        <w:rPr>
          <w:szCs w:val="21"/>
        </w:rPr>
        <w:t>)</w:t>
      </w:r>
      <w:r>
        <w:rPr>
          <w:rFonts w:hint="eastAsia"/>
          <w:szCs w:val="21"/>
        </w:rPr>
        <w:t>：</w:t>
      </w:r>
      <w:r>
        <w:rPr>
          <w:szCs w:val="21"/>
        </w:rPr>
        <w:t xml:space="preserve"> </w:t>
      </w:r>
      <w:r>
        <w:rPr>
          <w:szCs w:val="21"/>
          <w:u w:val="single"/>
        </w:rPr>
        <w:t>_____________________________________________</w:t>
      </w:r>
    </w:p>
    <w:p>
      <w:pPr>
        <w:spacing w:line="300" w:lineRule="auto"/>
        <w:ind w:left="424" w:leftChars="202"/>
        <w:rPr>
          <w:rFonts w:hint="eastAsia"/>
          <w:szCs w:val="21"/>
          <w:u w:val="single"/>
        </w:rPr>
      </w:pPr>
      <w:r>
        <w:rPr>
          <w:rFonts w:hint="eastAsia"/>
          <w:szCs w:val="21"/>
        </w:rPr>
        <w:t>日期：</w:t>
      </w:r>
      <w:r>
        <w:rPr>
          <w:szCs w:val="21"/>
          <w:u w:val="single"/>
        </w:rPr>
        <w:t>___________________________________________________________</w:t>
      </w:r>
    </w:p>
    <w:p>
      <w:pPr>
        <w:tabs>
          <w:tab w:val="clear" w:pos="426"/>
        </w:tabs>
        <w:spacing w:line="300" w:lineRule="auto"/>
        <w:rPr>
          <w:rFonts w:hint="eastAsia"/>
        </w:rPr>
      </w:pPr>
    </w:p>
    <w:p>
      <w:pPr>
        <w:tabs>
          <w:tab w:val="clear" w:pos="426"/>
        </w:tabs>
        <w:rPr>
          <w:rFonts w:hint="eastAsia"/>
        </w:rPr>
      </w:pPr>
      <w:r>
        <w:br w:type="page"/>
      </w:r>
      <w:bookmarkStart w:id="119" w:name="_Toc151386163"/>
      <w:bookmarkStart w:id="120" w:name="_Toc150960253"/>
      <w:bookmarkStart w:id="121" w:name="_Toc50737297"/>
      <w:bookmarkStart w:id="122" w:name="_Toc480754205"/>
      <w:bookmarkStart w:id="123" w:name="_Toc50737329"/>
      <w:bookmarkStart w:id="124" w:name="_Toc50736477"/>
      <w:bookmarkStart w:id="125" w:name="_Toc275865607"/>
      <w:bookmarkStart w:id="126" w:name="_Toc52165081"/>
      <w:bookmarkStart w:id="127" w:name="_Toc52165080"/>
      <w:bookmarkStart w:id="128" w:name="_Toc50691034"/>
      <w:bookmarkStart w:id="129" w:name="_Toc50737328"/>
      <w:bookmarkStart w:id="130" w:name="_Toc50736476"/>
      <w:bookmarkStart w:id="131" w:name="_Toc50737296"/>
    </w:p>
    <w:p>
      <w:pPr>
        <w:adjustRightInd/>
        <w:snapToGrid/>
        <w:spacing w:before="280" w:after="290" w:line="377" w:lineRule="auto"/>
        <w:outlineLvl w:val="2"/>
        <w:rPr>
          <w:rFonts w:hint="eastAsia"/>
          <w:b/>
          <w:sz w:val="24"/>
        </w:rPr>
      </w:pPr>
      <w:bookmarkStart w:id="132" w:name="_Toc469"/>
      <w:r>
        <w:rPr>
          <w:rFonts w:hint="eastAsia"/>
          <w:b/>
          <w:sz w:val="24"/>
        </w:rPr>
        <w:t>格式</w:t>
      </w:r>
      <w:r>
        <w:rPr>
          <w:b/>
          <w:sz w:val="24"/>
        </w:rPr>
        <w:t>2</w:t>
      </w:r>
      <w:r>
        <w:rPr>
          <w:rFonts w:hint="eastAsia"/>
          <w:b/>
          <w:sz w:val="24"/>
        </w:rPr>
        <w:t>：</w:t>
      </w:r>
      <w:bookmarkEnd w:id="119"/>
      <w:bookmarkEnd w:id="120"/>
      <w:r>
        <w:rPr>
          <w:rFonts w:hint="eastAsia"/>
          <w:b/>
          <w:sz w:val="24"/>
        </w:rPr>
        <w:t>法定代表人（单位负责人）证明书</w:t>
      </w:r>
      <w:bookmarkEnd w:id="132"/>
    </w:p>
    <w:bookmarkEnd w:id="121"/>
    <w:bookmarkEnd w:id="122"/>
    <w:bookmarkEnd w:id="123"/>
    <w:bookmarkEnd w:id="124"/>
    <w:bookmarkEnd w:id="125"/>
    <w:bookmarkEnd w:id="126"/>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法定代表人（单位负责人）证明书</w:t>
      </w:r>
    </w:p>
    <w:p>
      <w:pPr>
        <w:spacing w:line="480" w:lineRule="auto"/>
        <w:ind w:firstLine="424" w:firstLineChars="202"/>
        <w:rPr>
          <w:rFonts w:hint="eastAsia"/>
          <w:u w:val="single"/>
        </w:rPr>
      </w:pPr>
    </w:p>
    <w:p>
      <w:pPr>
        <w:spacing w:line="480" w:lineRule="auto"/>
        <w:ind w:firstLine="424" w:firstLineChars="202"/>
        <w:rPr>
          <w:rFonts w:hint="eastAsia"/>
        </w:rPr>
      </w:pPr>
      <w:r>
        <w:rPr>
          <w:u w:val="single"/>
        </w:rPr>
        <w:t>__________</w:t>
      </w:r>
      <w:r>
        <w:rPr>
          <w:rFonts w:hint="eastAsia"/>
        </w:rPr>
        <w:t>同志，现任我单位</w:t>
      </w:r>
      <w:r>
        <w:rPr>
          <w:u w:val="single"/>
        </w:rPr>
        <w:t>_________</w:t>
      </w:r>
      <w:r>
        <w:rPr>
          <w:rFonts w:hint="eastAsia"/>
        </w:rPr>
        <w:t>职务，为法定代表人（单位负责人），特此证明。</w:t>
      </w:r>
    </w:p>
    <w:p>
      <w:pPr>
        <w:spacing w:line="480" w:lineRule="auto"/>
        <w:ind w:firstLine="424" w:firstLineChars="202"/>
        <w:rPr>
          <w:rFonts w:hint="eastAsia"/>
        </w:rPr>
      </w:pPr>
      <w:r>
        <w:rPr>
          <w:rFonts w:hint="eastAsia"/>
        </w:rPr>
        <w:t>本证明书自签发之日起生效，有效期与本公司投标文件中标注的投标有效期相同。</w:t>
      </w:r>
    </w:p>
    <w:p>
      <w:pPr>
        <w:spacing w:line="480" w:lineRule="auto"/>
        <w:ind w:firstLine="424" w:firstLineChars="202"/>
        <w:rPr>
          <w:rFonts w:hint="eastAsia"/>
        </w:rPr>
      </w:pPr>
      <w:r>
        <w:rPr>
          <w:rFonts w:hint="eastAsia"/>
        </w:rPr>
        <w:t>附：</w:t>
      </w:r>
    </w:p>
    <w:p>
      <w:pPr>
        <w:spacing w:line="480" w:lineRule="auto"/>
        <w:ind w:firstLine="424" w:firstLineChars="202"/>
        <w:rPr>
          <w:rFonts w:hint="eastAsia"/>
        </w:rPr>
      </w:pPr>
      <w:r>
        <w:rPr>
          <w:rFonts w:hint="eastAsia"/>
        </w:rPr>
        <w:t>营业执照（注册号）：</w:t>
      </w:r>
      <w:r>
        <w:rPr>
          <w:u w:val="single"/>
        </w:rPr>
        <w:t>_______________________________________________</w:t>
      </w:r>
    </w:p>
    <w:p>
      <w:pPr>
        <w:spacing w:line="480" w:lineRule="auto"/>
        <w:ind w:firstLine="424" w:firstLineChars="202"/>
        <w:rPr>
          <w:rFonts w:hint="eastAsia"/>
          <w:u w:val="single"/>
        </w:rPr>
      </w:pPr>
      <w:r>
        <w:rPr>
          <w:rFonts w:hint="eastAsia"/>
        </w:rPr>
        <w:t>经济性质：</w:t>
      </w:r>
      <w:r>
        <w:rPr>
          <w:u w:val="single"/>
        </w:rPr>
        <w:t>_________________________________________________________</w:t>
      </w:r>
    </w:p>
    <w:p>
      <w:pPr>
        <w:spacing w:line="480" w:lineRule="auto"/>
        <w:ind w:firstLine="424" w:firstLineChars="202"/>
        <w:rPr>
          <w:rFonts w:hint="eastAsia"/>
          <w:u w:val="single"/>
        </w:rPr>
      </w:pPr>
      <w:r>
        <w:rPr>
          <w:rFonts w:hint="eastAsia"/>
        </w:rPr>
        <w:t>主营（产）：</w:t>
      </w:r>
      <w:r>
        <w:rPr>
          <w:u w:val="single"/>
        </w:rPr>
        <w:t>_______________________________________________________</w:t>
      </w:r>
    </w:p>
    <w:p>
      <w:pPr>
        <w:spacing w:line="480" w:lineRule="auto"/>
        <w:ind w:firstLine="424" w:firstLineChars="202"/>
        <w:rPr>
          <w:rFonts w:hint="eastAsia"/>
          <w:u w:val="single"/>
        </w:rPr>
      </w:pPr>
      <w:r>
        <w:rPr>
          <w:rFonts w:hint="eastAsia"/>
        </w:rPr>
        <w:t>兼营（产）：</w:t>
      </w:r>
      <w:r>
        <w:rPr>
          <w:u w:val="single"/>
        </w:rPr>
        <w:t>_______________________________________________________</w:t>
      </w:r>
    </w:p>
    <w:p>
      <w:pPr>
        <w:ind w:firstLine="424" w:firstLineChars="202"/>
        <w:rPr>
          <w:rFonts w:hint="eastAsia"/>
        </w:rPr>
      </w:pPr>
    </w:p>
    <w:p>
      <w:pPr>
        <w:ind w:firstLine="424" w:firstLineChars="202"/>
        <w:rPr>
          <w:rFonts w:hint="eastAsia"/>
          <w:szCs w:val="21"/>
        </w:rPr>
      </w:pPr>
      <w:r>
        <w:rPr>
          <w:rFonts w:hint="eastAsia"/>
          <w:szCs w:val="21"/>
        </w:rPr>
        <w:t>附：法定代表人（单位负责人）身份证正反面复印件：</w:t>
      </w:r>
    </w:p>
    <w:p>
      <w:pPr>
        <w:ind w:firstLine="424" w:firstLineChars="202"/>
        <w:rPr>
          <w:rFonts w:hint="eastAsia"/>
          <w:szCs w:val="21"/>
        </w:rPr>
      </w:pPr>
    </w:p>
    <w:p>
      <w:pPr>
        <w:ind w:firstLine="424" w:firstLineChars="202"/>
        <w:rPr>
          <w:rFonts w:hint="eastAsia"/>
          <w:szCs w:val="21"/>
        </w:rPr>
      </w:pPr>
    </w:p>
    <w:p>
      <w:pPr>
        <w:ind w:firstLine="424" w:firstLineChars="202"/>
        <w:rPr>
          <w:rFonts w:hint="eastAsia"/>
          <w:szCs w:val="21"/>
        </w:rPr>
      </w:pPr>
    </w:p>
    <w:p>
      <w:pPr>
        <w:spacing w:line="500" w:lineRule="exact"/>
        <w:ind w:left="3826" w:leftChars="1822"/>
        <w:rPr>
          <w:rFonts w:hint="eastAsia"/>
          <w:u w:val="single"/>
        </w:rPr>
      </w:pPr>
      <w:r>
        <w:rPr>
          <w:rFonts w:hint="eastAsia"/>
        </w:rPr>
        <w:t>投标人名称（单位盖</w:t>
      </w:r>
      <w:r>
        <w:rPr>
          <w:rFonts w:hint="eastAsia"/>
          <w:spacing w:val="4"/>
        </w:rPr>
        <w:t>公章</w:t>
      </w:r>
      <w:r>
        <w:rPr>
          <w:rFonts w:hint="eastAsia"/>
        </w:rPr>
        <w:t>）：</w:t>
      </w:r>
      <w:r>
        <w:rPr>
          <w:u w:val="single"/>
        </w:rPr>
        <w:t>_____________________</w:t>
      </w:r>
    </w:p>
    <w:p>
      <w:pPr>
        <w:spacing w:line="500" w:lineRule="exact"/>
        <w:ind w:left="3826" w:leftChars="1822"/>
        <w:rPr>
          <w:rFonts w:hint="eastAsia"/>
          <w:u w:val="single"/>
        </w:rPr>
      </w:pPr>
      <w:r>
        <w:rPr>
          <w:rFonts w:hint="eastAsia"/>
        </w:rPr>
        <w:t>地址：</w:t>
      </w:r>
      <w:r>
        <w:rPr>
          <w:u w:val="single"/>
        </w:rPr>
        <w:t>___________________________________________</w:t>
      </w:r>
    </w:p>
    <w:p>
      <w:pPr>
        <w:spacing w:line="500" w:lineRule="exact"/>
        <w:ind w:left="3826" w:leftChars="1822"/>
        <w:rPr>
          <w:rFonts w:hint="eastAsia"/>
          <w:u w:val="single"/>
        </w:rPr>
      </w:pPr>
      <w:r>
        <w:rPr>
          <w:rFonts w:hint="eastAsia"/>
        </w:rPr>
        <w:t>签发日期：</w:t>
      </w:r>
      <w:r>
        <w:rPr>
          <w:u w:val="single"/>
        </w:rPr>
        <w:t>_______________________________________</w:t>
      </w:r>
    </w:p>
    <w:p>
      <w:pPr>
        <w:spacing w:line="500" w:lineRule="exact"/>
        <w:ind w:left="3826" w:leftChars="1822"/>
        <w:rPr>
          <w:rFonts w:hint="eastAsia"/>
          <w:b/>
          <w:bCs/>
          <w:u w:val="single"/>
        </w:rPr>
      </w:pPr>
    </w:p>
    <w:bookmarkEnd w:id="127"/>
    <w:bookmarkEnd w:id="128"/>
    <w:bookmarkEnd w:id="129"/>
    <w:bookmarkEnd w:id="130"/>
    <w:bookmarkEnd w:id="131"/>
    <w:p>
      <w:pPr>
        <w:tabs>
          <w:tab w:val="clear" w:pos="426"/>
        </w:tabs>
        <w:spacing w:line="300" w:lineRule="auto"/>
        <w:jc w:val="center"/>
        <w:rPr>
          <w:rFonts w:hint="eastAsia"/>
        </w:rPr>
      </w:pPr>
      <w:r>
        <w:br w:type="page"/>
      </w:r>
    </w:p>
    <w:p>
      <w:pPr>
        <w:adjustRightInd/>
        <w:snapToGrid/>
        <w:spacing w:before="280" w:after="290" w:line="377" w:lineRule="auto"/>
        <w:outlineLvl w:val="2"/>
        <w:rPr>
          <w:rFonts w:hint="eastAsia"/>
          <w:b/>
          <w:sz w:val="24"/>
        </w:rPr>
      </w:pPr>
      <w:bookmarkStart w:id="133" w:name="_Toc1571"/>
      <w:r>
        <w:rPr>
          <w:rFonts w:hint="eastAsia"/>
          <w:b/>
          <w:sz w:val="24"/>
        </w:rPr>
        <w:t>格式</w:t>
      </w:r>
      <w:r>
        <w:rPr>
          <w:b/>
          <w:sz w:val="24"/>
        </w:rPr>
        <w:t>3</w:t>
      </w:r>
      <w:r>
        <w:rPr>
          <w:rFonts w:hint="eastAsia"/>
          <w:b/>
          <w:sz w:val="24"/>
        </w:rPr>
        <w:t>：授权委托书</w:t>
      </w:r>
      <w:bookmarkEnd w:id="133"/>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授权委托书</w:t>
      </w:r>
    </w:p>
    <w:p>
      <w:pPr>
        <w:ind w:firstLine="420" w:firstLineChars="200"/>
        <w:rPr>
          <w:rFonts w:hAnsi="Courier New" w:cs="Times New Roman"/>
          <w:kern w:val="2"/>
          <w:szCs w:val="20"/>
        </w:rPr>
      </w:pPr>
    </w:p>
    <w:p>
      <w:pPr>
        <w:ind w:firstLine="420" w:firstLineChars="200"/>
        <w:rPr>
          <w:rFonts w:hAnsi="Courier New" w:cs="Times New Roman"/>
          <w:kern w:val="2"/>
          <w:szCs w:val="20"/>
        </w:rPr>
      </w:pPr>
      <w:r>
        <w:rPr>
          <w:rFonts w:hint="eastAsia" w:hAnsi="Courier New" w:cs="Times New Roman"/>
          <w:kern w:val="2"/>
          <w:szCs w:val="20"/>
        </w:rPr>
        <w:t>本授权委托书声明：注册于</w:t>
      </w:r>
      <w:r>
        <w:rPr>
          <w:rFonts w:hint="eastAsia" w:hAnsi="Courier New" w:cs="Times New Roman"/>
          <w:kern w:val="2"/>
          <w:szCs w:val="20"/>
          <w:u w:val="single"/>
        </w:rPr>
        <w:t>（投标人地址）</w:t>
      </w:r>
      <w:r>
        <w:rPr>
          <w:rFonts w:hint="eastAsia" w:hAnsi="Courier New" w:cs="Times New Roman"/>
          <w:kern w:val="2"/>
          <w:szCs w:val="20"/>
        </w:rPr>
        <w:t>的</w:t>
      </w:r>
      <w:r>
        <w:rPr>
          <w:rFonts w:hint="eastAsia" w:hAnsi="Courier New" w:cs="Times New Roman"/>
          <w:kern w:val="2"/>
          <w:szCs w:val="20"/>
          <w:u w:val="single"/>
        </w:rPr>
        <w:t>（投标人名称）</w:t>
      </w:r>
      <w:r>
        <w:rPr>
          <w:rFonts w:hint="eastAsia" w:hAnsi="Courier New" w:cs="Times New Roman"/>
          <w:kern w:val="2"/>
          <w:szCs w:val="20"/>
        </w:rPr>
        <w:t>在下面签名的</w:t>
      </w:r>
      <w:r>
        <w:rPr>
          <w:rFonts w:hint="eastAsia" w:hAnsi="Courier New" w:cs="Times New Roman"/>
          <w:kern w:val="2"/>
          <w:szCs w:val="20"/>
          <w:u w:val="single"/>
        </w:rPr>
        <w:t>（法定代表人（单位负责人）姓名、职务）</w:t>
      </w:r>
      <w:r>
        <w:rPr>
          <w:rFonts w:hint="eastAsia" w:hAnsi="Courier New" w:cs="Times New Roman"/>
          <w:kern w:val="2"/>
          <w:szCs w:val="20"/>
        </w:rPr>
        <w:t>在此授权</w:t>
      </w:r>
      <w:r>
        <w:rPr>
          <w:rFonts w:hint="eastAsia" w:hAnsi="Courier New" w:cs="Times New Roman"/>
          <w:kern w:val="2"/>
          <w:szCs w:val="20"/>
          <w:u w:val="single"/>
        </w:rPr>
        <w:t>（被授权人姓名、职务）</w:t>
      </w:r>
      <w:r>
        <w:rPr>
          <w:rFonts w:hint="eastAsia" w:hAnsi="Courier New" w:cs="Times New Roman"/>
          <w:kern w:val="2"/>
          <w:szCs w:val="20"/>
        </w:rPr>
        <w:t>作为我公司的合法代理人，就</w:t>
      </w:r>
      <w:r>
        <w:rPr>
          <w:rFonts w:hint="eastAsia" w:hAnsi="Courier New" w:cs="Times New Roman"/>
          <w:kern w:val="2"/>
          <w:szCs w:val="20"/>
          <w:u w:val="single"/>
        </w:rPr>
        <w:t>（项目名称、项目编号</w:t>
      </w:r>
      <w:r>
        <w:rPr>
          <w:rFonts w:hint="eastAsia" w:hAnsi="Courier New" w:cs="Times New Roman"/>
          <w:kern w:val="2"/>
          <w:szCs w:val="20"/>
        </w:rPr>
        <w:t>）的招投标活动，采购合同的签订、执行、完成和售后服务，作为投标人代表以我方的名义处理一切与之有关的事务。</w:t>
      </w:r>
    </w:p>
    <w:p>
      <w:pPr>
        <w:ind w:firstLine="420" w:firstLineChars="200"/>
        <w:rPr>
          <w:rFonts w:hAnsi="Courier New" w:cs="Times New Roman"/>
          <w:kern w:val="2"/>
          <w:szCs w:val="20"/>
        </w:rPr>
      </w:pPr>
      <w:r>
        <w:rPr>
          <w:rFonts w:hint="eastAsia" w:hAnsi="Courier New" w:cs="Times New Roman"/>
          <w:kern w:val="2"/>
          <w:szCs w:val="20"/>
        </w:rPr>
        <w:t>被授权人（投标人授权代表）无转委托权限。</w:t>
      </w:r>
    </w:p>
    <w:p>
      <w:pPr>
        <w:ind w:firstLine="420" w:firstLineChars="200"/>
        <w:rPr>
          <w:rFonts w:hint="eastAsia"/>
          <w:szCs w:val="21"/>
        </w:rPr>
      </w:pPr>
      <w:r>
        <w:rPr>
          <w:rFonts w:hint="eastAsia"/>
          <w:szCs w:val="21"/>
        </w:rPr>
        <w:t>本授权书自法定代表人（单位负责人）签字之日起生效，特此声明。</w:t>
      </w: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4" w:firstLineChars="202"/>
        <w:rPr>
          <w:rFonts w:hint="eastAsia"/>
          <w:szCs w:val="21"/>
          <w:u w:val="single"/>
        </w:rPr>
      </w:pPr>
      <w:r>
        <w:rPr>
          <w:rFonts w:hint="eastAsia"/>
          <w:szCs w:val="21"/>
        </w:rPr>
        <w:t>投标人名称（单位盖</w:t>
      </w:r>
      <w:r>
        <w:rPr>
          <w:rFonts w:hint="eastAsia"/>
          <w:spacing w:val="4"/>
          <w:szCs w:val="21"/>
        </w:rPr>
        <w:t>公章</w:t>
      </w:r>
      <w:r>
        <w:rPr>
          <w:rFonts w:hint="eastAsia"/>
          <w:szCs w:val="21"/>
        </w:rPr>
        <w:t>）：</w:t>
      </w:r>
      <w:r>
        <w:rPr>
          <w:szCs w:val="21"/>
          <w:u w:val="single"/>
        </w:rPr>
        <w:t>_____________________________________________________</w:t>
      </w:r>
    </w:p>
    <w:p>
      <w:pPr>
        <w:ind w:firstLine="424" w:firstLineChars="202"/>
        <w:rPr>
          <w:rFonts w:hint="eastAsia"/>
          <w:szCs w:val="21"/>
          <w:u w:val="single"/>
        </w:rPr>
      </w:pPr>
      <w:r>
        <w:rPr>
          <w:rFonts w:hint="eastAsia"/>
          <w:szCs w:val="21"/>
        </w:rPr>
        <w:t>地</w:t>
      </w:r>
      <w:r>
        <w:rPr>
          <w:szCs w:val="21"/>
        </w:rPr>
        <w:t xml:space="preserve">      </w:t>
      </w:r>
      <w:r>
        <w:rPr>
          <w:rFonts w:hint="eastAsia"/>
          <w:szCs w:val="21"/>
        </w:rPr>
        <w:t>址：</w:t>
      </w:r>
      <w:r>
        <w:rPr>
          <w:szCs w:val="21"/>
          <w:u w:val="single"/>
        </w:rPr>
        <w:t>___________________________________________________________________</w:t>
      </w:r>
    </w:p>
    <w:p>
      <w:pPr>
        <w:ind w:firstLine="424" w:firstLineChars="202"/>
        <w:rPr>
          <w:rFonts w:hint="eastAsia"/>
          <w:szCs w:val="21"/>
        </w:rPr>
      </w:pPr>
      <w:r>
        <w:rPr>
          <w:rFonts w:hint="eastAsia"/>
          <w:szCs w:val="21"/>
        </w:rPr>
        <w:t>法定代表人（单位负责人）（签字或盖章）：</w:t>
      </w:r>
      <w:r>
        <w:rPr>
          <w:szCs w:val="21"/>
          <w:u w:val="single"/>
        </w:rPr>
        <w:t>______________________</w:t>
      </w:r>
      <w:r>
        <w:rPr>
          <w:szCs w:val="21"/>
        </w:rPr>
        <w:t xml:space="preserve"> </w:t>
      </w:r>
    </w:p>
    <w:p>
      <w:pPr>
        <w:ind w:firstLine="424" w:firstLineChars="202"/>
        <w:rPr>
          <w:rFonts w:hint="eastAsia"/>
          <w:szCs w:val="21"/>
        </w:rPr>
      </w:pPr>
      <w:r>
        <w:rPr>
          <w:rFonts w:hint="eastAsia"/>
          <w:szCs w:val="21"/>
        </w:rPr>
        <w:t>签字日期：</w:t>
      </w:r>
      <w:r>
        <w:rPr>
          <w:szCs w:val="21"/>
          <w:u w:val="single"/>
        </w:rPr>
        <w:t>________</w:t>
      </w:r>
      <w:r>
        <w:rPr>
          <w:rFonts w:hint="eastAsia"/>
          <w:szCs w:val="21"/>
        </w:rPr>
        <w:t>年</w:t>
      </w:r>
      <w:r>
        <w:rPr>
          <w:szCs w:val="21"/>
          <w:u w:val="single"/>
        </w:rPr>
        <w:t>___</w:t>
      </w:r>
      <w:r>
        <w:rPr>
          <w:rFonts w:hint="eastAsia"/>
          <w:szCs w:val="21"/>
        </w:rPr>
        <w:t>月</w:t>
      </w:r>
      <w:r>
        <w:rPr>
          <w:szCs w:val="21"/>
          <w:u w:val="single"/>
        </w:rPr>
        <w:t>___</w:t>
      </w:r>
      <w:r>
        <w:rPr>
          <w:rFonts w:hint="eastAsia"/>
          <w:szCs w:val="21"/>
        </w:rPr>
        <w:t>日</w:t>
      </w:r>
    </w:p>
    <w:p>
      <w:pPr>
        <w:ind w:firstLine="424" w:firstLineChars="202"/>
        <w:rPr>
          <w:rFonts w:hint="eastAsia"/>
          <w:szCs w:val="21"/>
        </w:rPr>
      </w:pPr>
      <w:r>
        <w:rPr>
          <w:rFonts w:hint="eastAsia"/>
          <w:szCs w:val="21"/>
        </w:rPr>
        <w:t>被授权人（投标人授权代表）（签字或盖章）：</w:t>
      </w:r>
      <w:r>
        <w:rPr>
          <w:szCs w:val="21"/>
          <w:u w:val="single"/>
        </w:rPr>
        <w:t>____________________________________</w:t>
      </w:r>
    </w:p>
    <w:p>
      <w:pPr>
        <w:ind w:firstLine="424" w:firstLineChars="202"/>
        <w:rPr>
          <w:rFonts w:hint="eastAsia"/>
          <w:szCs w:val="21"/>
        </w:rPr>
      </w:pPr>
    </w:p>
    <w:p>
      <w:pPr>
        <w:ind w:firstLine="424" w:firstLineChars="202"/>
        <w:rPr>
          <w:rFonts w:hint="eastAsia"/>
          <w:szCs w:val="21"/>
        </w:rPr>
      </w:pPr>
      <w:r>
        <w:rPr>
          <w:rFonts w:hint="eastAsia"/>
          <w:szCs w:val="21"/>
        </w:rPr>
        <w:t>附：被授权人身份证复印正反面件：</w:t>
      </w:r>
    </w:p>
    <w:p>
      <w:pPr>
        <w:ind w:firstLine="424" w:firstLineChars="202"/>
        <w:rPr>
          <w:rFonts w:hint="eastAsia"/>
          <w:szCs w:val="21"/>
        </w:rPr>
      </w:pPr>
    </w:p>
    <w:p>
      <w:pPr>
        <w:rPr>
          <w:rFonts w:hint="eastAsia"/>
        </w:rPr>
      </w:pPr>
    </w:p>
    <w:p>
      <w:pPr>
        <w:adjustRightInd/>
        <w:snapToGrid/>
        <w:spacing w:before="280" w:after="290" w:line="377" w:lineRule="auto"/>
        <w:outlineLvl w:val="2"/>
        <w:rPr>
          <w:rFonts w:hint="eastAsia"/>
          <w:b/>
          <w:sz w:val="24"/>
        </w:rPr>
      </w:pPr>
      <w:r>
        <w:br w:type="page"/>
      </w:r>
      <w:bookmarkStart w:id="134" w:name="_Toc8268"/>
      <w:r>
        <w:rPr>
          <w:rFonts w:hint="eastAsia"/>
          <w:b/>
          <w:sz w:val="24"/>
        </w:rPr>
        <w:t>格式</w:t>
      </w:r>
      <w:r>
        <w:rPr>
          <w:b/>
          <w:sz w:val="24"/>
        </w:rPr>
        <w:t>4</w:t>
      </w:r>
      <w:r>
        <w:rPr>
          <w:rFonts w:hint="eastAsia"/>
          <w:b/>
          <w:sz w:val="24"/>
        </w:rPr>
        <w:t>：资格条款偏离表</w:t>
      </w:r>
      <w:bookmarkEnd w:id="134"/>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资格条款偏离表</w:t>
      </w:r>
    </w:p>
    <w:p>
      <w:pPr>
        <w:tabs>
          <w:tab w:val="clear" w:pos="426"/>
        </w:tabs>
        <w:rPr>
          <w:rFonts w:ascii="Times New Roman" w:hAnsi="Times New Roman" w:cs="Times New Roman"/>
        </w:rPr>
      </w:pPr>
    </w:p>
    <w:p>
      <w:pPr>
        <w:tabs>
          <w:tab w:val="clear" w:pos="426"/>
        </w:tabs>
        <w:rPr>
          <w:rFonts w:ascii="Times New Roman" w:hAnsi="Times New Roman" w:cs="Times New Roman"/>
        </w:rPr>
      </w:pPr>
      <w:r>
        <w:rPr>
          <w:rFonts w:hint="eastAsia" w:ascii="Times New Roman" w:hAnsi="Times New Roman" w:cs="Times New Roman"/>
        </w:rPr>
        <w:t>项目名称：</w:t>
      </w:r>
      <w:r>
        <w:rPr>
          <w:rFonts w:ascii="Times New Roman" w:hAnsi="Times New Roman" w:cs="Times New Roman"/>
          <w:u w:val="single"/>
        </w:rPr>
        <w:t>_____________________________________</w:t>
      </w:r>
      <w:r>
        <w:rPr>
          <w:rFonts w:hint="eastAsia" w:ascii="Times New Roman" w:hAnsi="Times New Roman" w:cs="Times New Roman"/>
        </w:rPr>
        <w:t>项目编号：</w:t>
      </w:r>
      <w:r>
        <w:rPr>
          <w:rFonts w:ascii="Times New Roman" w:hAnsi="Times New Roman" w:cs="Times New Roman"/>
          <w:sz w:val="18"/>
          <w:szCs w:val="18"/>
          <w:u w:val="single"/>
        </w:rPr>
        <w:t>_______________________</w:t>
      </w:r>
    </w:p>
    <w:tbl>
      <w:tblPr>
        <w:tblStyle w:val="85"/>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603"/>
        <w:gridCol w:w="2218"/>
        <w:gridCol w:w="94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0"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序号</w:t>
            </w:r>
          </w:p>
        </w:tc>
        <w:tc>
          <w:tcPr>
            <w:tcW w:w="1480"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资格条款</w:t>
            </w:r>
          </w:p>
        </w:tc>
        <w:tc>
          <w:tcPr>
            <w:tcW w:w="1480"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响应情况</w:t>
            </w:r>
          </w:p>
        </w:tc>
        <w:tc>
          <w:tcPr>
            <w:tcW w:w="735"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偏离情况</w:t>
            </w:r>
          </w:p>
        </w:tc>
        <w:tc>
          <w:tcPr>
            <w:tcW w:w="912"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1</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满足《中华人民共和国政府采购法》第二十二条规定（由供应商在《投标人资格声明函》中作出声明）。</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2</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本项目不属于专门面向中小企业采购的项目。</w:t>
            </w:r>
            <w:r>
              <w:rPr>
                <w:rFonts w:ascii="Times New Roman" w:hAnsi="Times New Roman" w:cs="Times New Roman"/>
                <w:bCs/>
              </w:rPr>
              <w:t xml:space="preserve"> </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3</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4</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本项目不接受投标人选用进口产品参与投标。（进口产品是指通过中国海关报关验收进入中国境内且产自境外的产品）。</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5</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根据财库〔</w:t>
            </w:r>
            <w:r>
              <w:rPr>
                <w:rFonts w:ascii="Times New Roman" w:hAnsi="Times New Roman" w:cs="Times New Roman"/>
                <w:bCs/>
              </w:rPr>
              <w:t>2016</w:t>
            </w:r>
            <w:r>
              <w:rPr>
                <w:rFonts w:hint="eastAsia" w:ascii="Times New Roman" w:hAnsi="Times New Roman" w:cs="Times New Roman"/>
                <w:bCs/>
              </w:rPr>
              <w:t>〕</w:t>
            </w:r>
            <w:r>
              <w:rPr>
                <w:rFonts w:ascii="Times New Roman" w:hAnsi="Times New Roman" w:cs="Times New Roman"/>
                <w:bCs/>
              </w:rPr>
              <w:t>125</w:t>
            </w:r>
            <w:r>
              <w:rPr>
                <w:rFonts w:hint="eastAsia" w:ascii="Times New Roman" w:hAnsi="Times New Roman" w:cs="Times New Roman"/>
                <w:bCs/>
              </w:rPr>
              <w:t>号文的有关规定，投标人需未被列入失信被执行人、重大税收违法案件当事人名单、政府采购严重违法失信行为记录名单（提供书面《投标人资格声明函》加盖公章，采购代理机构将通过“信用中国”网站（</w:t>
            </w:r>
            <w:r>
              <w:rPr>
                <w:rFonts w:ascii="Times New Roman" w:hAnsi="Times New Roman" w:cs="Times New Roman"/>
                <w:bCs/>
              </w:rPr>
              <w:t>www.creditchina.gov.cn</w:t>
            </w:r>
            <w:r>
              <w:rPr>
                <w:rFonts w:hint="eastAsia" w:ascii="Times New Roman" w:hAnsi="Times New Roman" w:cs="Times New Roman"/>
                <w:bCs/>
              </w:rPr>
              <w:t>）、中国政府采购网（</w:t>
            </w:r>
            <w:r>
              <w:rPr>
                <w:rFonts w:ascii="Times New Roman" w:hAnsi="Times New Roman" w:cs="Times New Roman"/>
                <w:bCs/>
              </w:rPr>
              <w:t>www.ccgp.gov.cn</w:t>
            </w:r>
            <w:r>
              <w:rPr>
                <w:rFonts w:hint="eastAsia" w:ascii="Times New Roman" w:hAnsi="Times New Roman" w:cs="Times New Roman"/>
                <w:bCs/>
              </w:rPr>
              <w:t>）等渠道查询相关主体信用记录，并做好信用信息查询记录和证据留存，信用信息查询记录及相关证据将与其他采购文件一并保存）。</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6</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投标人参与本项目投标前三年内，在经营活动中没有重大违法记录（提供《投标人资格声明函》，并加盖投标人公章）。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7</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投标人参与本项目投标近三年内，在经营活动中没有发生重大安全和质量事故（提供《投标人资格声明函》，并加盖投标人公章）。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8</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投标人参与本项目政府采购活动时不存在被有关部门禁止参与政府采购活动且在有效期内的情况（提供《投标人资格声明函》，并加盖投标人公章）。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9</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单位负责人为同一人或者存在直接控股、管理关系的不同供应商，不得参加同一合同项下的政府采购活动（提供《投标人资格声明函》，并加盖投标人公章，采购代理机构将通过国家企业信用信息公示系统（</w:t>
            </w:r>
            <w:r>
              <w:rPr>
                <w:rFonts w:ascii="Times New Roman" w:hAnsi="Times New Roman" w:cs="Times New Roman"/>
                <w:bCs/>
              </w:rPr>
              <w:t>https://www.gsxt.gov.cn/index.html</w:t>
            </w:r>
            <w:r>
              <w:rPr>
                <w:rFonts w:hint="eastAsia" w:ascii="Times New Roman" w:hAnsi="Times New Roman" w:cs="Times New Roman"/>
                <w:bCs/>
              </w:rPr>
              <w:t>）或机关赋码和事业单位登记管理网（</w:t>
            </w:r>
            <w:r>
              <w:rPr>
                <w:rFonts w:ascii="Times New Roman" w:hAnsi="Times New Roman" w:cs="Times New Roman"/>
                <w:bCs/>
              </w:rPr>
              <w:t>http://www.gjsy.gov.cn/sydwfrxxcx/</w:t>
            </w:r>
            <w:r>
              <w:rPr>
                <w:rFonts w:hint="eastAsia" w:ascii="Times New Roman" w:hAnsi="Times New Roman" w:cs="Times New Roman"/>
                <w:bCs/>
              </w:rPr>
              <w:t>）或全国社会组织信用信息公示平台（</w:t>
            </w:r>
            <w:r>
              <w:rPr>
                <w:rFonts w:ascii="Times New Roman" w:hAnsi="Times New Roman" w:cs="Times New Roman"/>
                <w:bCs/>
              </w:rPr>
              <w:t>https://xxgs.chinanpo.mca.gov.cn/gsxt/newList</w:t>
            </w:r>
            <w:r>
              <w:rPr>
                <w:rFonts w:hint="eastAsia" w:ascii="Times New Roman" w:hAnsi="Times New Roman" w:cs="Times New Roman"/>
                <w:bCs/>
              </w:rPr>
              <w:t>）网站查询投标人信息，并做好信用信息查询记录和证据留存，信用信息查询记录及相关证据将与其他采购文件一并保存，相关信息以截标当日的查询结果为准）。</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10</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为采购项目提供整体设计、规范编制或者项目管理、监理、检测等服务的供应商，不得再参加该采购项目的其他采购活动（提供《投标人资格声明函》，并加盖投标人公章）。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11</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参与本项目政府采购活动不存在与其他采购参加人串通投标，隐瞒真实情况，提供虚假资料等违法违规情形（提供《投标人资格声明函》，并加盖投标人公章）。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12</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本项目不接受联合体形式进行投标，不允许转包及分包。</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bl>
    <w:p>
      <w:pPr>
        <w:tabs>
          <w:tab w:val="clear" w:pos="426"/>
        </w:tabs>
        <w:spacing w:line="240" w:lineRule="auto"/>
        <w:rPr>
          <w:rFonts w:ascii="Times New Roman" w:hAnsi="Times New Roman" w:cs="Times New Roman"/>
          <w:bCs/>
        </w:rPr>
      </w:pPr>
      <w:r>
        <w:rPr>
          <w:rFonts w:hint="eastAsia" w:ascii="Times New Roman" w:hAnsi="Times New Roman" w:cs="Times New Roman"/>
          <w:bCs/>
        </w:rPr>
        <w:t>备注：</w:t>
      </w:r>
    </w:p>
    <w:p>
      <w:pPr>
        <w:spacing w:line="240" w:lineRule="auto"/>
        <w:ind w:firstLine="424" w:firstLineChars="202"/>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资格条款</w:t>
      </w:r>
      <w:r>
        <w:rPr>
          <w:rFonts w:ascii="Times New Roman" w:hAnsi="Times New Roman" w:cs="Times New Roman"/>
          <w:bCs/>
        </w:rPr>
        <w:t>”</w:t>
      </w:r>
      <w:r>
        <w:rPr>
          <w:rFonts w:hint="eastAsia" w:ascii="Times New Roman" w:hAnsi="Times New Roman" w:cs="Times New Roman"/>
          <w:bCs/>
        </w:rPr>
        <w:t>一栏应填写招标文件第一册</w:t>
      </w:r>
      <w:r>
        <w:rPr>
          <w:rFonts w:ascii="Times New Roman" w:hAnsi="Times New Roman" w:cs="Times New Roman"/>
          <w:bCs/>
        </w:rPr>
        <w:t xml:space="preserve"> </w:t>
      </w:r>
      <w:r>
        <w:rPr>
          <w:rFonts w:hint="eastAsia" w:ascii="Times New Roman" w:hAnsi="Times New Roman" w:cs="Times New Roman"/>
          <w:bCs/>
        </w:rPr>
        <w:t>第一章</w:t>
      </w:r>
      <w:r>
        <w:rPr>
          <w:rFonts w:ascii="Times New Roman" w:hAnsi="Times New Roman" w:cs="Times New Roman"/>
          <w:bCs/>
        </w:rPr>
        <w:t>“</w:t>
      </w:r>
      <w:r>
        <w:rPr>
          <w:rFonts w:hint="eastAsia" w:ascii="Times New Roman" w:hAnsi="Times New Roman" w:cs="Times New Roman"/>
          <w:bCs/>
        </w:rPr>
        <w:t>二、申请人的资格要求</w:t>
      </w:r>
      <w:r>
        <w:rPr>
          <w:rFonts w:ascii="Times New Roman" w:hAnsi="Times New Roman" w:cs="Times New Roman"/>
          <w:bCs/>
        </w:rPr>
        <w:t>”</w:t>
      </w:r>
      <w:r>
        <w:rPr>
          <w:rFonts w:hint="eastAsia" w:ascii="Times New Roman" w:hAnsi="Times New Roman" w:cs="Times New Roman"/>
          <w:bCs/>
        </w:rPr>
        <w:t>的内容；</w:t>
      </w:r>
    </w:p>
    <w:p>
      <w:pPr>
        <w:spacing w:line="240" w:lineRule="auto"/>
        <w:ind w:firstLine="424" w:firstLineChars="202"/>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响应情况</w:t>
      </w:r>
      <w:r>
        <w:rPr>
          <w:rFonts w:ascii="Times New Roman" w:hAnsi="Times New Roman" w:cs="Times New Roman"/>
          <w:bCs/>
        </w:rPr>
        <w:t>”</w:t>
      </w:r>
      <w:r>
        <w:rPr>
          <w:rFonts w:hint="eastAsia" w:ascii="Times New Roman" w:hAnsi="Times New Roman" w:cs="Times New Roman"/>
          <w:bCs/>
        </w:rPr>
        <w:t>一栏必须如实填写投标人自身情况，并应对照资格条款一一对应响应；</w:t>
      </w:r>
    </w:p>
    <w:p>
      <w:pPr>
        <w:spacing w:line="240" w:lineRule="auto"/>
        <w:ind w:firstLine="424" w:firstLineChars="202"/>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偏离情况</w:t>
      </w:r>
      <w:r>
        <w:rPr>
          <w:rFonts w:ascii="Times New Roman" w:hAnsi="Times New Roman" w:cs="Times New Roman"/>
          <w:bCs/>
        </w:rPr>
        <w:t>”</w:t>
      </w:r>
      <w:r>
        <w:rPr>
          <w:rFonts w:hint="eastAsia" w:ascii="Times New Roman" w:hAnsi="Times New Roman" w:cs="Times New Roman"/>
          <w:bCs/>
        </w:rPr>
        <w:t>一栏应如实填写</w:t>
      </w:r>
      <w:r>
        <w:rPr>
          <w:rFonts w:ascii="Times New Roman" w:hAnsi="Times New Roman" w:cs="Times New Roman"/>
          <w:bCs/>
        </w:rPr>
        <w:t>“</w:t>
      </w:r>
      <w:r>
        <w:rPr>
          <w:rFonts w:hint="eastAsia" w:ascii="Times New Roman" w:hAnsi="Times New Roman" w:cs="Times New Roman"/>
          <w:bCs/>
        </w:rPr>
        <w:t>正偏离</w:t>
      </w:r>
      <w:r>
        <w:rPr>
          <w:rFonts w:ascii="Times New Roman" w:hAnsi="Times New Roman" w:cs="Times New Roman"/>
          <w:bCs/>
        </w:rPr>
        <w:t>”</w:t>
      </w:r>
      <w:r>
        <w:rPr>
          <w:rFonts w:hint="eastAsia" w:ascii="Times New Roman" w:hAnsi="Times New Roman" w:cs="Times New Roman"/>
          <w:bCs/>
        </w:rPr>
        <w:t>、</w:t>
      </w:r>
      <w:r>
        <w:rPr>
          <w:rFonts w:ascii="Times New Roman" w:hAnsi="Times New Roman" w:cs="Times New Roman"/>
          <w:bCs/>
        </w:rPr>
        <w:t>“</w:t>
      </w:r>
      <w:r>
        <w:rPr>
          <w:rFonts w:hint="eastAsia" w:ascii="Times New Roman" w:hAnsi="Times New Roman" w:cs="Times New Roman"/>
          <w:bCs/>
        </w:rPr>
        <w:t>负偏离</w:t>
      </w:r>
      <w:r>
        <w:rPr>
          <w:rFonts w:ascii="Times New Roman" w:hAnsi="Times New Roman" w:cs="Times New Roman"/>
          <w:bCs/>
        </w:rPr>
        <w:t>”</w:t>
      </w:r>
      <w:r>
        <w:rPr>
          <w:rFonts w:hint="eastAsia" w:ascii="Times New Roman" w:hAnsi="Times New Roman" w:cs="Times New Roman"/>
          <w:bCs/>
        </w:rPr>
        <w:t>或</w:t>
      </w:r>
      <w:r>
        <w:rPr>
          <w:rFonts w:ascii="Times New Roman" w:hAnsi="Times New Roman" w:cs="Times New Roman"/>
          <w:bCs/>
        </w:rPr>
        <w:t>“</w:t>
      </w:r>
      <w:r>
        <w:rPr>
          <w:rFonts w:hint="eastAsia" w:ascii="Times New Roman" w:hAnsi="Times New Roman" w:cs="Times New Roman"/>
          <w:bCs/>
        </w:rPr>
        <w:t>无偏离</w:t>
      </w:r>
      <w:r>
        <w:rPr>
          <w:rFonts w:ascii="Times New Roman" w:hAnsi="Times New Roman" w:cs="Times New Roman"/>
          <w:bCs/>
        </w:rPr>
        <w:t>”</w:t>
      </w:r>
      <w:r>
        <w:rPr>
          <w:rFonts w:hint="eastAsia" w:ascii="Times New Roman" w:hAnsi="Times New Roman" w:cs="Times New Roman"/>
          <w:bCs/>
        </w:rPr>
        <w:t>，负偏离视为未实质性满足招标文件要求作投标无效处理。</w:t>
      </w:r>
    </w:p>
    <w:p>
      <w:pPr>
        <w:spacing w:line="240" w:lineRule="auto"/>
        <w:ind w:firstLine="424" w:firstLineChars="202"/>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bCs/>
        </w:rPr>
        <w:t>“说明”一栏填写所要求的证明材料（如有）的对应页码或阐明其他补充内容。</w:t>
      </w:r>
    </w:p>
    <w:p>
      <w:pPr>
        <w:spacing w:line="240" w:lineRule="auto"/>
        <w:ind w:firstLine="424" w:firstLineChars="202"/>
        <w:rPr>
          <w:rFonts w:ascii="Times New Roman" w:hAnsi="Times New Roman" w:cs="Times New Roman"/>
          <w:bCs/>
        </w:rPr>
      </w:pPr>
      <w:r>
        <w:rPr>
          <w:rFonts w:ascii="Times New Roman" w:hAnsi="Times New Roman" w:cs="Times New Roman"/>
          <w:bCs/>
        </w:rPr>
        <w:t>5.</w:t>
      </w:r>
      <w:r>
        <w:rPr>
          <w:rFonts w:hint="eastAsia" w:ascii="Times New Roman" w:hAnsi="Times New Roman" w:cs="Times New Roman"/>
          <w:bCs/>
        </w:rPr>
        <w:t>投标人所填写的“偏离情况”与评审委员会判定不一致时，以评审委员会意见为主。</w:t>
      </w:r>
    </w:p>
    <w:p>
      <w:pPr>
        <w:rPr>
          <w:rFonts w:hint="eastAsia"/>
        </w:rPr>
      </w:pPr>
    </w:p>
    <w:p>
      <w:pPr>
        <w:rPr>
          <w:rFonts w:hint="eastAsia"/>
        </w:rPr>
      </w:pPr>
      <w:r>
        <w:br w:type="page"/>
      </w:r>
    </w:p>
    <w:p>
      <w:pPr>
        <w:adjustRightInd/>
        <w:snapToGrid/>
        <w:spacing w:before="280" w:after="290" w:line="377" w:lineRule="auto"/>
        <w:outlineLvl w:val="2"/>
        <w:rPr>
          <w:rFonts w:hint="eastAsia"/>
          <w:b/>
          <w:sz w:val="24"/>
        </w:rPr>
      </w:pPr>
      <w:bookmarkStart w:id="135" w:name="_Toc11397"/>
      <w:r>
        <w:rPr>
          <w:rFonts w:hint="eastAsia"/>
          <w:b/>
          <w:sz w:val="24"/>
        </w:rPr>
        <w:t>格式</w:t>
      </w:r>
      <w:r>
        <w:rPr>
          <w:b/>
          <w:sz w:val="24"/>
        </w:rPr>
        <w:t>5</w:t>
      </w:r>
      <w:r>
        <w:rPr>
          <w:rFonts w:hint="eastAsia"/>
          <w:b/>
          <w:sz w:val="24"/>
        </w:rPr>
        <w:t>：法人或者其他组织的营业执照等证明文件</w:t>
      </w:r>
      <w:bookmarkEnd w:id="135"/>
    </w:p>
    <w:p>
      <w:pPr>
        <w:spacing w:before="231" w:beforeLines="50"/>
        <w:ind w:firstLine="424" w:firstLineChars="201"/>
        <w:rPr>
          <w:rFonts w:hint="eastAsia"/>
          <w:b/>
        </w:rPr>
      </w:pPr>
      <w:r>
        <w:rPr>
          <w:rFonts w:hint="eastAsia"/>
          <w:b/>
        </w:rPr>
        <w:t>投标人须按本招标文件第一章投标邀请</w:t>
      </w:r>
      <w:r>
        <w:rPr>
          <w:b/>
        </w:rPr>
        <w:t xml:space="preserve"> </w:t>
      </w:r>
      <w:r>
        <w:rPr>
          <w:rFonts w:hint="eastAsia"/>
          <w:b/>
        </w:rPr>
        <w:t>“申请人的资格要求”提供相关的资质证明，且已接受报名的单位，不代表资格审查通过。投标文件中未提供或提供不完整、不符合要求的，投标文件将按无效标的情形处理。</w:t>
      </w:r>
    </w:p>
    <w:p>
      <w:pPr>
        <w:rPr>
          <w:rFonts w:hint="eastAsia"/>
          <w:b/>
          <w:sz w:val="24"/>
        </w:rPr>
      </w:pPr>
      <w:bookmarkStart w:id="136" w:name="_Toc150960255"/>
      <w:bookmarkStart w:id="137" w:name="_Toc151386165"/>
      <w:r>
        <w:rPr>
          <w:b/>
          <w:sz w:val="24"/>
        </w:rPr>
        <w:br w:type="page"/>
      </w:r>
    </w:p>
    <w:p>
      <w:pPr>
        <w:adjustRightInd/>
        <w:snapToGrid/>
        <w:spacing w:before="280" w:after="290" w:line="377" w:lineRule="auto"/>
        <w:outlineLvl w:val="2"/>
        <w:rPr>
          <w:rFonts w:hint="eastAsia"/>
          <w:b/>
          <w:sz w:val="24"/>
        </w:rPr>
      </w:pPr>
      <w:bookmarkStart w:id="138" w:name="_Toc18407"/>
      <w:r>
        <w:rPr>
          <w:rFonts w:hint="eastAsia"/>
          <w:b/>
          <w:sz w:val="24"/>
        </w:rPr>
        <w:t>格式</w:t>
      </w:r>
      <w:r>
        <w:rPr>
          <w:b/>
          <w:sz w:val="24"/>
        </w:rPr>
        <w:t>6</w:t>
      </w:r>
      <w:r>
        <w:rPr>
          <w:rFonts w:hint="eastAsia"/>
          <w:b/>
          <w:sz w:val="24"/>
        </w:rPr>
        <w:t>：投标人资格声明函</w:t>
      </w:r>
      <w:bookmarkEnd w:id="138"/>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投标人资格声明函</w:t>
      </w:r>
    </w:p>
    <w:p>
      <w:pPr>
        <w:tabs>
          <w:tab w:val="clear" w:pos="426"/>
        </w:tabs>
        <w:rPr>
          <w:rFonts w:hint="eastAsia"/>
        </w:rPr>
      </w:pPr>
    </w:p>
    <w:p>
      <w:pPr>
        <w:tabs>
          <w:tab w:val="clear" w:pos="426"/>
        </w:tabs>
        <w:rPr>
          <w:rFonts w:hint="eastAsia"/>
        </w:rPr>
      </w:pPr>
      <w:r>
        <w:rPr>
          <w:rFonts w:hint="eastAsia"/>
        </w:rPr>
        <w:t>深圳市深水水务咨询有限公司：</w:t>
      </w:r>
    </w:p>
    <w:p>
      <w:pPr>
        <w:ind w:firstLine="424" w:firstLineChars="202"/>
        <w:rPr>
          <w:rFonts w:hAnsi="Times New Roman"/>
        </w:rPr>
      </w:pPr>
      <w:r>
        <w:rPr>
          <w:rFonts w:hint="eastAsia" w:hAnsi="Times New Roman"/>
        </w:rPr>
        <w:t>关于贵公司发布</w:t>
      </w:r>
      <w:r>
        <w:rPr>
          <w:rFonts w:hint="eastAsia" w:hAnsi="Times New Roman"/>
          <w:szCs w:val="21"/>
          <w:u w:val="single"/>
        </w:rPr>
        <w:t>（项目名称</w:t>
      </w:r>
      <w:r>
        <w:rPr>
          <w:rFonts w:hAnsi="Times New Roman"/>
          <w:szCs w:val="21"/>
          <w:u w:val="single"/>
        </w:rPr>
        <w:t>)</w:t>
      </w:r>
      <w:r>
        <w:rPr>
          <w:rFonts w:hint="eastAsia" w:hAnsi="Times New Roman"/>
        </w:rPr>
        <w:t>项目（项目编号：</w:t>
      </w:r>
      <w:r>
        <w:rPr>
          <w:rFonts w:hint="eastAsia" w:hAnsi="Times New Roman"/>
          <w:u w:val="single"/>
        </w:rPr>
        <w:t>（项目编号）</w:t>
      </w:r>
      <w:r>
        <w:rPr>
          <w:rFonts w:hint="eastAsia" w:hAnsi="Times New Roman"/>
        </w:rPr>
        <w:t>）的招标公告，本公司（企业）愿意参加投标，并声明：</w:t>
      </w:r>
    </w:p>
    <w:p>
      <w:pPr>
        <w:ind w:firstLine="424" w:firstLineChars="202"/>
        <w:rPr>
          <w:rFonts w:hAnsi="Times New Roman"/>
        </w:rPr>
      </w:pPr>
      <w:r>
        <w:rPr>
          <w:rFonts w:hint="eastAsia" w:hAnsi="Times New Roman"/>
        </w:rPr>
        <w:t>我单位承诺：</w:t>
      </w:r>
    </w:p>
    <w:p>
      <w:pPr>
        <w:ind w:firstLine="424" w:firstLineChars="202"/>
        <w:rPr>
          <w:rFonts w:hAnsi="Times New Roman"/>
        </w:rPr>
      </w:pPr>
      <w:r>
        <w:rPr>
          <w:rFonts w:hAnsi="Times New Roman"/>
        </w:rPr>
        <w:t>1.</w:t>
      </w:r>
      <w:r>
        <w:rPr>
          <w:rFonts w:hint="eastAsia" w:hAnsi="Times New Roman"/>
        </w:rPr>
        <w:t>我单位参与本项目所投标（响应）的货物、工程或服务，不存在侵犯知识产权的情况；已知悉并同意中标（成交）结果信息公示（公开）的内容。</w:t>
      </w:r>
    </w:p>
    <w:p>
      <w:pPr>
        <w:ind w:firstLine="424" w:firstLineChars="202"/>
        <w:rPr>
          <w:rFonts w:hAnsi="Times New Roman"/>
        </w:rPr>
      </w:pPr>
      <w:r>
        <w:rPr>
          <w:rFonts w:hAnsi="Times New Roman"/>
        </w:rPr>
        <w:t>2.</w:t>
      </w:r>
      <w:r>
        <w:rPr>
          <w:rFonts w:hint="eastAsia" w:hAnsi="Times New Roman"/>
        </w:rPr>
        <w:t>我单位参与该项目投标，符合招标文件关于联合体及进口产品的相关资格要求。</w:t>
      </w:r>
    </w:p>
    <w:p>
      <w:pPr>
        <w:ind w:firstLine="424" w:firstLineChars="202"/>
        <w:rPr>
          <w:rFonts w:hAnsi="Times New Roman"/>
        </w:rPr>
      </w:pPr>
      <w:r>
        <w:rPr>
          <w:rFonts w:hAnsi="Times New Roman"/>
        </w:rPr>
        <w:t>3.</w:t>
      </w:r>
      <w:r>
        <w:rPr>
          <w:rFonts w:hint="eastAsia" w:hAnsi="Times New Roman"/>
        </w:rPr>
        <w:t>我单位参与本项目政府采购活动时不存在被有关部门禁止参与政府采购活动且在有效期内的情况。</w:t>
      </w:r>
    </w:p>
    <w:p>
      <w:pPr>
        <w:ind w:firstLine="424" w:firstLineChars="202"/>
        <w:rPr>
          <w:rFonts w:hAnsi="Times New Roman"/>
        </w:rPr>
      </w:pPr>
      <w:r>
        <w:rPr>
          <w:rFonts w:hAnsi="Times New Roman"/>
        </w:rPr>
        <w:t>4.</w:t>
      </w:r>
      <w:r>
        <w:rPr>
          <w:rFonts w:hint="eastAsia" w:hAnsi="Times New Roman"/>
        </w:rPr>
        <w:t>我单位参与本项目投标前三年内，在经营活动中没有重大违法记录。</w:t>
      </w:r>
    </w:p>
    <w:p>
      <w:pPr>
        <w:ind w:firstLine="424" w:firstLineChars="202"/>
        <w:rPr>
          <w:rFonts w:hAnsi="Times New Roman"/>
        </w:rPr>
      </w:pPr>
      <w:r>
        <w:rPr>
          <w:rFonts w:hAnsi="Times New Roman"/>
        </w:rPr>
        <w:t>5.</w:t>
      </w:r>
      <w:r>
        <w:rPr>
          <w:rFonts w:hint="eastAsia" w:hAnsi="Times New Roman"/>
        </w:rPr>
        <w:t>我单位参与本项目投标近三年内，在经营活动中没有发生重大安全和质量事故。</w:t>
      </w:r>
    </w:p>
    <w:p>
      <w:pPr>
        <w:ind w:firstLine="424" w:firstLineChars="202"/>
        <w:rPr>
          <w:rFonts w:hAnsi="Times New Roman"/>
        </w:rPr>
      </w:pPr>
      <w:r>
        <w:rPr>
          <w:rFonts w:hAnsi="Times New Roman"/>
        </w:rPr>
        <w:t>6.</w:t>
      </w:r>
      <w:r>
        <w:rPr>
          <w:rFonts w:hint="eastAsia" w:hAnsi="Times New Roman"/>
        </w:rPr>
        <w:t>我单位具备《中华人民共和国政府采购法》第二十二条的条件。</w:t>
      </w:r>
    </w:p>
    <w:p>
      <w:pPr>
        <w:ind w:firstLine="424" w:firstLineChars="202"/>
        <w:rPr>
          <w:rFonts w:hAnsi="Times New Roman"/>
        </w:rPr>
      </w:pPr>
      <w:r>
        <w:rPr>
          <w:rFonts w:hAnsi="Times New Roman"/>
        </w:rPr>
        <w:t>7.</w:t>
      </w:r>
      <w:r>
        <w:rPr>
          <w:rFonts w:hint="eastAsia" w:hAnsi="Times New Roman"/>
        </w:rPr>
        <w:t>我单位未被列入失信被执行人、重大税收违法案件当事人名单（重大税收违法失信主体）、政府采购严重违法失信行为记录名单</w:t>
      </w:r>
    </w:p>
    <w:p>
      <w:pPr>
        <w:ind w:firstLine="424" w:firstLineChars="202"/>
        <w:rPr>
          <w:rFonts w:hAnsi="Times New Roman"/>
        </w:rPr>
      </w:pPr>
      <w:r>
        <w:rPr>
          <w:rFonts w:hAnsi="Times New Roman"/>
        </w:rPr>
        <w:t>8.</w:t>
      </w:r>
      <w:r>
        <w:rPr>
          <w:rFonts w:hint="eastAsia" w:hAnsi="Times New Roma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4" w:firstLineChars="202"/>
        <w:rPr>
          <w:rFonts w:hAnsi="Times New Roman"/>
        </w:rPr>
      </w:pPr>
      <w:r>
        <w:rPr>
          <w:rFonts w:hAnsi="Times New Roman"/>
        </w:rPr>
        <w:t>9.</w:t>
      </w:r>
      <w:r>
        <w:rPr>
          <w:rFonts w:hint="eastAsia" w:hAnsi="Times New Roma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4" w:firstLineChars="202"/>
        <w:rPr>
          <w:rFonts w:hAnsi="Times New Roman"/>
        </w:rPr>
      </w:pPr>
      <w:r>
        <w:rPr>
          <w:rFonts w:hint="eastAsia" w:hAnsi="Times New Roma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4" w:firstLineChars="202"/>
        <w:rPr>
          <w:rFonts w:hAnsi="Times New Roman"/>
        </w:rPr>
      </w:pPr>
      <w:r>
        <w:rPr>
          <w:rFonts w:hAnsi="Times New Roman"/>
        </w:rPr>
        <w:t>10.</w:t>
      </w:r>
      <w:r>
        <w:rPr>
          <w:rFonts w:hint="eastAsia" w:hAnsi="Times New Roma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4" w:firstLineChars="202"/>
        <w:rPr>
          <w:rFonts w:hAnsi="Times New Roman"/>
        </w:rPr>
      </w:pPr>
      <w:r>
        <w:rPr>
          <w:rFonts w:hAnsi="Times New Roman"/>
        </w:rPr>
        <w:t>11.</w:t>
      </w:r>
      <w:r>
        <w:rPr>
          <w:rFonts w:hint="eastAsia" w:hAnsi="Times New Roman"/>
        </w:rPr>
        <w:t>我单位承诺中标后项目不转包，未经采购人同意不进行分包。</w:t>
      </w:r>
    </w:p>
    <w:p>
      <w:pPr>
        <w:ind w:firstLine="424" w:firstLineChars="202"/>
        <w:rPr>
          <w:rFonts w:hAnsi="Times New Roman"/>
        </w:rPr>
      </w:pPr>
      <w:r>
        <w:rPr>
          <w:rFonts w:hAnsi="Times New Roman"/>
        </w:rPr>
        <w:t>12.</w:t>
      </w:r>
      <w:r>
        <w:rPr>
          <w:rFonts w:hint="eastAsia" w:hAnsi="Times New Roma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4" w:firstLineChars="202"/>
        <w:rPr>
          <w:rFonts w:hAnsi="Times New Roman"/>
        </w:rPr>
      </w:pPr>
      <w:r>
        <w:rPr>
          <w:rFonts w:hAnsi="Times New Roman"/>
        </w:rPr>
        <w:t>13.</w:t>
      </w:r>
      <w:r>
        <w:rPr>
          <w:rFonts w:hint="eastAsia" w:hAnsi="Times New Roman"/>
        </w:rPr>
        <w:t>我单位保证，若所投货物涉及《财政部生态环境部关于印发节能产品政府采购品目清单的通知》（财库〔</w:t>
      </w:r>
      <w:r>
        <w:rPr>
          <w:rFonts w:hAnsi="Times New Roman"/>
        </w:rPr>
        <w:t>2019</w:t>
      </w:r>
      <w:r>
        <w:rPr>
          <w:rFonts w:hint="eastAsia" w:hAnsi="Times New Roman"/>
        </w:rPr>
        <w:t>〕</w:t>
      </w:r>
      <w:r>
        <w:rPr>
          <w:rFonts w:hAnsi="Times New Roman"/>
        </w:rPr>
        <w:t>19</w:t>
      </w:r>
      <w:r>
        <w:rPr>
          <w:rFonts w:hint="eastAsia" w:hAnsi="Times New Roman"/>
        </w:rPr>
        <w:t>号）列明的政府采购强制产品，则所投该产品符合节能产品的认证要求。</w:t>
      </w:r>
    </w:p>
    <w:p>
      <w:pPr>
        <w:ind w:firstLine="424" w:firstLineChars="202"/>
        <w:rPr>
          <w:rFonts w:hAnsi="Times New Roman"/>
        </w:rPr>
      </w:pPr>
      <w:r>
        <w:rPr>
          <w:rFonts w:hAnsi="Times New Roman"/>
        </w:rPr>
        <w:t>14.</w:t>
      </w:r>
      <w:r>
        <w:rPr>
          <w:rFonts w:hint="eastAsia" w:hAnsi="Times New Roman"/>
        </w:rPr>
        <w:t>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ind w:firstLine="420"/>
        <w:rPr>
          <w:rFonts w:hAnsi="Times New Roman"/>
        </w:rPr>
      </w:pPr>
      <w:r>
        <w:rPr>
          <w:rFonts w:hAnsi="Times New Roman"/>
        </w:rPr>
        <w:t>15.</w:t>
      </w:r>
      <w:r>
        <w:rPr>
          <w:rFonts w:hint="eastAsia" w:hAnsi="Times New Roman"/>
        </w:rPr>
        <w:t>我单位保证，参与本项目政府采购活动不存在与其他采购参加人串通投标、隐瞒真实情况、提供虚假资料等违法违规情形。</w:t>
      </w:r>
    </w:p>
    <w:p>
      <w:pPr>
        <w:ind w:firstLine="424" w:firstLineChars="202"/>
        <w:rPr>
          <w:rFonts w:hAnsi="Times New Roman"/>
        </w:rPr>
      </w:pPr>
      <w:r>
        <w:rPr>
          <w:rFonts w:hAnsi="Times New Roman"/>
        </w:rPr>
        <w:t>16.</w:t>
      </w:r>
      <w:r>
        <w:rPr>
          <w:rFonts w:hint="eastAsia" w:hAnsi="Times New Roman"/>
        </w:rPr>
        <w:t>我单位保证，若所投产品列入强制性产品认证目录的，则所投该产品须获得强制性产品认证证书（即</w:t>
      </w:r>
      <w:r>
        <w:rPr>
          <w:rFonts w:hAnsi="Times New Roman"/>
        </w:rPr>
        <w:t>CCC</w:t>
      </w:r>
      <w:r>
        <w:rPr>
          <w:rFonts w:hint="eastAsia" w:hAnsi="Times New Roman"/>
        </w:rPr>
        <w:t>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4" w:firstLineChars="202"/>
        <w:rPr>
          <w:rFonts w:hAnsi="Times New Roman"/>
        </w:rPr>
      </w:pPr>
      <w:r>
        <w:rPr>
          <w:rFonts w:hint="eastAsia" w:hAnsi="Times New Roman"/>
        </w:rPr>
        <w:t>以上承诺，如有违反，愿依照国家相关法律处理，并承担由此给采购人带来的损失。</w:t>
      </w:r>
    </w:p>
    <w:p>
      <w:pPr>
        <w:ind w:firstLine="420"/>
        <w:rPr>
          <w:rFonts w:hAnsi="Times New Roman"/>
        </w:rPr>
      </w:pPr>
      <w:r>
        <w:rPr>
          <w:rFonts w:hint="eastAsia" w:hAnsi="Times New Roman"/>
        </w:rPr>
        <w:t>特此声明！</w:t>
      </w:r>
    </w:p>
    <w:p>
      <w:pPr>
        <w:tabs>
          <w:tab w:val="clear" w:pos="426"/>
        </w:tabs>
        <w:ind w:firstLine="420"/>
        <w:rPr>
          <w:rFonts w:hint="eastAsia"/>
        </w:rPr>
      </w:pPr>
    </w:p>
    <w:p>
      <w:pPr>
        <w:tabs>
          <w:tab w:val="clear" w:pos="426"/>
        </w:tabs>
        <w:ind w:firstLine="420"/>
        <w:rPr>
          <w:rFonts w:hint="eastAsia"/>
          <w:u w:val="single"/>
        </w:rPr>
      </w:pPr>
      <w:r>
        <w:rPr>
          <w:rFonts w:hint="eastAsia"/>
        </w:rPr>
        <w:t>单位名称：</w:t>
      </w:r>
      <w:r>
        <w:rPr>
          <w:u w:val="single"/>
        </w:rPr>
        <w:t>_____________________________________________________________</w:t>
      </w:r>
    </w:p>
    <w:p>
      <w:pPr>
        <w:tabs>
          <w:tab w:val="clear" w:pos="426"/>
        </w:tabs>
        <w:ind w:firstLine="420"/>
        <w:rPr>
          <w:rFonts w:hint="eastAsia"/>
          <w:u w:val="single"/>
        </w:rPr>
      </w:pPr>
      <w:r>
        <w:rPr>
          <w:rFonts w:hint="eastAsia"/>
        </w:rPr>
        <w:t>法定代表人或投标人授权代表（签字或盖章）：</w:t>
      </w:r>
      <w:r>
        <w:rPr>
          <w:u w:val="single"/>
        </w:rPr>
        <w:t>_____________________________</w:t>
      </w:r>
    </w:p>
    <w:p>
      <w:pPr>
        <w:tabs>
          <w:tab w:val="clear" w:pos="426"/>
        </w:tabs>
        <w:ind w:firstLine="420"/>
        <w:rPr>
          <w:rFonts w:hint="eastAsia"/>
          <w:u w:val="single"/>
        </w:rPr>
      </w:pPr>
      <w:r>
        <w:rPr>
          <w:rFonts w:hint="eastAsia"/>
        </w:rPr>
        <w:t>单位地址：</w:t>
      </w:r>
      <w:r>
        <w:rPr>
          <w:u w:val="single"/>
        </w:rPr>
        <w:t>_____________________________________________________________</w:t>
      </w:r>
    </w:p>
    <w:p>
      <w:pPr>
        <w:tabs>
          <w:tab w:val="clear" w:pos="426"/>
        </w:tabs>
        <w:ind w:firstLine="420"/>
        <w:rPr>
          <w:rFonts w:hint="eastAsia"/>
          <w:u w:val="single"/>
        </w:rPr>
      </w:pPr>
      <w:r>
        <w:rPr>
          <w:rFonts w:hint="eastAsia"/>
        </w:rPr>
        <w:t>单位公章：</w:t>
      </w:r>
      <w:r>
        <w:rPr>
          <w:u w:val="single"/>
        </w:rPr>
        <w:t>_____________________________________________________________</w:t>
      </w:r>
    </w:p>
    <w:p>
      <w:pPr>
        <w:tabs>
          <w:tab w:val="clear" w:pos="426"/>
        </w:tabs>
        <w:ind w:firstLine="420"/>
        <w:rPr>
          <w:rFonts w:hint="eastAsia"/>
          <w:u w:val="single"/>
        </w:rPr>
      </w:pPr>
      <w:r>
        <w:rPr>
          <w:rFonts w:hint="eastAsia"/>
        </w:rPr>
        <w:t>邮政编码：</w:t>
      </w:r>
      <w:r>
        <w:rPr>
          <w:u w:val="single"/>
        </w:rPr>
        <w:t>_____________________________</w:t>
      </w:r>
      <w:r>
        <w:rPr>
          <w:rFonts w:hint="eastAsia"/>
        </w:rPr>
        <w:t>日期：</w:t>
      </w:r>
      <w:r>
        <w:rPr>
          <w:u w:val="single"/>
        </w:rPr>
        <w:t>__________________________</w:t>
      </w:r>
    </w:p>
    <w:p>
      <w:pPr>
        <w:ind w:firstLine="420" w:firstLineChars="200"/>
        <w:rPr>
          <w:rFonts w:hint="eastAsia"/>
          <w:u w:val="single"/>
        </w:rPr>
      </w:pPr>
      <w:r>
        <w:rPr>
          <w:rFonts w:hint="eastAsia"/>
        </w:rPr>
        <w:t>联系电话：</w:t>
      </w:r>
      <w:r>
        <w:rPr>
          <w:u w:val="single"/>
        </w:rPr>
        <w:t>_____________________________________________________________</w:t>
      </w:r>
    </w:p>
    <w:p>
      <w:pPr>
        <w:rPr>
          <w:rFonts w:hint="eastAsia"/>
        </w:rPr>
      </w:pPr>
    </w:p>
    <w:p>
      <w:pPr>
        <w:rPr>
          <w:rFonts w:hint="eastAsia"/>
          <w:b/>
          <w:sz w:val="24"/>
        </w:rPr>
      </w:pPr>
      <w:r>
        <w:rPr>
          <w:b/>
          <w:sz w:val="24"/>
        </w:rPr>
        <w:br w:type="page"/>
      </w:r>
    </w:p>
    <w:p>
      <w:pPr>
        <w:adjustRightInd/>
        <w:snapToGrid/>
        <w:spacing w:before="280" w:after="290" w:line="377" w:lineRule="auto"/>
        <w:outlineLvl w:val="2"/>
        <w:rPr>
          <w:rFonts w:hint="eastAsia"/>
          <w:b/>
          <w:sz w:val="24"/>
        </w:rPr>
      </w:pPr>
      <w:bookmarkStart w:id="139" w:name="_Toc1290"/>
      <w:r>
        <w:rPr>
          <w:rFonts w:hint="eastAsia"/>
          <w:b/>
          <w:sz w:val="24"/>
        </w:rPr>
        <w:t>格式</w:t>
      </w:r>
      <w:r>
        <w:rPr>
          <w:b/>
          <w:sz w:val="24"/>
        </w:rPr>
        <w:t>7</w:t>
      </w:r>
      <w:r>
        <w:rPr>
          <w:rFonts w:hint="eastAsia"/>
          <w:b/>
          <w:sz w:val="24"/>
        </w:rPr>
        <w:t>：开标一览表</w:t>
      </w:r>
      <w:bookmarkEnd w:id="136"/>
      <w:bookmarkEnd w:id="137"/>
      <w:bookmarkEnd w:id="139"/>
    </w:p>
    <w:p>
      <w:pPr>
        <w:widowControl w:val="0"/>
        <w:shd w:val="clear" w:color="auto" w:fill="auto"/>
        <w:tabs>
          <w:tab w:val="clear" w:pos="426"/>
        </w:tabs>
        <w:adjustRightInd/>
        <w:snapToGrid/>
        <w:spacing w:line="300" w:lineRule="auto"/>
        <w:jc w:val="center"/>
        <w:rPr>
          <w:rFonts w:hint="eastAsia" w:cs="Times New Roman"/>
          <w:bCs/>
          <w:kern w:val="2"/>
          <w:sz w:val="32"/>
          <w:szCs w:val="32"/>
        </w:rPr>
      </w:pPr>
      <w:bookmarkStart w:id="140" w:name="_Toc480789479"/>
      <w:bookmarkStart w:id="141" w:name="_Toc480756075"/>
      <w:bookmarkStart w:id="142" w:name="_Toc480755929"/>
      <w:bookmarkStart w:id="143" w:name="_Toc480754208"/>
      <w:r>
        <w:rPr>
          <w:rFonts w:hint="eastAsia" w:cs="Times New Roman"/>
          <w:bCs/>
          <w:kern w:val="2"/>
          <w:sz w:val="32"/>
          <w:szCs w:val="32"/>
        </w:rPr>
        <w:t>开标一览表</w:t>
      </w:r>
      <w:bookmarkEnd w:id="140"/>
      <w:bookmarkEnd w:id="141"/>
      <w:bookmarkEnd w:id="142"/>
      <w:bookmarkEnd w:id="143"/>
    </w:p>
    <w:p>
      <w:pPr>
        <w:tabs>
          <w:tab w:val="clear" w:pos="426"/>
        </w:tabs>
        <w:jc w:val="left"/>
        <w:rPr>
          <w:rFonts w:hint="eastAsia"/>
        </w:rPr>
      </w:pPr>
    </w:p>
    <w:p>
      <w:pPr>
        <w:tabs>
          <w:tab w:val="clear" w:pos="426"/>
        </w:tabs>
        <w:jc w:val="left"/>
        <w:rPr>
          <w:rFonts w:hint="eastAsia"/>
          <w:u w:val="single"/>
        </w:rPr>
      </w:pPr>
      <w:r>
        <w:rPr>
          <w:rFonts w:hint="eastAsia"/>
        </w:rPr>
        <w:t>项目名称：</w:t>
      </w:r>
      <w:r>
        <w:rPr>
          <w:u w:val="single"/>
        </w:rPr>
        <w:t>__________________________________________</w:t>
      </w:r>
      <w:r>
        <w:rPr>
          <w:rFonts w:hint="eastAsia"/>
        </w:rPr>
        <w:t>项目编号：</w:t>
      </w:r>
      <w:r>
        <w:rPr>
          <w:u w:val="single"/>
        </w:rPr>
        <w:t>_________________________</w:t>
      </w:r>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204"/>
        <w:gridCol w:w="4080"/>
        <w:gridCol w:w="2633"/>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1" w:type="pct"/>
            <w:vAlign w:val="center"/>
          </w:tcPr>
          <w:p>
            <w:pPr>
              <w:jc w:val="center"/>
              <w:rPr>
                <w:rFonts w:hint="eastAsia"/>
                <w:b/>
                <w:szCs w:val="21"/>
              </w:rPr>
            </w:pPr>
            <w:r>
              <w:rPr>
                <w:rFonts w:hint="eastAsia"/>
                <w:b/>
                <w:szCs w:val="21"/>
              </w:rPr>
              <w:t>序号</w:t>
            </w:r>
          </w:p>
        </w:tc>
        <w:tc>
          <w:tcPr>
            <w:tcW w:w="629" w:type="pct"/>
            <w:vAlign w:val="center"/>
          </w:tcPr>
          <w:p>
            <w:pPr>
              <w:jc w:val="center"/>
              <w:rPr>
                <w:rFonts w:hint="eastAsia"/>
                <w:b/>
                <w:szCs w:val="21"/>
              </w:rPr>
            </w:pPr>
            <w:r>
              <w:rPr>
                <w:rFonts w:hint="eastAsia"/>
                <w:b/>
                <w:szCs w:val="21"/>
              </w:rPr>
              <w:t>包号</w:t>
            </w:r>
          </w:p>
        </w:tc>
        <w:tc>
          <w:tcPr>
            <w:tcW w:w="2131" w:type="pct"/>
            <w:vAlign w:val="center"/>
          </w:tcPr>
          <w:p>
            <w:pPr>
              <w:jc w:val="center"/>
              <w:rPr>
                <w:rFonts w:hint="eastAsia"/>
                <w:b/>
                <w:szCs w:val="21"/>
              </w:rPr>
            </w:pPr>
            <w:r>
              <w:rPr>
                <w:rFonts w:hint="eastAsia"/>
                <w:b/>
                <w:szCs w:val="21"/>
              </w:rPr>
              <w:t>项目名称</w:t>
            </w:r>
          </w:p>
        </w:tc>
        <w:tc>
          <w:tcPr>
            <w:tcW w:w="1375" w:type="pct"/>
            <w:vAlign w:val="center"/>
          </w:tcPr>
          <w:p>
            <w:pPr>
              <w:jc w:val="center"/>
              <w:rPr>
                <w:rFonts w:hint="eastAsia"/>
                <w:b/>
                <w:szCs w:val="21"/>
              </w:rPr>
            </w:pPr>
            <w:r>
              <w:rPr>
                <w:rFonts w:hint="eastAsia"/>
                <w:b/>
                <w:szCs w:val="21"/>
              </w:rPr>
              <w:t>投标总价（元）</w:t>
            </w:r>
          </w:p>
        </w:tc>
        <w:tc>
          <w:tcPr>
            <w:tcW w:w="462" w:type="pct"/>
            <w:vAlign w:val="center"/>
          </w:tcPr>
          <w:p>
            <w:pPr>
              <w:jc w:val="center"/>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01" w:type="pct"/>
            <w:vAlign w:val="center"/>
          </w:tcPr>
          <w:p>
            <w:pPr>
              <w:jc w:val="center"/>
              <w:rPr>
                <w:rFonts w:hint="eastAsia"/>
                <w:bCs/>
                <w:szCs w:val="21"/>
              </w:rPr>
            </w:pPr>
          </w:p>
        </w:tc>
        <w:tc>
          <w:tcPr>
            <w:tcW w:w="629" w:type="pct"/>
            <w:vAlign w:val="center"/>
          </w:tcPr>
          <w:p>
            <w:pPr>
              <w:jc w:val="center"/>
              <w:rPr>
                <w:rFonts w:hint="eastAsia"/>
                <w:b/>
                <w:szCs w:val="21"/>
              </w:rPr>
            </w:pPr>
          </w:p>
        </w:tc>
        <w:tc>
          <w:tcPr>
            <w:tcW w:w="2131" w:type="pct"/>
            <w:vAlign w:val="center"/>
          </w:tcPr>
          <w:p>
            <w:pPr>
              <w:jc w:val="center"/>
              <w:rPr>
                <w:rFonts w:hint="eastAsia"/>
                <w:b/>
                <w:szCs w:val="21"/>
              </w:rPr>
            </w:pPr>
          </w:p>
        </w:tc>
        <w:tc>
          <w:tcPr>
            <w:tcW w:w="1375" w:type="pct"/>
            <w:vAlign w:val="center"/>
          </w:tcPr>
          <w:p>
            <w:pPr>
              <w:jc w:val="left"/>
              <w:rPr>
                <w:rFonts w:hint="eastAsia"/>
                <w:b/>
                <w:szCs w:val="21"/>
              </w:rPr>
            </w:pPr>
            <w:r>
              <w:rPr>
                <w:rFonts w:hint="eastAsia"/>
                <w:b/>
                <w:szCs w:val="21"/>
              </w:rPr>
              <w:t>大写：</w:t>
            </w:r>
          </w:p>
          <w:p>
            <w:pPr>
              <w:jc w:val="left"/>
              <w:rPr>
                <w:rFonts w:hint="eastAsia"/>
                <w:b/>
                <w:szCs w:val="21"/>
              </w:rPr>
            </w:pPr>
            <w:r>
              <w:rPr>
                <w:rFonts w:hint="eastAsia"/>
                <w:b/>
                <w:szCs w:val="21"/>
              </w:rPr>
              <w:t>小写：</w:t>
            </w:r>
          </w:p>
        </w:tc>
        <w:tc>
          <w:tcPr>
            <w:tcW w:w="462" w:type="pct"/>
            <w:vAlign w:val="center"/>
          </w:tcPr>
          <w:p>
            <w:pPr>
              <w:jc w:val="center"/>
              <w:rPr>
                <w:rFonts w:hint="eastAsia"/>
                <w:b/>
                <w:szCs w:val="21"/>
              </w:rPr>
            </w:pPr>
          </w:p>
        </w:tc>
      </w:tr>
    </w:tbl>
    <w:p>
      <w:pPr>
        <w:tabs>
          <w:tab w:val="clear" w:pos="426"/>
        </w:tabs>
        <w:jc w:val="left"/>
        <w:rPr>
          <w:rFonts w:hint="eastAsia"/>
          <w:u w:val="single"/>
        </w:rPr>
      </w:pPr>
    </w:p>
    <w:p>
      <w:pPr>
        <w:tabs>
          <w:tab w:val="clear" w:pos="426"/>
        </w:tabs>
        <w:spacing w:line="500" w:lineRule="exact"/>
        <w:rPr>
          <w:rFonts w:hint="eastAsia"/>
          <w:spacing w:val="4"/>
        </w:rPr>
      </w:pPr>
    </w:p>
    <w:p>
      <w:pPr>
        <w:tabs>
          <w:tab w:val="clear" w:pos="426"/>
        </w:tabs>
        <w:spacing w:line="500" w:lineRule="exact"/>
        <w:rPr>
          <w:rFonts w:hint="eastAsia"/>
          <w:u w:val="single"/>
        </w:rPr>
      </w:pPr>
      <w:r>
        <w:rPr>
          <w:rFonts w:hint="eastAsia"/>
          <w:spacing w:val="4"/>
        </w:rPr>
        <w:t>投标人名称（</w:t>
      </w:r>
      <w:r>
        <w:rPr>
          <w:rFonts w:hint="eastAsia"/>
        </w:rPr>
        <w:t>单位盖</w:t>
      </w:r>
      <w:r>
        <w:rPr>
          <w:rFonts w:hint="eastAsia"/>
          <w:spacing w:val="4"/>
        </w:rPr>
        <w:t>公章）：</w:t>
      </w:r>
      <w:r>
        <w:rPr>
          <w:spacing w:val="4"/>
          <w:u w:val="single"/>
        </w:rPr>
        <w:t>__________________________________________________________</w:t>
      </w:r>
    </w:p>
    <w:p>
      <w:pPr>
        <w:tabs>
          <w:tab w:val="clear" w:pos="426"/>
        </w:tabs>
        <w:spacing w:line="520" w:lineRule="exact"/>
        <w:rPr>
          <w:rFonts w:hint="eastAsia"/>
          <w:spacing w:val="4"/>
        </w:rPr>
      </w:pPr>
      <w:r>
        <w:rPr>
          <w:rFonts w:hint="eastAsia"/>
        </w:rPr>
        <w:t>法定代表人或投标人授权代表（签字或盖章）：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pPr>
        <w:tabs>
          <w:tab w:val="clear" w:pos="426"/>
        </w:tabs>
        <w:spacing w:line="400" w:lineRule="exact"/>
        <w:rPr>
          <w:rFonts w:hint="eastAsia"/>
          <w:b/>
          <w:bCs/>
          <w:szCs w:val="21"/>
        </w:rPr>
      </w:pPr>
    </w:p>
    <w:p>
      <w:pPr>
        <w:tabs>
          <w:tab w:val="clear" w:pos="426"/>
        </w:tabs>
        <w:spacing w:line="400" w:lineRule="exact"/>
        <w:rPr>
          <w:rFonts w:hint="eastAsia"/>
          <w:b/>
          <w:bCs/>
          <w:szCs w:val="21"/>
        </w:rPr>
      </w:pPr>
      <w:r>
        <w:rPr>
          <w:rFonts w:hint="eastAsia"/>
          <w:b/>
          <w:bCs/>
          <w:szCs w:val="21"/>
        </w:rPr>
        <w:t>备注：</w:t>
      </w:r>
    </w:p>
    <w:p>
      <w:pPr>
        <w:numPr>
          <w:ilvl w:val="1"/>
          <w:numId w:val="5"/>
        </w:numPr>
        <w:tabs>
          <w:tab w:val="left" w:pos="0"/>
        </w:tabs>
        <w:ind w:left="0" w:firstLine="424" w:firstLineChars="201"/>
        <w:rPr>
          <w:rFonts w:hAnsi="Times New Roman"/>
          <w:b/>
          <w:bCs/>
          <w:szCs w:val="21"/>
        </w:rPr>
      </w:pPr>
      <w:r>
        <w:rPr>
          <w:rFonts w:hint="eastAsia" w:hAnsi="Times New Roman"/>
          <w:b/>
        </w:rPr>
        <w:t>此表为投标文件的组成部分，须附在正、副本的投标文件中，并另封装一份于开标信封中（信封中须同时提供法定代表人（单位负责人）证明书、授权委托书、被授权人身份证复印件）。</w:t>
      </w:r>
    </w:p>
    <w:p>
      <w:pPr>
        <w:numPr>
          <w:ilvl w:val="1"/>
          <w:numId w:val="5"/>
        </w:numPr>
        <w:tabs>
          <w:tab w:val="left" w:pos="0"/>
        </w:tabs>
        <w:ind w:left="0" w:firstLine="424" w:firstLineChars="201"/>
        <w:rPr>
          <w:rFonts w:hAnsi="Times New Roman"/>
          <w:b/>
          <w:bCs/>
          <w:szCs w:val="21"/>
        </w:rPr>
      </w:pPr>
      <w:r>
        <w:rPr>
          <w:rFonts w:hint="eastAsia" w:hAnsi="Times New Roman"/>
          <w:b/>
        </w:rPr>
        <w:t>此表内投标报价为最终价，开标信封及投标文件内不得含有任何对本报价进行修改的其他说明或资料，否则为无效投标</w:t>
      </w:r>
      <w:r>
        <w:rPr>
          <w:rFonts w:hint="eastAsia" w:hAnsi="Times New Roman"/>
          <w:b/>
          <w:bCs/>
          <w:szCs w:val="21"/>
        </w:rPr>
        <w:t>。</w:t>
      </w:r>
    </w:p>
    <w:p>
      <w:pPr>
        <w:numPr>
          <w:ilvl w:val="1"/>
          <w:numId w:val="5"/>
        </w:numPr>
        <w:tabs>
          <w:tab w:val="left" w:pos="0"/>
        </w:tabs>
        <w:ind w:left="0" w:firstLine="424" w:firstLineChars="201"/>
        <w:rPr>
          <w:rFonts w:hAnsi="Times New Roman"/>
          <w:b/>
        </w:rPr>
      </w:pPr>
      <w:r>
        <w:rPr>
          <w:rFonts w:hint="eastAsia" w:hAnsi="Times New Roman"/>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numPr>
          <w:ilvl w:val="1"/>
          <w:numId w:val="5"/>
        </w:numPr>
        <w:tabs>
          <w:tab w:val="left" w:pos="0"/>
        </w:tabs>
        <w:ind w:left="0" w:firstLine="424" w:firstLineChars="201"/>
        <w:rPr>
          <w:rFonts w:hAnsi="Times New Roman"/>
          <w:b/>
        </w:rPr>
      </w:pPr>
      <w:r>
        <w:rPr>
          <w:rFonts w:hint="eastAsia" w:hAnsi="Times New Roman"/>
          <w:b/>
        </w:rPr>
        <w:t>投标报价得分四舍五入后，小数点后保留两位有效数。</w:t>
      </w: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adjustRightInd/>
        <w:snapToGrid/>
        <w:spacing w:before="280" w:after="290" w:line="377" w:lineRule="auto"/>
        <w:outlineLvl w:val="2"/>
        <w:rPr>
          <w:rFonts w:hint="eastAsia"/>
          <w:b/>
          <w:sz w:val="24"/>
        </w:rPr>
      </w:pPr>
      <w:r>
        <w:rPr>
          <w:b/>
        </w:rPr>
        <w:br w:type="page"/>
      </w:r>
      <w:bookmarkStart w:id="144" w:name="_Toc29048"/>
      <w:r>
        <w:rPr>
          <w:rFonts w:hint="eastAsia"/>
          <w:b/>
          <w:sz w:val="24"/>
        </w:rPr>
        <w:t>格式</w:t>
      </w:r>
      <w:r>
        <w:rPr>
          <w:b/>
          <w:sz w:val="24"/>
        </w:rPr>
        <w:t>8</w:t>
      </w:r>
      <w:r>
        <w:rPr>
          <w:rFonts w:hint="eastAsia"/>
          <w:b/>
          <w:sz w:val="24"/>
        </w:rPr>
        <w:t>：投标分项报价表</w:t>
      </w:r>
      <w:bookmarkEnd w:id="144"/>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（一）项目报价表</w:t>
      </w:r>
    </w:p>
    <w:p>
      <w:pPr>
        <w:tabs>
          <w:tab w:val="clear" w:pos="426"/>
        </w:tabs>
        <w:wordWrap w:val="0"/>
        <w:rPr>
          <w:rFonts w:hint="eastAsia"/>
        </w:rPr>
      </w:pPr>
      <w:r>
        <w:rPr>
          <w:rFonts w:hint="eastAsia"/>
        </w:rPr>
        <w:t>项目名称：</w:t>
      </w:r>
      <w:r>
        <w:rPr>
          <w:u w:val="single"/>
        </w:rPr>
        <w:t>_____________________________________</w:t>
      </w:r>
      <w:r>
        <w:rPr>
          <w:rFonts w:hint="eastAsia"/>
        </w:rPr>
        <w:t>项目编号：</w:t>
      </w:r>
      <w:r>
        <w:rPr>
          <w:rFonts w:ascii="??" w:hAnsi="??"/>
          <w:sz w:val="18"/>
          <w:szCs w:val="18"/>
          <w:u w:val="single"/>
        </w:rPr>
        <w:t>________________________________</w:t>
      </w:r>
    </w:p>
    <w:tbl>
      <w:tblPr>
        <w:tblStyle w:val="8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7"/>
        <w:gridCol w:w="1417"/>
        <w:gridCol w:w="851"/>
        <w:gridCol w:w="992"/>
        <w:gridCol w:w="709"/>
        <w:gridCol w:w="737"/>
        <w:gridCol w:w="1057"/>
        <w:gridCol w:w="1276"/>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Cs w:val="21"/>
              </w:rPr>
            </w:pPr>
            <w:r>
              <w:rPr>
                <w:rFonts w:hint="eastAsia"/>
                <w:szCs w:val="21"/>
              </w:rPr>
              <w:t>序号</w:t>
            </w:r>
          </w:p>
        </w:tc>
        <w:tc>
          <w:tcPr>
            <w:tcW w:w="1347" w:type="dxa"/>
            <w:vAlign w:val="center"/>
          </w:tcPr>
          <w:p>
            <w:pPr>
              <w:spacing w:line="240" w:lineRule="auto"/>
              <w:jc w:val="center"/>
              <w:rPr>
                <w:rFonts w:hint="eastAsia"/>
                <w:szCs w:val="21"/>
              </w:rPr>
            </w:pPr>
            <w:r>
              <w:rPr>
                <w:rFonts w:hint="eastAsia"/>
                <w:szCs w:val="21"/>
              </w:rPr>
              <w:t>货物名称</w:t>
            </w:r>
          </w:p>
        </w:tc>
        <w:tc>
          <w:tcPr>
            <w:tcW w:w="1417" w:type="dxa"/>
            <w:vAlign w:val="center"/>
          </w:tcPr>
          <w:p>
            <w:pPr>
              <w:spacing w:line="240" w:lineRule="auto"/>
              <w:jc w:val="center"/>
              <w:rPr>
                <w:rFonts w:hint="eastAsia"/>
                <w:szCs w:val="21"/>
              </w:rPr>
            </w:pPr>
            <w:r>
              <w:rPr>
                <w:rFonts w:hint="eastAsia"/>
                <w:szCs w:val="21"/>
              </w:rPr>
              <w:t>规格</w:t>
            </w:r>
            <w:r>
              <w:rPr>
                <w:szCs w:val="21"/>
              </w:rPr>
              <w:t>/</w:t>
            </w:r>
            <w:r>
              <w:rPr>
                <w:rFonts w:hint="eastAsia"/>
                <w:szCs w:val="21"/>
              </w:rPr>
              <w:t>型号</w:t>
            </w:r>
          </w:p>
        </w:tc>
        <w:tc>
          <w:tcPr>
            <w:tcW w:w="851" w:type="dxa"/>
            <w:vAlign w:val="center"/>
          </w:tcPr>
          <w:p>
            <w:pPr>
              <w:spacing w:line="240" w:lineRule="auto"/>
              <w:jc w:val="center"/>
              <w:rPr>
                <w:rFonts w:hint="eastAsia"/>
                <w:b/>
                <w:szCs w:val="21"/>
              </w:rPr>
            </w:pPr>
            <w:r>
              <w:rPr>
                <w:rFonts w:hint="eastAsia"/>
                <w:b/>
                <w:szCs w:val="21"/>
              </w:rPr>
              <w:t>原产地</w:t>
            </w:r>
          </w:p>
        </w:tc>
        <w:tc>
          <w:tcPr>
            <w:tcW w:w="992" w:type="dxa"/>
            <w:vAlign w:val="center"/>
          </w:tcPr>
          <w:p>
            <w:pPr>
              <w:spacing w:line="240" w:lineRule="auto"/>
              <w:jc w:val="center"/>
              <w:rPr>
                <w:rFonts w:hint="eastAsia"/>
                <w:szCs w:val="21"/>
              </w:rPr>
            </w:pPr>
            <w:r>
              <w:rPr>
                <w:rFonts w:hint="eastAsia"/>
                <w:szCs w:val="21"/>
              </w:rPr>
              <w:t>制造商名称</w:t>
            </w:r>
          </w:p>
        </w:tc>
        <w:tc>
          <w:tcPr>
            <w:tcW w:w="709" w:type="dxa"/>
            <w:vAlign w:val="center"/>
          </w:tcPr>
          <w:p>
            <w:pPr>
              <w:spacing w:line="240" w:lineRule="auto"/>
              <w:jc w:val="center"/>
              <w:rPr>
                <w:rFonts w:hint="eastAsia"/>
                <w:szCs w:val="21"/>
              </w:rPr>
            </w:pPr>
            <w:r>
              <w:rPr>
                <w:rFonts w:hint="eastAsia"/>
                <w:szCs w:val="21"/>
              </w:rPr>
              <w:t>数量</w:t>
            </w:r>
          </w:p>
        </w:tc>
        <w:tc>
          <w:tcPr>
            <w:tcW w:w="737" w:type="dxa"/>
            <w:vAlign w:val="center"/>
          </w:tcPr>
          <w:p>
            <w:pPr>
              <w:spacing w:line="240" w:lineRule="auto"/>
              <w:jc w:val="center"/>
              <w:rPr>
                <w:rFonts w:hint="eastAsia"/>
                <w:szCs w:val="21"/>
              </w:rPr>
            </w:pPr>
            <w:r>
              <w:rPr>
                <w:rFonts w:hint="eastAsia"/>
                <w:szCs w:val="21"/>
              </w:rPr>
              <w:t>单位</w:t>
            </w:r>
          </w:p>
        </w:tc>
        <w:tc>
          <w:tcPr>
            <w:tcW w:w="1057" w:type="dxa"/>
            <w:vAlign w:val="center"/>
          </w:tcPr>
          <w:p>
            <w:pPr>
              <w:spacing w:line="240" w:lineRule="auto"/>
              <w:jc w:val="center"/>
              <w:rPr>
                <w:rFonts w:hint="eastAsia"/>
                <w:szCs w:val="21"/>
              </w:rPr>
            </w:pPr>
            <w:r>
              <w:rPr>
                <w:rFonts w:hint="eastAsia"/>
                <w:szCs w:val="21"/>
              </w:rPr>
              <w:t>单价</w:t>
            </w:r>
            <w:r>
              <w:rPr>
                <w:szCs w:val="21"/>
              </w:rPr>
              <w:t>(</w:t>
            </w:r>
            <w:r>
              <w:rPr>
                <w:rFonts w:hint="eastAsia"/>
                <w:szCs w:val="21"/>
              </w:rPr>
              <w:t>元</w:t>
            </w:r>
            <w:r>
              <w:rPr>
                <w:szCs w:val="21"/>
              </w:rPr>
              <w:t>)</w:t>
            </w:r>
          </w:p>
        </w:tc>
        <w:tc>
          <w:tcPr>
            <w:tcW w:w="1276" w:type="dxa"/>
            <w:vAlign w:val="center"/>
          </w:tcPr>
          <w:p>
            <w:pPr>
              <w:spacing w:line="240" w:lineRule="auto"/>
              <w:jc w:val="center"/>
              <w:rPr>
                <w:rFonts w:hint="eastAsia"/>
                <w:szCs w:val="21"/>
              </w:rPr>
            </w:pPr>
            <w:r>
              <w:rPr>
                <w:rFonts w:hint="eastAsia"/>
                <w:szCs w:val="21"/>
              </w:rPr>
              <w:t>合价</w:t>
            </w:r>
            <w:r>
              <w:rPr>
                <w:szCs w:val="21"/>
              </w:rPr>
              <w:t>(</w:t>
            </w:r>
            <w:r>
              <w:rPr>
                <w:rFonts w:hint="eastAsia"/>
                <w:szCs w:val="21"/>
              </w:rPr>
              <w:t>元</w:t>
            </w:r>
            <w:r>
              <w:rPr>
                <w:szCs w:val="21"/>
              </w:rPr>
              <w:t>)</w:t>
            </w:r>
          </w:p>
        </w:tc>
        <w:tc>
          <w:tcPr>
            <w:tcW w:w="1082" w:type="dxa"/>
            <w:vAlign w:val="center"/>
          </w:tcPr>
          <w:p>
            <w:pPr>
              <w:spacing w:line="240" w:lineRule="auto"/>
              <w:jc w:val="center"/>
              <w:rPr>
                <w:rFonts w:hint="eastAsia"/>
                <w:szCs w:val="21"/>
              </w:rPr>
            </w:pPr>
            <w:r>
              <w:rPr>
                <w:rFonts w:hint="eastAsia"/>
                <w:szCs w:val="21"/>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0" w:type="dxa"/>
            <w:gridSpan w:val="8"/>
            <w:vAlign w:val="center"/>
          </w:tcPr>
          <w:p>
            <w:pPr>
              <w:spacing w:line="240" w:lineRule="auto"/>
              <w:jc w:val="left"/>
              <w:rPr>
                <w:rFonts w:hint="eastAsia"/>
                <w:sz w:val="24"/>
              </w:rPr>
            </w:pPr>
            <w:r>
              <w:rPr>
                <w:rFonts w:hint="eastAsia"/>
                <w:sz w:val="24"/>
              </w:rPr>
              <w:t>合计（即：投标总价；币种：人民币；单位：元）：大写：</w:t>
            </w: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bl>
    <w:p>
      <w:pPr>
        <w:spacing w:line="240" w:lineRule="auto"/>
        <w:rPr>
          <w:rFonts w:hint="eastAsia"/>
          <w:b/>
          <w:sz w:val="24"/>
        </w:rPr>
      </w:pPr>
    </w:p>
    <w:p>
      <w:pPr>
        <w:spacing w:line="240" w:lineRule="auto"/>
        <w:rPr>
          <w:rFonts w:hint="eastAsia"/>
          <w:b/>
          <w:sz w:val="24"/>
        </w:rPr>
      </w:pPr>
      <w:r>
        <w:rPr>
          <w:rFonts w:hint="eastAsia"/>
          <w:b/>
          <w:sz w:val="24"/>
        </w:rPr>
        <w:t>备注：</w:t>
      </w:r>
    </w:p>
    <w:p>
      <w:pPr>
        <w:spacing w:line="240" w:lineRule="auto"/>
        <w:ind w:firstLine="424" w:firstLineChars="176"/>
        <w:rPr>
          <w:rFonts w:hint="eastAsia"/>
          <w:b/>
          <w:sz w:val="24"/>
        </w:rPr>
      </w:pPr>
      <w:r>
        <w:rPr>
          <w:b/>
          <w:sz w:val="24"/>
        </w:rPr>
        <w:t>1.</w:t>
      </w:r>
      <w:r>
        <w:rPr>
          <w:rFonts w:hint="eastAsia"/>
          <w:b/>
          <w:sz w:val="24"/>
        </w:rPr>
        <w:t>请根据“第二章</w:t>
      </w:r>
      <w:r>
        <w:rPr>
          <w:b/>
          <w:sz w:val="24"/>
        </w:rPr>
        <w:t xml:space="preserve"> </w:t>
      </w:r>
      <w:r>
        <w:rPr>
          <w:rFonts w:hint="eastAsia"/>
          <w:b/>
          <w:sz w:val="24"/>
        </w:rPr>
        <w:t>项目需求”</w:t>
      </w:r>
      <w:r>
        <w:rPr>
          <w:b/>
          <w:sz w:val="24"/>
        </w:rPr>
        <w:t xml:space="preserve"> </w:t>
      </w:r>
      <w:r>
        <w:rPr>
          <w:rFonts w:hint="eastAsia"/>
          <w:b/>
          <w:sz w:val="24"/>
        </w:rPr>
        <w:t>“一、货物清单一览表”填写；本表格式不得修改。</w:t>
      </w:r>
    </w:p>
    <w:p>
      <w:pPr>
        <w:spacing w:line="240" w:lineRule="auto"/>
        <w:ind w:firstLine="424" w:firstLineChars="176"/>
        <w:rPr>
          <w:rFonts w:hint="eastAsia"/>
          <w:b/>
          <w:sz w:val="24"/>
        </w:rPr>
      </w:pPr>
      <w:r>
        <w:rPr>
          <w:b/>
          <w:sz w:val="24"/>
        </w:rPr>
        <w:t>2.</w:t>
      </w:r>
      <w:r>
        <w:rPr>
          <w:rFonts w:hint="eastAsia"/>
          <w:b/>
          <w:sz w:val="24"/>
        </w:rPr>
        <w:t>所有价格应按“招标文件”中规定的货币单位填写；投标总价应为以上各分项价格之和；投标单价均不得超过对应的单项限价，否则将导致无效投标。</w:t>
      </w:r>
    </w:p>
    <w:p>
      <w:pPr>
        <w:spacing w:line="240" w:lineRule="auto"/>
        <w:ind w:firstLine="424" w:firstLineChars="176"/>
        <w:rPr>
          <w:rFonts w:hint="eastAsia"/>
          <w:b/>
          <w:sz w:val="24"/>
        </w:rPr>
      </w:pPr>
      <w:r>
        <w:rPr>
          <w:b/>
          <w:sz w:val="24"/>
        </w:rPr>
        <w:t>3.</w:t>
      </w:r>
      <w:r>
        <w:rPr>
          <w:rFonts w:hint="eastAsia"/>
          <w:b/>
          <w:sz w:val="24"/>
        </w:rPr>
        <w:t>单价、合价和投标总价为包干价，即三者均应包含设备的价款、包装、运输、装卸、安装、调试、技术指导、培训、咨询、服务、保险、税费、检测、验收合格交付使用之前以及技术和售后服务等其他各项有关费用。</w:t>
      </w:r>
    </w:p>
    <w:p>
      <w:pPr>
        <w:spacing w:line="240" w:lineRule="auto"/>
        <w:ind w:firstLine="424" w:firstLineChars="176"/>
        <w:rPr>
          <w:rFonts w:hint="eastAsia"/>
          <w:b/>
          <w:sz w:val="24"/>
        </w:rPr>
      </w:pPr>
      <w:r>
        <w:rPr>
          <w:b/>
          <w:sz w:val="24"/>
        </w:rPr>
        <w:t>4.</w:t>
      </w:r>
      <w:r>
        <w:rPr>
          <w:rFonts w:hint="eastAsia"/>
          <w:b/>
          <w:sz w:val="24"/>
        </w:rPr>
        <w:t>“原产地”是指该产品的实际生产加工地，而非品牌总公司所在地。</w:t>
      </w:r>
    </w:p>
    <w:p>
      <w:pPr>
        <w:spacing w:line="240" w:lineRule="auto"/>
        <w:ind w:firstLine="424" w:firstLineChars="176"/>
        <w:rPr>
          <w:rFonts w:hint="eastAsia"/>
          <w:b/>
          <w:sz w:val="24"/>
        </w:rPr>
      </w:pPr>
      <w:r>
        <w:rPr>
          <w:b/>
          <w:sz w:val="24"/>
        </w:rPr>
        <w:t>5.</w:t>
      </w:r>
      <w:r>
        <w:rPr>
          <w:rFonts w:hint="eastAsia"/>
          <w:b/>
          <w:sz w:val="24"/>
        </w:rPr>
        <w:t>详细填写所投货物的制造商名称；若如所投产品属于定制类的非量产货物或无具体型号的货物，可以不填写型号等信息，但应当标注投标产品为定制产品。</w:t>
      </w:r>
    </w:p>
    <w:p>
      <w:pPr>
        <w:spacing w:line="240" w:lineRule="auto"/>
        <w:ind w:firstLine="424" w:firstLineChars="176"/>
        <w:rPr>
          <w:rFonts w:hint="eastAsia"/>
          <w:b/>
          <w:sz w:val="24"/>
        </w:rPr>
      </w:pPr>
      <w:r>
        <w:rPr>
          <w:b/>
          <w:sz w:val="24"/>
        </w:rPr>
        <w:t>6.</w:t>
      </w:r>
      <w:r>
        <w:rPr>
          <w:rFonts w:hint="eastAsia"/>
          <w:b/>
          <w:sz w:val="24"/>
        </w:rPr>
        <w:t>上述报价最多保留两位小数。</w:t>
      </w: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（二）备品备件、消耗品报价清单（不包括在总报价内，投标人必须提供）</w:t>
      </w:r>
    </w:p>
    <w:p>
      <w:pPr>
        <w:tabs>
          <w:tab w:val="clear" w:pos="426"/>
        </w:tabs>
        <w:spacing w:line="500" w:lineRule="exact"/>
        <w:rPr>
          <w:rFonts w:hint="eastAsia"/>
          <w:b/>
          <w:sz w:val="24"/>
        </w:rPr>
      </w:pPr>
      <w:r>
        <w:rPr>
          <w:rFonts w:hint="eastAsia"/>
          <w:b/>
          <w:sz w:val="24"/>
        </w:rPr>
        <w:t>备注：格式参照《（一）项目报价表》表格，但须提供相应的品牌、规格型号、原产地、单价等详细信息</w:t>
      </w:r>
    </w:p>
    <w:p>
      <w:pPr>
        <w:widowControl w:val="0"/>
        <w:shd w:val="clear" w:color="auto" w:fill="auto"/>
        <w:tabs>
          <w:tab w:val="clear" w:pos="426"/>
        </w:tabs>
        <w:adjustRightInd/>
        <w:snapToGrid/>
        <w:spacing w:line="300" w:lineRule="auto"/>
        <w:jc w:val="center"/>
        <w:rPr>
          <w:rFonts w:hint="eastAsia" w:cs="Times New Roman"/>
          <w:b/>
          <w:bCs/>
          <w:kern w:val="2"/>
          <w:sz w:val="32"/>
          <w:szCs w:val="32"/>
        </w:rPr>
      </w:pP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（三）供应商认为需要涉及的其他内容报价清单</w:t>
      </w:r>
    </w:p>
    <w:p>
      <w:pPr>
        <w:tabs>
          <w:tab w:val="clear" w:pos="426"/>
        </w:tabs>
        <w:spacing w:line="500" w:lineRule="exact"/>
        <w:rPr>
          <w:rFonts w:hint="eastAsia"/>
          <w:spacing w:val="4"/>
        </w:rPr>
      </w:pPr>
    </w:p>
    <w:p>
      <w:pPr>
        <w:tabs>
          <w:tab w:val="clear" w:pos="426"/>
        </w:tabs>
        <w:spacing w:line="500" w:lineRule="exact"/>
        <w:rPr>
          <w:rFonts w:hint="eastAsia"/>
          <w:spacing w:val="4"/>
        </w:rPr>
      </w:pPr>
    </w:p>
    <w:p>
      <w:pPr>
        <w:tabs>
          <w:tab w:val="clear" w:pos="426"/>
        </w:tabs>
        <w:spacing w:line="500" w:lineRule="exact"/>
        <w:rPr>
          <w:rFonts w:hint="eastAsia"/>
          <w:u w:val="single"/>
        </w:rPr>
      </w:pPr>
      <w:r>
        <w:rPr>
          <w:rFonts w:hint="eastAsia"/>
          <w:spacing w:val="4"/>
        </w:rPr>
        <w:t>投标人名称（</w:t>
      </w:r>
      <w:r>
        <w:rPr>
          <w:rFonts w:hint="eastAsia"/>
        </w:rPr>
        <w:t>单位盖</w:t>
      </w:r>
      <w:r>
        <w:rPr>
          <w:rFonts w:hint="eastAsia"/>
          <w:spacing w:val="4"/>
        </w:rPr>
        <w:t>公章）：</w:t>
      </w:r>
      <w:r>
        <w:rPr>
          <w:spacing w:val="4"/>
          <w:u w:val="single"/>
        </w:rPr>
        <w:t>__________________________________________________________</w:t>
      </w:r>
    </w:p>
    <w:p>
      <w:pPr>
        <w:tabs>
          <w:tab w:val="clear" w:pos="426"/>
        </w:tabs>
        <w:spacing w:line="520" w:lineRule="exact"/>
        <w:rPr>
          <w:rFonts w:hint="eastAsia"/>
          <w:spacing w:val="4"/>
          <w:u w:val="single"/>
        </w:rPr>
      </w:pPr>
      <w:r>
        <w:rPr>
          <w:rFonts w:hint="eastAsia"/>
        </w:rPr>
        <w:t>法定代表人或投标人授权代表（签字或盖章）：</w:t>
      </w:r>
      <w:r>
        <w:rPr>
          <w:spacing w:val="4"/>
          <w:u w:val="single"/>
        </w:rPr>
        <w:t>______________</w:t>
      </w:r>
      <w:r>
        <w:rPr>
          <w:rFonts w:hint="eastAsia"/>
          <w:spacing w:val="4"/>
        </w:rPr>
        <w:t>职务：</w:t>
      </w:r>
      <w:r>
        <w:rPr>
          <w:spacing w:val="4"/>
          <w:u w:val="single"/>
        </w:rPr>
        <w:t>________</w:t>
      </w:r>
      <w:r>
        <w:rPr>
          <w:rFonts w:hint="eastAsia"/>
          <w:spacing w:val="4"/>
        </w:rPr>
        <w:t>日期：</w:t>
      </w:r>
      <w:r>
        <w:rPr>
          <w:spacing w:val="4"/>
          <w:u w:val="single"/>
        </w:rPr>
        <w:t>_________</w:t>
      </w:r>
    </w:p>
    <w:p>
      <w:pPr>
        <w:rPr>
          <w:rFonts w:hint="eastAsia"/>
          <w:b/>
          <w:sz w:val="24"/>
        </w:rPr>
      </w:pPr>
      <w:r>
        <w:rPr>
          <w:b/>
          <w:sz w:val="24"/>
        </w:rPr>
        <w:br w:type="page"/>
      </w:r>
    </w:p>
    <w:p>
      <w:pPr>
        <w:adjustRightInd/>
        <w:snapToGrid/>
        <w:spacing w:before="280" w:after="290" w:line="377" w:lineRule="auto"/>
        <w:outlineLvl w:val="2"/>
        <w:rPr>
          <w:rFonts w:hint="eastAsia"/>
          <w:b/>
          <w:sz w:val="24"/>
        </w:rPr>
      </w:pPr>
      <w:bookmarkStart w:id="145" w:name="_Toc2972"/>
      <w:r>
        <w:rPr>
          <w:rFonts w:hint="eastAsia"/>
          <w:b/>
          <w:sz w:val="24"/>
        </w:rPr>
        <w:t>格式</w:t>
      </w:r>
      <w:r>
        <w:rPr>
          <w:b/>
          <w:sz w:val="24"/>
        </w:rPr>
        <w:t>9</w:t>
      </w:r>
      <w:r>
        <w:rPr>
          <w:rFonts w:hint="eastAsia"/>
          <w:b/>
          <w:sz w:val="24"/>
        </w:rPr>
        <w:t>：技术规格偏离表</w:t>
      </w:r>
      <w:bookmarkEnd w:id="145"/>
    </w:p>
    <w:p>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146" w:name="OLE_LINK1"/>
      <w:r>
        <w:rPr>
          <w:rFonts w:hint="eastAsia" w:ascii="Times New Roman" w:hAnsi="Times New Roman" w:cs="Times New Roman"/>
          <w:bCs/>
          <w:kern w:val="2"/>
          <w:sz w:val="32"/>
          <w:szCs w:val="32"/>
        </w:rPr>
        <w:t>技术规格偏离表</w:t>
      </w:r>
    </w:p>
    <w:bookmarkEnd w:id="146"/>
    <w:p>
      <w:pPr>
        <w:tabs>
          <w:tab w:val="clear" w:pos="426"/>
        </w:tabs>
        <w:rPr>
          <w:rFonts w:ascii="Times New Roman" w:hAnsi="Times New Roman" w:cs="Times New Roman"/>
        </w:rPr>
      </w:pPr>
    </w:p>
    <w:p>
      <w:pPr>
        <w:tabs>
          <w:tab w:val="clear" w:pos="426"/>
        </w:tabs>
        <w:rPr>
          <w:rFonts w:ascii="Times New Roman" w:hAnsi="Times New Roman" w:cs="Times New Roman"/>
        </w:rPr>
      </w:pPr>
      <w:bookmarkStart w:id="147" w:name="_Hlk66188946"/>
      <w:r>
        <w:rPr>
          <w:rFonts w:hint="eastAsia" w:ascii="Times New Roman" w:hAnsi="Times New Roman" w:cs="Times New Roman"/>
        </w:rPr>
        <w:t>项目名称：</w:t>
      </w:r>
      <w:r>
        <w:rPr>
          <w:rFonts w:ascii="Times New Roman" w:hAnsi="Times New Roman" w:cs="Times New Roman"/>
          <w:u w:val="single"/>
        </w:rPr>
        <w:t>_____________________________________</w:t>
      </w:r>
      <w:r>
        <w:rPr>
          <w:rFonts w:hint="eastAsia" w:ascii="Times New Roman" w:hAnsi="Times New Roman" w:cs="Times New Roman"/>
        </w:rPr>
        <w:t>项目编号：</w:t>
      </w:r>
      <w:r>
        <w:rPr>
          <w:rFonts w:ascii="Times New Roman" w:hAnsi="Times New Roman" w:cs="Times New Roman"/>
          <w:sz w:val="18"/>
          <w:szCs w:val="18"/>
          <w:u w:val="single"/>
        </w:rPr>
        <w:t>_______________________</w:t>
      </w:r>
    </w:p>
    <w:bookmarkEnd w:id="147"/>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109"/>
        <w:gridCol w:w="1791"/>
        <w:gridCol w:w="1829"/>
        <w:gridCol w:w="1394"/>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序号</w:t>
            </w:r>
          </w:p>
        </w:tc>
        <w:tc>
          <w:tcPr>
            <w:tcW w:w="1101"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货物名称</w:t>
            </w:r>
          </w:p>
        </w:tc>
        <w:tc>
          <w:tcPr>
            <w:tcW w:w="935"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招标技术要求</w:t>
            </w:r>
          </w:p>
        </w:tc>
        <w:tc>
          <w:tcPr>
            <w:tcW w:w="955"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投标技术响应</w:t>
            </w:r>
          </w:p>
        </w:tc>
        <w:tc>
          <w:tcPr>
            <w:tcW w:w="728"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偏离情况</w:t>
            </w:r>
          </w:p>
        </w:tc>
        <w:tc>
          <w:tcPr>
            <w:tcW w:w="903"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1</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2</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3</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bl>
    <w:p>
      <w:pPr>
        <w:tabs>
          <w:tab w:val="clear" w:pos="426"/>
        </w:tabs>
        <w:spacing w:line="240" w:lineRule="auto"/>
        <w:rPr>
          <w:rFonts w:ascii="Times New Roman" w:hAnsi="Times New Roman" w:cs="Times New Roman"/>
          <w:bCs/>
        </w:rPr>
      </w:pPr>
    </w:p>
    <w:p>
      <w:pPr>
        <w:tabs>
          <w:tab w:val="clear" w:pos="426"/>
        </w:tabs>
        <w:spacing w:line="240" w:lineRule="auto"/>
        <w:rPr>
          <w:rFonts w:ascii="Times New Roman" w:hAnsi="Times New Roman" w:cs="Times New Roman"/>
          <w:bCs/>
        </w:rPr>
      </w:pPr>
      <w:r>
        <w:rPr>
          <w:rFonts w:hint="eastAsia" w:ascii="Times New Roman" w:hAnsi="Times New Roman" w:cs="Times New Roman"/>
          <w:bCs/>
        </w:rPr>
        <w:t>备注：</w:t>
      </w:r>
    </w:p>
    <w:p>
      <w:pPr>
        <w:spacing w:line="240" w:lineRule="auto"/>
        <w:ind w:firstLine="424" w:firstLineChars="202"/>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招标技术要求</w:t>
      </w:r>
      <w:r>
        <w:rPr>
          <w:rFonts w:ascii="Times New Roman" w:hAnsi="Times New Roman" w:cs="Times New Roman"/>
          <w:bCs/>
        </w:rPr>
        <w:t>”</w:t>
      </w:r>
      <w:r>
        <w:rPr>
          <w:rFonts w:hint="eastAsia" w:ascii="Times New Roman" w:hAnsi="Times New Roman" w:cs="Times New Roman"/>
          <w:bCs/>
        </w:rPr>
        <w:t>一栏应填写招标文件第二章</w:t>
      </w:r>
      <w:r>
        <w:rPr>
          <w:rFonts w:ascii="Times New Roman" w:hAnsi="Times New Roman" w:cs="Times New Roman"/>
          <w:bCs/>
        </w:rPr>
        <w:t>“</w:t>
      </w:r>
      <w:r>
        <w:rPr>
          <w:rFonts w:hint="eastAsia" w:ascii="Times New Roman" w:hAnsi="Times New Roman" w:cs="Times New Roman"/>
          <w:bCs/>
        </w:rPr>
        <w:t>技术要求</w:t>
      </w:r>
      <w:r>
        <w:rPr>
          <w:rFonts w:ascii="Times New Roman" w:hAnsi="Times New Roman" w:cs="Times New Roman"/>
          <w:bCs/>
        </w:rPr>
        <w:t>”</w:t>
      </w:r>
      <w:r>
        <w:rPr>
          <w:rFonts w:hint="eastAsia" w:ascii="Times New Roman" w:hAnsi="Times New Roman" w:cs="Times New Roman"/>
          <w:bCs/>
        </w:rPr>
        <w:t>的内容；</w:t>
      </w:r>
    </w:p>
    <w:p>
      <w:pPr>
        <w:spacing w:line="240" w:lineRule="auto"/>
        <w:ind w:firstLine="424" w:firstLineChars="202"/>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投标技术响应</w:t>
      </w:r>
      <w:r>
        <w:rPr>
          <w:rFonts w:ascii="Times New Roman" w:hAnsi="Times New Roman" w:cs="Times New Roman"/>
          <w:bCs/>
        </w:rPr>
        <w:t>”</w:t>
      </w:r>
      <w:r>
        <w:rPr>
          <w:rFonts w:hint="eastAsia" w:ascii="Times New Roman" w:hAnsi="Times New Roman" w:cs="Times New Roman"/>
          <w:bCs/>
        </w:rPr>
        <w:t>一栏必须详细填写投标产品的具体参数，并应对照招标技术要求一一对应响应；</w:t>
      </w:r>
    </w:p>
    <w:p>
      <w:pPr>
        <w:spacing w:line="240" w:lineRule="auto"/>
        <w:ind w:firstLine="424" w:firstLineChars="202"/>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偏离情况</w:t>
      </w:r>
      <w:r>
        <w:rPr>
          <w:rFonts w:ascii="Times New Roman" w:hAnsi="Times New Roman" w:cs="Times New Roman"/>
          <w:bCs/>
        </w:rPr>
        <w:t>”</w:t>
      </w:r>
      <w:r>
        <w:rPr>
          <w:rFonts w:hint="eastAsia" w:ascii="Times New Roman" w:hAnsi="Times New Roman" w:cs="Times New Roman"/>
          <w:bCs/>
        </w:rPr>
        <w:t>一栏应如实填写</w:t>
      </w:r>
      <w:r>
        <w:rPr>
          <w:rFonts w:ascii="Times New Roman" w:hAnsi="Times New Roman" w:cs="Times New Roman"/>
          <w:bCs/>
        </w:rPr>
        <w:t>“</w:t>
      </w:r>
      <w:r>
        <w:rPr>
          <w:rFonts w:hint="eastAsia" w:ascii="Times New Roman" w:hAnsi="Times New Roman" w:cs="Times New Roman"/>
          <w:bCs/>
        </w:rPr>
        <w:t>正偏离</w:t>
      </w:r>
      <w:r>
        <w:rPr>
          <w:rFonts w:ascii="Times New Roman" w:hAnsi="Times New Roman" w:cs="Times New Roman"/>
          <w:bCs/>
        </w:rPr>
        <w:t>”</w:t>
      </w:r>
      <w:r>
        <w:rPr>
          <w:rFonts w:hint="eastAsia" w:ascii="Times New Roman" w:hAnsi="Times New Roman" w:cs="Times New Roman"/>
          <w:bCs/>
        </w:rPr>
        <w:t>、</w:t>
      </w:r>
      <w:r>
        <w:rPr>
          <w:rFonts w:ascii="Times New Roman" w:hAnsi="Times New Roman" w:cs="Times New Roman"/>
          <w:bCs/>
        </w:rPr>
        <w:t>“</w:t>
      </w:r>
      <w:r>
        <w:rPr>
          <w:rFonts w:hint="eastAsia" w:ascii="Times New Roman" w:hAnsi="Times New Roman" w:cs="Times New Roman"/>
          <w:bCs/>
        </w:rPr>
        <w:t>负偏离</w:t>
      </w:r>
      <w:r>
        <w:rPr>
          <w:rFonts w:ascii="Times New Roman" w:hAnsi="Times New Roman" w:cs="Times New Roman"/>
          <w:bCs/>
        </w:rPr>
        <w:t>”</w:t>
      </w:r>
      <w:r>
        <w:rPr>
          <w:rFonts w:hint="eastAsia" w:ascii="Times New Roman" w:hAnsi="Times New Roman" w:cs="Times New Roman"/>
          <w:bCs/>
        </w:rPr>
        <w:t>或</w:t>
      </w:r>
      <w:r>
        <w:rPr>
          <w:rFonts w:ascii="Times New Roman" w:hAnsi="Times New Roman" w:cs="Times New Roman"/>
          <w:bCs/>
        </w:rPr>
        <w:t>“</w:t>
      </w:r>
      <w:r>
        <w:rPr>
          <w:rFonts w:hint="eastAsia" w:ascii="Times New Roman" w:hAnsi="Times New Roman" w:cs="Times New Roman"/>
          <w:bCs/>
        </w:rPr>
        <w:t>无偏离</w:t>
      </w:r>
      <w:r>
        <w:rPr>
          <w:rFonts w:ascii="Times New Roman" w:hAnsi="Times New Roman" w:cs="Times New Roman"/>
          <w:bCs/>
        </w:rPr>
        <w:t>”</w:t>
      </w:r>
      <w:r>
        <w:rPr>
          <w:rFonts w:hint="eastAsia" w:ascii="Times New Roman" w:hAnsi="Times New Roman" w:cs="Times New Roman"/>
          <w:bCs/>
        </w:rPr>
        <w:t>。</w:t>
      </w:r>
    </w:p>
    <w:p>
      <w:pPr>
        <w:spacing w:line="240" w:lineRule="auto"/>
        <w:ind w:firstLine="424" w:firstLineChars="202"/>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bCs/>
        </w:rPr>
        <w:t>投标人在《技术规格偏离表》填写的</w:t>
      </w:r>
      <w:r>
        <w:rPr>
          <w:rFonts w:ascii="Times New Roman" w:hAnsi="Times New Roman" w:cs="Times New Roman"/>
          <w:bCs/>
        </w:rPr>
        <w:t>“</w:t>
      </w:r>
      <w:r>
        <w:rPr>
          <w:rFonts w:hint="eastAsia" w:ascii="Times New Roman" w:hAnsi="Times New Roman" w:cs="Times New Roman"/>
          <w:bCs/>
        </w:rPr>
        <w:t>投标技术响应</w:t>
      </w:r>
      <w:r>
        <w:rPr>
          <w:rFonts w:ascii="Times New Roman" w:hAnsi="Times New Roman" w:cs="Times New Roman"/>
          <w:bCs/>
        </w:rPr>
        <w:t>”</w:t>
      </w:r>
      <w:r>
        <w:rPr>
          <w:rFonts w:hint="eastAsia" w:ascii="Times New Roman" w:hAnsi="Times New Roman" w:cs="Times New Roman"/>
          <w:bCs/>
        </w:rPr>
        <w:t>与</w:t>
      </w:r>
      <w:r>
        <w:rPr>
          <w:rFonts w:ascii="Times New Roman" w:hAnsi="Times New Roman" w:cs="Times New Roman"/>
          <w:bCs/>
        </w:rPr>
        <w:t>“</w:t>
      </w:r>
      <w:r>
        <w:rPr>
          <w:rFonts w:hint="eastAsia" w:ascii="Times New Roman" w:hAnsi="Times New Roman" w:cs="Times New Roman"/>
          <w:bCs/>
        </w:rPr>
        <w:t>招标技术要求</w:t>
      </w:r>
      <w:r>
        <w:rPr>
          <w:rFonts w:ascii="Times New Roman" w:hAnsi="Times New Roman" w:cs="Times New Roman"/>
          <w:bCs/>
        </w:rPr>
        <w:t>”</w:t>
      </w:r>
      <w:r>
        <w:rPr>
          <w:rFonts w:hint="eastAsia" w:ascii="Times New Roman" w:hAnsi="Times New Roman" w:cs="Times New Roman"/>
          <w:bCs/>
        </w:rPr>
        <w:t>存在填写不全的情况，将被视为未实质性满足招标文件要求作投标无效处理。示例，</w:t>
      </w:r>
      <w:r>
        <w:rPr>
          <w:rFonts w:ascii="Times New Roman" w:hAnsi="Times New Roman" w:cs="Times New Roman"/>
          <w:bCs/>
        </w:rPr>
        <w:t>“</w:t>
      </w:r>
      <w:r>
        <w:rPr>
          <w:rFonts w:hint="eastAsia" w:ascii="Times New Roman" w:hAnsi="Times New Roman" w:cs="Times New Roman"/>
          <w:bCs/>
        </w:rPr>
        <w:t>招标技术要求</w:t>
      </w:r>
      <w:r>
        <w:rPr>
          <w:rFonts w:ascii="Times New Roman" w:hAnsi="Times New Roman" w:cs="Times New Roman"/>
          <w:bCs/>
        </w:rPr>
        <w:t>”</w:t>
      </w:r>
      <w:r>
        <w:rPr>
          <w:rFonts w:hint="eastAsia" w:ascii="Times New Roman" w:hAnsi="Times New Roman" w:cs="Times New Roman"/>
          <w:bCs/>
        </w:rPr>
        <w:t>共有</w:t>
      </w:r>
      <w:r>
        <w:rPr>
          <w:rFonts w:ascii="Times New Roman" w:hAnsi="Times New Roman" w:cs="Times New Roman"/>
          <w:bCs/>
        </w:rPr>
        <w:t>10</w:t>
      </w:r>
      <w:r>
        <w:rPr>
          <w:rFonts w:hint="eastAsia" w:ascii="Times New Roman" w:hAnsi="Times New Roman" w:cs="Times New Roman"/>
          <w:bCs/>
        </w:rPr>
        <w:t>项参数，投标人只响应了</w:t>
      </w:r>
      <w:r>
        <w:rPr>
          <w:rFonts w:ascii="Times New Roman" w:hAnsi="Times New Roman" w:cs="Times New Roman"/>
          <w:bCs/>
        </w:rPr>
        <w:t>9</w:t>
      </w:r>
      <w:r>
        <w:rPr>
          <w:rFonts w:hint="eastAsia" w:ascii="Times New Roman" w:hAnsi="Times New Roman" w:cs="Times New Roman"/>
          <w:bCs/>
        </w:rPr>
        <w:t>项，填写不全，则视为未实质性满足招标文件要求作投标无效处理。</w:t>
      </w:r>
      <w:bookmarkStart w:id="148" w:name="OLE_LINK2"/>
      <w:r>
        <w:rPr>
          <w:rFonts w:hint="eastAsia" w:ascii="Times New Roman" w:hAnsi="Times New Roman" w:cs="Times New Roman"/>
          <w:bCs/>
        </w:rPr>
        <w:t>带★招标技术要求，不允许有任何负偏离，否则将作投标无效处理。</w:t>
      </w:r>
    </w:p>
    <w:bookmarkEnd w:id="148"/>
    <w:p>
      <w:pPr>
        <w:spacing w:line="240" w:lineRule="auto"/>
        <w:ind w:firstLine="424" w:firstLineChars="202"/>
        <w:rPr>
          <w:rFonts w:ascii="Times New Roman" w:hAnsi="Times New Roman" w:cs="Times New Roman"/>
          <w:bCs/>
        </w:rPr>
      </w:pPr>
      <w:r>
        <w:rPr>
          <w:rFonts w:ascii="Times New Roman" w:hAnsi="Times New Roman" w:cs="Times New Roman"/>
          <w:bCs/>
        </w:rPr>
        <w:t>5.</w:t>
      </w:r>
      <w:r>
        <w:rPr>
          <w:rFonts w:hint="eastAsia" w:ascii="Times New Roman" w:hAnsi="Times New Roman" w:cs="Times New Roman"/>
          <w:bCs/>
        </w:rPr>
        <w:t>投标人所填写的</w:t>
      </w:r>
      <w:r>
        <w:rPr>
          <w:rFonts w:ascii="Times New Roman" w:hAnsi="Times New Roman" w:cs="Times New Roman"/>
          <w:bCs/>
        </w:rPr>
        <w:t>“</w:t>
      </w:r>
      <w:r>
        <w:rPr>
          <w:rFonts w:hint="eastAsia" w:ascii="Times New Roman" w:hAnsi="Times New Roman" w:cs="Times New Roman"/>
          <w:bCs/>
        </w:rPr>
        <w:t>偏离情况</w:t>
      </w:r>
      <w:r>
        <w:rPr>
          <w:rFonts w:ascii="Times New Roman" w:hAnsi="Times New Roman" w:cs="Times New Roman"/>
          <w:bCs/>
        </w:rPr>
        <w:t>”</w:t>
      </w:r>
      <w:r>
        <w:rPr>
          <w:rFonts w:hint="eastAsia" w:ascii="Times New Roman" w:hAnsi="Times New Roman" w:cs="Times New Roman"/>
          <w:bCs/>
        </w:rPr>
        <w:t>与评审委员会判定不一致时，以评审委员会意见为主。</w:t>
      </w:r>
    </w:p>
    <w:p>
      <w:pPr>
        <w:spacing w:line="240" w:lineRule="auto"/>
        <w:ind w:firstLine="424" w:firstLineChars="202"/>
        <w:rPr>
          <w:rFonts w:ascii="Times New Roman" w:hAnsi="Times New Roman" w:cs="Times New Roman"/>
          <w:bCs/>
        </w:rPr>
      </w:pPr>
      <w:r>
        <w:rPr>
          <w:rFonts w:ascii="Times New Roman" w:hAnsi="Times New Roman" w:cs="Times New Roman"/>
          <w:bCs/>
        </w:rPr>
        <w:t>6.</w:t>
      </w:r>
      <w:r>
        <w:rPr>
          <w:rFonts w:hint="eastAsia" w:ascii="Times New Roman" w:hAnsi="Times New Roman" w:cs="Times New Roman"/>
          <w:bCs/>
        </w:rPr>
        <w:t>投标产品的技术参数应按《技术规格偏离表》中的要求提供相应的证明资料，以证明投标人响应的真实性。证明资料包括制造商公布的产品说明书、产品彩页和我国政府机构出具的产品检验和核准证件等。投标人应在</w:t>
      </w:r>
      <w:r>
        <w:rPr>
          <w:rFonts w:ascii="Times New Roman" w:hAnsi="Times New Roman" w:cs="Times New Roman"/>
          <w:bCs/>
        </w:rPr>
        <w:t>“</w:t>
      </w:r>
      <w:r>
        <w:rPr>
          <w:rFonts w:hint="eastAsia" w:ascii="Times New Roman" w:hAnsi="Times New Roman" w:cs="Times New Roman"/>
          <w:bCs/>
        </w:rPr>
        <w:t>说明</w:t>
      </w:r>
      <w:r>
        <w:rPr>
          <w:rFonts w:ascii="Times New Roman" w:hAnsi="Times New Roman" w:cs="Times New Roman"/>
          <w:bCs/>
        </w:rPr>
        <w:t>”</w:t>
      </w:r>
      <w:r>
        <w:rPr>
          <w:rFonts w:hint="eastAsia" w:ascii="Times New Roman" w:hAnsi="Times New Roman" w:cs="Times New Roman"/>
          <w:bCs/>
        </w:rPr>
        <w:t>一栏中列出技术参数的证明资料名称，并指明该证明资料在投标文件中的具体位置。提供的证明资料显示产品参数信息不符合招标文件要求的，如果投标人偏离程度响应为</w:t>
      </w:r>
      <w:r>
        <w:rPr>
          <w:rFonts w:ascii="Times New Roman" w:hAnsi="Times New Roman" w:cs="Times New Roman"/>
          <w:bCs/>
        </w:rPr>
        <w:t>“</w:t>
      </w:r>
      <w:r>
        <w:rPr>
          <w:rFonts w:hint="eastAsia" w:ascii="Times New Roman" w:hAnsi="Times New Roman" w:cs="Times New Roman"/>
          <w:bCs/>
        </w:rPr>
        <w:t>无偏离或正偏离</w:t>
      </w:r>
      <w:r>
        <w:rPr>
          <w:rFonts w:ascii="Times New Roman" w:hAnsi="Times New Roman" w:cs="Times New Roman"/>
          <w:bCs/>
        </w:rPr>
        <w:t>”</w:t>
      </w:r>
      <w:r>
        <w:rPr>
          <w:rFonts w:hint="eastAsia" w:ascii="Times New Roman" w:hAnsi="Times New Roman" w:cs="Times New Roman"/>
          <w:bCs/>
        </w:rPr>
        <w:t>的，则应判断为负偏离；提供的证明材料模糊不清，导致评审专家无法判断的，如果投标人偏离程度响应为</w:t>
      </w:r>
      <w:r>
        <w:rPr>
          <w:rFonts w:ascii="Times New Roman" w:hAnsi="Times New Roman" w:cs="Times New Roman"/>
          <w:bCs/>
        </w:rPr>
        <w:t>“</w:t>
      </w:r>
      <w:r>
        <w:rPr>
          <w:rFonts w:hint="eastAsia" w:ascii="Times New Roman" w:hAnsi="Times New Roman" w:cs="Times New Roman"/>
          <w:bCs/>
        </w:rPr>
        <w:t>无偏离或正偏离</w:t>
      </w:r>
      <w:r>
        <w:rPr>
          <w:rFonts w:ascii="Times New Roman" w:hAnsi="Times New Roman" w:cs="Times New Roman"/>
          <w:bCs/>
        </w:rPr>
        <w:t>”</w:t>
      </w:r>
      <w:r>
        <w:rPr>
          <w:rFonts w:hint="eastAsia" w:ascii="Times New Roman" w:hAnsi="Times New Roman" w:cs="Times New Roman"/>
          <w:bCs/>
        </w:rPr>
        <w:t>的，则应判断为负偏离。若《技术规格偏离表》中未要求提供相应证明材料的，投标人可以不提供。</w:t>
      </w:r>
    </w:p>
    <w:p>
      <w:pPr>
        <w:spacing w:line="240" w:lineRule="auto"/>
        <w:ind w:firstLine="424" w:firstLineChars="202"/>
        <w:rPr>
          <w:rFonts w:ascii="Times New Roman" w:hAnsi="Times New Roman" w:cs="Times New Roman"/>
          <w:bCs/>
        </w:rPr>
      </w:pPr>
      <w:r>
        <w:rPr>
          <w:rFonts w:ascii="Times New Roman" w:hAnsi="Times New Roman" w:cs="Times New Roman"/>
          <w:bCs/>
        </w:rPr>
        <w:t>7.</w:t>
      </w:r>
      <w:r>
        <w:rPr>
          <w:rFonts w:hint="eastAsia" w:ascii="Times New Roman" w:hAnsi="Times New Roman" w:cs="Times New Roman"/>
          <w:bCs/>
        </w:rPr>
        <w:t>证明资料（均为扫描件）的提供要求：</w:t>
      </w:r>
    </w:p>
    <w:p>
      <w:pPr>
        <w:spacing w:line="240" w:lineRule="auto"/>
        <w:ind w:firstLine="424" w:firstLineChars="202"/>
        <w:rPr>
          <w:rFonts w:ascii="Times New Roman" w:hAnsi="Times New Roman" w:cs="Times New Roman"/>
          <w:bCs/>
        </w:rPr>
      </w:pPr>
      <w:r>
        <w:rPr>
          <w:rFonts w:hint="eastAsia" w:ascii="Times New Roman" w:hAnsi="Times New Roman" w:cs="Times New Roman"/>
          <w:bCs/>
        </w:rPr>
        <w:t>（</w:t>
      </w:r>
      <w:r>
        <w:rPr>
          <w:rFonts w:ascii="Times New Roman" w:hAnsi="Times New Roman" w:cs="Times New Roman"/>
          <w:bCs/>
        </w:rPr>
        <w:t>1</w:t>
      </w:r>
      <w:r>
        <w:rPr>
          <w:rFonts w:hint="eastAsia" w:ascii="Times New Roman" w:hAnsi="Times New Roman" w:cs="Times New Roman"/>
          <w:bCs/>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240" w:lineRule="auto"/>
        <w:ind w:firstLine="424" w:firstLineChars="202"/>
        <w:rPr>
          <w:rFonts w:ascii="Times New Roman" w:hAnsi="Times New Roman" w:cs="Times New Roman"/>
          <w:bCs/>
        </w:rPr>
      </w:pPr>
      <w:r>
        <w:rPr>
          <w:rFonts w:hint="eastAsia" w:ascii="Times New Roman" w:hAnsi="Times New Roman" w:cs="Times New Roman"/>
          <w:bCs/>
        </w:rPr>
        <w:t>（</w:t>
      </w:r>
      <w:r>
        <w:rPr>
          <w:rFonts w:ascii="Times New Roman" w:hAnsi="Times New Roman" w:cs="Times New Roman"/>
          <w:bCs/>
        </w:rPr>
        <w:t>2</w:t>
      </w:r>
      <w:r>
        <w:rPr>
          <w:rFonts w:hint="eastAsia" w:ascii="Times New Roman" w:hAnsi="Times New Roman" w:cs="Times New Roman"/>
          <w:bCs/>
        </w:rPr>
        <w:t>）我国政府机构出具的产品检验和核准证件应为证件正面、背面和附件标注的全部具体内容；产品检验和核准证件的尺寸和清晰度应该能够在电脑上被阅读、识别和判断。</w:t>
      </w:r>
    </w:p>
    <w:p>
      <w:pPr>
        <w:rPr>
          <w:rFonts w:ascii="Times New Roman" w:hAnsi="Times New Roman" w:cs="Times New Roman"/>
          <w:bCs/>
        </w:rPr>
      </w:pPr>
      <w:r>
        <w:rPr>
          <w:rFonts w:ascii="Times New Roman" w:hAnsi="Times New Roman" w:cs="Times New Roman"/>
          <w:bCs/>
        </w:rPr>
        <w:br w:type="page"/>
      </w:r>
    </w:p>
    <w:p>
      <w:pPr>
        <w:adjustRightInd/>
        <w:snapToGrid/>
        <w:spacing w:before="280" w:after="290" w:line="377" w:lineRule="auto"/>
        <w:outlineLvl w:val="2"/>
        <w:rPr>
          <w:rFonts w:hint="eastAsia"/>
          <w:b/>
          <w:sz w:val="24"/>
        </w:rPr>
      </w:pPr>
      <w:bookmarkStart w:id="149" w:name="_Toc32278"/>
      <w:r>
        <w:rPr>
          <w:rFonts w:hint="eastAsia"/>
          <w:b/>
          <w:sz w:val="24"/>
        </w:rPr>
        <w:t>格式</w:t>
      </w:r>
      <w:r>
        <w:rPr>
          <w:b/>
          <w:sz w:val="24"/>
        </w:rPr>
        <w:t>10</w:t>
      </w:r>
      <w:r>
        <w:rPr>
          <w:rFonts w:hint="eastAsia"/>
          <w:b/>
          <w:sz w:val="24"/>
        </w:rPr>
        <w:t>：技术保障措施</w:t>
      </w:r>
      <w:bookmarkEnd w:id="149"/>
    </w:p>
    <w:p>
      <w:pPr>
        <w:adjustRightInd/>
        <w:snapToGrid/>
        <w:spacing w:before="280" w:after="290" w:line="377" w:lineRule="auto"/>
        <w:outlineLvl w:val="2"/>
        <w:rPr>
          <w:rFonts w:hint="eastAsia"/>
          <w:b/>
          <w:sz w:val="24"/>
        </w:rPr>
      </w:pPr>
      <w:bookmarkStart w:id="150" w:name="_Toc1638"/>
      <w:r>
        <w:rPr>
          <w:rFonts w:hint="eastAsia"/>
          <w:b/>
          <w:sz w:val="24"/>
        </w:rPr>
        <w:t>格式</w:t>
      </w:r>
      <w:r>
        <w:rPr>
          <w:b/>
          <w:sz w:val="24"/>
        </w:rPr>
        <w:t>11</w:t>
      </w:r>
      <w:r>
        <w:rPr>
          <w:rFonts w:hint="eastAsia"/>
          <w:b/>
          <w:sz w:val="24"/>
        </w:rPr>
        <w:t>：售后服务方案</w:t>
      </w:r>
      <w:bookmarkEnd w:id="150"/>
    </w:p>
    <w:p>
      <w:pPr>
        <w:tabs>
          <w:tab w:val="clear" w:pos="426"/>
        </w:tabs>
        <w:spacing w:line="440" w:lineRule="exact"/>
        <w:rPr>
          <w:rFonts w:hint="eastAsia"/>
          <w:b/>
          <w:bCs/>
        </w:rPr>
      </w:pPr>
    </w:p>
    <w:p>
      <w:pPr>
        <w:tabs>
          <w:tab w:val="clear" w:pos="426"/>
        </w:tabs>
        <w:spacing w:line="440" w:lineRule="exact"/>
        <w:rPr>
          <w:rFonts w:hint="eastAsia"/>
          <w:b/>
          <w:szCs w:val="21"/>
        </w:rPr>
      </w:pPr>
      <w:r>
        <w:rPr>
          <w:rFonts w:hint="eastAsia"/>
          <w:b/>
          <w:bCs/>
        </w:rPr>
        <w:t>备注：以上节点请</w:t>
      </w:r>
      <w:r>
        <w:rPr>
          <w:rFonts w:hint="eastAsia"/>
          <w:b/>
          <w:szCs w:val="21"/>
        </w:rPr>
        <w:t>根据评审表的要求提交相应资料，格式自拟。</w:t>
      </w:r>
    </w:p>
    <w:p>
      <w:pPr>
        <w:rPr>
          <w:rFonts w:hint="eastAsia"/>
        </w:rPr>
      </w:pPr>
    </w:p>
    <w:p>
      <w:pPr>
        <w:spacing w:line="240" w:lineRule="auto"/>
        <w:ind w:firstLine="424" w:firstLineChars="202"/>
        <w:rPr>
          <w:rFonts w:hint="eastAsia"/>
        </w:rPr>
      </w:pPr>
    </w:p>
    <w:p>
      <w:pPr>
        <w:spacing w:line="240" w:lineRule="auto"/>
        <w:ind w:firstLine="424" w:firstLineChars="202"/>
        <w:rPr>
          <w:rFonts w:ascii="Times New Roman" w:hAnsi="Times New Roman" w:cs="Times New Roman"/>
          <w:bCs/>
        </w:rPr>
      </w:pPr>
    </w:p>
    <w:p>
      <w:pPr>
        <w:shd w:val="clear" w:color="auto" w:fill="auto"/>
        <w:tabs>
          <w:tab w:val="clear" w:pos="426"/>
        </w:tabs>
        <w:adjustRightInd/>
        <w:snapToGrid/>
        <w:spacing w:line="240" w:lineRule="auto"/>
        <w:jc w:val="left"/>
        <w:rPr>
          <w:rFonts w:ascii="Times New Roman" w:hAnsi="Times New Roman" w:cs="Times New Roman"/>
          <w:bCs/>
        </w:rPr>
      </w:pPr>
      <w:r>
        <w:rPr>
          <w:rFonts w:ascii="Times New Roman" w:hAnsi="Times New Roman" w:cs="Times New Roman"/>
          <w:bCs/>
        </w:rPr>
        <w:br w:type="page"/>
      </w:r>
    </w:p>
    <w:p>
      <w:pPr>
        <w:adjustRightInd/>
        <w:snapToGrid/>
        <w:spacing w:before="280" w:after="290" w:line="377" w:lineRule="auto"/>
        <w:outlineLvl w:val="2"/>
        <w:rPr>
          <w:rFonts w:hint="eastAsia"/>
          <w:b/>
          <w:sz w:val="24"/>
        </w:rPr>
      </w:pPr>
      <w:bookmarkStart w:id="151" w:name="_Toc9963"/>
      <w:r>
        <w:rPr>
          <w:rFonts w:hint="eastAsia"/>
          <w:b/>
          <w:sz w:val="24"/>
        </w:rPr>
        <w:t>格式</w:t>
      </w:r>
      <w:r>
        <w:rPr>
          <w:b/>
          <w:sz w:val="24"/>
        </w:rPr>
        <w:t>12</w:t>
      </w:r>
      <w:r>
        <w:rPr>
          <w:rFonts w:hint="eastAsia"/>
          <w:b/>
          <w:sz w:val="24"/>
        </w:rPr>
        <w:t>：商务条款偏离表</w:t>
      </w:r>
      <w:bookmarkEnd w:id="151"/>
    </w:p>
    <w:p>
      <w:pPr>
        <w:widowControl w:val="0"/>
        <w:shd w:val="clear" w:color="auto" w:fill="auto"/>
        <w:tabs>
          <w:tab w:val="clear" w:pos="426"/>
        </w:tabs>
        <w:spacing w:line="300" w:lineRule="auto"/>
        <w:jc w:val="center"/>
        <w:rPr>
          <w:rFonts w:ascii="Times New Roman" w:hAnsi="Times New Roman" w:cs="Times New Roman"/>
          <w:bCs/>
          <w:kern w:val="2"/>
          <w:sz w:val="32"/>
          <w:szCs w:val="32"/>
        </w:rPr>
      </w:pPr>
      <w:r>
        <w:rPr>
          <w:rFonts w:hint="eastAsia" w:ascii="Times New Roman" w:hAnsi="Times New Roman" w:cs="Times New Roman"/>
          <w:bCs/>
          <w:kern w:val="2"/>
          <w:sz w:val="32"/>
          <w:szCs w:val="32"/>
        </w:rPr>
        <w:t>商务条款偏离表</w:t>
      </w:r>
    </w:p>
    <w:p>
      <w:pPr>
        <w:widowControl w:val="0"/>
        <w:shd w:val="clear" w:color="auto" w:fill="auto"/>
        <w:tabs>
          <w:tab w:val="clear" w:pos="426"/>
        </w:tabs>
        <w:spacing w:line="300" w:lineRule="auto"/>
        <w:jc w:val="center"/>
        <w:rPr>
          <w:rFonts w:ascii="Times New Roman" w:hAnsi="Times New Roman" w:cs="Times New Roman"/>
          <w:bCs/>
          <w:kern w:val="2"/>
          <w:sz w:val="32"/>
          <w:szCs w:val="32"/>
        </w:rPr>
      </w:pPr>
    </w:p>
    <w:p>
      <w:pPr>
        <w:rPr>
          <w:rFonts w:ascii="Times New Roman" w:hAnsi="Times New Roman" w:cs="Times New Roman"/>
          <w:b/>
        </w:rPr>
      </w:pPr>
      <w:r>
        <w:rPr>
          <w:rFonts w:hint="eastAsia" w:ascii="Times New Roman" w:hAnsi="Times New Roman" w:cs="Times New Roman"/>
        </w:rPr>
        <w:t>项目名称：</w:t>
      </w:r>
      <w:r>
        <w:rPr>
          <w:rFonts w:ascii="Times New Roman" w:hAnsi="Times New Roman" w:cs="Times New Roman"/>
          <w:u w:val="single"/>
        </w:rPr>
        <w:t>_________________________________</w:t>
      </w:r>
      <w:r>
        <w:rPr>
          <w:rFonts w:hint="eastAsia" w:ascii="Times New Roman" w:hAnsi="Times New Roman" w:cs="Times New Roman"/>
        </w:rPr>
        <w:t>项目编号：</w:t>
      </w:r>
      <w:r>
        <w:rPr>
          <w:rFonts w:ascii="Times New Roman" w:hAnsi="Times New Roman" w:cs="Times New Roman"/>
          <w:u w:val="single"/>
        </w:rPr>
        <w:t>_______________________</w:t>
      </w:r>
    </w:p>
    <w:tbl>
      <w:tblPr>
        <w:tblStyle w:val="8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158"/>
        <w:gridCol w:w="2123"/>
        <w:gridCol w:w="2123"/>
        <w:gridCol w:w="1543"/>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hint="eastAsia" w:ascii="Times New Roman" w:hAnsi="Times New Roman" w:cs="Times New Roman"/>
              </w:rPr>
              <w:t>序号</w:t>
            </w:r>
          </w:p>
        </w:tc>
        <w:tc>
          <w:tcPr>
            <w:tcW w:w="605" w:type="pct"/>
            <w:vAlign w:val="center"/>
          </w:tcPr>
          <w:p>
            <w:pPr>
              <w:tabs>
                <w:tab w:val="clear" w:pos="426"/>
              </w:tabs>
              <w:spacing w:line="240" w:lineRule="auto"/>
              <w:jc w:val="center"/>
              <w:rPr>
                <w:rFonts w:ascii="Times New Roman" w:hAnsi="Times New Roman" w:cs="Times New Roman"/>
              </w:rPr>
            </w:pPr>
            <w:r>
              <w:rPr>
                <w:rFonts w:hint="eastAsia" w:ascii="Times New Roman" w:hAnsi="Times New Roman" w:cs="Times New Roman"/>
              </w:rPr>
              <w:t>目录</w:t>
            </w:r>
          </w:p>
        </w:tc>
        <w:tc>
          <w:tcPr>
            <w:tcW w:w="1109" w:type="pct"/>
            <w:vAlign w:val="center"/>
          </w:tcPr>
          <w:p>
            <w:pPr>
              <w:tabs>
                <w:tab w:val="clear" w:pos="426"/>
              </w:tabs>
              <w:spacing w:line="240" w:lineRule="auto"/>
              <w:jc w:val="center"/>
              <w:rPr>
                <w:rFonts w:ascii="Times New Roman" w:hAnsi="Times New Roman" w:cs="Times New Roman"/>
              </w:rPr>
            </w:pPr>
            <w:r>
              <w:rPr>
                <w:rFonts w:hint="eastAsia" w:ascii="Times New Roman" w:hAnsi="Times New Roman" w:cs="Times New Roman"/>
              </w:rPr>
              <w:t>招标商务条款</w:t>
            </w:r>
          </w:p>
        </w:tc>
        <w:tc>
          <w:tcPr>
            <w:tcW w:w="1109" w:type="pct"/>
            <w:vAlign w:val="center"/>
          </w:tcPr>
          <w:p>
            <w:pPr>
              <w:tabs>
                <w:tab w:val="clear" w:pos="426"/>
              </w:tabs>
              <w:spacing w:line="240" w:lineRule="auto"/>
              <w:jc w:val="center"/>
              <w:rPr>
                <w:rFonts w:ascii="Times New Roman" w:hAnsi="Times New Roman" w:cs="Times New Roman"/>
              </w:rPr>
            </w:pPr>
            <w:r>
              <w:rPr>
                <w:rFonts w:hint="eastAsia" w:ascii="Times New Roman" w:hAnsi="Times New Roman" w:cs="Times New Roman"/>
              </w:rPr>
              <w:t>投标商务条款</w:t>
            </w:r>
          </w:p>
        </w:tc>
        <w:tc>
          <w:tcPr>
            <w:tcW w:w="806" w:type="pct"/>
            <w:vAlign w:val="center"/>
          </w:tcPr>
          <w:p>
            <w:pPr>
              <w:tabs>
                <w:tab w:val="clear" w:pos="426"/>
              </w:tabs>
              <w:spacing w:line="240" w:lineRule="auto"/>
              <w:jc w:val="center"/>
              <w:rPr>
                <w:rFonts w:ascii="Times New Roman" w:hAnsi="Times New Roman" w:cs="Times New Roman"/>
              </w:rPr>
            </w:pPr>
            <w:r>
              <w:rPr>
                <w:rFonts w:hint="eastAsia" w:ascii="Times New Roman" w:hAnsi="Times New Roman" w:cs="Times New Roman"/>
              </w:rPr>
              <w:t>偏离情况</w:t>
            </w:r>
          </w:p>
        </w:tc>
        <w:tc>
          <w:tcPr>
            <w:tcW w:w="908" w:type="pct"/>
            <w:vAlign w:val="center"/>
          </w:tcPr>
          <w:p>
            <w:pPr>
              <w:tabs>
                <w:tab w:val="clear" w:pos="426"/>
              </w:tabs>
              <w:spacing w:line="240" w:lineRule="auto"/>
              <w:jc w:val="center"/>
              <w:rPr>
                <w:rFonts w:ascii="Times New Roman" w:hAnsi="Times New Roman" w:cs="Times New Roman"/>
              </w:rPr>
            </w:pPr>
            <w:r>
              <w:rPr>
                <w:rFonts w:hint="eastAsia"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1</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2</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bl>
    <w:p>
      <w:pPr>
        <w:tabs>
          <w:tab w:val="clear" w:pos="426"/>
        </w:tabs>
        <w:rPr>
          <w:rFonts w:ascii="Times New Roman" w:hAnsi="Times New Roman" w:cs="Times New Roman"/>
        </w:rPr>
      </w:pPr>
    </w:p>
    <w:p>
      <w:pPr>
        <w:tabs>
          <w:tab w:val="clear" w:pos="426"/>
        </w:tabs>
        <w:spacing w:line="240" w:lineRule="auto"/>
        <w:rPr>
          <w:rFonts w:ascii="Times New Roman" w:hAnsi="Times New Roman" w:cs="Times New Roman"/>
        </w:rPr>
      </w:pPr>
      <w:r>
        <w:rPr>
          <w:rFonts w:hint="eastAsia" w:ascii="Times New Roman" w:hAnsi="Times New Roman" w:cs="Times New Roman"/>
        </w:rPr>
        <w:t>备注：</w:t>
      </w:r>
    </w:p>
    <w:p>
      <w:pPr>
        <w:spacing w:line="240" w:lineRule="auto"/>
        <w:ind w:firstLine="424" w:firstLineChars="202"/>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招标商务条款</w:t>
      </w:r>
      <w:r>
        <w:rPr>
          <w:rFonts w:ascii="Times New Roman" w:hAnsi="Times New Roman" w:cs="Times New Roman"/>
        </w:rPr>
        <w:t>”</w:t>
      </w:r>
      <w:r>
        <w:rPr>
          <w:rFonts w:hint="eastAsia" w:ascii="Times New Roman" w:hAnsi="Times New Roman" w:cs="Times New Roman"/>
        </w:rPr>
        <w:t>一栏必须填写招标文件第二章</w:t>
      </w:r>
      <w:r>
        <w:rPr>
          <w:rFonts w:ascii="Times New Roman" w:hAnsi="Times New Roman" w:cs="Times New Roman"/>
        </w:rPr>
        <w:t>“</w:t>
      </w:r>
      <w:r>
        <w:rPr>
          <w:rFonts w:hint="eastAsia" w:ascii="Times New Roman" w:hAnsi="Times New Roman" w:cs="Times New Roman"/>
        </w:rPr>
        <w:t>商务要求</w:t>
      </w:r>
      <w:r>
        <w:rPr>
          <w:rFonts w:ascii="Times New Roman" w:hAnsi="Times New Roman" w:cs="Times New Roman"/>
        </w:rPr>
        <w:t>”</w:t>
      </w:r>
      <w:r>
        <w:rPr>
          <w:rFonts w:hint="eastAsia" w:ascii="Times New Roman" w:hAnsi="Times New Roman" w:cs="Times New Roman"/>
        </w:rPr>
        <w:t>的内容进行填写。</w:t>
      </w:r>
    </w:p>
    <w:p>
      <w:pPr>
        <w:spacing w:line="240" w:lineRule="auto"/>
        <w:ind w:firstLine="424" w:firstLineChars="202"/>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投标商务条款</w:t>
      </w:r>
      <w:r>
        <w:rPr>
          <w:rFonts w:ascii="Times New Roman" w:hAnsi="Times New Roman" w:cs="Times New Roman"/>
        </w:rPr>
        <w:t>”</w:t>
      </w:r>
      <w:r>
        <w:rPr>
          <w:rFonts w:hint="eastAsia" w:ascii="Times New Roman" w:hAnsi="Times New Roman" w:cs="Times New Roman"/>
        </w:rPr>
        <w:t>一栏必须详细填写投标商务条款的内容。</w:t>
      </w:r>
    </w:p>
    <w:p>
      <w:pPr>
        <w:spacing w:line="240" w:lineRule="auto"/>
        <w:ind w:firstLine="424" w:firstLineChars="202"/>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偏离情况</w:t>
      </w:r>
      <w:r>
        <w:rPr>
          <w:rFonts w:ascii="Times New Roman" w:hAnsi="Times New Roman" w:cs="Times New Roman"/>
        </w:rPr>
        <w:t>”</w:t>
      </w:r>
      <w:r>
        <w:rPr>
          <w:rFonts w:hint="eastAsia" w:ascii="Times New Roman" w:hAnsi="Times New Roman" w:cs="Times New Roman"/>
        </w:rPr>
        <w:t>栏中应如实填写</w:t>
      </w:r>
      <w:r>
        <w:rPr>
          <w:rFonts w:ascii="Times New Roman" w:hAnsi="Times New Roman" w:cs="Times New Roman"/>
        </w:rPr>
        <w:t>“</w:t>
      </w:r>
      <w:r>
        <w:rPr>
          <w:rFonts w:hint="eastAsia" w:ascii="Times New Roman" w:hAnsi="Times New Roman" w:cs="Times New Roman"/>
        </w:rPr>
        <w:t>正偏离</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负偏离</w:t>
      </w:r>
      <w:r>
        <w:rPr>
          <w:rFonts w:ascii="Times New Roman" w:hAnsi="Times New Roman" w:cs="Times New Roman"/>
        </w:rPr>
        <w:t>”</w:t>
      </w:r>
      <w:r>
        <w:rPr>
          <w:rFonts w:hint="eastAsia" w:ascii="Times New Roman" w:hAnsi="Times New Roman" w:cs="Times New Roman"/>
        </w:rPr>
        <w:t>或</w:t>
      </w:r>
      <w:r>
        <w:rPr>
          <w:rFonts w:ascii="Times New Roman" w:hAnsi="Times New Roman" w:cs="Times New Roman"/>
        </w:rPr>
        <w:t>“</w:t>
      </w:r>
      <w:r>
        <w:rPr>
          <w:rFonts w:hint="eastAsia" w:ascii="Times New Roman" w:hAnsi="Times New Roman" w:cs="Times New Roman"/>
        </w:rPr>
        <w:t>无偏离</w:t>
      </w:r>
      <w:r>
        <w:rPr>
          <w:rFonts w:ascii="Times New Roman" w:hAnsi="Times New Roman" w:cs="Times New Roman"/>
        </w:rPr>
        <w:t>”</w:t>
      </w:r>
      <w:r>
        <w:rPr>
          <w:rFonts w:hint="eastAsia" w:ascii="Times New Roman" w:hAnsi="Times New Roman" w:cs="Times New Roman"/>
        </w:rPr>
        <w:t>。</w:t>
      </w:r>
    </w:p>
    <w:p>
      <w:pPr>
        <w:spacing w:line="240" w:lineRule="auto"/>
        <w:ind w:firstLine="424" w:firstLineChars="202"/>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．投标人在《商务条款偏离表》填写的</w:t>
      </w:r>
      <w:r>
        <w:rPr>
          <w:rFonts w:ascii="Times New Roman" w:hAnsi="Times New Roman" w:cs="Times New Roman"/>
        </w:rPr>
        <w:t>“</w:t>
      </w:r>
      <w:r>
        <w:rPr>
          <w:rFonts w:hint="eastAsia" w:ascii="Times New Roman" w:hAnsi="Times New Roman" w:cs="Times New Roman"/>
        </w:rPr>
        <w:t>投标商务条款</w:t>
      </w:r>
      <w:r>
        <w:rPr>
          <w:rFonts w:ascii="Times New Roman" w:hAnsi="Times New Roman" w:cs="Times New Roman"/>
        </w:rPr>
        <w:t>”</w:t>
      </w:r>
      <w:r>
        <w:rPr>
          <w:rFonts w:hint="eastAsia" w:ascii="Times New Roman" w:hAnsi="Times New Roman" w:cs="Times New Roman"/>
        </w:rPr>
        <w:t>与</w:t>
      </w:r>
      <w:r>
        <w:rPr>
          <w:rFonts w:ascii="Times New Roman" w:hAnsi="Times New Roman" w:cs="Times New Roman"/>
        </w:rPr>
        <w:t xml:space="preserve"> “</w:t>
      </w:r>
      <w:r>
        <w:rPr>
          <w:rFonts w:hint="eastAsia" w:ascii="Times New Roman" w:hAnsi="Times New Roman" w:cs="Times New Roman"/>
        </w:rPr>
        <w:t>招标商务条款</w:t>
      </w:r>
      <w:r>
        <w:rPr>
          <w:rFonts w:ascii="Times New Roman" w:hAnsi="Times New Roman" w:cs="Times New Roman"/>
        </w:rPr>
        <w:t>”</w:t>
      </w:r>
      <w:r>
        <w:rPr>
          <w:rFonts w:hint="eastAsia" w:ascii="Times New Roman" w:hAnsi="Times New Roman" w:cs="Times New Roman"/>
        </w:rPr>
        <w:t>存在填写不全的，将被视为未实质性满足招标文件要求作投标无效处理。示例，</w:t>
      </w:r>
      <w:r>
        <w:rPr>
          <w:rFonts w:ascii="Times New Roman" w:hAnsi="Times New Roman" w:cs="Times New Roman"/>
        </w:rPr>
        <w:t>“</w:t>
      </w:r>
      <w:r>
        <w:rPr>
          <w:rFonts w:hint="eastAsia" w:ascii="Times New Roman" w:hAnsi="Times New Roman" w:cs="Times New Roman"/>
        </w:rPr>
        <w:t>招标商务条款</w:t>
      </w:r>
      <w:r>
        <w:rPr>
          <w:rFonts w:ascii="Times New Roman" w:hAnsi="Times New Roman" w:cs="Times New Roman"/>
        </w:rPr>
        <w:t>”</w:t>
      </w:r>
      <w:r>
        <w:rPr>
          <w:rFonts w:hint="eastAsia" w:ascii="Times New Roman" w:hAnsi="Times New Roman" w:cs="Times New Roman"/>
        </w:rPr>
        <w:t>共有</w:t>
      </w:r>
      <w:r>
        <w:rPr>
          <w:rFonts w:ascii="Times New Roman" w:hAnsi="Times New Roman" w:cs="Times New Roman"/>
        </w:rPr>
        <w:t>10</w:t>
      </w:r>
      <w:r>
        <w:rPr>
          <w:rFonts w:hint="eastAsia" w:ascii="Times New Roman" w:hAnsi="Times New Roman" w:cs="Times New Roman"/>
        </w:rPr>
        <w:t>项参数，投标人只响应了</w:t>
      </w:r>
      <w:r>
        <w:rPr>
          <w:rFonts w:ascii="Times New Roman" w:hAnsi="Times New Roman" w:cs="Times New Roman"/>
        </w:rPr>
        <w:t>9</w:t>
      </w:r>
      <w:r>
        <w:rPr>
          <w:rFonts w:hint="eastAsia" w:ascii="Times New Roman" w:hAnsi="Times New Roman" w:cs="Times New Roman"/>
        </w:rPr>
        <w:t>项，填写不全，则视为未实质性满足招标文件要求作投标无效处理。</w:t>
      </w:r>
      <w:r>
        <w:rPr>
          <w:rFonts w:hint="eastAsia" w:ascii="Times New Roman" w:hAnsi="Times New Roman" w:cs="Times New Roman"/>
          <w:bCs/>
        </w:rPr>
        <w:t>带★招标商务要求，不允许有任何负偏离，否则将作投标无效处理。</w:t>
      </w:r>
    </w:p>
    <w:p>
      <w:pPr>
        <w:spacing w:line="240" w:lineRule="auto"/>
        <w:ind w:firstLine="424" w:firstLineChars="202"/>
        <w:rPr>
          <w:rFonts w:ascii="Times New Roman" w:hAnsi="Times New Roman" w:cs="Times New Roman"/>
        </w:rPr>
      </w:pPr>
      <w:r>
        <w:rPr>
          <w:rFonts w:ascii="Times New Roman" w:hAnsi="Times New Roman" w:cs="Times New Roman"/>
          <w:bCs/>
        </w:rPr>
        <w:t>5</w:t>
      </w:r>
      <w:r>
        <w:rPr>
          <w:rFonts w:hint="eastAsia" w:ascii="Times New Roman" w:hAnsi="Times New Roman" w:cs="Times New Roman"/>
          <w:bCs/>
        </w:rPr>
        <w:t>．</w:t>
      </w:r>
      <w:r>
        <w:rPr>
          <w:rFonts w:hint="eastAsia" w:ascii="Times New Roman" w:hAnsi="Times New Roman" w:cs="Times New Roman"/>
        </w:rPr>
        <w:t>投标人所填写的</w:t>
      </w:r>
      <w:r>
        <w:rPr>
          <w:rFonts w:ascii="Times New Roman" w:hAnsi="Times New Roman" w:cs="Times New Roman"/>
        </w:rPr>
        <w:t>“</w:t>
      </w:r>
      <w:r>
        <w:rPr>
          <w:rFonts w:hint="eastAsia" w:ascii="Times New Roman" w:hAnsi="Times New Roman" w:cs="Times New Roman"/>
        </w:rPr>
        <w:t>偏离情况</w:t>
      </w:r>
      <w:r>
        <w:rPr>
          <w:rFonts w:ascii="Times New Roman" w:hAnsi="Times New Roman" w:cs="Times New Roman"/>
        </w:rPr>
        <w:t>”</w:t>
      </w:r>
      <w:r>
        <w:rPr>
          <w:rFonts w:hint="eastAsia" w:ascii="Times New Roman" w:hAnsi="Times New Roman" w:cs="Times New Roman"/>
        </w:rPr>
        <w:t>与评审委员会判定不一致时，以评审委员会意见为主。</w:t>
      </w:r>
    </w:p>
    <w:p>
      <w:pPr>
        <w:spacing w:line="240" w:lineRule="auto"/>
        <w:ind w:firstLine="424" w:firstLineChars="202"/>
        <w:rPr>
          <w:rFonts w:hint="eastAsia"/>
        </w:rPr>
      </w:pPr>
      <w:r>
        <w:rPr>
          <w:rFonts w:ascii="Times New Roman" w:hAnsi="Times New Roman" w:cs="Times New Roman"/>
        </w:rPr>
        <w:t>6.</w:t>
      </w:r>
      <w:r>
        <w:rPr>
          <w:rFonts w:hint="eastAsia" w:ascii="Times New Roman" w:hAnsi="Times New Roman" w:cs="Times New Roman"/>
        </w:rPr>
        <w:t>交货期条款为不可负偏离条款，投标文件响应为</w:t>
      </w:r>
      <w:r>
        <w:rPr>
          <w:rFonts w:ascii="Times New Roman" w:hAnsi="Times New Roman" w:cs="Times New Roman"/>
        </w:rPr>
        <w:t>“</w:t>
      </w:r>
      <w:r>
        <w:rPr>
          <w:rFonts w:hint="eastAsia" w:ascii="Times New Roman" w:hAnsi="Times New Roman" w:cs="Times New Roman"/>
        </w:rPr>
        <w:t>负偏离</w:t>
      </w:r>
      <w:r>
        <w:rPr>
          <w:rFonts w:ascii="Times New Roman" w:hAnsi="Times New Roman" w:cs="Times New Roman"/>
        </w:rPr>
        <w:t>”</w:t>
      </w:r>
      <w:r>
        <w:rPr>
          <w:rFonts w:hint="eastAsia" w:ascii="Times New Roman" w:hAnsi="Times New Roman" w:cs="Times New Roman"/>
        </w:rPr>
        <w:t>的，投标文件将按无效投标处理。</w:t>
      </w:r>
    </w:p>
    <w:p>
      <w:pPr>
        <w:rPr>
          <w:rFonts w:hint="eastAsia"/>
        </w:rPr>
      </w:pPr>
      <w:r>
        <w:br w:type="page"/>
      </w:r>
    </w:p>
    <w:p>
      <w:pPr>
        <w:adjustRightInd/>
        <w:snapToGrid/>
        <w:spacing w:before="280" w:after="290" w:line="377" w:lineRule="auto"/>
        <w:outlineLvl w:val="2"/>
        <w:rPr>
          <w:rFonts w:hint="eastAsia"/>
          <w:b/>
          <w:sz w:val="24"/>
        </w:rPr>
      </w:pPr>
      <w:bookmarkStart w:id="152" w:name="_Toc20206"/>
      <w:r>
        <w:rPr>
          <w:rFonts w:hint="eastAsia"/>
          <w:b/>
          <w:sz w:val="24"/>
        </w:rPr>
        <w:t>格式</w:t>
      </w:r>
      <w:r>
        <w:rPr>
          <w:b/>
          <w:sz w:val="24"/>
        </w:rPr>
        <w:t>13</w:t>
      </w:r>
      <w:r>
        <w:rPr>
          <w:rFonts w:hint="eastAsia"/>
          <w:b/>
          <w:sz w:val="24"/>
        </w:rPr>
        <w:t>：投标人综合概况简表</w:t>
      </w:r>
      <w:bookmarkEnd w:id="152"/>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投标人综合概况简表</w:t>
      </w:r>
    </w:p>
    <w:p>
      <w:pPr>
        <w:widowControl w:val="0"/>
        <w:shd w:val="clear" w:color="auto" w:fill="auto"/>
        <w:tabs>
          <w:tab w:val="clear" w:pos="426"/>
        </w:tabs>
        <w:adjustRightInd/>
        <w:snapToGrid/>
        <w:rPr>
          <w:rFonts w:hint="eastAsia" w:cs="Arial"/>
          <w:b/>
          <w:szCs w:val="21"/>
        </w:rPr>
      </w:pPr>
      <w:r>
        <w:rPr>
          <w:rFonts w:hint="eastAsia" w:cs="Arial"/>
          <w:b/>
          <w:szCs w:val="21"/>
        </w:rPr>
        <w:t>一、公司基本情况</w:t>
      </w:r>
    </w:p>
    <w:p>
      <w:pPr>
        <w:widowControl w:val="0"/>
        <w:numPr>
          <w:ilvl w:val="1"/>
          <w:numId w:val="6"/>
        </w:numPr>
        <w:shd w:val="clear" w:color="auto" w:fill="auto"/>
        <w:tabs>
          <w:tab w:val="clear" w:pos="426"/>
        </w:tabs>
        <w:adjustRightInd/>
        <w:snapToGrid/>
        <w:ind w:left="0" w:firstLine="426"/>
        <w:rPr>
          <w:rFonts w:hint="eastAsia" w:cs="Arial"/>
          <w:szCs w:val="21"/>
        </w:rPr>
      </w:pPr>
      <w:r>
        <w:rPr>
          <w:rFonts w:hint="eastAsia" w:cs="Arial"/>
          <w:szCs w:val="21"/>
        </w:rPr>
        <w:t>公司名称：</w:t>
      </w:r>
      <w:r>
        <w:rPr>
          <w:rFonts w:cs="Arial"/>
          <w:szCs w:val="21"/>
          <w:u w:val="single"/>
        </w:rPr>
        <w:t>______________________________</w:t>
      </w:r>
      <w:r>
        <w:rPr>
          <w:rFonts w:cs="Arial"/>
          <w:szCs w:val="21"/>
        </w:rPr>
        <w:t xml:space="preserve">  </w:t>
      </w:r>
      <w:r>
        <w:rPr>
          <w:rFonts w:hint="eastAsia" w:cs="Arial"/>
          <w:szCs w:val="21"/>
        </w:rPr>
        <w:t>电话号码：</w:t>
      </w:r>
      <w:r>
        <w:rPr>
          <w:rFonts w:cs="Arial"/>
          <w:szCs w:val="21"/>
          <w:u w:val="single"/>
        </w:rPr>
        <w:t>____________________________</w:t>
      </w:r>
    </w:p>
    <w:p>
      <w:pPr>
        <w:widowControl w:val="0"/>
        <w:numPr>
          <w:ilvl w:val="1"/>
          <w:numId w:val="6"/>
        </w:numPr>
        <w:shd w:val="clear" w:color="auto" w:fill="auto"/>
        <w:tabs>
          <w:tab w:val="clear" w:pos="426"/>
        </w:tabs>
        <w:adjustRightInd/>
        <w:snapToGrid/>
        <w:ind w:left="0" w:firstLine="426"/>
        <w:rPr>
          <w:rFonts w:hint="eastAsia" w:cs="Arial"/>
          <w:szCs w:val="21"/>
        </w:rPr>
      </w:pPr>
      <w:r>
        <w:rPr>
          <w:rFonts w:hint="eastAsia" w:cs="Arial"/>
          <w:szCs w:val="21"/>
        </w:rPr>
        <w:t>地</w:t>
      </w:r>
      <w:r>
        <w:rPr>
          <w:rFonts w:cs="Arial"/>
          <w:szCs w:val="21"/>
        </w:rPr>
        <w:t xml:space="preserve">    </w:t>
      </w:r>
      <w:r>
        <w:rPr>
          <w:rFonts w:hint="eastAsia" w:cs="Arial"/>
          <w:szCs w:val="21"/>
        </w:rPr>
        <w:t>址：</w:t>
      </w:r>
      <w:r>
        <w:rPr>
          <w:rFonts w:cs="Arial"/>
          <w:szCs w:val="21"/>
          <w:u w:val="single"/>
        </w:rPr>
        <w:t>______________________________</w:t>
      </w:r>
      <w:r>
        <w:rPr>
          <w:rFonts w:cs="Arial"/>
          <w:szCs w:val="21"/>
        </w:rPr>
        <w:t xml:space="preserve">  </w:t>
      </w:r>
      <w:r>
        <w:rPr>
          <w:rFonts w:hint="eastAsia" w:cs="Arial"/>
          <w:szCs w:val="21"/>
        </w:rPr>
        <w:t>传</w:t>
      </w:r>
      <w:r>
        <w:rPr>
          <w:rFonts w:cs="Arial"/>
          <w:szCs w:val="21"/>
        </w:rPr>
        <w:t xml:space="preserve">    </w:t>
      </w:r>
      <w:r>
        <w:rPr>
          <w:rFonts w:hint="eastAsia" w:cs="Arial"/>
          <w:szCs w:val="21"/>
        </w:rPr>
        <w:t>真：</w:t>
      </w:r>
      <w:r>
        <w:rPr>
          <w:rFonts w:cs="Arial"/>
          <w:szCs w:val="21"/>
          <w:u w:val="single"/>
        </w:rPr>
        <w:t>____________________________</w:t>
      </w:r>
    </w:p>
    <w:p>
      <w:pPr>
        <w:widowControl w:val="0"/>
        <w:numPr>
          <w:ilvl w:val="1"/>
          <w:numId w:val="6"/>
        </w:numPr>
        <w:shd w:val="clear" w:color="auto" w:fill="auto"/>
        <w:tabs>
          <w:tab w:val="clear" w:pos="426"/>
        </w:tabs>
        <w:adjustRightInd/>
        <w:snapToGrid/>
        <w:ind w:left="0" w:firstLine="426"/>
        <w:rPr>
          <w:rFonts w:hint="eastAsia" w:cs="Arial"/>
          <w:szCs w:val="21"/>
          <w:u w:val="single"/>
        </w:rPr>
      </w:pPr>
      <w:r>
        <w:rPr>
          <w:rFonts w:hint="eastAsia" w:cs="Arial"/>
          <w:szCs w:val="21"/>
        </w:rPr>
        <w:t>注册资金：</w:t>
      </w:r>
      <w:r>
        <w:rPr>
          <w:rFonts w:cs="Arial"/>
          <w:szCs w:val="21"/>
          <w:u w:val="single"/>
        </w:rPr>
        <w:t>______________________________</w:t>
      </w:r>
      <w:r>
        <w:rPr>
          <w:rFonts w:cs="Arial"/>
          <w:szCs w:val="21"/>
        </w:rPr>
        <w:t xml:space="preserve">  </w:t>
      </w:r>
      <w:r>
        <w:rPr>
          <w:rFonts w:hint="eastAsia" w:cs="Arial"/>
          <w:szCs w:val="21"/>
        </w:rPr>
        <w:t>经济性质：</w:t>
      </w:r>
      <w:r>
        <w:rPr>
          <w:rFonts w:cs="Arial"/>
          <w:szCs w:val="21"/>
          <w:u w:val="single"/>
        </w:rPr>
        <w:t>____________________________</w:t>
      </w:r>
    </w:p>
    <w:p>
      <w:pPr>
        <w:widowControl w:val="0"/>
        <w:numPr>
          <w:ilvl w:val="1"/>
          <w:numId w:val="6"/>
        </w:numPr>
        <w:shd w:val="clear" w:color="auto" w:fill="auto"/>
        <w:tabs>
          <w:tab w:val="clear" w:pos="426"/>
        </w:tabs>
        <w:adjustRightInd/>
        <w:snapToGrid/>
        <w:ind w:left="0" w:firstLine="426"/>
        <w:rPr>
          <w:rFonts w:hint="eastAsia" w:cs="Arial"/>
          <w:szCs w:val="21"/>
        </w:rPr>
      </w:pPr>
      <w:r>
        <w:rPr>
          <w:rFonts w:hint="eastAsia" w:cs="Arial"/>
          <w:szCs w:val="21"/>
        </w:rPr>
        <w:t>公司开户银行名称及账号：</w:t>
      </w:r>
      <w:r>
        <w:rPr>
          <w:rFonts w:cs="Arial"/>
          <w:szCs w:val="21"/>
          <w:u w:val="single"/>
        </w:rPr>
        <w:t>________________________________________________________</w:t>
      </w:r>
    </w:p>
    <w:p>
      <w:pPr>
        <w:widowControl w:val="0"/>
        <w:numPr>
          <w:ilvl w:val="1"/>
          <w:numId w:val="6"/>
        </w:numPr>
        <w:shd w:val="clear" w:color="auto" w:fill="auto"/>
        <w:tabs>
          <w:tab w:val="clear" w:pos="426"/>
        </w:tabs>
        <w:adjustRightInd/>
        <w:snapToGrid/>
        <w:ind w:left="0" w:firstLine="426"/>
        <w:rPr>
          <w:rFonts w:hint="eastAsia" w:cs="Arial"/>
          <w:szCs w:val="21"/>
        </w:rPr>
      </w:pPr>
      <w:r>
        <w:rPr>
          <w:rFonts w:hint="eastAsia" w:cs="Arial"/>
          <w:szCs w:val="21"/>
        </w:rPr>
        <w:t>营业注册执照号：</w:t>
      </w:r>
      <w:r>
        <w:rPr>
          <w:rFonts w:cs="Arial"/>
          <w:szCs w:val="21"/>
          <w:u w:val="single"/>
        </w:rPr>
        <w:t>________________________________________________________________</w:t>
      </w:r>
    </w:p>
    <w:p>
      <w:pPr>
        <w:widowControl w:val="0"/>
        <w:numPr>
          <w:ilvl w:val="1"/>
          <w:numId w:val="6"/>
        </w:numPr>
        <w:shd w:val="clear" w:color="auto" w:fill="auto"/>
        <w:tabs>
          <w:tab w:val="clear" w:pos="426"/>
        </w:tabs>
        <w:adjustRightInd/>
        <w:snapToGrid/>
        <w:ind w:left="0" w:firstLine="426"/>
        <w:rPr>
          <w:rFonts w:hint="eastAsia" w:cs="Arial"/>
          <w:szCs w:val="21"/>
        </w:rPr>
      </w:pPr>
      <w:r>
        <w:rPr>
          <w:rFonts w:hint="eastAsia" w:cs="Arial"/>
          <w:szCs w:val="21"/>
        </w:rPr>
        <w:t>公司简介</w:t>
      </w:r>
    </w:p>
    <w:p>
      <w:pPr>
        <w:tabs>
          <w:tab w:val="clear" w:pos="426"/>
        </w:tabs>
        <w:ind w:firstLine="426"/>
        <w:rPr>
          <w:rFonts w:hint="eastAsia"/>
        </w:rPr>
      </w:pPr>
      <w:r>
        <w:rPr>
          <w:rFonts w:hint="eastAsia"/>
        </w:rPr>
        <w:t>文字描述：</w:t>
      </w:r>
      <w:r>
        <w:rPr>
          <w:rFonts w:hint="eastAsia"/>
          <w:bCs/>
          <w:szCs w:val="21"/>
          <w:lang w:val="en-GB"/>
        </w:rPr>
        <w:t>发展历程、经营规模及服务理念</w:t>
      </w:r>
      <w:r>
        <w:rPr>
          <w:rFonts w:hint="eastAsia"/>
        </w:rPr>
        <w:t>、技术力量、财务状况、管理水平等方面进行阐述；</w:t>
      </w:r>
    </w:p>
    <w:p>
      <w:pPr>
        <w:tabs>
          <w:tab w:val="clear" w:pos="426"/>
        </w:tabs>
        <w:ind w:firstLine="426"/>
        <w:rPr>
          <w:rFonts w:hint="eastAsia" w:cs="Arial"/>
          <w:szCs w:val="21"/>
        </w:rPr>
      </w:pPr>
      <w:r>
        <w:rPr>
          <w:rFonts w:hint="eastAsia"/>
        </w:rPr>
        <w:t>图片描述：</w:t>
      </w:r>
      <w:r>
        <w:rPr>
          <w:rFonts w:hint="eastAsia"/>
          <w:bCs/>
          <w:szCs w:val="21"/>
          <w:lang w:val="en-GB"/>
        </w:rPr>
        <w:t>经营场所、主要或关键产品介绍、生产场所及服务流程等。</w:t>
      </w:r>
    </w:p>
    <w:p>
      <w:pPr>
        <w:tabs>
          <w:tab w:val="clear" w:pos="426"/>
        </w:tabs>
        <w:spacing w:line="440" w:lineRule="exact"/>
        <w:rPr>
          <w:rFonts w:hint="eastAsia"/>
          <w:b/>
          <w:bCs/>
        </w:rPr>
      </w:pPr>
    </w:p>
    <w:p>
      <w:pPr>
        <w:rPr>
          <w:rFonts w:hint="eastAsia"/>
          <w:b/>
          <w:bCs/>
        </w:rPr>
      </w:pPr>
      <w:r>
        <w:rPr>
          <w:b/>
          <w:bCs/>
        </w:rPr>
        <w:br w:type="page"/>
      </w:r>
    </w:p>
    <w:p>
      <w:pPr>
        <w:adjustRightInd/>
        <w:snapToGrid/>
        <w:spacing w:before="280" w:after="290" w:line="377" w:lineRule="auto"/>
        <w:outlineLvl w:val="2"/>
        <w:rPr>
          <w:rFonts w:hint="eastAsia"/>
          <w:b/>
          <w:sz w:val="24"/>
        </w:rPr>
      </w:pPr>
      <w:bookmarkStart w:id="153" w:name="_Toc22622"/>
      <w:r>
        <w:rPr>
          <w:rFonts w:hint="eastAsia"/>
          <w:b/>
          <w:sz w:val="24"/>
        </w:rPr>
        <w:t>格式</w:t>
      </w:r>
      <w:r>
        <w:rPr>
          <w:b/>
          <w:sz w:val="24"/>
        </w:rPr>
        <w:t>14</w:t>
      </w:r>
      <w:r>
        <w:rPr>
          <w:rFonts w:hint="eastAsia"/>
          <w:b/>
          <w:sz w:val="24"/>
        </w:rPr>
        <w:t>：企业类型声明函</w:t>
      </w:r>
      <w:bookmarkEnd w:id="153"/>
    </w:p>
    <w:p>
      <w:pPr>
        <w:tabs>
          <w:tab w:val="clear" w:pos="426"/>
        </w:tabs>
        <w:spacing w:line="240" w:lineRule="auto"/>
        <w:ind w:firstLine="420"/>
        <w:rPr>
          <w:rFonts w:ascii="Times New Roman" w:hAnsi="Times New Roman" w:cs="Times New Roman"/>
          <w:szCs w:val="21"/>
        </w:rPr>
      </w:pPr>
      <w:r>
        <w:rPr>
          <w:rFonts w:hint="eastAsia" w:ascii="Times New Roman" w:hAnsi="Times New Roman" w:cs="Times New Roman"/>
          <w:szCs w:val="21"/>
        </w:rPr>
        <w:t>填写指引：</w:t>
      </w:r>
    </w:p>
    <w:p>
      <w:pPr>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w:t>
      </w:r>
      <w:r>
        <w:rPr>
          <w:rFonts w:hint="eastAsia" w:ascii="Times New Roman" w:hAnsi="Times New Roman" w:cs="Times New Roman"/>
          <w:bCs/>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Pr>
          <w:rFonts w:ascii="Times New Roman" w:hAnsi="Times New Roman" w:cs="Times New Roman"/>
          <w:bCs/>
          <w:szCs w:val="21"/>
        </w:rPr>
        <w:t>2011</w:t>
      </w:r>
      <w:r>
        <w:rPr>
          <w:rFonts w:hint="eastAsia" w:ascii="Times New Roman" w:hAnsi="Times New Roman" w:cs="Times New Roman"/>
          <w:bCs/>
          <w:szCs w:val="21"/>
        </w:rPr>
        <w:t>〕</w:t>
      </w:r>
      <w:r>
        <w:rPr>
          <w:rFonts w:ascii="Times New Roman" w:hAnsi="Times New Roman" w:cs="Times New Roman"/>
          <w:bCs/>
          <w:szCs w:val="21"/>
        </w:rPr>
        <w:t>300</w:t>
      </w:r>
      <w:r>
        <w:rPr>
          <w:rFonts w:hint="eastAsia" w:ascii="Times New Roman" w:hAnsi="Times New Roman" w:cs="Times New Roman"/>
          <w:bCs/>
          <w:szCs w:val="21"/>
        </w:rPr>
        <w:t>号）或向深圳市中小企业服务局咨询。</w:t>
      </w:r>
      <w:r>
        <w:rPr>
          <w:rFonts w:hint="eastAsia"/>
          <w:szCs w:val="21"/>
        </w:rPr>
        <w:t>中小企业参加政府采购活动，应当按照国务院批准的《中小企业划型标准规定》（工信部联企业〔</w:t>
      </w:r>
      <w:r>
        <w:rPr>
          <w:szCs w:val="21"/>
        </w:rPr>
        <w:t>2011</w:t>
      </w:r>
      <w:r>
        <w:rPr>
          <w:rFonts w:hint="eastAsia"/>
          <w:szCs w:val="21"/>
        </w:rPr>
        <w:t>〕</w:t>
      </w:r>
      <w:r>
        <w:rPr>
          <w:szCs w:val="21"/>
        </w:rPr>
        <w:t xml:space="preserve">300 </w:t>
      </w:r>
      <w:r>
        <w:rPr>
          <w:rFonts w:hint="eastAsia"/>
          <w:szCs w:val="21"/>
        </w:rPr>
        <w:t>号）、《金融业企业划型标准规定》（银发〔</w:t>
      </w:r>
      <w:r>
        <w:rPr>
          <w:szCs w:val="21"/>
        </w:rPr>
        <w:t>2015</w:t>
      </w:r>
      <w:r>
        <w:rPr>
          <w:rFonts w:hint="eastAsia"/>
          <w:szCs w:val="21"/>
        </w:rPr>
        <w:t>〕</w:t>
      </w:r>
      <w:r>
        <w:rPr>
          <w:szCs w:val="21"/>
        </w:rPr>
        <w:t xml:space="preserve">309 </w:t>
      </w:r>
      <w:r>
        <w:rPr>
          <w:rFonts w:hint="eastAsia"/>
          <w:szCs w:val="21"/>
        </w:rPr>
        <w:t>号）和《财政部</w:t>
      </w:r>
      <w:r>
        <w:rPr>
          <w:szCs w:val="21"/>
        </w:rPr>
        <w:t xml:space="preserve"> </w:t>
      </w:r>
      <w:r>
        <w:rPr>
          <w:rFonts w:hint="eastAsia"/>
          <w:szCs w:val="21"/>
        </w:rPr>
        <w:t>工业和信息化部关于印发〈政府采购促进中小企业发展管理办法〉的通知》（财库〔</w:t>
      </w:r>
      <w:r>
        <w:rPr>
          <w:szCs w:val="21"/>
        </w:rPr>
        <w:t>2020</w:t>
      </w:r>
      <w:r>
        <w:rPr>
          <w:rFonts w:hint="eastAsia"/>
          <w:szCs w:val="21"/>
        </w:rPr>
        <w:t>〕</w:t>
      </w:r>
      <w:r>
        <w:rPr>
          <w:szCs w:val="21"/>
        </w:rPr>
        <w:t xml:space="preserve">46 </w:t>
      </w:r>
      <w:r>
        <w:rPr>
          <w:rFonts w:hint="eastAsia"/>
          <w:szCs w:val="21"/>
        </w:rPr>
        <w:t>号）的规定，出具《中小企业声明函》，《中小企业声明函》中相关企业所属行业应当与采购标的所属行业相一致。该部分内容填写需要参考的相关文件：</w:t>
      </w:r>
      <w:r>
        <w:rPr>
          <w:szCs w:val="21"/>
        </w:rPr>
        <w:t>(1)</w:t>
      </w:r>
      <w:r>
        <w:rPr>
          <w:rFonts w:hint="eastAsia"/>
          <w:szCs w:val="21"/>
        </w:rPr>
        <w:t>财政部《政府采购促进中小企业发展管理办法》（财库〔</w:t>
      </w:r>
      <w:r>
        <w:rPr>
          <w:szCs w:val="21"/>
        </w:rPr>
        <w:t>2020</w:t>
      </w:r>
      <w:r>
        <w:rPr>
          <w:rFonts w:hint="eastAsia"/>
          <w:szCs w:val="21"/>
        </w:rPr>
        <w:t>〕</w:t>
      </w:r>
      <w:r>
        <w:rPr>
          <w:szCs w:val="21"/>
        </w:rPr>
        <w:t>46</w:t>
      </w:r>
      <w:r>
        <w:rPr>
          <w:rFonts w:hint="eastAsia"/>
          <w:szCs w:val="21"/>
        </w:rPr>
        <w:t>号）；</w:t>
      </w:r>
      <w:r>
        <w:rPr>
          <w:szCs w:val="21"/>
        </w:rPr>
        <w:t>(2)</w:t>
      </w:r>
      <w:r>
        <w:rPr>
          <w:rFonts w:hint="eastAsia"/>
          <w:szCs w:val="21"/>
        </w:rPr>
        <w:t>《工业和信息化部、国家统计局、国家发展和改革委员会、财政部关于印发中小企业划型标准规定的通知》（工信部联企业〔</w:t>
      </w:r>
      <w:r>
        <w:rPr>
          <w:szCs w:val="21"/>
        </w:rPr>
        <w:t>2011</w:t>
      </w:r>
      <w:r>
        <w:rPr>
          <w:rFonts w:hint="eastAsia"/>
          <w:szCs w:val="21"/>
        </w:rPr>
        <w:t>〕</w:t>
      </w:r>
      <w:r>
        <w:rPr>
          <w:szCs w:val="21"/>
        </w:rPr>
        <w:t xml:space="preserve">300 </w:t>
      </w:r>
      <w:r>
        <w:rPr>
          <w:rFonts w:hint="eastAsia"/>
          <w:szCs w:val="21"/>
        </w:rPr>
        <w:t>号，以下简称</w:t>
      </w:r>
      <w:r>
        <w:rPr>
          <w:szCs w:val="21"/>
        </w:rPr>
        <w:t>300</w:t>
      </w:r>
      <w:r>
        <w:rPr>
          <w:rFonts w:hint="eastAsia"/>
          <w:szCs w:val="21"/>
        </w:rPr>
        <w:t>号文）。</w:t>
      </w:r>
      <w:r>
        <w:rPr>
          <w:rFonts w:ascii="Times New Roman" w:hAnsi="Times New Roman" w:cs="Times New Roman"/>
          <w:bCs/>
          <w:szCs w:val="21"/>
        </w:rPr>
        <w:t xml:space="preserve">  </w:t>
      </w:r>
    </w:p>
    <w:p>
      <w:pPr>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2.</w:t>
      </w:r>
      <w:r>
        <w:rPr>
          <w:rFonts w:hint="eastAsia" w:ascii="Times New Roman" w:hAnsi="Times New Roman" w:cs="Times New Roman"/>
          <w:bCs/>
          <w:szCs w:val="21"/>
        </w:rPr>
        <w:t>该部分内容填写需要参考的相关文件（</w:t>
      </w:r>
      <w:r>
        <w:rPr>
          <w:rStyle w:val="141"/>
          <w:rFonts w:ascii="Times New Roman" w:hAnsi="Times New Roman"/>
          <w:color w:val="auto"/>
        </w:rPr>
        <w:t>-</w:t>
      </w:r>
      <w:r>
        <w:fldChar w:fldCharType="begin"/>
      </w:r>
      <w:r>
        <w:instrText xml:space="preserve"> HYPERLINK "http://www.szsszx.com/Files/Editor/file/202106041655230146.rar" </w:instrText>
      </w:r>
      <w:r>
        <w:fldChar w:fldCharType="separate"/>
      </w:r>
      <w:r>
        <w:rPr>
          <w:rStyle w:val="141"/>
          <w:rFonts w:hint="eastAsia" w:ascii="Times New Roman" w:hAnsi="Times New Roman"/>
          <w:bCs/>
          <w:color w:val="auto"/>
          <w:szCs w:val="21"/>
        </w:rPr>
        <w:t>点此下载</w:t>
      </w:r>
      <w:r>
        <w:rPr>
          <w:rStyle w:val="141"/>
          <w:rFonts w:hint="eastAsia" w:ascii="Times New Roman" w:hAnsi="Times New Roman"/>
          <w:bCs/>
          <w:color w:val="auto"/>
          <w:szCs w:val="21"/>
        </w:rPr>
        <w:fldChar w:fldCharType="end"/>
      </w:r>
      <w:r>
        <w:rPr>
          <w:rStyle w:val="141"/>
          <w:rFonts w:ascii="Times New Roman" w:hAnsi="Times New Roman"/>
          <w:color w:val="auto"/>
        </w:rPr>
        <w:t>-</w:t>
      </w:r>
      <w:r>
        <w:rPr>
          <w:rFonts w:hint="eastAsia" w:ascii="Times New Roman" w:hAnsi="Times New Roman" w:cs="Times New Roman"/>
          <w:bCs/>
          <w:szCs w:val="21"/>
        </w:rPr>
        <w:t>）：</w:t>
      </w:r>
    </w:p>
    <w:p>
      <w:pPr>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1</w:t>
      </w:r>
      <w:r>
        <w:rPr>
          <w:rFonts w:hint="eastAsia" w:ascii="Times New Roman" w:hAnsi="Times New Roman" w:cs="Times New Roman"/>
          <w:bCs/>
          <w:szCs w:val="21"/>
        </w:rPr>
        <w:t>）财政部《关于印发</w:t>
      </w:r>
      <w:r>
        <w:rPr>
          <w:rFonts w:ascii="Times New Roman" w:hAnsi="Times New Roman" w:cs="Times New Roman"/>
          <w:bCs/>
          <w:szCs w:val="21"/>
        </w:rPr>
        <w:t>&lt;</w:t>
      </w:r>
      <w:r>
        <w:rPr>
          <w:rFonts w:hint="eastAsia" w:ascii="Times New Roman" w:hAnsi="Times New Roman" w:cs="Times New Roman"/>
          <w:bCs/>
          <w:szCs w:val="21"/>
        </w:rPr>
        <w:t>政府采购促进中小企业发展管理办法</w:t>
      </w:r>
      <w:r>
        <w:rPr>
          <w:rFonts w:ascii="Times New Roman" w:hAnsi="Times New Roman" w:cs="Times New Roman"/>
          <w:bCs/>
          <w:szCs w:val="21"/>
        </w:rPr>
        <w:t>&gt;</w:t>
      </w:r>
      <w:r>
        <w:rPr>
          <w:rFonts w:hint="eastAsia" w:ascii="Times New Roman" w:hAnsi="Times New Roman" w:cs="Times New Roman"/>
          <w:bCs/>
          <w:szCs w:val="21"/>
        </w:rPr>
        <w:t>的通知》（财库〔</w:t>
      </w:r>
      <w:r>
        <w:rPr>
          <w:rFonts w:ascii="Times New Roman" w:hAnsi="Times New Roman" w:cs="Times New Roman"/>
          <w:bCs/>
          <w:szCs w:val="21"/>
        </w:rPr>
        <w:t>2020</w:t>
      </w:r>
      <w:r>
        <w:rPr>
          <w:rFonts w:hint="eastAsia" w:ascii="Times New Roman" w:hAnsi="Times New Roman" w:cs="Times New Roman"/>
          <w:bCs/>
          <w:szCs w:val="21"/>
        </w:rPr>
        <w:t>〕</w:t>
      </w:r>
      <w:r>
        <w:rPr>
          <w:rFonts w:ascii="Times New Roman" w:hAnsi="Times New Roman" w:cs="Times New Roman"/>
          <w:bCs/>
          <w:szCs w:val="21"/>
        </w:rPr>
        <w:t>46</w:t>
      </w:r>
      <w:r>
        <w:rPr>
          <w:rFonts w:hint="eastAsia" w:ascii="Times New Roman" w:hAnsi="Times New Roman" w:cs="Times New Roman"/>
          <w:bCs/>
          <w:szCs w:val="21"/>
        </w:rPr>
        <w:t>号）；</w:t>
      </w:r>
    </w:p>
    <w:p>
      <w:pPr>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2</w:t>
      </w:r>
      <w:r>
        <w:rPr>
          <w:rFonts w:hint="eastAsia" w:ascii="Times New Roman" w:hAnsi="Times New Roman" w:cs="Times New Roman"/>
          <w:bCs/>
          <w:szCs w:val="21"/>
        </w:rPr>
        <w:t>）《工业和信息化部、国家统计局、国家发展和改革委员会、财政部关于印发中小企业划型标准规定的通知》（工信部联企业〔</w:t>
      </w:r>
      <w:r>
        <w:rPr>
          <w:rFonts w:ascii="Times New Roman" w:hAnsi="Times New Roman" w:cs="Times New Roman"/>
          <w:bCs/>
          <w:szCs w:val="21"/>
        </w:rPr>
        <w:t>2011</w:t>
      </w:r>
      <w:r>
        <w:rPr>
          <w:rFonts w:hint="eastAsia" w:ascii="Times New Roman" w:hAnsi="Times New Roman" w:cs="Times New Roman"/>
          <w:bCs/>
          <w:szCs w:val="21"/>
        </w:rPr>
        <w:t>〕</w:t>
      </w:r>
      <w:r>
        <w:rPr>
          <w:rFonts w:ascii="Times New Roman" w:hAnsi="Times New Roman" w:cs="Times New Roman"/>
          <w:bCs/>
          <w:szCs w:val="21"/>
        </w:rPr>
        <w:t>300</w:t>
      </w:r>
      <w:r>
        <w:rPr>
          <w:rFonts w:hint="eastAsia" w:ascii="Times New Roman" w:hAnsi="Times New Roman" w:cs="Times New Roman"/>
          <w:bCs/>
          <w:szCs w:val="21"/>
        </w:rPr>
        <w:t>号）。</w:t>
      </w:r>
      <w:r>
        <w:rPr>
          <w:rFonts w:ascii="Times New Roman" w:hAnsi="Times New Roman" w:cs="Times New Roman"/>
          <w:bCs/>
          <w:szCs w:val="21"/>
        </w:rPr>
        <w:t xml:space="preserve"> </w:t>
      </w:r>
    </w:p>
    <w:p>
      <w:pPr>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3.</w:t>
      </w:r>
      <w:r>
        <w:rPr>
          <w:rFonts w:hint="eastAsia" w:ascii="Times New Roman" w:hAnsi="Times New Roman" w:cs="Times New Roman"/>
          <w:bCs/>
          <w:szCs w:val="21"/>
        </w:rPr>
        <w:t>请依照提供的格式和内容填写声明函，不要随意变更格式或增删内容；满足多项优惠政策的企业，不重复享受多项价格扣除政策。</w:t>
      </w:r>
      <w:r>
        <w:rPr>
          <w:rFonts w:ascii="Times New Roman" w:hAnsi="Times New Roman" w:cs="Times New Roman"/>
          <w:bCs/>
          <w:szCs w:val="21"/>
        </w:rPr>
        <w:t xml:space="preserve"> </w:t>
      </w:r>
    </w:p>
    <w:p>
      <w:pPr>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4.</w:t>
      </w:r>
      <w:r>
        <w:rPr>
          <w:rFonts w:hint="eastAsia" w:ascii="Times New Roman" w:hAnsi="Times New Roman" w:cs="Times New Roman"/>
          <w:bCs/>
          <w:szCs w:val="21"/>
        </w:rPr>
        <w:t>声明函具体填写要求：</w:t>
      </w:r>
      <w:r>
        <w:rPr>
          <w:rFonts w:ascii="Times New Roman" w:hAnsi="Times New Roman" w:cs="Times New Roman"/>
          <w:bCs/>
          <w:szCs w:val="21"/>
        </w:rPr>
        <w:t xml:space="preserve"> </w:t>
      </w:r>
    </w:p>
    <w:p>
      <w:pPr>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1</w:t>
      </w:r>
      <w:r>
        <w:rPr>
          <w:rFonts w:hint="eastAsia" w:ascii="Times New Roman" w:hAnsi="Times New Roman" w:cs="Times New Roman"/>
          <w:bCs/>
          <w:szCs w:val="21"/>
        </w:rPr>
        <w:t>）声明是中小企业须填写《中小企业声明函》的以下五项内容（填写位置的字体已加粗）：</w:t>
      </w:r>
      <w:r>
        <w:rPr>
          <w:rFonts w:ascii="Times New Roman" w:hAnsi="Times New Roman" w:cs="Times New Roman"/>
          <w:bCs/>
          <w:szCs w:val="21"/>
        </w:rPr>
        <w:t xml:space="preserve"> </w:t>
      </w:r>
    </w:p>
    <w:p>
      <w:pPr>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第一处，在下划线上如实填写中型或小型或微型；</w:t>
      </w:r>
      <w:r>
        <w:rPr>
          <w:rFonts w:ascii="Times New Roman" w:hAnsi="Times New Roman" w:cs="Times New Roman"/>
          <w:bCs/>
          <w:szCs w:val="21"/>
        </w:rPr>
        <w:t xml:space="preserve"> </w:t>
      </w:r>
    </w:p>
    <w:p>
      <w:pPr>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第二处，在下划线上如实填写中型或小型或微型；</w:t>
      </w:r>
      <w:r>
        <w:rPr>
          <w:rFonts w:ascii="Times New Roman" w:hAnsi="Times New Roman" w:cs="Times New Roman"/>
          <w:bCs/>
          <w:szCs w:val="21"/>
        </w:rPr>
        <w:t xml:space="preserve"> </w:t>
      </w:r>
    </w:p>
    <w:p>
      <w:pPr>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第三处，在</w:t>
      </w:r>
      <w:r>
        <w:rPr>
          <w:rFonts w:ascii="Times New Roman" w:hAnsi="Times New Roman" w:cs="Times New Roman"/>
          <w:bCs/>
          <w:szCs w:val="21"/>
        </w:rPr>
        <w:t>“</w:t>
      </w:r>
      <w:r>
        <w:rPr>
          <w:rFonts w:hint="eastAsia" w:ascii="Times New Roman" w:hAnsi="Times New Roman" w:cs="Times New Roman"/>
          <w:bCs/>
          <w:szCs w:val="21"/>
        </w:rPr>
        <w:t>采购单位名称</w:t>
      </w:r>
      <w:r>
        <w:rPr>
          <w:rFonts w:ascii="Times New Roman" w:hAnsi="Times New Roman" w:cs="Times New Roman"/>
          <w:bCs/>
          <w:szCs w:val="21"/>
        </w:rPr>
        <w:t>”</w:t>
      </w:r>
      <w:r>
        <w:rPr>
          <w:rFonts w:hint="eastAsia" w:ascii="Times New Roman" w:hAnsi="Times New Roman" w:cs="Times New Roman"/>
          <w:bCs/>
          <w:szCs w:val="21"/>
        </w:rPr>
        <w:t>下划线处填写本项目的实际采购单位名称（深圳市深水水务咨询有限公司不是本项目的采购单位，而是本项目的组织实施机构）；</w:t>
      </w:r>
      <w:r>
        <w:rPr>
          <w:rFonts w:ascii="Times New Roman" w:hAnsi="Times New Roman" w:cs="Times New Roman"/>
          <w:bCs/>
          <w:szCs w:val="21"/>
        </w:rPr>
        <w:t xml:space="preserve"> </w:t>
      </w:r>
    </w:p>
    <w:p>
      <w:pPr>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第四处，在</w:t>
      </w:r>
      <w:r>
        <w:rPr>
          <w:rFonts w:ascii="Times New Roman" w:hAnsi="Times New Roman" w:cs="Times New Roman"/>
          <w:bCs/>
          <w:szCs w:val="21"/>
        </w:rPr>
        <w:t>“</w:t>
      </w:r>
      <w:r>
        <w:rPr>
          <w:rFonts w:hint="eastAsia" w:ascii="Times New Roman" w:hAnsi="Times New Roman" w:cs="Times New Roman"/>
          <w:bCs/>
          <w:szCs w:val="21"/>
        </w:rPr>
        <w:t>采购项目名称</w:t>
      </w:r>
      <w:r>
        <w:rPr>
          <w:rFonts w:ascii="Times New Roman" w:hAnsi="Times New Roman" w:cs="Times New Roman"/>
          <w:bCs/>
          <w:szCs w:val="21"/>
        </w:rPr>
        <w:t>”</w:t>
      </w:r>
      <w:r>
        <w:rPr>
          <w:rFonts w:hint="eastAsia" w:ascii="Times New Roman" w:hAnsi="Times New Roman" w:cs="Times New Roman"/>
          <w:bCs/>
          <w:szCs w:val="21"/>
        </w:rPr>
        <w:t>下划线处填写本项目的实际项目名称（项目名称可在招标公告处查看）；</w:t>
      </w:r>
      <w:r>
        <w:rPr>
          <w:rFonts w:ascii="Times New Roman" w:hAnsi="Times New Roman" w:cs="Times New Roman"/>
          <w:bCs/>
          <w:szCs w:val="21"/>
        </w:rPr>
        <w:t xml:space="preserve"> </w:t>
      </w:r>
    </w:p>
    <w:p>
      <w:pPr>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第五处，在</w:t>
      </w:r>
      <w:r>
        <w:rPr>
          <w:rFonts w:ascii="Times New Roman" w:hAnsi="Times New Roman" w:cs="Times New Roman"/>
          <w:bCs/>
          <w:szCs w:val="21"/>
        </w:rPr>
        <w:t>“□</w:t>
      </w:r>
      <w:r>
        <w:rPr>
          <w:rFonts w:hint="eastAsia" w:ascii="Times New Roman" w:hAnsi="Times New Roman" w:cs="Times New Roman"/>
          <w:bCs/>
          <w:szCs w:val="21"/>
        </w:rPr>
        <w:t>本企业制造的货物</w:t>
      </w:r>
      <w:r>
        <w:rPr>
          <w:rFonts w:ascii="Times New Roman" w:hAnsi="Times New Roman" w:cs="Times New Roman"/>
          <w:bCs/>
          <w:szCs w:val="21"/>
        </w:rPr>
        <w:t xml:space="preserve">” </w:t>
      </w:r>
      <w:r>
        <w:rPr>
          <w:rFonts w:hint="eastAsia" w:ascii="Times New Roman" w:hAnsi="Times New Roman" w:cs="Times New Roman"/>
          <w:bCs/>
          <w:szCs w:val="21"/>
        </w:rPr>
        <w:t>或</w:t>
      </w:r>
      <w:r>
        <w:rPr>
          <w:rFonts w:ascii="Times New Roman" w:hAnsi="Times New Roman" w:cs="Times New Roman"/>
          <w:bCs/>
          <w:szCs w:val="21"/>
        </w:rPr>
        <w:t>“□</w:t>
      </w:r>
      <w:r>
        <w:rPr>
          <w:rFonts w:hint="eastAsia" w:ascii="Times New Roman" w:hAnsi="Times New Roman" w:cs="Times New Roman"/>
          <w:bCs/>
          <w:szCs w:val="21"/>
        </w:rPr>
        <w:t>提供其他</w:t>
      </w:r>
      <w:r>
        <w:rPr>
          <w:rFonts w:ascii="Times New Roman" w:hAnsi="Times New Roman" w:cs="Times New Roman"/>
          <w:bCs/>
          <w:szCs w:val="21"/>
          <w:u w:val="single"/>
        </w:rPr>
        <w:t>______</w:t>
      </w:r>
      <w:r>
        <w:rPr>
          <w:rFonts w:hint="eastAsia" w:ascii="Times New Roman" w:hAnsi="Times New Roman" w:cs="Times New Roman"/>
          <w:bCs/>
          <w:szCs w:val="21"/>
        </w:rPr>
        <w:t>企业（请填写：中型、小型、微型）制造的货物</w:t>
      </w:r>
      <w:r>
        <w:rPr>
          <w:rFonts w:ascii="Times New Roman" w:hAnsi="Times New Roman" w:cs="Times New Roman"/>
          <w:bCs/>
          <w:szCs w:val="21"/>
        </w:rPr>
        <w:t>”</w:t>
      </w:r>
      <w:r>
        <w:rPr>
          <w:rFonts w:hint="eastAsia" w:ascii="Times New Roman" w:hAnsi="Times New Roman" w:cs="Times New Roman"/>
          <w:bCs/>
          <w:szCs w:val="21"/>
        </w:rPr>
        <w:t>两处中选择一处打</w:t>
      </w:r>
      <w:r>
        <w:rPr>
          <w:rFonts w:ascii="Times New Roman" w:hAnsi="Times New Roman" w:cs="Times New Roman"/>
          <w:bCs/>
          <w:szCs w:val="21"/>
        </w:rPr>
        <w:t>√</w:t>
      </w:r>
      <w:r>
        <w:rPr>
          <w:rFonts w:hint="eastAsia" w:ascii="Times New Roman" w:hAnsi="Times New Roman" w:cs="Times New Roman"/>
          <w:bCs/>
          <w:szCs w:val="21"/>
        </w:rPr>
        <w:t>；如选择在</w:t>
      </w:r>
      <w:r>
        <w:rPr>
          <w:rFonts w:ascii="Times New Roman" w:hAnsi="Times New Roman" w:cs="Times New Roman"/>
          <w:bCs/>
          <w:szCs w:val="21"/>
        </w:rPr>
        <w:t>“□</w:t>
      </w:r>
      <w:r>
        <w:rPr>
          <w:rFonts w:hint="eastAsia" w:ascii="Times New Roman" w:hAnsi="Times New Roman" w:cs="Times New Roman"/>
          <w:bCs/>
          <w:szCs w:val="21"/>
        </w:rPr>
        <w:t>提供其他</w:t>
      </w:r>
      <w:r>
        <w:rPr>
          <w:rFonts w:ascii="Times New Roman" w:hAnsi="Times New Roman" w:cs="Times New Roman"/>
          <w:bCs/>
          <w:szCs w:val="21"/>
          <w:u w:val="single"/>
        </w:rPr>
        <w:t>______</w:t>
      </w:r>
      <w:r>
        <w:rPr>
          <w:rFonts w:hint="eastAsia" w:ascii="Times New Roman" w:hAnsi="Times New Roman" w:cs="Times New Roman"/>
          <w:bCs/>
          <w:szCs w:val="21"/>
        </w:rPr>
        <w:t>企业（请填写：中型、小型、微型）制造的货物</w:t>
      </w:r>
      <w:r>
        <w:rPr>
          <w:rFonts w:ascii="Times New Roman" w:hAnsi="Times New Roman" w:cs="Times New Roman"/>
          <w:bCs/>
          <w:szCs w:val="21"/>
        </w:rPr>
        <w:t>”</w:t>
      </w:r>
      <w:r>
        <w:rPr>
          <w:rFonts w:hint="eastAsia" w:ascii="Times New Roman" w:hAnsi="Times New Roman" w:cs="Times New Roman"/>
          <w:bCs/>
          <w:szCs w:val="21"/>
        </w:rPr>
        <w:t>一处打</w:t>
      </w:r>
      <w:r>
        <w:rPr>
          <w:rFonts w:ascii="Times New Roman" w:hAnsi="Times New Roman" w:cs="Times New Roman"/>
          <w:bCs/>
          <w:szCs w:val="21"/>
        </w:rPr>
        <w:t>√</w:t>
      </w:r>
      <w:r>
        <w:rPr>
          <w:rFonts w:hint="eastAsia" w:ascii="Times New Roman" w:hAnsi="Times New Roman" w:cs="Times New Roman"/>
          <w:bCs/>
          <w:szCs w:val="21"/>
        </w:rPr>
        <w:t>，还须在此下划线处如实填写中型或小型或微型；</w:t>
      </w:r>
      <w:r>
        <w:rPr>
          <w:rFonts w:ascii="Times New Roman" w:hAnsi="Times New Roman" w:cs="Times New Roman"/>
          <w:bCs/>
          <w:szCs w:val="21"/>
        </w:rPr>
        <w:t xml:space="preserve"> </w:t>
      </w:r>
    </w:p>
    <w:p>
      <w:pPr>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同时请注意：</w:t>
      </w:r>
      <w:r>
        <w:rPr>
          <w:rFonts w:ascii="Times New Roman" w:hAnsi="Times New Roman" w:cs="Times New Roman"/>
          <w:bCs/>
          <w:szCs w:val="21"/>
        </w:rPr>
        <w:t>“□</w:t>
      </w:r>
      <w:r>
        <w:rPr>
          <w:rFonts w:hint="eastAsia" w:ascii="Times New Roman" w:hAnsi="Times New Roman" w:cs="Times New Roman"/>
          <w:bCs/>
          <w:szCs w:val="21"/>
        </w:rPr>
        <w:t>本企业制造的货物</w:t>
      </w:r>
      <w:r>
        <w:rPr>
          <w:rFonts w:ascii="Times New Roman" w:hAnsi="Times New Roman" w:cs="Times New Roman"/>
          <w:bCs/>
          <w:szCs w:val="21"/>
        </w:rPr>
        <w:t xml:space="preserve">” </w:t>
      </w:r>
      <w:r>
        <w:rPr>
          <w:rFonts w:hint="eastAsia" w:ascii="Times New Roman" w:hAnsi="Times New Roman" w:cs="Times New Roman"/>
          <w:bCs/>
          <w:szCs w:val="21"/>
        </w:rPr>
        <w:t>、</w:t>
      </w:r>
      <w:r>
        <w:rPr>
          <w:rFonts w:ascii="Times New Roman" w:hAnsi="Times New Roman" w:cs="Times New Roman"/>
          <w:bCs/>
          <w:szCs w:val="21"/>
        </w:rPr>
        <w:t>“□</w:t>
      </w:r>
      <w:r>
        <w:rPr>
          <w:rFonts w:hint="eastAsia" w:ascii="Times New Roman" w:hAnsi="Times New Roman" w:cs="Times New Roman"/>
          <w:bCs/>
          <w:szCs w:val="21"/>
        </w:rPr>
        <w:t>提供其他</w:t>
      </w:r>
      <w:r>
        <w:rPr>
          <w:rFonts w:ascii="Times New Roman" w:hAnsi="Times New Roman" w:cs="Times New Roman"/>
          <w:bCs/>
          <w:szCs w:val="21"/>
          <w:u w:val="single"/>
        </w:rPr>
        <w:t>______</w:t>
      </w:r>
      <w:r>
        <w:rPr>
          <w:rFonts w:hint="eastAsia" w:ascii="Times New Roman" w:hAnsi="Times New Roman" w:cs="Times New Roman"/>
          <w:bCs/>
          <w:szCs w:val="21"/>
        </w:rPr>
        <w:t>企业（请填写：中型、小型、微型）制造的货物</w:t>
      </w:r>
      <w:r>
        <w:rPr>
          <w:rFonts w:ascii="Times New Roman" w:hAnsi="Times New Roman" w:cs="Times New Roman"/>
          <w:bCs/>
          <w:szCs w:val="21"/>
        </w:rPr>
        <w:t>”</w:t>
      </w:r>
      <w:r>
        <w:rPr>
          <w:rFonts w:hint="eastAsia" w:ascii="Times New Roman" w:hAnsi="Times New Roman" w:cs="Times New Roman"/>
          <w:bCs/>
          <w:szCs w:val="21"/>
        </w:rPr>
        <w:t>中所称的货物是指单一产品采购项目中的货物，或者非单一产品采购项目中的核心产品（货物），不包括使用大型企业注册商标的货物；本项中的货物制造商应当在投标文件</w:t>
      </w:r>
      <w:r>
        <w:rPr>
          <w:rFonts w:ascii="Times New Roman" w:hAnsi="Times New Roman" w:cs="Times New Roman"/>
          <w:bCs/>
          <w:szCs w:val="21"/>
        </w:rPr>
        <w:t>“</w:t>
      </w:r>
      <w:r>
        <w:rPr>
          <w:rFonts w:hint="eastAsia" w:ascii="Times New Roman" w:hAnsi="Times New Roman" w:cs="Times New Roman"/>
          <w:bCs/>
          <w:szCs w:val="21"/>
        </w:rPr>
        <w:t>分项报价清单</w:t>
      </w:r>
      <w:r>
        <w:rPr>
          <w:rFonts w:ascii="Times New Roman" w:hAnsi="Times New Roman" w:cs="Times New Roman"/>
          <w:bCs/>
          <w:szCs w:val="21"/>
        </w:rPr>
        <w:t>”</w:t>
      </w:r>
      <w:r>
        <w:rPr>
          <w:rFonts w:hint="eastAsia" w:ascii="Times New Roman" w:hAnsi="Times New Roman" w:cs="Times New Roman"/>
          <w:bCs/>
          <w:szCs w:val="21"/>
        </w:rPr>
        <w:t>中明确列明。</w:t>
      </w:r>
    </w:p>
    <w:p>
      <w:pPr>
        <w:spacing w:line="240" w:lineRule="auto"/>
        <w:ind w:firstLine="422" w:firstLineChars="200"/>
        <w:rPr>
          <w:rFonts w:ascii="Times New Roman" w:hAnsi="Times New Roman" w:cs="Times New Roman"/>
          <w:b/>
          <w:bCs/>
        </w:rPr>
      </w:pPr>
      <w:r>
        <w:rPr>
          <w:rFonts w:hint="eastAsia" w:ascii="Times New Roman" w:hAnsi="Times New Roman" w:cs="Times New Roman"/>
          <w:b/>
          <w:bCs/>
        </w:rPr>
        <w:t>《中小企业声明函》中制造商、承接</w:t>
      </w:r>
      <w:r>
        <w:rPr>
          <w:rFonts w:ascii="Times New Roman" w:hAnsi="Times New Roman" w:cs="Times New Roman"/>
          <w:b/>
          <w:bCs/>
        </w:rPr>
        <w:t>/</w:t>
      </w:r>
      <w:r>
        <w:rPr>
          <w:rFonts w:hint="eastAsia" w:ascii="Times New Roman" w:hAnsi="Times New Roman" w:cs="Times New Roman"/>
          <w:b/>
          <w:bCs/>
        </w:rPr>
        <w:t>承建企业所属行业应当与招标文件要求的行业相一致，供应商如有疑问，可根据《国民经济行业分类》（</w:t>
      </w:r>
      <w:r>
        <w:rPr>
          <w:rFonts w:ascii="Times New Roman" w:hAnsi="Times New Roman" w:cs="Times New Roman"/>
          <w:b/>
          <w:bCs/>
        </w:rPr>
        <w:t>GB/T4754-2002</w:t>
      </w:r>
      <w:r>
        <w:rPr>
          <w:rFonts w:hint="eastAsia" w:ascii="Times New Roman" w:hAnsi="Times New Roman" w:cs="Times New Roman"/>
          <w:b/>
          <w:bCs/>
        </w:rPr>
        <w:t>），结合《关</w:t>
      </w:r>
      <w:r>
        <w:rPr>
          <w:rFonts w:ascii="Times New Roman" w:hAnsi="Times New Roman" w:cs="Times New Roman"/>
          <w:b/>
          <w:bCs/>
        </w:rPr>
        <w:t xml:space="preserve"> </w:t>
      </w:r>
      <w:r>
        <w:rPr>
          <w:rFonts w:hint="eastAsia" w:ascii="Times New Roman" w:hAnsi="Times New Roman" w:cs="Times New Roman"/>
          <w:b/>
          <w:bCs/>
        </w:rPr>
        <w:t>于</w:t>
      </w:r>
      <w:r>
        <w:rPr>
          <w:rFonts w:ascii="Times New Roman" w:hAnsi="Times New Roman" w:cs="Times New Roman"/>
          <w:b/>
          <w:bCs/>
        </w:rPr>
        <w:t xml:space="preserve"> </w:t>
      </w:r>
      <w:r>
        <w:rPr>
          <w:rFonts w:hint="eastAsia" w:ascii="Times New Roman" w:hAnsi="Times New Roman" w:cs="Times New Roman"/>
          <w:b/>
          <w:bCs/>
        </w:rPr>
        <w:t>印</w:t>
      </w:r>
      <w:r>
        <w:rPr>
          <w:rFonts w:ascii="Times New Roman" w:hAnsi="Times New Roman" w:cs="Times New Roman"/>
          <w:b/>
          <w:bCs/>
        </w:rPr>
        <w:t xml:space="preserve"> </w:t>
      </w:r>
      <w:r>
        <w:rPr>
          <w:rFonts w:hint="eastAsia" w:ascii="Times New Roman" w:hAnsi="Times New Roman" w:cs="Times New Roman"/>
          <w:b/>
          <w:bCs/>
        </w:rPr>
        <w:t>发</w:t>
      </w:r>
      <w:r>
        <w:rPr>
          <w:rFonts w:ascii="Times New Roman" w:hAnsi="Times New Roman" w:cs="Times New Roman"/>
          <w:b/>
          <w:bCs/>
        </w:rPr>
        <w:t xml:space="preserve"> </w:t>
      </w:r>
      <w:r>
        <w:rPr>
          <w:rFonts w:hint="eastAsia" w:ascii="Times New Roman" w:hAnsi="Times New Roman" w:cs="Times New Roman"/>
          <w:b/>
          <w:bCs/>
        </w:rPr>
        <w:t>中</w:t>
      </w:r>
      <w:r>
        <w:rPr>
          <w:rFonts w:ascii="Times New Roman" w:hAnsi="Times New Roman" w:cs="Times New Roman"/>
          <w:b/>
          <w:bCs/>
        </w:rPr>
        <w:t xml:space="preserve"> </w:t>
      </w:r>
      <w:r>
        <w:rPr>
          <w:rFonts w:hint="eastAsia" w:ascii="Times New Roman" w:hAnsi="Times New Roman" w:cs="Times New Roman"/>
          <w:b/>
          <w:bCs/>
        </w:rPr>
        <w:t>小</w:t>
      </w:r>
      <w:r>
        <w:rPr>
          <w:rFonts w:ascii="Times New Roman" w:hAnsi="Times New Roman" w:cs="Times New Roman"/>
          <w:b/>
          <w:bCs/>
        </w:rPr>
        <w:t xml:space="preserve"> </w:t>
      </w:r>
      <w:r>
        <w:rPr>
          <w:rFonts w:hint="eastAsia" w:ascii="Times New Roman" w:hAnsi="Times New Roman" w:cs="Times New Roman"/>
          <w:b/>
          <w:bCs/>
        </w:rPr>
        <w:t>企</w:t>
      </w:r>
      <w:r>
        <w:rPr>
          <w:rFonts w:ascii="Times New Roman" w:hAnsi="Times New Roman" w:cs="Times New Roman"/>
          <w:b/>
          <w:bCs/>
        </w:rPr>
        <w:t xml:space="preserve"> </w:t>
      </w:r>
      <w:r>
        <w:rPr>
          <w:rFonts w:hint="eastAsia" w:ascii="Times New Roman" w:hAnsi="Times New Roman" w:cs="Times New Roman"/>
          <w:b/>
          <w:bCs/>
        </w:rPr>
        <w:t>业</w:t>
      </w:r>
      <w:r>
        <w:rPr>
          <w:rFonts w:ascii="Times New Roman" w:hAnsi="Times New Roman" w:cs="Times New Roman"/>
          <w:b/>
          <w:bCs/>
        </w:rPr>
        <w:t xml:space="preserve"> </w:t>
      </w:r>
      <w:r>
        <w:rPr>
          <w:rFonts w:hint="eastAsia" w:ascii="Times New Roman" w:hAnsi="Times New Roman" w:cs="Times New Roman"/>
          <w:b/>
          <w:bCs/>
        </w:rPr>
        <w:t>划</w:t>
      </w:r>
      <w:r>
        <w:rPr>
          <w:rFonts w:ascii="Times New Roman" w:hAnsi="Times New Roman" w:cs="Times New Roman"/>
          <w:b/>
          <w:bCs/>
        </w:rPr>
        <w:t xml:space="preserve"> </w:t>
      </w:r>
      <w:r>
        <w:rPr>
          <w:rFonts w:hint="eastAsia" w:ascii="Times New Roman" w:hAnsi="Times New Roman" w:cs="Times New Roman"/>
          <w:b/>
          <w:bCs/>
        </w:rPr>
        <w:t>型</w:t>
      </w:r>
      <w:r>
        <w:rPr>
          <w:rFonts w:ascii="Times New Roman" w:hAnsi="Times New Roman" w:cs="Times New Roman"/>
          <w:b/>
          <w:bCs/>
        </w:rPr>
        <w:t xml:space="preserve"> </w:t>
      </w:r>
      <w:r>
        <w:rPr>
          <w:rFonts w:hint="eastAsia" w:ascii="Times New Roman" w:hAnsi="Times New Roman" w:cs="Times New Roman"/>
          <w:b/>
          <w:bCs/>
        </w:rPr>
        <w:t>标</w:t>
      </w:r>
      <w:r>
        <w:rPr>
          <w:rFonts w:ascii="Times New Roman" w:hAnsi="Times New Roman" w:cs="Times New Roman"/>
          <w:b/>
          <w:bCs/>
        </w:rPr>
        <w:t xml:space="preserve"> </w:t>
      </w:r>
      <w:r>
        <w:rPr>
          <w:rFonts w:hint="eastAsia" w:ascii="Times New Roman" w:hAnsi="Times New Roman" w:cs="Times New Roman"/>
          <w:b/>
          <w:bCs/>
        </w:rPr>
        <w:t>准</w:t>
      </w:r>
      <w:r>
        <w:rPr>
          <w:rFonts w:ascii="Times New Roman" w:hAnsi="Times New Roman" w:cs="Times New Roman"/>
          <w:b/>
          <w:bCs/>
        </w:rPr>
        <w:t xml:space="preserve"> </w:t>
      </w:r>
      <w:r>
        <w:rPr>
          <w:rFonts w:hint="eastAsia" w:ascii="Times New Roman" w:hAnsi="Times New Roman" w:cs="Times New Roman"/>
          <w:b/>
          <w:bCs/>
        </w:rPr>
        <w:t>规</w:t>
      </w:r>
      <w:r>
        <w:rPr>
          <w:rFonts w:ascii="Times New Roman" w:hAnsi="Times New Roman" w:cs="Times New Roman"/>
          <w:b/>
          <w:bCs/>
        </w:rPr>
        <w:t xml:space="preserve"> </w:t>
      </w:r>
      <w:r>
        <w:rPr>
          <w:rFonts w:hint="eastAsia" w:ascii="Times New Roman" w:hAnsi="Times New Roman" w:cs="Times New Roman"/>
          <w:b/>
          <w:bCs/>
        </w:rPr>
        <w:t>定</w:t>
      </w:r>
      <w:r>
        <w:rPr>
          <w:rFonts w:ascii="Times New Roman" w:hAnsi="Times New Roman" w:cs="Times New Roman"/>
          <w:b/>
          <w:bCs/>
        </w:rPr>
        <w:t xml:space="preserve"> </w:t>
      </w:r>
      <w:r>
        <w:rPr>
          <w:rFonts w:hint="eastAsia" w:ascii="Times New Roman" w:hAnsi="Times New Roman" w:cs="Times New Roman"/>
          <w:b/>
          <w:bCs/>
        </w:rPr>
        <w:t>的</w:t>
      </w:r>
      <w:r>
        <w:rPr>
          <w:rFonts w:ascii="Times New Roman" w:hAnsi="Times New Roman" w:cs="Times New Roman"/>
          <w:b/>
          <w:bCs/>
        </w:rPr>
        <w:t xml:space="preserve"> </w:t>
      </w:r>
      <w:r>
        <w:rPr>
          <w:rFonts w:hint="eastAsia" w:ascii="Times New Roman" w:hAnsi="Times New Roman" w:cs="Times New Roman"/>
          <w:b/>
          <w:bCs/>
        </w:rPr>
        <w:t>通</w:t>
      </w:r>
      <w:r>
        <w:rPr>
          <w:rFonts w:ascii="Times New Roman" w:hAnsi="Times New Roman" w:cs="Times New Roman"/>
          <w:b/>
          <w:bCs/>
        </w:rPr>
        <w:t xml:space="preserve"> </w:t>
      </w:r>
      <w:r>
        <w:rPr>
          <w:rFonts w:hint="eastAsia" w:ascii="Times New Roman" w:hAnsi="Times New Roman" w:cs="Times New Roman"/>
          <w:b/>
          <w:bCs/>
        </w:rPr>
        <w:t>知</w:t>
      </w:r>
      <w:r>
        <w:rPr>
          <w:rFonts w:ascii="Times New Roman" w:hAnsi="Times New Roman" w:cs="Times New Roman"/>
          <w:b/>
          <w:bCs/>
        </w:rPr>
        <w:t xml:space="preserve"> </w:t>
      </w:r>
      <w:r>
        <w:rPr>
          <w:rFonts w:hint="eastAsia" w:ascii="Times New Roman" w:hAnsi="Times New Roman" w:cs="Times New Roman"/>
          <w:b/>
          <w:bCs/>
        </w:rPr>
        <w:t>》</w:t>
      </w:r>
      <w:r>
        <w:rPr>
          <w:rFonts w:ascii="Times New Roman" w:hAnsi="Times New Roman" w:cs="Times New Roman"/>
          <w:b/>
          <w:bCs/>
        </w:rPr>
        <w:t xml:space="preserve"> </w:t>
      </w:r>
      <w:r>
        <w:rPr>
          <w:rFonts w:hint="eastAsia" w:ascii="Times New Roman" w:hAnsi="Times New Roman" w:cs="Times New Roman"/>
          <w:b/>
          <w:bCs/>
        </w:rPr>
        <w:t>（</w:t>
      </w:r>
      <w:r>
        <w:rPr>
          <w:rFonts w:ascii="Times New Roman" w:hAnsi="Times New Roman" w:cs="Times New Roman"/>
          <w:b/>
          <w:bCs/>
        </w:rPr>
        <w:t xml:space="preserve"> </w:t>
      </w:r>
      <w:r>
        <w:rPr>
          <w:rFonts w:hint="eastAsia" w:ascii="Times New Roman" w:hAnsi="Times New Roman" w:cs="Times New Roman"/>
          <w:b/>
          <w:bCs/>
        </w:rPr>
        <w:t>工</w:t>
      </w:r>
      <w:r>
        <w:rPr>
          <w:rFonts w:ascii="Times New Roman" w:hAnsi="Times New Roman" w:cs="Times New Roman"/>
          <w:b/>
          <w:bCs/>
        </w:rPr>
        <w:t xml:space="preserve"> </w:t>
      </w:r>
      <w:r>
        <w:rPr>
          <w:rFonts w:hint="eastAsia" w:ascii="Times New Roman" w:hAnsi="Times New Roman" w:cs="Times New Roman"/>
          <w:b/>
          <w:bCs/>
        </w:rPr>
        <w:t>信</w:t>
      </w:r>
      <w:r>
        <w:rPr>
          <w:rFonts w:ascii="Times New Roman" w:hAnsi="Times New Roman" w:cs="Times New Roman"/>
          <w:b/>
          <w:bCs/>
        </w:rPr>
        <w:t xml:space="preserve"> </w:t>
      </w:r>
      <w:r>
        <w:rPr>
          <w:rFonts w:hint="eastAsia" w:ascii="Times New Roman" w:hAnsi="Times New Roman" w:cs="Times New Roman"/>
          <w:b/>
          <w:bCs/>
        </w:rPr>
        <w:t>部</w:t>
      </w:r>
      <w:r>
        <w:rPr>
          <w:rFonts w:ascii="Times New Roman" w:hAnsi="Times New Roman" w:cs="Times New Roman"/>
          <w:b/>
          <w:bCs/>
        </w:rPr>
        <w:t xml:space="preserve"> </w:t>
      </w:r>
      <w:r>
        <w:rPr>
          <w:rFonts w:hint="eastAsia" w:ascii="Times New Roman" w:hAnsi="Times New Roman" w:cs="Times New Roman"/>
          <w:b/>
          <w:bCs/>
        </w:rPr>
        <w:t>联</w:t>
      </w:r>
      <w:r>
        <w:rPr>
          <w:rFonts w:ascii="Times New Roman" w:hAnsi="Times New Roman" w:cs="Times New Roman"/>
          <w:b/>
          <w:bCs/>
        </w:rPr>
        <w:t xml:space="preserve"> </w:t>
      </w:r>
      <w:r>
        <w:rPr>
          <w:rFonts w:hint="eastAsia" w:ascii="Times New Roman" w:hAnsi="Times New Roman" w:cs="Times New Roman"/>
          <w:b/>
          <w:bCs/>
        </w:rPr>
        <w:t>企</w:t>
      </w:r>
      <w:r>
        <w:rPr>
          <w:rFonts w:ascii="Times New Roman" w:hAnsi="Times New Roman" w:cs="Times New Roman"/>
          <w:b/>
          <w:bCs/>
        </w:rPr>
        <w:t xml:space="preserve"> </w:t>
      </w:r>
      <w:r>
        <w:rPr>
          <w:rFonts w:hint="eastAsia" w:ascii="Times New Roman" w:hAnsi="Times New Roman" w:cs="Times New Roman"/>
          <w:b/>
          <w:bCs/>
        </w:rPr>
        <w:t>业〔</w:t>
      </w:r>
      <w:r>
        <w:rPr>
          <w:rFonts w:ascii="Times New Roman" w:hAnsi="Times New Roman" w:cs="Times New Roman"/>
          <w:b/>
          <w:bCs/>
        </w:rPr>
        <w:t>2011</w:t>
      </w:r>
      <w:r>
        <w:rPr>
          <w:rFonts w:hint="eastAsia" w:ascii="Times New Roman" w:hAnsi="Times New Roman" w:cs="Times New Roman"/>
          <w:b/>
          <w:bCs/>
        </w:rPr>
        <w:t>〕</w:t>
      </w:r>
      <w:r>
        <w:rPr>
          <w:rFonts w:ascii="Times New Roman" w:hAnsi="Times New Roman" w:cs="Times New Roman"/>
          <w:b/>
          <w:bCs/>
        </w:rPr>
        <w:t xml:space="preserve">300 </w:t>
      </w:r>
      <w:r>
        <w:rPr>
          <w:rFonts w:hint="eastAsia" w:ascii="Times New Roman" w:hAnsi="Times New Roman" w:cs="Times New Roman"/>
          <w:b/>
          <w:bCs/>
        </w:rPr>
        <w:t>号）进行判断。事业单位、社会组织等非企业主体不享受中小企业扶持政策，但事业单位、社会组织等非企业主体提供全部由中小企业制造的货物参加货物采购项目的除外。</w:t>
      </w:r>
    </w:p>
    <w:p>
      <w:pPr>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2</w:t>
      </w:r>
      <w:r>
        <w:rPr>
          <w:rFonts w:hint="eastAsia" w:ascii="Times New Roman" w:hAnsi="Times New Roman" w:cs="Times New Roman"/>
          <w:bCs/>
          <w:szCs w:val="21"/>
        </w:rPr>
        <w:t>）声明是监狱企业须填写《监狱企业声明函》的三项内容（填写位置的字体已加粗），具体参照以上《中小企业声明函》填写要求执行。</w:t>
      </w:r>
      <w:r>
        <w:rPr>
          <w:rFonts w:ascii="Times New Roman" w:hAnsi="Times New Roman" w:cs="Times New Roman"/>
          <w:bCs/>
          <w:szCs w:val="21"/>
        </w:rPr>
        <w:t xml:space="preserve"> </w:t>
      </w:r>
    </w:p>
    <w:p>
      <w:pPr>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5.</w:t>
      </w:r>
      <w:r>
        <w:rPr>
          <w:rFonts w:hint="eastAsia" w:ascii="Times New Roman" w:hAnsi="Times New Roman" w:cs="Times New Roman"/>
          <w:bCs/>
          <w:szCs w:val="21"/>
        </w:rPr>
        <w:t>声明函的有效性最终由评审委员会判定。</w:t>
      </w:r>
      <w:r>
        <w:rPr>
          <w:rFonts w:ascii="Times New Roman" w:hAnsi="Times New Roman" w:cs="Times New Roman"/>
          <w:szCs w:val="21"/>
        </w:rPr>
        <w:br w:type="page"/>
      </w:r>
    </w:p>
    <w:p>
      <w:pPr>
        <w:spacing w:line="240" w:lineRule="auto"/>
        <w:ind w:firstLine="643" w:firstLineChars="200"/>
        <w:jc w:val="center"/>
        <w:rPr>
          <w:rFonts w:ascii="Times New Roman" w:hAnsi="Times New Roman" w:cs="Times New Roman"/>
          <w:b/>
          <w:sz w:val="32"/>
          <w:szCs w:val="32"/>
        </w:rPr>
      </w:pPr>
      <w:r>
        <w:rPr>
          <w:rFonts w:hint="eastAsia" w:ascii="Times New Roman" w:hAnsi="Times New Roman" w:cs="Times New Roman"/>
          <w:b/>
          <w:sz w:val="32"/>
          <w:szCs w:val="32"/>
        </w:rPr>
        <w:t>（一）中小企业声明函（样表）</w:t>
      </w:r>
    </w:p>
    <w:p>
      <w:pPr>
        <w:spacing w:line="240" w:lineRule="auto"/>
        <w:ind w:firstLine="420" w:firstLineChars="200"/>
        <w:jc w:val="left"/>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hint="eastAsia" w:ascii="Times New Roman" w:hAnsi="Times New Roman" w:cs="Times New Roman"/>
          <w:szCs w:val="21"/>
        </w:rPr>
        <w:t>本公司郑重声明，根据《关于印发</w:t>
      </w:r>
      <w:r>
        <w:rPr>
          <w:rFonts w:ascii="Times New Roman" w:hAnsi="Times New Roman" w:cs="Times New Roman"/>
          <w:szCs w:val="21"/>
        </w:rPr>
        <w:t>&lt;</w:t>
      </w:r>
      <w:r>
        <w:rPr>
          <w:rFonts w:hint="eastAsia" w:ascii="Times New Roman" w:hAnsi="Times New Roman" w:cs="Times New Roman"/>
          <w:szCs w:val="21"/>
        </w:rPr>
        <w:t>政府采购促进中小企业发展管理办法</w:t>
      </w:r>
      <w:r>
        <w:rPr>
          <w:rFonts w:ascii="Times New Roman" w:hAnsi="Times New Roman" w:cs="Times New Roman"/>
          <w:szCs w:val="21"/>
        </w:rPr>
        <w:t>&gt;</w:t>
      </w:r>
      <w:r>
        <w:rPr>
          <w:rFonts w:hint="eastAsia" w:ascii="Times New Roman" w:hAnsi="Times New Roman" w:cs="Times New Roman"/>
          <w:szCs w:val="21"/>
        </w:rPr>
        <w:t>的通知》（财库〔</w:t>
      </w:r>
      <w:r>
        <w:rPr>
          <w:rFonts w:ascii="Times New Roman" w:hAnsi="Times New Roman" w:cs="Times New Roman"/>
          <w:szCs w:val="21"/>
        </w:rPr>
        <w:t>2020</w:t>
      </w:r>
      <w:r>
        <w:rPr>
          <w:rFonts w:hint="eastAsia" w:ascii="Times New Roman" w:hAnsi="Times New Roman" w:cs="Times New Roman"/>
          <w:szCs w:val="21"/>
        </w:rPr>
        <w:t>〕</w:t>
      </w:r>
      <w:r>
        <w:rPr>
          <w:rFonts w:ascii="Times New Roman" w:hAnsi="Times New Roman" w:cs="Times New Roman"/>
          <w:szCs w:val="21"/>
        </w:rPr>
        <w:t>46</w:t>
      </w:r>
      <w:r>
        <w:rPr>
          <w:rFonts w:hint="eastAsia" w:ascii="Times New Roman" w:hAnsi="Times New Roman" w:cs="Times New Roman"/>
          <w:szCs w:val="21"/>
        </w:rPr>
        <w:t>号）的规定，本公司（联合体）参加</w:t>
      </w:r>
      <w:r>
        <w:rPr>
          <w:rFonts w:ascii="Times New Roman" w:hAnsi="Times New Roman" w:cs="Times New Roman"/>
          <w:b/>
          <w:bCs/>
          <w:szCs w:val="21"/>
          <w:u w:val="single"/>
        </w:rPr>
        <w:t xml:space="preserve"> (</w:t>
      </w:r>
      <w:r>
        <w:rPr>
          <w:rFonts w:hint="eastAsia" w:ascii="Times New Roman" w:hAnsi="Times New Roman" w:cs="Times New Roman"/>
          <w:b/>
          <w:bCs/>
          <w:szCs w:val="21"/>
          <w:u w:val="single"/>
        </w:rPr>
        <w:t>采购单位名称</w:t>
      </w:r>
      <w:r>
        <w:rPr>
          <w:rFonts w:ascii="Times New Roman" w:hAnsi="Times New Roman" w:cs="Times New Roman"/>
          <w:b/>
          <w:bCs/>
          <w:szCs w:val="21"/>
          <w:u w:val="single"/>
        </w:rPr>
        <w:t xml:space="preserve">) </w:t>
      </w:r>
      <w:r>
        <w:rPr>
          <w:rFonts w:hint="eastAsia" w:ascii="Times New Roman" w:hAnsi="Times New Roman" w:cs="Times New Roman"/>
          <w:szCs w:val="21"/>
        </w:rPr>
        <w:t>的</w:t>
      </w:r>
      <w:r>
        <w:rPr>
          <w:rFonts w:hint="eastAsia" w:ascii="Times New Roman" w:hAnsi="Times New Roman" w:cs="Times New Roman"/>
          <w:b/>
          <w:bCs/>
          <w:szCs w:val="21"/>
          <w:u w:val="single"/>
        </w:rPr>
        <w:t>（采购项目名称）</w:t>
      </w:r>
      <w:r>
        <w:rPr>
          <w:rFonts w:ascii="Times New Roman" w:hAnsi="Times New Roman" w:cs="Times New Roman"/>
          <w:b/>
          <w:bCs/>
          <w:szCs w:val="21"/>
          <w:u w:val="single"/>
        </w:rPr>
        <w:t xml:space="preserve"> </w:t>
      </w:r>
      <w:r>
        <w:rPr>
          <w:rFonts w:hint="eastAsia" w:ascii="Times New Roman" w:hAnsi="Times New Roman" w:cs="Times New Roman"/>
          <w:szCs w:val="21"/>
        </w:rPr>
        <w:t>采购活动，</w:t>
      </w:r>
      <w:r>
        <w:rPr>
          <w:rFonts w:ascii="Times New Roman" w:hAnsi="Times New Roman" w:cs="Times New Roman"/>
          <w:szCs w:val="21"/>
          <w:u w:val="single"/>
        </w:rPr>
        <w:t>________________________</w:t>
      </w:r>
      <w:r>
        <w:rPr>
          <w:rFonts w:hint="eastAsia" w:ascii="Times New Roman" w:hAnsi="Times New Roman" w:cs="Times New Roman"/>
          <w:szCs w:val="21"/>
        </w:rPr>
        <w:t>（填写说明：</w:t>
      </w:r>
      <w:r>
        <w:rPr>
          <w:rFonts w:hint="eastAsia" w:ascii="Times New Roman" w:hAnsi="Times New Roman" w:cs="Times New Roman"/>
          <w:b/>
          <w:bCs/>
          <w:szCs w:val="21"/>
        </w:rPr>
        <w:t>货物类：提供的货物全部由符合政策要求的中小企业制造。</w:t>
      </w:r>
      <w:r>
        <w:rPr>
          <w:rFonts w:hint="eastAsia" w:ascii="Times New Roman" w:hAnsi="Times New Roman" w:cs="Times New Roman"/>
          <w:szCs w:val="21"/>
        </w:rPr>
        <w:t>服务类：服务全部由符合政策要求的中小企业承接。工程类：工程的施工单位全部为符合政策要求的中小企业。）相关企业（含联合体中的中小企业、签订分包意向协议的中小企业）的具体情况如下：</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b/>
          <w:bCs/>
          <w:szCs w:val="21"/>
          <w:u w:val="single"/>
        </w:rPr>
        <w:t>（标的名称）</w:t>
      </w:r>
      <w:r>
        <w:rPr>
          <w:rFonts w:hint="eastAsia" w:ascii="Times New Roman" w:hAnsi="Times New Roman" w:cs="Times New Roman"/>
          <w:szCs w:val="21"/>
        </w:rPr>
        <w:t>，属于</w:t>
      </w:r>
      <w:r>
        <w:rPr>
          <w:rFonts w:hint="eastAsia" w:ascii="Times New Roman" w:hAnsi="Times New Roman" w:cs="Times New Roman"/>
          <w:b/>
          <w:bCs/>
          <w:szCs w:val="21"/>
          <w:u w:val="single"/>
        </w:rPr>
        <w:t>（采购文件中明确的所属行业）</w:t>
      </w:r>
      <w:r>
        <w:rPr>
          <w:rFonts w:hint="eastAsia" w:ascii="Times New Roman" w:hAnsi="Times New Roman" w:cs="Times New Roman"/>
          <w:szCs w:val="21"/>
        </w:rPr>
        <w:t>；承建（承接）企业为（企业名称），从业人员</w:t>
      </w:r>
      <w:r>
        <w:rPr>
          <w:rFonts w:ascii="Times New Roman" w:hAnsi="Times New Roman" w:cs="Times New Roman"/>
          <w:szCs w:val="21"/>
          <w:u w:val="single"/>
        </w:rPr>
        <w:t>____</w:t>
      </w:r>
      <w:r>
        <w:rPr>
          <w:rFonts w:hint="eastAsia" w:ascii="Times New Roman" w:hAnsi="Times New Roman" w:cs="Times New Roman"/>
          <w:szCs w:val="21"/>
        </w:rPr>
        <w:t>人，营业收入为</w:t>
      </w:r>
      <w:r>
        <w:rPr>
          <w:rFonts w:ascii="Times New Roman" w:hAnsi="Times New Roman" w:cs="Times New Roman"/>
          <w:szCs w:val="21"/>
          <w:u w:val="single"/>
        </w:rPr>
        <w:t>____</w:t>
      </w:r>
      <w:r>
        <w:rPr>
          <w:rFonts w:hint="eastAsia" w:ascii="Times New Roman" w:hAnsi="Times New Roman" w:cs="Times New Roman"/>
          <w:szCs w:val="21"/>
        </w:rPr>
        <w:t>万元，资产总额为</w:t>
      </w:r>
      <w:r>
        <w:rPr>
          <w:rFonts w:ascii="Times New Roman" w:hAnsi="Times New Roman" w:cs="Times New Roman"/>
          <w:szCs w:val="21"/>
          <w:u w:val="single"/>
        </w:rPr>
        <w:t>____</w:t>
      </w:r>
      <w:r>
        <w:rPr>
          <w:rFonts w:hint="eastAsia" w:ascii="Times New Roman" w:hAnsi="Times New Roman" w:cs="Times New Roman"/>
          <w:szCs w:val="21"/>
        </w:rPr>
        <w:t>万元</w:t>
      </w:r>
      <w:r>
        <w:rPr>
          <w:rFonts w:ascii="Times New Roman" w:hAnsi="Times New Roman" w:cs="Times New Roman"/>
          <w:szCs w:val="21"/>
        </w:rPr>
        <w:t>1</w:t>
      </w:r>
      <w:r>
        <w:rPr>
          <w:rFonts w:hint="eastAsia" w:ascii="Times New Roman" w:hAnsi="Times New Roman" w:cs="Times New Roman"/>
          <w:szCs w:val="21"/>
        </w:rPr>
        <w:t>，属于（中型企业、小型企业、微型企业）；</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b/>
          <w:bCs/>
          <w:szCs w:val="21"/>
          <w:u w:val="single"/>
        </w:rPr>
        <w:t>（标的名称）</w:t>
      </w:r>
      <w:r>
        <w:rPr>
          <w:rFonts w:hint="eastAsia" w:ascii="Times New Roman" w:hAnsi="Times New Roman" w:cs="Times New Roman"/>
          <w:szCs w:val="21"/>
        </w:rPr>
        <w:t>，属于</w:t>
      </w:r>
      <w:r>
        <w:rPr>
          <w:rFonts w:hint="eastAsia" w:ascii="Times New Roman" w:hAnsi="Times New Roman" w:cs="Times New Roman"/>
          <w:b/>
          <w:bCs/>
          <w:szCs w:val="21"/>
          <w:u w:val="single"/>
        </w:rPr>
        <w:t>（采购文件中明确的所属行业）</w:t>
      </w:r>
      <w:r>
        <w:rPr>
          <w:rFonts w:hint="eastAsia" w:ascii="Times New Roman" w:hAnsi="Times New Roman" w:cs="Times New Roman"/>
          <w:szCs w:val="21"/>
        </w:rPr>
        <w:t>；承建（承接）企业为（企业名称），从业人员</w:t>
      </w:r>
      <w:r>
        <w:rPr>
          <w:rFonts w:ascii="Times New Roman" w:hAnsi="Times New Roman" w:cs="Times New Roman"/>
          <w:szCs w:val="21"/>
          <w:u w:val="single"/>
        </w:rPr>
        <w:t>____</w:t>
      </w:r>
      <w:r>
        <w:rPr>
          <w:rFonts w:hint="eastAsia" w:ascii="Times New Roman" w:hAnsi="Times New Roman" w:cs="Times New Roman"/>
          <w:szCs w:val="21"/>
        </w:rPr>
        <w:t>人，营业收入为</w:t>
      </w:r>
      <w:r>
        <w:rPr>
          <w:rFonts w:ascii="Times New Roman" w:hAnsi="Times New Roman" w:cs="Times New Roman"/>
          <w:szCs w:val="21"/>
          <w:u w:val="single"/>
        </w:rPr>
        <w:t>____</w:t>
      </w:r>
      <w:r>
        <w:rPr>
          <w:rFonts w:hint="eastAsia" w:ascii="Times New Roman" w:hAnsi="Times New Roman" w:cs="Times New Roman"/>
          <w:szCs w:val="21"/>
        </w:rPr>
        <w:t>万元，资产总额为</w:t>
      </w:r>
      <w:r>
        <w:rPr>
          <w:rFonts w:ascii="Times New Roman" w:hAnsi="Times New Roman" w:cs="Times New Roman"/>
          <w:szCs w:val="21"/>
          <w:u w:val="single"/>
        </w:rPr>
        <w:t>____</w:t>
      </w:r>
      <w:r>
        <w:rPr>
          <w:rFonts w:hint="eastAsia" w:ascii="Times New Roman" w:hAnsi="Times New Roman" w:cs="Times New Roman"/>
          <w:szCs w:val="21"/>
        </w:rPr>
        <w:t>万元，属于（中型企业、小型企业、微型企业）；</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w:t>
      </w:r>
    </w:p>
    <w:p>
      <w:pPr>
        <w:spacing w:line="240" w:lineRule="auto"/>
        <w:ind w:firstLine="420" w:firstLineChars="200"/>
        <w:rPr>
          <w:rFonts w:ascii="Times New Roman" w:hAnsi="Times New Roman" w:cs="Times New Roman"/>
          <w:szCs w:val="21"/>
        </w:rPr>
      </w:pPr>
      <w:r>
        <w:rPr>
          <w:rFonts w:hint="eastAsia" w:ascii="Times New Roman" w:hAnsi="Times New Roman" w:cs="Times New Roman"/>
          <w:szCs w:val="21"/>
        </w:rPr>
        <w:t>以上企业，不属于大企业的分支机构，不存在控股股东为大企业的情形，也不存在与大企业的负责人为同一人的情形。</w:t>
      </w:r>
    </w:p>
    <w:p>
      <w:pPr>
        <w:spacing w:line="240" w:lineRule="auto"/>
        <w:ind w:firstLine="420" w:firstLineChars="200"/>
        <w:rPr>
          <w:rFonts w:ascii="Times New Roman" w:hAnsi="Times New Roman" w:cs="Times New Roman"/>
          <w:szCs w:val="21"/>
        </w:rPr>
      </w:pPr>
      <w:r>
        <w:rPr>
          <w:rFonts w:hint="eastAsia" w:ascii="Times New Roman" w:hAnsi="Times New Roman" w:cs="Times New Roman"/>
          <w:szCs w:val="21"/>
        </w:rPr>
        <w:t>本企业对上述声明内容的真实性负责。如有虚假，将依法承担相应责任。</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hint="eastAsia" w:ascii="Times New Roman" w:hAnsi="Times New Roman" w:cs="Times New Roman"/>
          <w:szCs w:val="21"/>
        </w:rPr>
        <w:t>企业名称（盖章）：</w:t>
      </w:r>
    </w:p>
    <w:p>
      <w:pPr>
        <w:spacing w:line="240" w:lineRule="auto"/>
        <w:ind w:firstLine="420" w:firstLineChars="200"/>
        <w:rPr>
          <w:rFonts w:ascii="Times New Roman" w:hAnsi="Times New Roman" w:cs="Times New Roman"/>
          <w:szCs w:val="21"/>
        </w:rPr>
      </w:pPr>
      <w:r>
        <w:rPr>
          <w:rFonts w:hint="eastAsia" w:ascii="Times New Roman" w:hAnsi="Times New Roman" w:cs="Times New Roman"/>
          <w:szCs w:val="21"/>
        </w:rPr>
        <w:t>日期：</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hint="eastAsia" w:ascii="Times New Roman" w:hAnsi="Times New Roman" w:cs="Times New Roman"/>
          <w:szCs w:val="21"/>
        </w:rPr>
        <w:t>备注：</w:t>
      </w:r>
      <w:r>
        <w:rPr>
          <w:rFonts w:ascii="Times New Roman" w:hAnsi="Times New Roman" w:cs="Times New Roman"/>
          <w:szCs w:val="21"/>
        </w:rPr>
        <w:t>1</w:t>
      </w:r>
      <w:r>
        <w:rPr>
          <w:rFonts w:hint="eastAsia" w:ascii="Times New Roman" w:hAnsi="Times New Roman" w:cs="Times New Roman"/>
          <w:szCs w:val="21"/>
        </w:rPr>
        <w:t>、从业人员、营业收入、资产总额填报上一年度数据，无上一年度数据的新成立企业可不填报。</w:t>
      </w: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hint="eastAsia" w:ascii="Times New Roman" w:hAnsi="Times New Roman" w:cs="Times New Roman"/>
          <w:b/>
          <w:sz w:val="32"/>
          <w:szCs w:val="32"/>
        </w:rPr>
        <w:t>（二）省级以上监狱管理局、戒毒管理局（含新疆生产建设兵团）出具的属于监狱企业的证明文件（样表）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hint="eastAsia" w:ascii="Times New Roman" w:hAnsi="Times New Roman" w:cs="Times New Roman"/>
          <w:szCs w:val="21"/>
        </w:rPr>
        <w:t>本单位郑重声明，根据《财政部司法部关于政府采购支持监狱企业发展有关问题的通知》（财库〔</w:t>
      </w:r>
      <w:r>
        <w:rPr>
          <w:rFonts w:ascii="Times New Roman" w:hAnsi="Times New Roman" w:cs="Times New Roman"/>
          <w:szCs w:val="21"/>
        </w:rPr>
        <w:t>2014</w:t>
      </w:r>
      <w:r>
        <w:rPr>
          <w:rFonts w:hint="eastAsia" w:ascii="Times New Roman" w:hAnsi="Times New Roman" w:cs="Times New Roman"/>
          <w:szCs w:val="21"/>
        </w:rPr>
        <w:t>〕</w:t>
      </w:r>
      <w:r>
        <w:rPr>
          <w:rFonts w:ascii="Times New Roman" w:hAnsi="Times New Roman" w:cs="Times New Roman"/>
          <w:szCs w:val="21"/>
        </w:rPr>
        <w:t>68</w:t>
      </w:r>
      <w:r>
        <w:rPr>
          <w:rFonts w:hint="eastAsia" w:ascii="Times New Roman" w:hAnsi="Times New Roman" w:cs="Times New Roman"/>
          <w:szCs w:val="21"/>
        </w:rPr>
        <w:t>号）的规定，本单位为符合条件的监狱企业，且本单位参加</w:t>
      </w:r>
      <w:r>
        <w:rPr>
          <w:rFonts w:hint="eastAsia" w:ascii="Times New Roman" w:hAnsi="Times New Roman" w:cs="Times New Roman"/>
          <w:b/>
          <w:bCs/>
          <w:szCs w:val="21"/>
          <w:u w:val="single"/>
        </w:rPr>
        <w:t>（采购单位名称）</w:t>
      </w:r>
      <w:r>
        <w:rPr>
          <w:rFonts w:hint="eastAsia" w:ascii="Times New Roman" w:hAnsi="Times New Roman" w:cs="Times New Roman"/>
          <w:szCs w:val="21"/>
        </w:rPr>
        <w:t>单位的</w:t>
      </w:r>
      <w:r>
        <w:rPr>
          <w:rFonts w:hint="eastAsia" w:ascii="Times New Roman" w:hAnsi="Times New Roman" w:cs="Times New Roman"/>
          <w:b/>
          <w:bCs/>
          <w:szCs w:val="21"/>
          <w:u w:val="single"/>
        </w:rPr>
        <w:t>（采购项目名称）</w:t>
      </w:r>
      <w:r>
        <w:rPr>
          <w:rFonts w:hint="eastAsia" w:ascii="Times New Roman" w:hAnsi="Times New Roman" w:cs="Times New Roman"/>
          <w:szCs w:val="21"/>
        </w:rPr>
        <w:t>项目采购活动，并提供</w:t>
      </w:r>
      <w:r>
        <w:rPr>
          <w:rFonts w:ascii="Times New Roman" w:hAnsi="Times New Roman" w:cs="Times New Roman"/>
          <w:szCs w:val="21"/>
        </w:rPr>
        <w:t>:</w:t>
      </w:r>
      <w:r>
        <w:rPr>
          <w:rFonts w:ascii="Times New Roman" w:hAnsi="Times New Roman" w:cs="Times New Roman"/>
          <w:b/>
          <w:bCs/>
          <w:szCs w:val="21"/>
        </w:rPr>
        <w:t>□</w:t>
      </w:r>
      <w:r>
        <w:rPr>
          <w:rFonts w:hint="eastAsia" w:ascii="Times New Roman" w:hAnsi="Times New Roman" w:cs="Times New Roman"/>
          <w:b/>
          <w:bCs/>
          <w:szCs w:val="21"/>
        </w:rPr>
        <w:t>本单位制造的货物</w:t>
      </w:r>
      <w:r>
        <w:rPr>
          <w:rFonts w:ascii="Times New Roman" w:hAnsi="Times New Roman" w:cs="Times New Roman"/>
          <w:szCs w:val="21"/>
        </w:rPr>
        <w:t>;□</w:t>
      </w:r>
      <w:r>
        <w:rPr>
          <w:rFonts w:hint="eastAsia" w:ascii="Times New Roman" w:hAnsi="Times New Roman" w:cs="Times New Roman"/>
          <w:szCs w:val="21"/>
        </w:rPr>
        <w:t>由本单位承担的工程、提供服务</w:t>
      </w:r>
      <w:r>
        <w:rPr>
          <w:rFonts w:ascii="Times New Roman" w:hAnsi="Times New Roman" w:cs="Times New Roman"/>
          <w:b/>
          <w:bCs/>
          <w:szCs w:val="21"/>
        </w:rPr>
        <w:t>;□</w:t>
      </w:r>
      <w:r>
        <w:rPr>
          <w:rFonts w:hint="eastAsia" w:ascii="Times New Roman" w:hAnsi="Times New Roman" w:cs="Times New Roman"/>
          <w:b/>
          <w:bCs/>
          <w:szCs w:val="21"/>
        </w:rPr>
        <w:t>提供其他监狱企业制造的货物（承诺人在</w:t>
      </w:r>
      <w:r>
        <w:rPr>
          <w:rFonts w:ascii="Times New Roman" w:hAnsi="Times New Roman" w:cs="Times New Roman"/>
          <w:b/>
          <w:bCs/>
          <w:szCs w:val="21"/>
        </w:rPr>
        <w:t>□</w:t>
      </w:r>
      <w:r>
        <w:rPr>
          <w:rFonts w:hint="eastAsia" w:ascii="Times New Roman" w:hAnsi="Times New Roman" w:cs="Times New Roman"/>
          <w:b/>
          <w:bCs/>
          <w:szCs w:val="21"/>
        </w:rPr>
        <w:t>处打</w:t>
      </w:r>
      <w:r>
        <w:rPr>
          <w:rFonts w:ascii="Times New Roman" w:hAnsi="Times New Roman" w:cs="Times New Roman"/>
          <w:b/>
          <w:bCs/>
          <w:szCs w:val="21"/>
        </w:rPr>
        <w:t>√</w:t>
      </w:r>
      <w:r>
        <w:rPr>
          <w:rFonts w:hint="eastAsia" w:ascii="Times New Roman" w:hAnsi="Times New Roman" w:cs="Times New Roman"/>
          <w:b/>
          <w:bCs/>
          <w:szCs w:val="21"/>
        </w:rPr>
        <w:t>）</w:t>
      </w:r>
      <w:r>
        <w:rPr>
          <w:rFonts w:hint="eastAsia" w:ascii="Times New Roman" w:hAnsi="Times New Roman" w:cs="Times New Roman"/>
          <w:szCs w:val="21"/>
        </w:rPr>
        <w:t>。本条所称货物是指单一产品采购项目中的货物，或者非单一产品采购项目中的核心产品（货物）。</w:t>
      </w:r>
    </w:p>
    <w:p>
      <w:pPr>
        <w:spacing w:line="240" w:lineRule="auto"/>
        <w:ind w:firstLine="420" w:firstLineChars="200"/>
        <w:rPr>
          <w:rFonts w:ascii="Times New Roman" w:hAnsi="Times New Roman" w:cs="Times New Roman"/>
          <w:szCs w:val="21"/>
        </w:rPr>
      </w:pPr>
      <w:r>
        <w:rPr>
          <w:rFonts w:hint="eastAsia" w:ascii="Times New Roman" w:hAnsi="Times New Roman" w:cs="Times New Roman"/>
          <w:szCs w:val="21"/>
        </w:rPr>
        <w:t>本单位对上述声明的真实性负责。如有虚假，将依法承担相应责任。</w:t>
      </w:r>
    </w:p>
    <w:p>
      <w:pPr>
        <w:spacing w:line="240" w:lineRule="auto"/>
        <w:ind w:firstLine="420" w:firstLineChars="200"/>
        <w:rPr>
          <w:rFonts w:ascii="Times New Roman" w:hAnsi="Times New Roman" w:cs="Times New Roman"/>
          <w:szCs w:val="21"/>
        </w:rPr>
      </w:pPr>
      <w:r>
        <w:rPr>
          <w:rFonts w:hint="eastAsia" w:ascii="Times New Roman" w:hAnsi="Times New Roman" w:cs="Times New Roman"/>
          <w:szCs w:val="21"/>
        </w:rPr>
        <w:t>附：省级以上监狱管理局、戒毒管理局（含新疆生产建设兵团）出具的监狱企业证明文件。</w:t>
      </w:r>
    </w:p>
    <w:p>
      <w:pPr>
        <w:spacing w:line="240" w:lineRule="auto"/>
        <w:ind w:firstLine="420" w:firstLineChars="200"/>
        <w:jc w:val="right"/>
        <w:rPr>
          <w:rFonts w:ascii="Times New Roman" w:hAnsi="Times New Roman" w:cs="Times New Roman"/>
          <w:szCs w:val="21"/>
        </w:rPr>
      </w:pPr>
      <w:r>
        <w:rPr>
          <w:rFonts w:hint="eastAsia"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hint="eastAsia" w:ascii="Times New Roman" w:hAnsi="Times New Roman" w:cs="Times New Roman"/>
          <w:szCs w:val="21"/>
        </w:rPr>
        <w:t>日期：</w:t>
      </w:r>
      <w:r>
        <w:rPr>
          <w:rFonts w:ascii="Times New Roman" w:hAnsi="Times New Roman" w:cs="Times New Roman"/>
          <w:szCs w:val="21"/>
          <w:u w:val="single"/>
        </w:rPr>
        <w:t>_________________</w:t>
      </w: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hint="eastAsia" w:ascii="Times New Roman" w:hAnsi="Times New Roman" w:cs="Times New Roman"/>
          <w:b/>
          <w:sz w:val="32"/>
          <w:szCs w:val="32"/>
        </w:rPr>
        <w:t>（三）含有小型、微型企业的联合体声明函（样表）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b/>
          <w:bCs/>
          <w:szCs w:val="21"/>
          <w:u w:val="single"/>
        </w:rPr>
        <w:t>（供应商名称、供应商名称）</w:t>
      </w:r>
      <w:r>
        <w:rPr>
          <w:rFonts w:hint="eastAsia" w:ascii="Times New Roman" w:hAnsi="Times New Roman" w:cs="Times New Roman"/>
          <w:szCs w:val="21"/>
        </w:rPr>
        <w:t>共同组成联合体（详见联合体协议）。根据《工业和信息化部、国家统计局、国家发展和改革委员会、财政部关于印发中小企业划型标准规定的通知》（工信部联企业〔</w:t>
      </w:r>
      <w:r>
        <w:rPr>
          <w:rFonts w:ascii="Times New Roman" w:hAnsi="Times New Roman" w:cs="Times New Roman"/>
          <w:szCs w:val="21"/>
        </w:rPr>
        <w:t>2011</w:t>
      </w:r>
      <w:r>
        <w:rPr>
          <w:rFonts w:hint="eastAsia" w:ascii="Times New Roman" w:hAnsi="Times New Roman" w:cs="Times New Roman"/>
          <w:szCs w:val="21"/>
        </w:rPr>
        <w:t>〕</w:t>
      </w:r>
      <w:r>
        <w:rPr>
          <w:rFonts w:ascii="Times New Roman" w:hAnsi="Times New Roman" w:cs="Times New Roman"/>
          <w:szCs w:val="21"/>
        </w:rPr>
        <w:t>300</w:t>
      </w:r>
      <w:r>
        <w:rPr>
          <w:rFonts w:ascii="Times New Roman" w:hAnsi="Times New Roman" w:cs="Times New Roman"/>
          <w:szCs w:val="21"/>
          <w:u w:val="single"/>
        </w:rPr>
        <w:t>_</w:t>
      </w:r>
      <w:r>
        <w:rPr>
          <w:rFonts w:hint="eastAsia" w:ascii="Times New Roman" w:hAnsi="Times New Roman" w:cs="Times New Roman"/>
          <w:szCs w:val="21"/>
        </w:rPr>
        <w:t>号）规定的划分标准，本联合体中：</w:t>
      </w:r>
      <w:r>
        <w:rPr>
          <w:rFonts w:ascii="Times New Roman" w:hAnsi="Times New Roman" w:cs="Times New Roman"/>
          <w:szCs w:val="21"/>
        </w:rPr>
        <w:t>□</w:t>
      </w:r>
      <w:r>
        <w:rPr>
          <w:rFonts w:ascii="Times New Roman" w:hAnsi="Times New Roman" w:cs="Times New Roman"/>
          <w:szCs w:val="21"/>
          <w:u w:val="single"/>
        </w:rPr>
        <w:t>______</w:t>
      </w:r>
      <w:r>
        <w:rPr>
          <w:rFonts w:hint="eastAsia" w:ascii="Times New Roman" w:hAnsi="Times New Roman" w:cs="Times New Roman"/>
          <w:szCs w:val="21"/>
        </w:rPr>
        <w:t>单位为</w:t>
      </w:r>
      <w:r>
        <w:rPr>
          <w:rFonts w:ascii="Times New Roman" w:hAnsi="Times New Roman" w:cs="Times New Roman"/>
          <w:szCs w:val="21"/>
          <w:u w:val="single"/>
        </w:rPr>
        <w:t>______</w:t>
      </w:r>
      <w:r>
        <w:rPr>
          <w:rFonts w:hint="eastAsia" w:ascii="Times New Roman" w:hAnsi="Times New Roman" w:cs="Times New Roman"/>
          <w:szCs w:val="21"/>
        </w:rPr>
        <w:t>（请填写：中型、小型、微型）企业，</w:t>
      </w:r>
      <w:r>
        <w:rPr>
          <w:rFonts w:ascii="Times New Roman" w:hAnsi="Times New Roman" w:cs="Times New Roman"/>
          <w:szCs w:val="21"/>
          <w:u w:val="single"/>
        </w:rPr>
        <w:t>______</w:t>
      </w:r>
      <w:r>
        <w:rPr>
          <w:rFonts w:hint="eastAsia" w:ascii="Times New Roman" w:hAnsi="Times New Roman" w:cs="Times New Roman"/>
          <w:szCs w:val="21"/>
        </w:rPr>
        <w:t>单位为</w:t>
      </w:r>
      <w:r>
        <w:rPr>
          <w:rFonts w:ascii="Times New Roman" w:hAnsi="Times New Roman" w:cs="Times New Roman"/>
          <w:szCs w:val="21"/>
          <w:u w:val="single"/>
        </w:rPr>
        <w:t>______</w:t>
      </w:r>
      <w:r>
        <w:rPr>
          <w:rFonts w:hint="eastAsia" w:ascii="Times New Roman" w:hAnsi="Times New Roman" w:cs="Times New Roman"/>
          <w:szCs w:val="21"/>
        </w:rPr>
        <w:t>（请填写：中型、小型、微型）企业；</w:t>
      </w:r>
      <w:r>
        <w:rPr>
          <w:rFonts w:ascii="Times New Roman" w:hAnsi="Times New Roman" w:cs="Times New Roman"/>
          <w:szCs w:val="21"/>
        </w:rPr>
        <w:t>□</w:t>
      </w:r>
      <w:r>
        <w:rPr>
          <w:rFonts w:hint="eastAsia" w:ascii="Times New Roman" w:hAnsi="Times New Roman" w:cs="Times New Roman"/>
          <w:szCs w:val="21"/>
        </w:rPr>
        <w:t>联合体各方均为小微企业（承诺人在</w:t>
      </w:r>
      <w:r>
        <w:rPr>
          <w:rFonts w:ascii="Times New Roman" w:hAnsi="Times New Roman" w:cs="Times New Roman"/>
          <w:szCs w:val="21"/>
        </w:rPr>
        <w:t>□</w:t>
      </w:r>
      <w:r>
        <w:rPr>
          <w:rFonts w:hint="eastAsia" w:ascii="Times New Roman" w:hAnsi="Times New Roman" w:cs="Times New Roman"/>
          <w:szCs w:val="21"/>
        </w:rPr>
        <w:t>处打</w:t>
      </w:r>
      <w:r>
        <w:rPr>
          <w:rFonts w:ascii="Times New Roman" w:hAnsi="Times New Roman" w:cs="Times New Roman"/>
          <w:szCs w:val="21"/>
        </w:rPr>
        <w:t>√</w:t>
      </w:r>
      <w:r>
        <w:rPr>
          <w:rFonts w:hint="eastAsia" w:ascii="Times New Roman" w:hAnsi="Times New Roman" w:cs="Times New Roman"/>
          <w:szCs w:val="21"/>
        </w:rPr>
        <w:t>）。</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本联合体参加</w:t>
      </w:r>
      <w:r>
        <w:rPr>
          <w:rFonts w:hint="eastAsia" w:ascii="Times New Roman" w:hAnsi="Times New Roman" w:cs="Times New Roman"/>
          <w:b/>
          <w:bCs/>
          <w:szCs w:val="21"/>
          <w:u w:val="single"/>
        </w:rPr>
        <w:t>（采购单位名称）</w:t>
      </w:r>
      <w:r>
        <w:rPr>
          <w:rFonts w:hint="eastAsia" w:ascii="Times New Roman" w:hAnsi="Times New Roman" w:cs="Times New Roman"/>
          <w:szCs w:val="21"/>
        </w:rPr>
        <w:t>单位的</w:t>
      </w:r>
      <w:r>
        <w:rPr>
          <w:rFonts w:hint="eastAsia" w:ascii="Times New Roman" w:hAnsi="Times New Roman" w:cs="Times New Roman"/>
          <w:b/>
          <w:bCs/>
          <w:szCs w:val="21"/>
          <w:u w:val="single"/>
        </w:rPr>
        <w:t>（采购项目名称）</w:t>
      </w:r>
      <w:r>
        <w:rPr>
          <w:rFonts w:hint="eastAsia" w:ascii="Times New Roman" w:hAnsi="Times New Roman" w:cs="Times New Roman"/>
          <w:szCs w:val="21"/>
        </w:rPr>
        <w:t>项目采购活动，其中，小型、微型企业协议合同金额占到联合体协议总金额比例为</w:t>
      </w:r>
      <w:r>
        <w:rPr>
          <w:rFonts w:ascii="Times New Roman" w:hAnsi="Times New Roman" w:cs="Times New Roman"/>
          <w:szCs w:val="21"/>
          <w:u w:val="single"/>
        </w:rPr>
        <w:t>_____</w:t>
      </w:r>
      <w:r>
        <w:rPr>
          <w:rFonts w:ascii="Times New Roman" w:hAnsi="Times New Roman" w:cs="Times New Roman"/>
          <w:szCs w:val="21"/>
        </w:rPr>
        <w:t>%</w:t>
      </w:r>
      <w:r>
        <w:rPr>
          <w:rFonts w:hint="eastAsia" w:ascii="Times New Roman" w:hAnsi="Times New Roman" w:cs="Times New Roman"/>
          <w:szCs w:val="21"/>
        </w:rPr>
        <w:t>（该合同金额为：</w:t>
      </w:r>
      <w:r>
        <w:rPr>
          <w:rFonts w:ascii="Times New Roman" w:hAnsi="Times New Roman" w:cs="Times New Roman"/>
          <w:b/>
          <w:bCs/>
          <w:szCs w:val="21"/>
        </w:rPr>
        <w:t>□</w:t>
      </w:r>
      <w:r>
        <w:rPr>
          <w:rFonts w:hint="eastAsia" w:ascii="Times New Roman" w:hAnsi="Times New Roman" w:cs="Times New Roman"/>
          <w:b/>
          <w:bCs/>
          <w:szCs w:val="21"/>
        </w:rPr>
        <w:t>小微企业制造的货物</w:t>
      </w:r>
      <w:r>
        <w:rPr>
          <w:rFonts w:hint="eastAsia" w:ascii="Times New Roman" w:hAnsi="Times New Roman" w:cs="Times New Roman"/>
          <w:szCs w:val="21"/>
        </w:rPr>
        <w:t>，</w:t>
      </w:r>
      <w:r>
        <w:rPr>
          <w:rFonts w:ascii="Times New Roman" w:hAnsi="Times New Roman" w:cs="Times New Roman"/>
          <w:szCs w:val="21"/>
        </w:rPr>
        <w:t>□</w:t>
      </w:r>
      <w:r>
        <w:rPr>
          <w:rFonts w:hint="eastAsia" w:ascii="Times New Roman" w:hAnsi="Times New Roman" w:cs="Times New Roman"/>
          <w:szCs w:val="21"/>
        </w:rPr>
        <w:t>小微企业承担的工程、提供服务，</w:t>
      </w:r>
      <w:r>
        <w:rPr>
          <w:rFonts w:ascii="Times New Roman" w:hAnsi="Times New Roman" w:cs="Times New Roman"/>
          <w:b/>
          <w:bCs/>
          <w:szCs w:val="21"/>
        </w:rPr>
        <w:t>□</w:t>
      </w:r>
      <w:r>
        <w:rPr>
          <w:rFonts w:hint="eastAsia" w:ascii="Times New Roman" w:hAnsi="Times New Roman" w:cs="Times New Roman"/>
          <w:b/>
          <w:bCs/>
          <w:szCs w:val="21"/>
        </w:rPr>
        <w:t>提供其他小微企业制造的货物；不包括使用大型企业注册商标的货物</w:t>
      </w:r>
      <w:r>
        <w:rPr>
          <w:rFonts w:hint="eastAsia" w:ascii="Times New Roman" w:hAnsi="Times New Roman" w:cs="Times New Roman"/>
          <w:szCs w:val="21"/>
        </w:rPr>
        <w:t>；请承诺人在</w:t>
      </w:r>
      <w:r>
        <w:rPr>
          <w:rFonts w:ascii="Times New Roman" w:hAnsi="Times New Roman" w:cs="Times New Roman"/>
          <w:szCs w:val="21"/>
        </w:rPr>
        <w:t>□</w:t>
      </w:r>
      <w:r>
        <w:rPr>
          <w:rFonts w:hint="eastAsia" w:ascii="Times New Roman" w:hAnsi="Times New Roman" w:cs="Times New Roman"/>
          <w:szCs w:val="21"/>
        </w:rPr>
        <w:t>处打</w:t>
      </w:r>
      <w:r>
        <w:rPr>
          <w:rFonts w:ascii="Times New Roman" w:hAnsi="Times New Roman" w:cs="Times New Roman"/>
          <w:szCs w:val="21"/>
        </w:rPr>
        <w:t>√</w:t>
      </w:r>
      <w:r>
        <w:rPr>
          <w:rFonts w:hint="eastAsia" w:ascii="Times New Roman" w:hAnsi="Times New Roman" w:cs="Times New Roman"/>
          <w:szCs w:val="21"/>
        </w:rPr>
        <w:t>），符合《政府采购促进中小企业发展暂行办法》</w:t>
      </w:r>
      <w:r>
        <w:rPr>
          <w:rFonts w:ascii="Times New Roman" w:hAnsi="Times New Roman" w:cs="Times New Roman"/>
          <w:szCs w:val="21"/>
        </w:rPr>
        <w:t>(</w:t>
      </w:r>
      <w:r>
        <w:rPr>
          <w:rFonts w:hint="eastAsia" w:ascii="Times New Roman" w:hAnsi="Times New Roman" w:cs="Times New Roman"/>
          <w:szCs w:val="21"/>
        </w:rPr>
        <w:t>财库〔</w:t>
      </w:r>
      <w:r>
        <w:rPr>
          <w:rFonts w:ascii="Times New Roman" w:hAnsi="Times New Roman" w:cs="Times New Roman"/>
          <w:szCs w:val="21"/>
        </w:rPr>
        <w:t>2011</w:t>
      </w:r>
      <w:r>
        <w:rPr>
          <w:rFonts w:hint="eastAsia" w:ascii="Times New Roman" w:hAnsi="Times New Roman" w:cs="Times New Roman"/>
          <w:szCs w:val="21"/>
        </w:rPr>
        <w:t>〕</w:t>
      </w:r>
      <w:r>
        <w:rPr>
          <w:rFonts w:ascii="Times New Roman" w:hAnsi="Times New Roman" w:cs="Times New Roman"/>
          <w:szCs w:val="21"/>
        </w:rPr>
        <w:t>181</w:t>
      </w:r>
      <w:r>
        <w:rPr>
          <w:rFonts w:ascii="Times New Roman" w:hAnsi="Times New Roman" w:cs="Times New Roman"/>
          <w:szCs w:val="21"/>
          <w:u w:val="single"/>
        </w:rPr>
        <w:t>_</w:t>
      </w:r>
      <w:r>
        <w:rPr>
          <w:rFonts w:hint="eastAsia" w:ascii="Times New Roman" w:hAnsi="Times New Roman" w:cs="Times New Roman"/>
          <w:szCs w:val="21"/>
        </w:rPr>
        <w:t>号</w:t>
      </w:r>
      <w:r>
        <w:rPr>
          <w:rFonts w:ascii="Times New Roman" w:hAnsi="Times New Roman" w:cs="Times New Roman"/>
          <w:szCs w:val="21"/>
        </w:rPr>
        <w:t>)</w:t>
      </w:r>
      <w:r>
        <w:rPr>
          <w:rFonts w:hint="eastAsia" w:ascii="Times New Roman" w:hAnsi="Times New Roman" w:cs="Times New Roman"/>
          <w:szCs w:val="21"/>
        </w:rPr>
        <w:t>第六条规定的优惠政策。本联合体对上述声明的真实性负责。如有虚假，将依法承担相应责任。</w:t>
      </w:r>
    </w:p>
    <w:p>
      <w:pPr>
        <w:spacing w:line="240" w:lineRule="auto"/>
        <w:ind w:left="424" w:leftChars="202" w:firstLine="420"/>
        <w:jc w:val="left"/>
        <w:rPr>
          <w:rFonts w:ascii="Times New Roman" w:hAnsi="Times New Roman" w:cs="Times New Roman"/>
          <w:szCs w:val="21"/>
        </w:rPr>
      </w:pPr>
      <w:r>
        <w:rPr>
          <w:rFonts w:hint="eastAsia" w:ascii="Times New Roman" w:hAnsi="Times New Roman" w:cs="Times New Roman"/>
          <w:szCs w:val="21"/>
        </w:rPr>
        <w:t>企业</w:t>
      </w:r>
      <w:r>
        <w:rPr>
          <w:rFonts w:ascii="Times New Roman" w:hAnsi="Times New Roman" w:cs="Times New Roman"/>
          <w:szCs w:val="21"/>
        </w:rPr>
        <w:t>1</w:t>
      </w:r>
      <w:r>
        <w:rPr>
          <w:rFonts w:hint="eastAsia" w:ascii="Times New Roman" w:hAnsi="Times New Roman" w:cs="Times New Roman"/>
          <w:szCs w:val="21"/>
        </w:rPr>
        <w:t>名称（盖章）：</w:t>
      </w:r>
      <w:r>
        <w:rPr>
          <w:rFonts w:ascii="Times New Roman" w:hAnsi="Times New Roman" w:cs="Times New Roman"/>
          <w:szCs w:val="21"/>
          <w:u w:val="single"/>
        </w:rPr>
        <w:t>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hint="eastAsia" w:ascii="Times New Roman" w:hAnsi="Times New Roman" w:cs="Times New Roman"/>
          <w:szCs w:val="21"/>
        </w:rPr>
        <w:t>日期：</w:t>
      </w:r>
      <w:r>
        <w:rPr>
          <w:rFonts w:ascii="Times New Roman" w:hAnsi="Times New Roman" w:cs="Times New Roman"/>
          <w:szCs w:val="21"/>
          <w:u w:val="single"/>
        </w:rPr>
        <w:t>_____________________________________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hint="eastAsia" w:ascii="Times New Roman" w:hAnsi="Times New Roman" w:cs="Times New Roman"/>
          <w:szCs w:val="21"/>
        </w:rPr>
        <w:t>企业</w:t>
      </w:r>
      <w:r>
        <w:rPr>
          <w:rFonts w:ascii="Times New Roman" w:hAnsi="Times New Roman" w:cs="Times New Roman"/>
          <w:szCs w:val="21"/>
        </w:rPr>
        <w:t>2</w:t>
      </w:r>
      <w:r>
        <w:rPr>
          <w:rFonts w:hint="eastAsia" w:ascii="Times New Roman" w:hAnsi="Times New Roman" w:cs="Times New Roman"/>
          <w:szCs w:val="21"/>
        </w:rPr>
        <w:t>名称（盖章）：</w:t>
      </w:r>
      <w:r>
        <w:rPr>
          <w:rFonts w:ascii="Times New Roman" w:hAnsi="Times New Roman" w:cs="Times New Roman"/>
          <w:szCs w:val="21"/>
          <w:u w:val="single"/>
        </w:rPr>
        <w:t>_______________________</w:t>
      </w:r>
    </w:p>
    <w:p>
      <w:pPr>
        <w:spacing w:line="240" w:lineRule="auto"/>
        <w:ind w:left="424" w:leftChars="202" w:firstLine="420"/>
        <w:rPr>
          <w:rFonts w:ascii="Times New Roman" w:hAnsi="Times New Roman" w:cs="Times New Roman"/>
          <w:szCs w:val="21"/>
        </w:rPr>
      </w:pPr>
      <w:r>
        <w:rPr>
          <w:rFonts w:hint="eastAsia" w:ascii="Times New Roman" w:hAnsi="Times New Roman" w:cs="Times New Roman"/>
          <w:szCs w:val="21"/>
        </w:rPr>
        <w:t>日期：</w:t>
      </w:r>
      <w:r>
        <w:rPr>
          <w:rFonts w:ascii="Times New Roman" w:hAnsi="Times New Roman" w:cs="Times New Roman"/>
          <w:szCs w:val="21"/>
          <w:u w:val="single"/>
        </w:rPr>
        <w:t>_____________________________________</w:t>
      </w:r>
    </w:p>
    <w:p>
      <w:pPr>
        <w:rPr>
          <w:rFonts w:hint="eastAsia"/>
          <w:szCs w:val="21"/>
        </w:rPr>
      </w:pPr>
      <w:r>
        <w:rPr>
          <w:szCs w:val="21"/>
        </w:rPr>
        <w:br w:type="page"/>
      </w:r>
    </w:p>
    <w:p>
      <w:pPr>
        <w:adjustRightInd/>
        <w:snapToGrid/>
        <w:spacing w:before="280" w:after="290" w:line="377" w:lineRule="auto"/>
        <w:outlineLvl w:val="2"/>
        <w:rPr>
          <w:rFonts w:hint="eastAsia"/>
          <w:b/>
          <w:sz w:val="24"/>
        </w:rPr>
      </w:pPr>
      <w:bookmarkStart w:id="154" w:name="_Toc7439"/>
      <w:r>
        <w:rPr>
          <w:rFonts w:hint="eastAsia"/>
          <w:b/>
          <w:sz w:val="24"/>
        </w:rPr>
        <w:t>格式</w:t>
      </w:r>
      <w:r>
        <w:rPr>
          <w:b/>
          <w:sz w:val="24"/>
        </w:rPr>
        <w:t>15</w:t>
      </w:r>
      <w:r>
        <w:rPr>
          <w:rFonts w:hint="eastAsia"/>
          <w:b/>
          <w:sz w:val="24"/>
        </w:rPr>
        <w:t>：残疾人福利性单位声明函</w:t>
      </w:r>
      <w:bookmarkEnd w:id="154"/>
    </w:p>
    <w:p>
      <w:pPr>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填写指引：声明是残疾人福利性单位须填写《残疾人福利性单位声明函》的三项内容（填写位置的字体已加粗），具体参照以上《中小企业声明函》填写要求执行。</w:t>
      </w:r>
    </w:p>
    <w:p>
      <w:pPr>
        <w:rPr>
          <w:rFonts w:hint="eastAsia"/>
        </w:rPr>
      </w:pPr>
    </w:p>
    <w:p>
      <w:pPr>
        <w:spacing w:line="240" w:lineRule="auto"/>
        <w:ind w:firstLine="643" w:firstLineChars="200"/>
        <w:jc w:val="center"/>
        <w:rPr>
          <w:rFonts w:ascii="Times New Roman" w:hAnsi="Times New Roman" w:cs="Times New Roman"/>
          <w:b/>
          <w:sz w:val="32"/>
          <w:szCs w:val="32"/>
        </w:rPr>
      </w:pPr>
      <w:r>
        <w:rPr>
          <w:rFonts w:hint="eastAsia" w:ascii="Times New Roman" w:hAnsi="Times New Roman" w:cs="Times New Roman"/>
          <w:b/>
          <w:sz w:val="32"/>
          <w:szCs w:val="32"/>
        </w:rPr>
        <w:t>残疾人福利性单位声明函（样表）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hint="eastAsia" w:ascii="Times New Roman" w:hAnsi="Times New Roman" w:cs="Times New Roman"/>
          <w:szCs w:val="21"/>
        </w:rPr>
        <w:t>本单位郑重声明，根据《财政部民政部中国残疾人联合会关于促进残疾人就业政府采购政策的通知》（财库〔</w:t>
      </w:r>
      <w:r>
        <w:rPr>
          <w:rFonts w:ascii="Times New Roman" w:hAnsi="Times New Roman" w:cs="Times New Roman"/>
          <w:szCs w:val="21"/>
        </w:rPr>
        <w:t>2017</w:t>
      </w:r>
      <w:r>
        <w:rPr>
          <w:rFonts w:hint="eastAsia" w:ascii="Times New Roman" w:hAnsi="Times New Roman" w:cs="Times New Roman"/>
          <w:szCs w:val="21"/>
        </w:rPr>
        <w:t>〕</w:t>
      </w:r>
      <w:r>
        <w:rPr>
          <w:rFonts w:ascii="Times New Roman" w:hAnsi="Times New Roman" w:cs="Times New Roman"/>
          <w:szCs w:val="21"/>
        </w:rPr>
        <w:t>141</w:t>
      </w:r>
      <w:r>
        <w:rPr>
          <w:rFonts w:ascii="Times New Roman" w:hAnsi="Times New Roman" w:cs="Times New Roman"/>
          <w:szCs w:val="21"/>
          <w:u w:val="single"/>
        </w:rPr>
        <w:t>_</w:t>
      </w:r>
      <w:r>
        <w:rPr>
          <w:rFonts w:hint="eastAsia" w:ascii="Times New Roman" w:hAnsi="Times New Roman" w:cs="Times New Roman"/>
          <w:szCs w:val="21"/>
        </w:rPr>
        <w:t>号）的规定，本单位为符合条件的残疾人福利性单位，且本单位参加</w:t>
      </w:r>
      <w:r>
        <w:rPr>
          <w:rFonts w:hint="eastAsia" w:ascii="Times New Roman" w:hAnsi="Times New Roman" w:cs="Times New Roman"/>
          <w:b/>
          <w:bCs/>
          <w:szCs w:val="21"/>
          <w:u w:val="single"/>
        </w:rPr>
        <w:t>（采购单位名称）</w:t>
      </w:r>
      <w:r>
        <w:rPr>
          <w:rFonts w:hint="eastAsia" w:ascii="Times New Roman" w:hAnsi="Times New Roman" w:cs="Times New Roman"/>
          <w:szCs w:val="21"/>
        </w:rPr>
        <w:t>单位的</w:t>
      </w:r>
      <w:r>
        <w:rPr>
          <w:rFonts w:hint="eastAsia" w:ascii="Times New Roman" w:hAnsi="Times New Roman" w:cs="Times New Roman"/>
          <w:b/>
          <w:bCs/>
          <w:szCs w:val="21"/>
          <w:u w:val="single"/>
        </w:rPr>
        <w:t>（采购项目名称）</w:t>
      </w:r>
      <w:r>
        <w:rPr>
          <w:rFonts w:hint="eastAsia" w:ascii="Times New Roman" w:hAnsi="Times New Roman" w:cs="Times New Roman"/>
          <w:szCs w:val="21"/>
        </w:rPr>
        <w:t>项目采购活动，并提供</w:t>
      </w:r>
      <w:r>
        <w:rPr>
          <w:rFonts w:ascii="Times New Roman" w:hAnsi="Times New Roman" w:cs="Times New Roman"/>
          <w:szCs w:val="21"/>
        </w:rPr>
        <w:t>:</w:t>
      </w:r>
      <w:r>
        <w:rPr>
          <w:rFonts w:ascii="Times New Roman" w:hAnsi="Times New Roman" w:cs="Times New Roman"/>
          <w:b/>
          <w:bCs/>
          <w:szCs w:val="21"/>
        </w:rPr>
        <w:t>□</w:t>
      </w:r>
      <w:r>
        <w:rPr>
          <w:rFonts w:hint="eastAsia" w:ascii="Times New Roman" w:hAnsi="Times New Roman" w:cs="Times New Roman"/>
          <w:b/>
          <w:bCs/>
          <w:szCs w:val="21"/>
        </w:rPr>
        <w:t>本单位制造的货物</w:t>
      </w:r>
      <w:r>
        <w:rPr>
          <w:rFonts w:ascii="Times New Roman" w:hAnsi="Times New Roman" w:cs="Times New Roman"/>
          <w:szCs w:val="21"/>
        </w:rPr>
        <w:t>;□</w:t>
      </w:r>
      <w:r>
        <w:rPr>
          <w:rFonts w:hint="eastAsia" w:ascii="Times New Roman" w:hAnsi="Times New Roman" w:cs="Times New Roman"/>
          <w:szCs w:val="21"/>
        </w:rPr>
        <w:t>由本单位承担的工程、提供服务</w:t>
      </w:r>
      <w:r>
        <w:rPr>
          <w:rFonts w:ascii="Times New Roman" w:hAnsi="Times New Roman" w:cs="Times New Roman"/>
          <w:szCs w:val="21"/>
        </w:rPr>
        <w:t>;□</w:t>
      </w:r>
      <w:r>
        <w:rPr>
          <w:rFonts w:hint="eastAsia" w:ascii="Times New Roman" w:hAnsi="Times New Roman" w:cs="Times New Roman"/>
          <w:szCs w:val="21"/>
        </w:rPr>
        <w:t>提供其他残疾人福利性单位制造的货物（承诺人在</w:t>
      </w:r>
      <w:r>
        <w:rPr>
          <w:rFonts w:ascii="Times New Roman" w:hAnsi="Times New Roman" w:cs="Times New Roman"/>
          <w:szCs w:val="21"/>
        </w:rPr>
        <w:t>□</w:t>
      </w:r>
      <w:r>
        <w:rPr>
          <w:rFonts w:hint="eastAsia" w:ascii="Times New Roman" w:hAnsi="Times New Roman" w:cs="Times New Roman"/>
          <w:szCs w:val="21"/>
        </w:rPr>
        <w:t>处打</w:t>
      </w:r>
      <w:r>
        <w:rPr>
          <w:rFonts w:ascii="Times New Roman" w:hAnsi="Times New Roman" w:cs="Times New Roman"/>
          <w:szCs w:val="21"/>
        </w:rPr>
        <w:t>√</w:t>
      </w:r>
      <w:r>
        <w:rPr>
          <w:rFonts w:hint="eastAsia" w:ascii="Times New Roman" w:hAnsi="Times New Roman" w:cs="Times New Roman"/>
          <w:szCs w:val="21"/>
        </w:rPr>
        <w:t>）。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240" w:lineRule="auto"/>
        <w:ind w:firstLine="420" w:firstLineChars="200"/>
        <w:jc w:val="right"/>
        <w:rPr>
          <w:rFonts w:ascii="Times New Roman" w:hAnsi="Times New Roman" w:cs="Times New Roman"/>
          <w:szCs w:val="21"/>
        </w:rPr>
      </w:pPr>
      <w:r>
        <w:rPr>
          <w:rFonts w:hint="eastAsia"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hint="eastAsia" w:ascii="Times New Roman" w:hAnsi="Times New Roman" w:cs="Times New Roman"/>
          <w:szCs w:val="21"/>
        </w:rPr>
        <w:t>日期：</w:t>
      </w:r>
      <w:r>
        <w:rPr>
          <w:rFonts w:ascii="Times New Roman" w:hAnsi="Times New Roman" w:cs="Times New Roman"/>
          <w:szCs w:val="21"/>
          <w:u w:val="single"/>
        </w:rPr>
        <w:t>_________________</w:t>
      </w:r>
    </w:p>
    <w:p>
      <w:pPr>
        <w:tabs>
          <w:tab w:val="clear" w:pos="426"/>
        </w:tabs>
        <w:spacing w:line="440" w:lineRule="exact"/>
        <w:rPr>
          <w:rFonts w:hint="eastAsia"/>
          <w:b/>
          <w:bCs/>
        </w:rPr>
      </w:pPr>
    </w:p>
    <w:p>
      <w:pPr>
        <w:shd w:val="clear" w:color="auto" w:fill="auto"/>
        <w:tabs>
          <w:tab w:val="clear" w:pos="426"/>
        </w:tabs>
        <w:adjustRightInd/>
        <w:snapToGrid/>
        <w:spacing w:line="240" w:lineRule="auto"/>
        <w:jc w:val="left"/>
        <w:rPr>
          <w:rFonts w:hint="eastAsia"/>
          <w:b/>
          <w:bCs/>
        </w:rPr>
      </w:pPr>
      <w:r>
        <w:rPr>
          <w:b/>
          <w:bCs/>
        </w:rPr>
        <w:br w:type="page"/>
      </w:r>
    </w:p>
    <w:p>
      <w:pPr>
        <w:adjustRightInd/>
        <w:snapToGrid/>
        <w:spacing w:before="280" w:after="290" w:line="377" w:lineRule="auto"/>
        <w:outlineLvl w:val="2"/>
        <w:rPr>
          <w:rFonts w:hint="eastAsia"/>
          <w:b/>
          <w:sz w:val="24"/>
        </w:rPr>
      </w:pPr>
      <w:bookmarkStart w:id="155" w:name="_Toc15278"/>
      <w:r>
        <w:rPr>
          <w:rFonts w:hint="eastAsia"/>
          <w:b/>
          <w:sz w:val="24"/>
        </w:rPr>
        <w:t>格式</w:t>
      </w:r>
      <w:r>
        <w:rPr>
          <w:b/>
          <w:sz w:val="24"/>
        </w:rPr>
        <w:t>16</w:t>
      </w:r>
      <w:r>
        <w:rPr>
          <w:rFonts w:hint="eastAsia"/>
          <w:b/>
          <w:sz w:val="24"/>
        </w:rPr>
        <w:t>：同类项目业绩情况</w:t>
      </w:r>
      <w:bookmarkEnd w:id="155"/>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021"/>
        <w:gridCol w:w="1487"/>
        <w:gridCol w:w="1487"/>
        <w:gridCol w:w="148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序号</w:t>
            </w:r>
          </w:p>
        </w:tc>
        <w:tc>
          <w:tcPr>
            <w:tcW w:w="2021" w:type="dxa"/>
            <w:vAlign w:val="center"/>
          </w:tcPr>
          <w:p>
            <w:pPr>
              <w:widowControl w:val="0"/>
              <w:shd w:val="clear" w:color="auto" w:fill="auto"/>
              <w:tabs>
                <w:tab w:val="clear" w:pos="426"/>
              </w:tabs>
              <w:spacing w:line="240" w:lineRule="auto"/>
              <w:jc w:val="center"/>
              <w:rPr>
                <w:rFonts w:hint="eastAsia"/>
                <w:b/>
                <w:bCs/>
              </w:rPr>
            </w:pPr>
            <w:r>
              <w:rPr>
                <w:rFonts w:hint="eastAsia"/>
                <w:b/>
                <w:bCs/>
              </w:rPr>
              <w:t>项目名称</w:t>
            </w:r>
          </w:p>
        </w:tc>
        <w:tc>
          <w:tcPr>
            <w:tcW w:w="1487" w:type="dxa"/>
            <w:vAlign w:val="center"/>
          </w:tcPr>
          <w:p>
            <w:pPr>
              <w:widowControl w:val="0"/>
              <w:shd w:val="clear" w:color="auto" w:fill="auto"/>
              <w:tabs>
                <w:tab w:val="clear" w:pos="426"/>
              </w:tabs>
              <w:spacing w:line="240" w:lineRule="auto"/>
              <w:jc w:val="center"/>
              <w:rPr>
                <w:rFonts w:hint="eastAsia"/>
                <w:b/>
                <w:bCs/>
              </w:rPr>
            </w:pPr>
            <w:r>
              <w:rPr>
                <w:rFonts w:hint="eastAsia"/>
                <w:b/>
                <w:bCs/>
              </w:rPr>
              <w:t>合同金额</w:t>
            </w:r>
          </w:p>
        </w:tc>
        <w:tc>
          <w:tcPr>
            <w:tcW w:w="1487" w:type="dxa"/>
            <w:vAlign w:val="center"/>
          </w:tcPr>
          <w:p>
            <w:pPr>
              <w:widowControl w:val="0"/>
              <w:shd w:val="clear" w:color="auto" w:fill="auto"/>
              <w:tabs>
                <w:tab w:val="clear" w:pos="426"/>
              </w:tabs>
              <w:spacing w:line="240" w:lineRule="auto"/>
              <w:jc w:val="center"/>
              <w:rPr>
                <w:rFonts w:hint="eastAsia"/>
                <w:b/>
                <w:bCs/>
              </w:rPr>
            </w:pPr>
            <w:r>
              <w:rPr>
                <w:rFonts w:hint="eastAsia"/>
                <w:b/>
                <w:bCs/>
              </w:rPr>
              <w:t>签约日期</w:t>
            </w:r>
          </w:p>
        </w:tc>
        <w:tc>
          <w:tcPr>
            <w:tcW w:w="1488" w:type="dxa"/>
            <w:vAlign w:val="center"/>
          </w:tcPr>
          <w:p>
            <w:pPr>
              <w:widowControl w:val="0"/>
              <w:shd w:val="clear" w:color="auto" w:fill="auto"/>
              <w:tabs>
                <w:tab w:val="clear" w:pos="426"/>
              </w:tabs>
              <w:spacing w:line="240" w:lineRule="auto"/>
              <w:jc w:val="center"/>
              <w:rPr>
                <w:rFonts w:hint="eastAsia"/>
                <w:b/>
                <w:bCs/>
              </w:rPr>
            </w:pPr>
            <w:r>
              <w:rPr>
                <w:rFonts w:hint="eastAsia"/>
                <w:b/>
                <w:bCs/>
              </w:rPr>
              <w:t>完工验收结果</w:t>
            </w:r>
          </w:p>
        </w:tc>
        <w:tc>
          <w:tcPr>
            <w:tcW w:w="1488" w:type="dxa"/>
            <w:vAlign w:val="center"/>
          </w:tcPr>
          <w:p>
            <w:pPr>
              <w:widowControl w:val="0"/>
              <w:shd w:val="clear" w:color="auto" w:fill="auto"/>
              <w:tabs>
                <w:tab w:val="clear" w:pos="426"/>
              </w:tabs>
              <w:spacing w:line="240" w:lineRule="auto"/>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b/>
                <w:bCs/>
              </w:rPr>
              <w:t>1</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b/>
                <w:bCs/>
              </w:rPr>
              <w:t>2</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b/>
                <w:bCs/>
              </w:rPr>
              <w:t>3</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bl>
    <w:p>
      <w:pPr>
        <w:tabs>
          <w:tab w:val="clear" w:pos="426"/>
        </w:tabs>
        <w:spacing w:line="440" w:lineRule="exact"/>
        <w:rPr>
          <w:rFonts w:hint="eastAsia"/>
          <w:b/>
          <w:bCs/>
        </w:rPr>
      </w:pPr>
      <w:r>
        <w:rPr>
          <w:rFonts w:hint="eastAsia"/>
          <w:b/>
          <w:bCs/>
        </w:rPr>
        <w:t>备注：</w:t>
      </w:r>
      <w:r>
        <w:rPr>
          <w:b/>
          <w:bCs/>
        </w:rPr>
        <w:t>1.</w:t>
      </w:r>
      <w:r>
        <w:rPr>
          <w:rFonts w:hint="eastAsia"/>
          <w:b/>
          <w:bCs/>
        </w:rPr>
        <w:t>以上表格格式可根据评审表的要求调整，业绩证明材料及其他相关资料附后。</w:t>
      </w:r>
    </w:p>
    <w:p>
      <w:pPr>
        <w:shd w:val="clear" w:color="auto" w:fill="auto"/>
        <w:tabs>
          <w:tab w:val="clear" w:pos="426"/>
        </w:tabs>
        <w:adjustRightInd/>
        <w:snapToGrid/>
        <w:spacing w:line="240" w:lineRule="auto"/>
        <w:jc w:val="left"/>
        <w:rPr>
          <w:rFonts w:hint="eastAsia"/>
          <w:b/>
          <w:bCs/>
        </w:rPr>
      </w:pPr>
      <w:r>
        <w:rPr>
          <w:b/>
          <w:bCs/>
        </w:rPr>
        <w:br w:type="page"/>
      </w:r>
    </w:p>
    <w:p>
      <w:pPr>
        <w:adjustRightInd/>
        <w:snapToGrid/>
        <w:spacing w:before="280" w:after="290" w:line="377" w:lineRule="auto"/>
        <w:outlineLvl w:val="2"/>
        <w:rPr>
          <w:rFonts w:hint="eastAsia"/>
          <w:b/>
          <w:sz w:val="24"/>
        </w:rPr>
      </w:pPr>
      <w:bookmarkStart w:id="156" w:name="_Toc10929"/>
      <w:r>
        <w:rPr>
          <w:rFonts w:hint="eastAsia"/>
          <w:b/>
          <w:sz w:val="24"/>
        </w:rPr>
        <w:t>格式</w:t>
      </w:r>
      <w:r>
        <w:rPr>
          <w:b/>
          <w:sz w:val="24"/>
        </w:rPr>
        <w:t>17</w:t>
      </w:r>
      <w:r>
        <w:rPr>
          <w:rFonts w:hint="eastAsia"/>
          <w:b/>
          <w:sz w:val="24"/>
        </w:rPr>
        <w:t>：相关认证情况</w:t>
      </w:r>
      <w:bookmarkEnd w:id="156"/>
    </w:p>
    <w:p>
      <w:pPr>
        <w:tabs>
          <w:tab w:val="clear" w:pos="426"/>
        </w:tabs>
        <w:spacing w:line="440" w:lineRule="exact"/>
        <w:rPr>
          <w:rFonts w:hint="eastAsia"/>
          <w:b/>
          <w:bCs/>
        </w:rPr>
      </w:pPr>
    </w:p>
    <w:p>
      <w:pPr>
        <w:tabs>
          <w:tab w:val="clear" w:pos="426"/>
        </w:tabs>
        <w:spacing w:line="440" w:lineRule="exact"/>
        <w:rPr>
          <w:rFonts w:hint="eastAsia"/>
          <w:b/>
          <w:szCs w:val="21"/>
        </w:rPr>
      </w:pPr>
      <w:r>
        <w:rPr>
          <w:rFonts w:hint="eastAsia"/>
          <w:b/>
          <w:bCs/>
        </w:rPr>
        <w:t>备注：以上节点请</w:t>
      </w:r>
      <w:r>
        <w:rPr>
          <w:rFonts w:hint="eastAsia"/>
          <w:b/>
          <w:szCs w:val="21"/>
        </w:rPr>
        <w:t>根据评审表的要求提交相应资料，格式自拟。</w:t>
      </w:r>
      <w:bookmarkEnd w:id="111"/>
      <w:bookmarkEnd w:id="112"/>
      <w:bookmarkEnd w:id="113"/>
      <w:bookmarkEnd w:id="114"/>
    </w:p>
    <w:p>
      <w:pPr>
        <w:pStyle w:val="81"/>
        <w:tabs>
          <w:tab w:val="clear" w:pos="426"/>
        </w:tabs>
      </w:pPr>
      <w:r>
        <w:br w:type="page"/>
      </w:r>
      <w:bookmarkStart w:id="157" w:name="_Toc14427253"/>
      <w:bookmarkStart w:id="158" w:name="_Toc530152521"/>
      <w:bookmarkStart w:id="159" w:name="_Toc2610"/>
      <w:r>
        <w:rPr>
          <w:rFonts w:hint="eastAsia"/>
        </w:rPr>
        <w:t>招标文件第二册（通用</w:t>
      </w:r>
      <w:bookmarkEnd w:id="157"/>
      <w:bookmarkEnd w:id="158"/>
      <w:r>
        <w:rPr>
          <w:rFonts w:hint="eastAsia"/>
        </w:rPr>
        <w:t>部分）</w:t>
      </w:r>
      <w:bookmarkEnd w:id="159"/>
    </w:p>
    <w:p>
      <w:pPr>
        <w:jc w:val="center"/>
        <w:rPr>
          <w:rFonts w:hint="eastAsia"/>
          <w:b/>
        </w:rPr>
      </w:pPr>
      <w:r>
        <w:rPr>
          <w:rFonts w:hint="eastAsia"/>
          <w:b/>
        </w:rPr>
        <w:t>（投标供应商须知）</w:t>
      </w:r>
    </w:p>
    <w:p>
      <w:pPr>
        <w:pStyle w:val="5"/>
        <w:rPr>
          <w:rFonts w:hint="eastAsia"/>
        </w:rPr>
      </w:pPr>
      <w:bookmarkStart w:id="160" w:name="_Toc32382"/>
      <w:bookmarkStart w:id="161" w:name="_Toc14427254"/>
      <w:bookmarkStart w:id="162" w:name="_Toc530152522"/>
      <w:bookmarkStart w:id="163" w:name="_Toc529280581"/>
      <w:r>
        <w:rPr>
          <w:rFonts w:hint="eastAsia"/>
        </w:rPr>
        <w:t>第一章</w:t>
      </w:r>
      <w:r>
        <w:t xml:space="preserve"> </w:t>
      </w:r>
      <w:r>
        <w:rPr>
          <w:rFonts w:hint="eastAsia"/>
        </w:rPr>
        <w:t>总则</w:t>
      </w:r>
      <w:bookmarkEnd w:id="160"/>
      <w:bookmarkEnd w:id="161"/>
      <w:bookmarkEnd w:id="162"/>
      <w:bookmarkEnd w:id="163"/>
    </w:p>
    <w:p>
      <w:pPr>
        <w:tabs>
          <w:tab w:val="clear" w:pos="426"/>
        </w:tabs>
        <w:rPr>
          <w:rFonts w:hint="eastAsia"/>
        </w:rPr>
      </w:pPr>
      <w:r>
        <w:t>1.</w:t>
      </w:r>
      <w:r>
        <w:rPr>
          <w:rFonts w:hint="eastAsia"/>
        </w:rPr>
        <w:t>通用条款说明</w:t>
      </w:r>
    </w:p>
    <w:p>
      <w:pPr>
        <w:tabs>
          <w:tab w:val="clear" w:pos="426"/>
        </w:tabs>
        <w:rPr>
          <w:rFonts w:hint="eastAsia"/>
        </w:rPr>
      </w:pPr>
      <w:r>
        <w:t>1.1</w:t>
      </w:r>
      <w:r>
        <w:rPr>
          <w:rFonts w:hint="eastAsia"/>
        </w:rPr>
        <w:t>采购代理机构发出招标文件通用条款版本，列出采购项目进行招标采购所适用的通用条款内容。如有需要，采购代理机构可以对这些条款增加附录或补充内容。</w:t>
      </w:r>
    </w:p>
    <w:p>
      <w:pPr>
        <w:tabs>
          <w:tab w:val="clear" w:pos="426"/>
        </w:tabs>
        <w:rPr>
          <w:rFonts w:hint="eastAsia"/>
        </w:rPr>
      </w:pPr>
      <w:r>
        <w:t>2</w:t>
      </w:r>
      <w:r>
        <w:rPr>
          <w:rFonts w:hint="eastAsia"/>
        </w:rPr>
        <w:t>．招标说明</w:t>
      </w:r>
    </w:p>
    <w:p>
      <w:pPr>
        <w:tabs>
          <w:tab w:val="clear" w:pos="426"/>
        </w:tabs>
        <w:rPr>
          <w:rFonts w:hint="eastAsia"/>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本招标文件适用于采购公告中所述项目的政府采购。</w:t>
      </w:r>
    </w:p>
    <w:p>
      <w:pPr>
        <w:tabs>
          <w:tab w:val="clear" w:pos="426"/>
        </w:tabs>
        <w:rPr>
          <w:rFonts w:hint="eastAsia"/>
          <w:szCs w:val="21"/>
        </w:rPr>
      </w:pPr>
      <w:r>
        <w:rPr>
          <w:rFonts w:hint="eastAsia"/>
          <w:szCs w:val="21"/>
        </w:rPr>
        <w:t>本招标文件的解释权归属深圳市深水水务咨询有限公司。</w:t>
      </w:r>
    </w:p>
    <w:p>
      <w:pPr>
        <w:tabs>
          <w:tab w:val="clear" w:pos="426"/>
        </w:tabs>
        <w:rPr>
          <w:rFonts w:hint="eastAsia"/>
        </w:rPr>
      </w:pPr>
      <w:r>
        <w:t>3</w:t>
      </w:r>
      <w:r>
        <w:rPr>
          <w:rFonts w:hint="eastAsia"/>
        </w:rPr>
        <w:t>．定义</w:t>
      </w:r>
    </w:p>
    <w:p>
      <w:pPr>
        <w:tabs>
          <w:tab w:val="clear" w:pos="426"/>
        </w:tabs>
        <w:rPr>
          <w:rFonts w:hint="eastAsia"/>
        </w:rPr>
      </w:pPr>
      <w:r>
        <w:rPr>
          <w:rFonts w:hint="eastAsia"/>
        </w:rPr>
        <w:t>招标文件中下列术语应解释为：</w:t>
      </w:r>
    </w:p>
    <w:p>
      <w:pPr>
        <w:tabs>
          <w:tab w:val="clear" w:pos="426"/>
        </w:tabs>
        <w:rPr>
          <w:rFonts w:hint="eastAsia"/>
        </w:rPr>
      </w:pPr>
      <w:r>
        <w:rPr>
          <w:szCs w:val="21"/>
        </w:rPr>
        <w:t>3.1</w:t>
      </w:r>
      <w:r>
        <w:rPr>
          <w:rFonts w:hint="eastAsia"/>
          <w:szCs w:val="21"/>
        </w:rPr>
        <w:t>“采购代理机构”</w:t>
      </w:r>
      <w:r>
        <w:rPr>
          <w:rFonts w:hint="eastAsia"/>
        </w:rPr>
        <w:t>系指政府设立的负责本级财政性资金的集中采购和招标组织工作的专门机构；本项目系指深圳市深水水务咨询有限公司；</w:t>
      </w:r>
    </w:p>
    <w:p>
      <w:pPr>
        <w:tabs>
          <w:tab w:val="clear" w:pos="426"/>
        </w:tabs>
        <w:rPr>
          <w:rFonts w:hint="eastAsia"/>
        </w:rPr>
      </w:pPr>
      <w:r>
        <w:t>3.2</w:t>
      </w:r>
      <w:r>
        <w:rPr>
          <w:rFonts w:hint="eastAsia"/>
        </w:rPr>
        <w:t>“采购人”或“采购单位”：系指利用财政性资金依法进行采购的国家机关、事业单位、团体组织；</w:t>
      </w:r>
      <w:r>
        <w:t xml:space="preserve"> </w:t>
      </w:r>
    </w:p>
    <w:p>
      <w:pPr>
        <w:tabs>
          <w:tab w:val="clear" w:pos="426"/>
        </w:tabs>
        <w:rPr>
          <w:rFonts w:hint="eastAsia"/>
        </w:rPr>
      </w:pPr>
      <w:r>
        <w:t>3.3</w:t>
      </w:r>
      <w:r>
        <w:rPr>
          <w:rFonts w:hint="eastAsia"/>
        </w:rPr>
        <w:t>“投标供应商”或“投标方”，即供应商，是指参加投标竞争并愿意按照招标文件要求向采购人提供货物、工程或者服务的依法成立的法人、其他组织或者自然人；</w:t>
      </w:r>
    </w:p>
    <w:p>
      <w:pPr>
        <w:tabs>
          <w:tab w:val="clear" w:pos="426"/>
        </w:tabs>
        <w:rPr>
          <w:rFonts w:hint="eastAsia"/>
        </w:rPr>
      </w:pPr>
      <w:r>
        <w:t>3.4</w:t>
      </w:r>
      <w:r>
        <w:rPr>
          <w:rFonts w:hint="eastAsia"/>
        </w:rPr>
        <w:t>“评标委员会”和“谈判小组”是依据有关规定组建的专门负责本次招标其评标（谈判）工作的临时性机构；</w:t>
      </w:r>
    </w:p>
    <w:p>
      <w:pPr>
        <w:tabs>
          <w:tab w:val="clear" w:pos="426"/>
        </w:tabs>
        <w:rPr>
          <w:rFonts w:hint="eastAsia"/>
        </w:rPr>
      </w:pPr>
      <w:r>
        <w:t>3.5</w:t>
      </w:r>
      <w:r>
        <w:rPr>
          <w:rFonts w:hint="eastAsia"/>
        </w:rPr>
        <w:t>“日期”指公历日；</w:t>
      </w:r>
    </w:p>
    <w:p>
      <w:pPr>
        <w:tabs>
          <w:tab w:val="clear" w:pos="426"/>
        </w:tabs>
        <w:rPr>
          <w:rFonts w:hint="eastAsia"/>
        </w:rPr>
      </w:pPr>
      <w:r>
        <w:t>3.6</w:t>
      </w:r>
      <w:r>
        <w:rPr>
          <w:rFonts w:hint="eastAsia"/>
        </w:rPr>
        <w:t>“合同”指由本次招标所产生的合同或合约文件；</w:t>
      </w:r>
    </w:p>
    <w:p>
      <w:pPr>
        <w:tabs>
          <w:tab w:val="clear" w:pos="426"/>
        </w:tabs>
        <w:rPr>
          <w:rFonts w:hint="eastAsia"/>
        </w:rPr>
      </w:pPr>
      <w:r>
        <w:t>3.7</w:t>
      </w:r>
      <w:r>
        <w:rPr>
          <w:rFonts w:hint="eastAsia"/>
        </w:rPr>
        <w:t>招标文件中的标题或题名仅起引导作用，而不应视为对招标文件内容的理解和解释。</w:t>
      </w:r>
    </w:p>
    <w:p>
      <w:pPr>
        <w:tabs>
          <w:tab w:val="clear" w:pos="426"/>
        </w:tabs>
        <w:rPr>
          <w:rFonts w:hint="eastAsia"/>
        </w:rPr>
      </w:pPr>
      <w:r>
        <w:t>4.</w:t>
      </w:r>
      <w:r>
        <w:rPr>
          <w:rFonts w:hint="eastAsia"/>
        </w:rPr>
        <w:t>供应商责任</w:t>
      </w:r>
    </w:p>
    <w:p>
      <w:pPr>
        <w:tabs>
          <w:tab w:val="clear" w:pos="426"/>
        </w:tabs>
        <w:rPr>
          <w:rFonts w:hint="eastAsia"/>
        </w:rPr>
      </w:pPr>
      <w:r>
        <w:t>4.1</w:t>
      </w:r>
      <w:r>
        <w:rPr>
          <w:rFonts w:hint="eastAsia"/>
        </w:rPr>
        <w:t>欢迎诚信、有实力和有社会责任心的供应商参与采购事业。</w:t>
      </w:r>
    </w:p>
    <w:p>
      <w:pPr>
        <w:tabs>
          <w:tab w:val="clear" w:pos="426"/>
        </w:tabs>
        <w:rPr>
          <w:rFonts w:hint="eastAsia"/>
        </w:rPr>
      </w:pPr>
      <w:r>
        <w:t>4.2</w:t>
      </w:r>
      <w:r>
        <w:rPr>
          <w:rFonts w:hint="eastAsia"/>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相关监督管理部门给予一定年限内禁止参加采购活动的处罚或其他处罚。</w:t>
      </w:r>
    </w:p>
    <w:p>
      <w:pPr>
        <w:tabs>
          <w:tab w:val="clear" w:pos="426"/>
        </w:tabs>
        <w:rPr>
          <w:rFonts w:hint="eastAsia"/>
        </w:rPr>
      </w:pPr>
      <w:r>
        <w:t>5</w:t>
      </w:r>
      <w:r>
        <w:rPr>
          <w:rFonts w:hint="eastAsia"/>
        </w:rPr>
        <w:t>．合格的投标供应商</w:t>
      </w:r>
    </w:p>
    <w:p>
      <w:pPr>
        <w:widowControl w:val="0"/>
        <w:shd w:val="clear" w:color="auto" w:fill="auto"/>
        <w:tabs>
          <w:tab w:val="clear" w:pos="426"/>
        </w:tabs>
        <w:autoSpaceDE w:val="0"/>
        <w:autoSpaceDN w:val="0"/>
        <w:rPr>
          <w:rFonts w:hint="eastAsia"/>
          <w:szCs w:val="21"/>
        </w:rPr>
      </w:pPr>
      <w:r>
        <w:rPr>
          <w:szCs w:val="21"/>
        </w:rPr>
        <w:t xml:space="preserve">5.1 </w:t>
      </w:r>
      <w:r>
        <w:rPr>
          <w:rFonts w:hint="eastAsia"/>
          <w:szCs w:val="21"/>
        </w:rPr>
        <w:t>投标供应商是响应招标并且符合招标文件规定资格条件和参加投标竞争的法人、其他组织或者自然人。</w:t>
      </w:r>
    </w:p>
    <w:p>
      <w:pPr>
        <w:widowControl w:val="0"/>
        <w:shd w:val="clear" w:color="auto" w:fill="auto"/>
        <w:tabs>
          <w:tab w:val="clear" w:pos="426"/>
        </w:tabs>
        <w:autoSpaceDE w:val="0"/>
        <w:autoSpaceDN w:val="0"/>
        <w:rPr>
          <w:rFonts w:hint="eastAsia"/>
          <w:szCs w:val="21"/>
          <w:lang w:eastAsia="zh-TW"/>
        </w:rPr>
      </w:pPr>
      <w:r>
        <w:rPr>
          <w:szCs w:val="21"/>
        </w:rPr>
        <w:t xml:space="preserve">5.2 </w:t>
      </w:r>
      <w:r>
        <w:rPr>
          <w:rFonts w:hint="eastAsia"/>
          <w:szCs w:val="21"/>
          <w:lang w:eastAsia="zh-TW"/>
        </w:rPr>
        <w:t>合格的投标供应商</w:t>
      </w:r>
    </w:p>
    <w:p>
      <w:pPr>
        <w:widowControl w:val="0"/>
        <w:shd w:val="clear" w:color="auto" w:fill="auto"/>
        <w:tabs>
          <w:tab w:val="clear" w:pos="426"/>
        </w:tabs>
        <w:autoSpaceDE w:val="0"/>
        <w:autoSpaceDN w:val="0"/>
        <w:rPr>
          <w:rFonts w:hint="eastAsia"/>
          <w:szCs w:val="21"/>
        </w:rPr>
      </w:pPr>
      <w:r>
        <w:rPr>
          <w:szCs w:val="21"/>
        </w:rPr>
        <w:t xml:space="preserve">5.2.1 </w:t>
      </w:r>
      <w:r>
        <w:rPr>
          <w:rFonts w:hint="eastAsia"/>
          <w:szCs w:val="21"/>
        </w:rPr>
        <w:t>具有独立承担民事责任的能力。</w:t>
      </w:r>
    </w:p>
    <w:p>
      <w:pPr>
        <w:widowControl w:val="0"/>
        <w:shd w:val="clear" w:color="auto" w:fill="auto"/>
        <w:tabs>
          <w:tab w:val="clear" w:pos="426"/>
        </w:tabs>
        <w:autoSpaceDE w:val="0"/>
        <w:autoSpaceDN w:val="0"/>
        <w:rPr>
          <w:rFonts w:hint="eastAsia"/>
          <w:szCs w:val="21"/>
        </w:rPr>
      </w:pPr>
      <w:r>
        <w:rPr>
          <w:szCs w:val="21"/>
        </w:rPr>
        <w:t xml:space="preserve">5.2.2 </w:t>
      </w:r>
      <w:r>
        <w:rPr>
          <w:rFonts w:hint="eastAsia"/>
          <w:szCs w:val="21"/>
        </w:rPr>
        <w:t>具有良好的商业信誉和健全的财务会计制度。</w:t>
      </w:r>
    </w:p>
    <w:p>
      <w:pPr>
        <w:widowControl w:val="0"/>
        <w:shd w:val="clear" w:color="auto" w:fill="auto"/>
        <w:tabs>
          <w:tab w:val="clear" w:pos="426"/>
        </w:tabs>
        <w:autoSpaceDE w:val="0"/>
        <w:autoSpaceDN w:val="0"/>
        <w:rPr>
          <w:rFonts w:hint="eastAsia"/>
          <w:szCs w:val="21"/>
        </w:rPr>
      </w:pPr>
      <w:r>
        <w:rPr>
          <w:szCs w:val="21"/>
        </w:rPr>
        <w:t xml:space="preserve">5.2.3 </w:t>
      </w:r>
      <w:r>
        <w:rPr>
          <w:rFonts w:hint="eastAsia"/>
          <w:szCs w:val="21"/>
        </w:rPr>
        <w:t>具有履行合同所必需的设备和专业技术能力。</w:t>
      </w:r>
    </w:p>
    <w:p>
      <w:pPr>
        <w:widowControl w:val="0"/>
        <w:shd w:val="clear" w:color="auto" w:fill="auto"/>
        <w:tabs>
          <w:tab w:val="clear" w:pos="426"/>
        </w:tabs>
        <w:autoSpaceDE w:val="0"/>
        <w:autoSpaceDN w:val="0"/>
        <w:rPr>
          <w:rFonts w:hint="eastAsia"/>
          <w:szCs w:val="21"/>
        </w:rPr>
      </w:pPr>
      <w:r>
        <w:rPr>
          <w:szCs w:val="21"/>
        </w:rPr>
        <w:t xml:space="preserve">5.2.4 </w:t>
      </w:r>
      <w:r>
        <w:rPr>
          <w:rFonts w:hint="eastAsia"/>
          <w:szCs w:val="21"/>
        </w:rPr>
        <w:t>有依法缴纳税收和社会保障资金的良好记录。</w:t>
      </w:r>
    </w:p>
    <w:p>
      <w:pPr>
        <w:widowControl w:val="0"/>
        <w:shd w:val="clear" w:color="auto" w:fill="auto"/>
        <w:tabs>
          <w:tab w:val="clear" w:pos="426"/>
        </w:tabs>
        <w:autoSpaceDE w:val="0"/>
        <w:autoSpaceDN w:val="0"/>
        <w:rPr>
          <w:rFonts w:hint="eastAsia"/>
          <w:szCs w:val="21"/>
        </w:rPr>
      </w:pPr>
      <w:r>
        <w:rPr>
          <w:szCs w:val="21"/>
        </w:rPr>
        <w:t xml:space="preserve">5.2.5 </w:t>
      </w:r>
      <w:r>
        <w:rPr>
          <w:rFonts w:hint="eastAsia"/>
          <w:szCs w:val="21"/>
        </w:rPr>
        <w:t>参加采购活动前三年内，在经营活动中没有重大违法记录。</w:t>
      </w:r>
    </w:p>
    <w:p>
      <w:pPr>
        <w:widowControl w:val="0"/>
        <w:shd w:val="clear" w:color="auto" w:fill="auto"/>
        <w:tabs>
          <w:tab w:val="clear" w:pos="426"/>
        </w:tabs>
        <w:autoSpaceDE w:val="0"/>
        <w:autoSpaceDN w:val="0"/>
        <w:rPr>
          <w:rFonts w:hint="eastAsia"/>
          <w:szCs w:val="21"/>
        </w:rPr>
      </w:pPr>
      <w:r>
        <w:rPr>
          <w:szCs w:val="21"/>
        </w:rPr>
        <w:t xml:space="preserve">5.2.6 </w:t>
      </w:r>
      <w:r>
        <w:rPr>
          <w:rFonts w:hint="eastAsia"/>
          <w:szCs w:val="21"/>
        </w:rPr>
        <w:t>法律、行政法规规定的其他条件。</w:t>
      </w:r>
    </w:p>
    <w:p>
      <w:pPr>
        <w:widowControl w:val="0"/>
        <w:shd w:val="clear" w:color="auto" w:fill="auto"/>
        <w:tabs>
          <w:tab w:val="clear" w:pos="426"/>
        </w:tabs>
        <w:autoSpaceDE w:val="0"/>
        <w:autoSpaceDN w:val="0"/>
        <w:rPr>
          <w:rFonts w:hint="eastAsia"/>
          <w:szCs w:val="21"/>
        </w:rPr>
      </w:pPr>
      <w:r>
        <w:rPr>
          <w:szCs w:val="21"/>
        </w:rPr>
        <w:t xml:space="preserve">5.2.7 </w:t>
      </w:r>
      <w:r>
        <w:rPr>
          <w:rFonts w:hint="eastAsia"/>
          <w:szCs w:val="21"/>
        </w:rPr>
        <w:t>只有在法律上和财务上独立、合法运作并独立于采购人和代理机构的供货商才能参加投标。</w:t>
      </w:r>
    </w:p>
    <w:p>
      <w:pPr>
        <w:widowControl w:val="0"/>
        <w:shd w:val="clear" w:color="auto" w:fill="auto"/>
        <w:tabs>
          <w:tab w:val="clear" w:pos="426"/>
        </w:tabs>
        <w:autoSpaceDE w:val="0"/>
        <w:autoSpaceDN w:val="0"/>
        <w:rPr>
          <w:rFonts w:hint="eastAsia"/>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rFonts w:hint="eastAsia"/>
          <w:szCs w:val="21"/>
        </w:rPr>
      </w:pPr>
      <w:r>
        <w:rPr>
          <w:szCs w:val="21"/>
        </w:rPr>
        <w:t xml:space="preserve">5.2.9 </w:t>
      </w:r>
      <w:r>
        <w:rPr>
          <w:rFonts w:hint="eastAsia"/>
          <w:szCs w:val="21"/>
        </w:rPr>
        <w:t>符合</w:t>
      </w:r>
      <w:r>
        <w:rPr>
          <w:rFonts w:hint="eastAsia" w:cs="黑体"/>
          <w:szCs w:val="21"/>
        </w:rPr>
        <w:t>第一章采购公告“投标供应商资格要求”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rFonts w:hint="eastAsia"/>
          <w:szCs w:val="21"/>
        </w:rPr>
      </w:pPr>
      <w:r>
        <w:rPr>
          <w:szCs w:val="21"/>
        </w:rPr>
        <w:t xml:space="preserve">5.3 </w:t>
      </w:r>
      <w:r>
        <w:rPr>
          <w:rFonts w:hint="eastAsia"/>
          <w:szCs w:val="21"/>
        </w:rPr>
        <w:t>中标供应商是指经法定程序确定并授予合同的投标供应商。</w:t>
      </w:r>
    </w:p>
    <w:p>
      <w:pPr>
        <w:tabs>
          <w:tab w:val="clear" w:pos="426"/>
        </w:tabs>
        <w:rPr>
          <w:rFonts w:hint="eastAsia"/>
        </w:rPr>
      </w:pPr>
      <w:r>
        <w:t>6</w:t>
      </w:r>
      <w:r>
        <w:rPr>
          <w:rFonts w:hint="eastAsia"/>
        </w:rPr>
        <w:t>．联合体投标</w:t>
      </w:r>
    </w:p>
    <w:p>
      <w:pPr>
        <w:tabs>
          <w:tab w:val="clear" w:pos="426"/>
        </w:tabs>
        <w:rPr>
          <w:rFonts w:hint="eastAsia"/>
        </w:rPr>
      </w:pPr>
      <w:r>
        <w:t>6.1</w:t>
      </w:r>
      <w:r>
        <w:rPr>
          <w:rFonts w:hint="eastAsia"/>
        </w:rPr>
        <w:t>　以下有关联合体投标的条款仅适用于允许投标供应商组成联合体投标的项目。</w:t>
      </w:r>
    </w:p>
    <w:p>
      <w:pPr>
        <w:tabs>
          <w:tab w:val="clear" w:pos="426"/>
        </w:tabs>
        <w:rPr>
          <w:rFonts w:hint="eastAsia"/>
        </w:rPr>
      </w:pPr>
      <w:r>
        <w:t>6.2</w:t>
      </w:r>
      <w:r>
        <w:rPr>
          <w:rFonts w:hint="eastAsia"/>
        </w:rPr>
        <w:t>　由两个或两个以上的自然人、法人或者其他组织可以组成一个联合体，以一个供应商的身份共同投标时，应符合以下原则：</w:t>
      </w:r>
    </w:p>
    <w:p>
      <w:pPr>
        <w:tabs>
          <w:tab w:val="clear" w:pos="426"/>
        </w:tabs>
        <w:rPr>
          <w:rFonts w:hint="eastAsia"/>
        </w:rPr>
      </w:pPr>
      <w:r>
        <w:t>6.2.</w:t>
      </w:r>
      <w:r>
        <w:rPr>
          <w:bCs/>
        </w:rPr>
        <w:t>1</w:t>
      </w:r>
      <w:r>
        <w:rPr>
          <w:rFonts w:hint="eastAsia"/>
          <w:bCs/>
        </w:rPr>
        <w:t>投标联合体应满足采购公告有关投标供应商资格要求中对联合体的要求；</w:t>
      </w:r>
    </w:p>
    <w:p>
      <w:pPr>
        <w:tabs>
          <w:tab w:val="clear" w:pos="426"/>
        </w:tabs>
        <w:rPr>
          <w:rFonts w:hint="eastAsia"/>
        </w:rPr>
      </w:pPr>
      <w:r>
        <w:t>6.2.2</w:t>
      </w:r>
      <w:r>
        <w:rPr>
          <w:rFonts w:hint="eastAsia"/>
        </w:rPr>
        <w:t>对于采购公告中所要求投标供应商应具有的某一资质，若联合体各方均具有，则将以联合体各方中最低的资质等级作为联合体在这一资质条件上的资质等级；联合体各方的不同资质可优势互补。</w:t>
      </w:r>
    </w:p>
    <w:p>
      <w:pPr>
        <w:tabs>
          <w:tab w:val="clear" w:pos="426"/>
        </w:tabs>
        <w:rPr>
          <w:rFonts w:hint="eastAsia"/>
        </w:rPr>
      </w:pPr>
      <w:r>
        <w:t>6.2.3</w:t>
      </w:r>
      <w:r>
        <w:rPr>
          <w:rFonts w:hint="eastAsia"/>
        </w:rPr>
        <w:t>投标供应商的投标文件及中标后签署的合同协议对联合体各方均具法律约束力；</w:t>
      </w:r>
    </w:p>
    <w:p>
      <w:pPr>
        <w:tabs>
          <w:tab w:val="clear" w:pos="426"/>
        </w:tabs>
        <w:rPr>
          <w:rFonts w:hint="eastAsia"/>
        </w:rPr>
      </w:pPr>
      <w:r>
        <w:t>6.2.4</w:t>
      </w:r>
      <w:r>
        <w:rPr>
          <w:rFonts w:hint="eastAsia"/>
        </w:rPr>
        <w:t>联合体各方应当签订共同投标协议，明确约定各方拟承担的工作和责任，并将该共同投标协议随投标文件一并递交给代理机构；</w:t>
      </w:r>
    </w:p>
    <w:p>
      <w:pPr>
        <w:tabs>
          <w:tab w:val="clear" w:pos="426"/>
        </w:tabs>
        <w:rPr>
          <w:rFonts w:hint="eastAsia"/>
        </w:rPr>
      </w:pPr>
      <w:r>
        <w:t>6.2.5</w:t>
      </w:r>
      <w:r>
        <w:rPr>
          <w:rFonts w:hint="eastAsia"/>
        </w:rPr>
        <w:t>联合体的各方应当共同推荐一联合体投标授权代表人，由联合体各方提交一份授权书，证明其有资格代表联合体各方签署投标文件，该授权书作为投标文件的组成部分一并提交给代理机构；</w:t>
      </w:r>
    </w:p>
    <w:p>
      <w:pPr>
        <w:tabs>
          <w:tab w:val="clear" w:pos="426"/>
        </w:tabs>
        <w:rPr>
          <w:rFonts w:hint="eastAsia"/>
        </w:rPr>
      </w:pPr>
      <w:r>
        <w:t>6.2.6</w:t>
      </w:r>
      <w:r>
        <w:rPr>
          <w:rFonts w:hint="eastAsia"/>
        </w:rPr>
        <w:t>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rFonts w:hint="eastAsia"/>
        </w:rPr>
      </w:pPr>
      <w:r>
        <w:t>6.2.7</w:t>
      </w:r>
      <w:r>
        <w:rPr>
          <w:rFonts w:hint="eastAsia"/>
        </w:rPr>
        <w:t>除非另有规定或说明，本须知中“投标供应商”一词亦指联合体各方。</w:t>
      </w:r>
    </w:p>
    <w:p>
      <w:pPr>
        <w:tabs>
          <w:tab w:val="clear" w:pos="426"/>
        </w:tabs>
        <w:rPr>
          <w:rFonts w:hint="eastAsia"/>
        </w:rPr>
      </w:pPr>
      <w:r>
        <w:t xml:space="preserve">7. </w:t>
      </w:r>
      <w:r>
        <w:rPr>
          <w:rFonts w:hint="eastAsia"/>
        </w:rPr>
        <w:t>合格的服务和货物</w:t>
      </w:r>
    </w:p>
    <w:p>
      <w:pPr>
        <w:widowControl w:val="0"/>
        <w:shd w:val="clear" w:color="auto" w:fill="auto"/>
        <w:tabs>
          <w:tab w:val="clear" w:pos="426"/>
        </w:tabs>
        <w:autoSpaceDE w:val="0"/>
        <w:autoSpaceDN w:val="0"/>
        <w:rPr>
          <w:rFonts w:hint="eastAsia"/>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hint="eastAsia"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rFonts w:hint="eastAsia"/>
          <w:szCs w:val="21"/>
        </w:rPr>
      </w:pPr>
      <w:r>
        <w:rPr>
          <w:szCs w:val="21"/>
        </w:rPr>
        <w:t xml:space="preserve">7.3 </w:t>
      </w:r>
      <w:r>
        <w:rPr>
          <w:rFonts w:hint="eastAsia"/>
          <w:szCs w:val="21"/>
        </w:rPr>
        <w:t>投标供应商提供的所有服务，其质量、技术等特征必须符合国家、行业现行法律、法规的相关标准和《中华人民共和国政府采购法》的有关规定及用户需求。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rFonts w:hint="eastAsia"/>
          <w:szCs w:val="21"/>
        </w:rPr>
      </w:pPr>
      <w:r>
        <w:rPr>
          <w:szCs w:val="21"/>
        </w:rPr>
        <w:t xml:space="preserve">7.4 </w:t>
      </w:r>
      <w:r>
        <w:rPr>
          <w:rFonts w:hint="eastAsia"/>
          <w:szCs w:val="21"/>
        </w:rPr>
        <w:t>采购人有权拒绝接受任何不合格的服务，由此产生的费用及相关后果均由供应商自行承担。</w:t>
      </w:r>
    </w:p>
    <w:p>
      <w:pPr>
        <w:widowControl w:val="0"/>
        <w:shd w:val="clear" w:color="auto" w:fill="auto"/>
        <w:tabs>
          <w:tab w:val="clear" w:pos="426"/>
        </w:tabs>
        <w:autoSpaceDE w:val="0"/>
        <w:autoSpaceDN w:val="0"/>
        <w:rPr>
          <w:rFonts w:hint="eastAsia"/>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pPr>
        <w:tabs>
          <w:tab w:val="clear" w:pos="426"/>
        </w:tabs>
        <w:rPr>
          <w:rFonts w:hint="eastAsia"/>
        </w:rPr>
      </w:pPr>
      <w:r>
        <w:t>8</w:t>
      </w:r>
      <w:r>
        <w:rPr>
          <w:rFonts w:hint="eastAsia"/>
        </w:rPr>
        <w:t>．投标费用</w:t>
      </w:r>
    </w:p>
    <w:p>
      <w:pPr>
        <w:tabs>
          <w:tab w:val="clear" w:pos="426"/>
        </w:tabs>
        <w:rPr>
          <w:rFonts w:hint="eastAsia"/>
        </w:rPr>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pPr>
        <w:tabs>
          <w:tab w:val="clear" w:pos="426"/>
        </w:tabs>
        <w:rPr>
          <w:rFonts w:hint="eastAsia"/>
        </w:rPr>
      </w:pPr>
      <w:r>
        <w:t>9</w:t>
      </w:r>
      <w:r>
        <w:rPr>
          <w:rFonts w:hint="eastAsia"/>
        </w:rPr>
        <w:t>．踏勘现场</w:t>
      </w:r>
    </w:p>
    <w:p>
      <w:pPr>
        <w:tabs>
          <w:tab w:val="clear" w:pos="426"/>
        </w:tabs>
        <w:rPr>
          <w:rFonts w:hint="eastAsia"/>
        </w:rPr>
      </w:pPr>
      <w:r>
        <w:t>9.1</w:t>
      </w:r>
      <w:r>
        <w:rPr>
          <w:rFonts w:hint="eastAsia"/>
        </w:rPr>
        <w:t>如有需要，采购代理机构或采购单位将组织投标供应商对项目现场及周围环境进行踏勘，以便投标供应商获取有关编制投标文件和签署合同所需的所有资料。踏勘现场所发生的费用和风险由投标供应商自己承担，投标供应商应按采购公告所约定的时间、地点统一踏勘现场。</w:t>
      </w:r>
    </w:p>
    <w:p>
      <w:pPr>
        <w:tabs>
          <w:tab w:val="clear" w:pos="426"/>
        </w:tabs>
        <w:rPr>
          <w:rFonts w:hint="eastAsia"/>
        </w:rPr>
      </w:pPr>
      <w:r>
        <w:t>9.2</w:t>
      </w:r>
      <w:r>
        <w:rPr>
          <w:rFonts w:hint="eastAsia"/>
        </w:rPr>
        <w:t>投标供应商及其人员经过采购单位的允许，可以踏勘目的进入采购单位的项目现场。若本项目招标文件要求投标供应商于统一时间地点踏勘现场的，投标供应商按时前往。</w:t>
      </w:r>
    </w:p>
    <w:p>
      <w:pPr>
        <w:tabs>
          <w:tab w:val="clear" w:pos="426"/>
        </w:tabs>
        <w:rPr>
          <w:rFonts w:hint="eastAsia"/>
        </w:rPr>
      </w:pPr>
      <w:r>
        <w:t>9.3</w:t>
      </w:r>
      <w:r>
        <w:rPr>
          <w:rFonts w:hint="eastAsia"/>
        </w:rPr>
        <w:t>采购单位必须通过采购代理机构向投标供应商提供有关现场的资料和数据。</w:t>
      </w:r>
    </w:p>
    <w:p>
      <w:pPr>
        <w:tabs>
          <w:tab w:val="clear" w:pos="426"/>
        </w:tabs>
        <w:rPr>
          <w:rFonts w:hint="eastAsia"/>
        </w:rPr>
      </w:pPr>
      <w:r>
        <w:t>9.4</w:t>
      </w:r>
      <w:r>
        <w:rPr>
          <w:rFonts w:hint="eastAsia"/>
        </w:rPr>
        <w:t>任何人或任何组织在踏勘现场时向投标供应商提交的任何书面或口头上的资料，未经采购代理机构在网上发布或书面通知，均作无效处理。采购代理机构对投标供应商由此而做出的推论、理解和结论概不负责。</w:t>
      </w:r>
    </w:p>
    <w:p>
      <w:pPr>
        <w:tabs>
          <w:tab w:val="clear" w:pos="426"/>
        </w:tabs>
        <w:rPr>
          <w:rFonts w:hint="eastAsia"/>
        </w:rPr>
      </w:pPr>
      <w:r>
        <w:t xml:space="preserve">9.5 </w:t>
      </w:r>
      <w:r>
        <w:rPr>
          <w:rFonts w:hint="eastAsia"/>
        </w:rPr>
        <w:t>未参与现场踏勘不作为否定投标供应商资格的理由。</w:t>
      </w:r>
    </w:p>
    <w:p>
      <w:pPr>
        <w:tabs>
          <w:tab w:val="clear" w:pos="426"/>
        </w:tabs>
        <w:rPr>
          <w:rFonts w:hint="eastAsia"/>
        </w:rPr>
      </w:pPr>
      <w:r>
        <w:t>10</w:t>
      </w:r>
      <w:r>
        <w:rPr>
          <w:rFonts w:hint="eastAsia"/>
        </w:rPr>
        <w:t>．招标答疑</w:t>
      </w:r>
    </w:p>
    <w:p>
      <w:pPr>
        <w:tabs>
          <w:tab w:val="clear" w:pos="426"/>
        </w:tabs>
        <w:rPr>
          <w:rFonts w:hint="eastAsia"/>
        </w:rPr>
      </w:pPr>
      <w:r>
        <w:t>10.1</w:t>
      </w:r>
      <w:r>
        <w:rPr>
          <w:rFonts w:hint="eastAsia"/>
        </w:rPr>
        <w:t>招标答疑的目的是澄清、解答投标供应商在查阅招标文件后或现场踏勘中可能提出的与投标有关的疑问或询问。</w:t>
      </w:r>
    </w:p>
    <w:p>
      <w:pPr>
        <w:tabs>
          <w:tab w:val="clear" w:pos="426"/>
        </w:tabs>
        <w:rPr>
          <w:rFonts w:hint="eastAsia"/>
        </w:rPr>
      </w:pPr>
      <w:r>
        <w:t>10.2</w:t>
      </w:r>
      <w:r>
        <w:rPr>
          <w:rFonts w:hint="eastAsia"/>
        </w:rPr>
        <w:t>投标供应商提出的与投标有关的问题须在招标文件规定的答疑截止时间前以</w:t>
      </w:r>
      <w:r>
        <w:t xml:space="preserve"> </w:t>
      </w:r>
      <w:r>
        <w:rPr>
          <w:rFonts w:hint="eastAsia"/>
        </w:rPr>
        <w:t>“质疑函”的形式提交给采购代理机构，质疑函应该加盖质疑单位公章。</w:t>
      </w:r>
    </w:p>
    <w:p>
      <w:pPr>
        <w:tabs>
          <w:tab w:val="clear" w:pos="426"/>
        </w:tabs>
        <w:rPr>
          <w:rFonts w:hint="eastAsia"/>
        </w:rPr>
      </w:pPr>
      <w:r>
        <w:t>10.3</w:t>
      </w:r>
      <w:r>
        <w:rPr>
          <w:rFonts w:hint="eastAsia"/>
        </w:rPr>
        <w:t>采购代理机构对疑问所做出的澄清和解答，以书面答复（包括网站发布信息）为准。答疑纪要的有效性规定按照本通用条款第</w:t>
      </w:r>
      <w:r>
        <w:t>13.3</w:t>
      </w:r>
      <w:r>
        <w:rPr>
          <w:rFonts w:hint="eastAsia"/>
        </w:rPr>
        <w:t>、</w:t>
      </w:r>
      <w:r>
        <w:t>13.4</w:t>
      </w:r>
      <w:r>
        <w:rPr>
          <w:rFonts w:hint="eastAsia"/>
        </w:rPr>
        <w:t>款规定执行。</w:t>
      </w:r>
    </w:p>
    <w:p>
      <w:pPr>
        <w:tabs>
          <w:tab w:val="clear" w:pos="426"/>
        </w:tabs>
        <w:rPr>
          <w:rFonts w:hint="eastAsia"/>
        </w:rPr>
      </w:pPr>
      <w:r>
        <w:t>10.4</w:t>
      </w:r>
      <w:r>
        <w:rPr>
          <w:rFonts w:hint="eastAsia"/>
        </w:rPr>
        <w:t>如采购代理机构认为有必要组织现场答疑会，投标供应商应按照招标文件规定的时间或采购代理机构另行书面通知（包括网站发布的通知）的时间和地点，参与现场答疑会。</w:t>
      </w:r>
    </w:p>
    <w:p>
      <w:pPr>
        <w:tabs>
          <w:tab w:val="clear" w:pos="426"/>
        </w:tabs>
        <w:rPr>
          <w:rFonts w:hint="eastAsia"/>
        </w:rPr>
      </w:pPr>
      <w:r>
        <w:t>10.5</w:t>
      </w:r>
      <w:r>
        <w:rPr>
          <w:rFonts w:hint="eastAsia"/>
        </w:rPr>
        <w:t>未参与招标答疑不作为否定投标供应商资格的理由。</w:t>
      </w:r>
    </w:p>
    <w:p>
      <w:pPr>
        <w:pStyle w:val="5"/>
        <w:tabs>
          <w:tab w:val="clear" w:pos="426"/>
        </w:tabs>
        <w:rPr>
          <w:rFonts w:hint="eastAsia"/>
        </w:rPr>
      </w:pPr>
      <w:bookmarkStart w:id="164" w:name="_Toc14427255"/>
      <w:bookmarkStart w:id="165" w:name="_Toc24544"/>
      <w:bookmarkStart w:id="166" w:name="_Toc529280582"/>
      <w:bookmarkStart w:id="167" w:name="_Toc530152523"/>
      <w:r>
        <w:rPr>
          <w:rFonts w:hint="eastAsia"/>
        </w:rPr>
        <w:t>第二章</w:t>
      </w:r>
      <w:r>
        <w:t xml:space="preserve"> </w:t>
      </w:r>
      <w:r>
        <w:rPr>
          <w:rFonts w:hint="eastAsia"/>
        </w:rPr>
        <w:t>招标文件</w:t>
      </w:r>
      <w:bookmarkEnd w:id="164"/>
      <w:bookmarkEnd w:id="165"/>
      <w:bookmarkEnd w:id="166"/>
      <w:bookmarkEnd w:id="167"/>
    </w:p>
    <w:p>
      <w:pPr>
        <w:tabs>
          <w:tab w:val="clear" w:pos="426"/>
        </w:tabs>
        <w:rPr>
          <w:rFonts w:hint="eastAsia"/>
        </w:rPr>
      </w:pPr>
      <w:r>
        <w:t>11</w:t>
      </w:r>
      <w:r>
        <w:rPr>
          <w:rFonts w:hint="eastAsia"/>
        </w:rPr>
        <w:t>．招标文件的编制与组成</w:t>
      </w:r>
    </w:p>
    <w:p>
      <w:pPr>
        <w:tabs>
          <w:tab w:val="clear" w:pos="426"/>
        </w:tabs>
        <w:rPr>
          <w:rFonts w:hint="eastAsia"/>
        </w:rPr>
      </w:pPr>
      <w:r>
        <w:t>11.1</w:t>
      </w:r>
      <w:r>
        <w:rPr>
          <w:rFonts w:hint="eastAsia"/>
        </w:rPr>
        <w:t>招标文件除以下内容外，采购代理机构在招标（或谈判）期间发出的答疑纪要和其他补充修改函件，均是招标文件的组成部分，对投标供应商起约束作用；</w:t>
      </w:r>
    </w:p>
    <w:p>
      <w:pPr>
        <w:tabs>
          <w:tab w:val="clear" w:pos="426"/>
        </w:tabs>
        <w:rPr>
          <w:rFonts w:hint="eastAsia"/>
        </w:rPr>
      </w:pPr>
      <w:r>
        <w:rPr>
          <w:rFonts w:hint="eastAsia"/>
        </w:rPr>
        <w:t>招标文件包括下列内容：</w:t>
      </w:r>
    </w:p>
    <w:p>
      <w:pPr>
        <w:tabs>
          <w:tab w:val="clear" w:pos="426"/>
        </w:tabs>
        <w:rPr>
          <w:rFonts w:hint="eastAsia"/>
        </w:rPr>
      </w:pPr>
      <w:r>
        <w:rPr>
          <w:rFonts w:hint="eastAsia"/>
        </w:rPr>
        <w:t>项目关键信息</w:t>
      </w:r>
    </w:p>
    <w:p>
      <w:pPr>
        <w:tabs>
          <w:tab w:val="clear" w:pos="426"/>
        </w:tabs>
        <w:rPr>
          <w:rFonts w:hint="eastAsia"/>
        </w:rPr>
      </w:pPr>
      <w:r>
        <w:rPr>
          <w:rFonts w:hint="eastAsia"/>
        </w:rPr>
        <w:t>招标文件第一册（专用部分）</w:t>
      </w:r>
    </w:p>
    <w:p>
      <w:pPr>
        <w:tabs>
          <w:tab w:val="clear" w:pos="426"/>
        </w:tabs>
        <w:rPr>
          <w:rFonts w:hint="eastAsia"/>
        </w:rPr>
      </w:pPr>
      <w:r>
        <w:rPr>
          <w:rFonts w:hint="eastAsia"/>
        </w:rPr>
        <w:t>第一章</w:t>
      </w:r>
      <w:r>
        <w:t xml:space="preserve"> </w:t>
      </w:r>
      <w:r>
        <w:rPr>
          <w:rFonts w:hint="eastAsia"/>
        </w:rPr>
        <w:t>投标邀请</w:t>
      </w:r>
    </w:p>
    <w:p>
      <w:pPr>
        <w:tabs>
          <w:tab w:val="clear" w:pos="426"/>
        </w:tabs>
        <w:rPr>
          <w:rFonts w:hint="eastAsia"/>
        </w:rPr>
      </w:pPr>
      <w:r>
        <w:rPr>
          <w:rFonts w:hint="eastAsia"/>
        </w:rPr>
        <w:t>第二章</w:t>
      </w:r>
      <w:r>
        <w:t xml:space="preserve"> </w:t>
      </w:r>
      <w:r>
        <w:rPr>
          <w:rFonts w:hint="eastAsia"/>
        </w:rPr>
        <w:t>项目需求</w:t>
      </w:r>
    </w:p>
    <w:p>
      <w:pPr>
        <w:tabs>
          <w:tab w:val="clear" w:pos="426"/>
        </w:tabs>
        <w:rPr>
          <w:rFonts w:hint="eastAsia"/>
        </w:rPr>
      </w:pPr>
      <w:r>
        <w:rPr>
          <w:rFonts w:hint="eastAsia"/>
        </w:rPr>
        <w:t>第三章</w:t>
      </w:r>
      <w:r>
        <w:t xml:space="preserve"> </w:t>
      </w:r>
      <w:r>
        <w:rPr>
          <w:rFonts w:hint="eastAsia"/>
        </w:rPr>
        <w:t>定价方式、合同类型和风险管理措施</w:t>
      </w:r>
    </w:p>
    <w:p>
      <w:pPr>
        <w:tabs>
          <w:tab w:val="clear" w:pos="426"/>
        </w:tabs>
        <w:rPr>
          <w:rFonts w:hint="eastAsia"/>
        </w:rPr>
      </w:pPr>
      <w:r>
        <w:rPr>
          <w:rFonts w:hint="eastAsia"/>
        </w:rPr>
        <w:t>第四章</w:t>
      </w:r>
      <w:r>
        <w:t xml:space="preserve"> </w:t>
      </w:r>
      <w:r>
        <w:rPr>
          <w:rFonts w:hint="eastAsia"/>
        </w:rPr>
        <w:t>资格审查和评标方法</w:t>
      </w:r>
    </w:p>
    <w:p>
      <w:pPr>
        <w:tabs>
          <w:tab w:val="clear" w:pos="426"/>
        </w:tabs>
        <w:rPr>
          <w:rFonts w:hint="eastAsia"/>
        </w:rPr>
      </w:pPr>
      <w:r>
        <w:rPr>
          <w:rFonts w:hint="eastAsia"/>
        </w:rPr>
        <w:t>第五章</w:t>
      </w:r>
      <w:r>
        <w:t xml:space="preserve"> </w:t>
      </w:r>
      <w:r>
        <w:rPr>
          <w:rFonts w:hint="eastAsia"/>
        </w:rPr>
        <w:t>合同文本</w:t>
      </w:r>
    </w:p>
    <w:p>
      <w:pPr>
        <w:tabs>
          <w:tab w:val="clear" w:pos="426"/>
        </w:tabs>
        <w:rPr>
          <w:rFonts w:hint="eastAsia"/>
        </w:rPr>
      </w:pPr>
      <w:r>
        <w:rPr>
          <w:rFonts w:hint="eastAsia"/>
        </w:rPr>
        <w:t>第六章</w:t>
      </w:r>
      <w:r>
        <w:t xml:space="preserve"> </w:t>
      </w:r>
      <w:r>
        <w:rPr>
          <w:rFonts w:hint="eastAsia"/>
        </w:rPr>
        <w:t>投标资料表</w:t>
      </w:r>
    </w:p>
    <w:p>
      <w:pPr>
        <w:tabs>
          <w:tab w:val="clear" w:pos="426"/>
        </w:tabs>
        <w:rPr>
          <w:rFonts w:hint="eastAsia"/>
        </w:rPr>
      </w:pPr>
      <w:r>
        <w:rPr>
          <w:rFonts w:hint="eastAsia"/>
        </w:rPr>
        <w:t>第七章</w:t>
      </w:r>
      <w:r>
        <w:t xml:space="preserve"> </w:t>
      </w:r>
      <w:r>
        <w:rPr>
          <w:rFonts w:hint="eastAsia"/>
        </w:rPr>
        <w:t>投标文件格式</w:t>
      </w:r>
    </w:p>
    <w:p>
      <w:pPr>
        <w:tabs>
          <w:tab w:val="clear" w:pos="426"/>
        </w:tabs>
        <w:rPr>
          <w:rFonts w:hint="eastAsia"/>
        </w:rPr>
      </w:pPr>
      <w:r>
        <w:rPr>
          <w:rFonts w:hint="eastAsia"/>
        </w:rPr>
        <w:t>招标文件第二册（通用部分）</w:t>
      </w:r>
    </w:p>
    <w:p>
      <w:pPr>
        <w:tabs>
          <w:tab w:val="clear" w:pos="426"/>
        </w:tabs>
        <w:rPr>
          <w:rFonts w:hint="eastAsia"/>
        </w:rPr>
      </w:pPr>
      <w:r>
        <w:rPr>
          <w:rFonts w:hint="eastAsia"/>
        </w:rPr>
        <w:t>第一章</w:t>
      </w:r>
      <w:r>
        <w:t xml:space="preserve"> </w:t>
      </w:r>
      <w:r>
        <w:rPr>
          <w:rFonts w:hint="eastAsia"/>
        </w:rPr>
        <w:t>总则</w:t>
      </w:r>
    </w:p>
    <w:p>
      <w:pPr>
        <w:tabs>
          <w:tab w:val="clear" w:pos="426"/>
        </w:tabs>
        <w:rPr>
          <w:rFonts w:hint="eastAsia"/>
        </w:rPr>
      </w:pPr>
      <w:r>
        <w:rPr>
          <w:rFonts w:hint="eastAsia"/>
        </w:rPr>
        <w:t>第二章</w:t>
      </w:r>
      <w:r>
        <w:t xml:space="preserve"> </w:t>
      </w:r>
      <w:r>
        <w:rPr>
          <w:rFonts w:hint="eastAsia"/>
        </w:rPr>
        <w:t>招标文件</w:t>
      </w:r>
    </w:p>
    <w:p>
      <w:pPr>
        <w:tabs>
          <w:tab w:val="clear" w:pos="426"/>
        </w:tabs>
        <w:rPr>
          <w:rFonts w:hint="eastAsia"/>
        </w:rPr>
      </w:pPr>
      <w:r>
        <w:rPr>
          <w:rFonts w:hint="eastAsia"/>
        </w:rPr>
        <w:t>第三章</w:t>
      </w:r>
      <w:r>
        <w:t xml:space="preserve"> </w:t>
      </w:r>
      <w:r>
        <w:rPr>
          <w:rFonts w:hint="eastAsia"/>
        </w:rPr>
        <w:t>投标文件的编制与递交</w:t>
      </w:r>
    </w:p>
    <w:p>
      <w:pPr>
        <w:tabs>
          <w:tab w:val="clear" w:pos="426"/>
        </w:tabs>
        <w:rPr>
          <w:rFonts w:hint="eastAsia"/>
        </w:rPr>
      </w:pPr>
      <w:r>
        <w:rPr>
          <w:rFonts w:hint="eastAsia"/>
        </w:rPr>
        <w:t>第四章</w:t>
      </w:r>
      <w:r>
        <w:t xml:space="preserve"> </w:t>
      </w:r>
      <w:r>
        <w:rPr>
          <w:rFonts w:hint="eastAsia"/>
        </w:rPr>
        <w:t>开标</w:t>
      </w:r>
    </w:p>
    <w:p>
      <w:pPr>
        <w:tabs>
          <w:tab w:val="clear" w:pos="426"/>
        </w:tabs>
        <w:rPr>
          <w:rFonts w:hint="eastAsia"/>
        </w:rPr>
      </w:pPr>
      <w:r>
        <w:rPr>
          <w:rFonts w:hint="eastAsia"/>
        </w:rPr>
        <w:t>第五章</w:t>
      </w:r>
      <w:r>
        <w:t xml:space="preserve"> </w:t>
      </w:r>
      <w:r>
        <w:rPr>
          <w:rFonts w:hint="eastAsia"/>
        </w:rPr>
        <w:t>评标要求</w:t>
      </w:r>
    </w:p>
    <w:p>
      <w:pPr>
        <w:tabs>
          <w:tab w:val="clear" w:pos="426"/>
        </w:tabs>
        <w:rPr>
          <w:rFonts w:hint="eastAsia"/>
        </w:rPr>
      </w:pPr>
      <w:r>
        <w:rPr>
          <w:rFonts w:hint="eastAsia"/>
        </w:rPr>
        <w:t>第六章</w:t>
      </w:r>
      <w:r>
        <w:t xml:space="preserve"> </w:t>
      </w:r>
      <w:r>
        <w:rPr>
          <w:rFonts w:hint="eastAsia"/>
        </w:rPr>
        <w:t>评标程序及评标方法</w:t>
      </w:r>
    </w:p>
    <w:p>
      <w:pPr>
        <w:tabs>
          <w:tab w:val="clear" w:pos="426"/>
        </w:tabs>
        <w:rPr>
          <w:rFonts w:hint="eastAsia"/>
        </w:rPr>
      </w:pPr>
      <w:r>
        <w:rPr>
          <w:rFonts w:hint="eastAsia"/>
        </w:rPr>
        <w:t>第七章</w:t>
      </w:r>
      <w:r>
        <w:t xml:space="preserve"> </w:t>
      </w:r>
      <w:r>
        <w:rPr>
          <w:rFonts w:hint="eastAsia"/>
        </w:rPr>
        <w:t>定标及公示</w:t>
      </w:r>
    </w:p>
    <w:p>
      <w:pPr>
        <w:tabs>
          <w:tab w:val="clear" w:pos="426"/>
        </w:tabs>
        <w:rPr>
          <w:rFonts w:hint="eastAsia"/>
        </w:rPr>
      </w:pPr>
      <w:r>
        <w:rPr>
          <w:rFonts w:hint="eastAsia"/>
        </w:rPr>
        <w:t>第八章</w:t>
      </w:r>
      <w:r>
        <w:t xml:space="preserve"> </w:t>
      </w:r>
      <w:r>
        <w:rPr>
          <w:rFonts w:hint="eastAsia"/>
        </w:rPr>
        <w:t>公开招标失败的后续处理</w:t>
      </w:r>
    </w:p>
    <w:p>
      <w:pPr>
        <w:tabs>
          <w:tab w:val="clear" w:pos="426"/>
        </w:tabs>
        <w:rPr>
          <w:rFonts w:hint="eastAsia"/>
        </w:rPr>
      </w:pPr>
      <w:r>
        <w:rPr>
          <w:rFonts w:hint="eastAsia"/>
        </w:rPr>
        <w:t>第九章</w:t>
      </w:r>
      <w:r>
        <w:t xml:space="preserve"> </w:t>
      </w:r>
      <w:r>
        <w:rPr>
          <w:rFonts w:hint="eastAsia"/>
        </w:rPr>
        <w:t>合同的授予与备案</w:t>
      </w:r>
    </w:p>
    <w:p>
      <w:pPr>
        <w:tabs>
          <w:tab w:val="clear" w:pos="426"/>
        </w:tabs>
        <w:rPr>
          <w:rFonts w:hint="eastAsia"/>
        </w:rPr>
      </w:pPr>
      <w:r>
        <w:rPr>
          <w:rFonts w:hint="eastAsia"/>
        </w:rPr>
        <w:t>第十章</w:t>
      </w:r>
      <w:r>
        <w:t xml:space="preserve"> </w:t>
      </w:r>
      <w:r>
        <w:rPr>
          <w:rFonts w:hint="eastAsia"/>
        </w:rPr>
        <w:t>质疑受理</w:t>
      </w:r>
    </w:p>
    <w:p>
      <w:pPr>
        <w:tabs>
          <w:tab w:val="clear" w:pos="426"/>
        </w:tabs>
        <w:rPr>
          <w:rFonts w:hint="eastAsia"/>
        </w:rPr>
      </w:pPr>
      <w:r>
        <w:rPr>
          <w:rFonts w:hint="eastAsia"/>
        </w:rPr>
        <w:t>招标代理服务取费说明</w:t>
      </w:r>
    </w:p>
    <w:p>
      <w:pPr>
        <w:tabs>
          <w:tab w:val="clear" w:pos="426"/>
        </w:tabs>
        <w:rPr>
          <w:rFonts w:hint="eastAsia"/>
        </w:rPr>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pPr>
        <w:tabs>
          <w:tab w:val="clear" w:pos="426"/>
        </w:tabs>
        <w:rPr>
          <w:rFonts w:hint="eastAsia"/>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pPr>
        <w:tabs>
          <w:tab w:val="clear" w:pos="426"/>
        </w:tabs>
        <w:rPr>
          <w:rFonts w:hint="eastAsia"/>
        </w:rPr>
      </w:pPr>
      <w:r>
        <w:t>12</w:t>
      </w:r>
      <w:r>
        <w:rPr>
          <w:rFonts w:hint="eastAsia"/>
        </w:rPr>
        <w:t>．招标文件的澄清</w:t>
      </w:r>
    </w:p>
    <w:p>
      <w:pPr>
        <w:tabs>
          <w:tab w:val="clear" w:pos="426"/>
        </w:tabs>
        <w:rPr>
          <w:rFonts w:hint="eastAsia"/>
        </w:rPr>
      </w:pPr>
      <w:r>
        <w:t>12.1</w:t>
      </w:r>
      <w:r>
        <w:rPr>
          <w:rFonts w:hint="eastAsia"/>
        </w:rPr>
        <w:t>投标供应商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供应商起约束作用；</w:t>
      </w:r>
    </w:p>
    <w:p>
      <w:pPr>
        <w:tabs>
          <w:tab w:val="clear" w:pos="426"/>
        </w:tabs>
        <w:rPr>
          <w:rFonts w:hint="eastAsia"/>
        </w:rPr>
      </w:pPr>
      <w:r>
        <w:t>12.2</w:t>
      </w:r>
      <w:r>
        <w:rPr>
          <w:rFonts w:hint="eastAsia"/>
        </w:rPr>
        <w:t>对于没有提出澄清又参与了该项目投标的供应商将被视为完全认同该招标文件（含澄清纪要），投标截止期后不再受理针对招标文件的相关质疑或投诉。</w:t>
      </w:r>
    </w:p>
    <w:p>
      <w:pPr>
        <w:tabs>
          <w:tab w:val="clear" w:pos="426"/>
        </w:tabs>
        <w:rPr>
          <w:rFonts w:hint="eastAsia"/>
        </w:rPr>
      </w:pPr>
      <w:r>
        <w:t xml:space="preserve">12.3 </w:t>
      </w:r>
      <w:r>
        <w:rPr>
          <w:rFonts w:hint="eastAsia"/>
        </w:rPr>
        <w:t>对招标文件中描述有歧意或前后不一致的地方，评标委员会有权进行评判，但对同一条款的评判应适用于每个投标供应商。</w:t>
      </w:r>
    </w:p>
    <w:p>
      <w:pPr>
        <w:tabs>
          <w:tab w:val="clear" w:pos="426"/>
        </w:tabs>
        <w:rPr>
          <w:rFonts w:hint="eastAsia"/>
        </w:rPr>
      </w:pPr>
      <w:r>
        <w:t>13</w:t>
      </w:r>
      <w:r>
        <w:rPr>
          <w:rFonts w:hint="eastAsia"/>
        </w:rPr>
        <w:t>．招标文件的修改</w:t>
      </w:r>
    </w:p>
    <w:p>
      <w:pPr>
        <w:tabs>
          <w:tab w:val="clear" w:pos="426"/>
        </w:tabs>
        <w:rPr>
          <w:rFonts w:hint="eastAsia"/>
        </w:rPr>
      </w:pPr>
      <w:r>
        <w:t>13.1</w:t>
      </w:r>
      <w:r>
        <w:rPr>
          <w:rFonts w:hint="eastAsia"/>
        </w:rPr>
        <w:t>招标文件发出后，在投标截止日期前任何时候，确需要变更招标内容的，采购代理机构可主动地或在解答投标供应商提出的澄清问题时对招标文件进行修改；</w:t>
      </w:r>
    </w:p>
    <w:p>
      <w:pPr>
        <w:tabs>
          <w:tab w:val="clear" w:pos="426"/>
        </w:tabs>
        <w:rPr>
          <w:rFonts w:hint="eastAsia"/>
        </w:rPr>
      </w:pPr>
      <w:r>
        <w:t>13.2</w:t>
      </w:r>
      <w:r>
        <w:rPr>
          <w:rFonts w:hint="eastAsia"/>
        </w:rPr>
        <w:t>招标文件的修改以书面形式（包括网站公开发布方式）发送给所有投标供应商，招标文件的修改内容作为招标文件的组成部分，并具有约束力。</w:t>
      </w:r>
    </w:p>
    <w:p>
      <w:pPr>
        <w:tabs>
          <w:tab w:val="clear" w:pos="426"/>
        </w:tabs>
        <w:rPr>
          <w:rFonts w:hint="eastAsia"/>
        </w:rPr>
      </w:pPr>
      <w:r>
        <w:t>13.3</w:t>
      </w:r>
      <w:r>
        <w:rPr>
          <w:rFonts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rFonts w:hint="eastAsia"/>
        </w:rPr>
      </w:pPr>
      <w:r>
        <w:t>13.4</w:t>
      </w:r>
      <w:r>
        <w:rPr>
          <w:rFonts w:hint="eastAsia"/>
        </w:rPr>
        <w:t>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pPr>
        <w:pStyle w:val="5"/>
        <w:tabs>
          <w:tab w:val="clear" w:pos="426"/>
        </w:tabs>
        <w:rPr>
          <w:rFonts w:hint="eastAsia"/>
        </w:rPr>
      </w:pPr>
      <w:bookmarkStart w:id="168" w:name="_Toc23767"/>
      <w:bookmarkStart w:id="169" w:name="_Toc14427256"/>
      <w:bookmarkStart w:id="170" w:name="_Toc529280583"/>
      <w:bookmarkStart w:id="171" w:name="_Toc530152524"/>
      <w:r>
        <w:rPr>
          <w:rFonts w:hint="eastAsia"/>
        </w:rPr>
        <w:t>第三章</w:t>
      </w:r>
      <w:r>
        <w:t xml:space="preserve"> </w:t>
      </w:r>
      <w:r>
        <w:rPr>
          <w:rFonts w:hint="eastAsia"/>
        </w:rPr>
        <w:t>投标文件的编制与递交</w:t>
      </w:r>
      <w:bookmarkEnd w:id="168"/>
      <w:bookmarkEnd w:id="169"/>
      <w:bookmarkEnd w:id="170"/>
      <w:bookmarkEnd w:id="171"/>
    </w:p>
    <w:p>
      <w:pPr>
        <w:tabs>
          <w:tab w:val="clear" w:pos="426"/>
        </w:tabs>
        <w:rPr>
          <w:rFonts w:hint="eastAsia"/>
        </w:rPr>
      </w:pPr>
      <w:r>
        <w:t>14</w:t>
      </w:r>
      <w:r>
        <w:rPr>
          <w:rFonts w:hint="eastAsia"/>
        </w:rPr>
        <w:t>．投标文件的语言及度量单位</w:t>
      </w:r>
    </w:p>
    <w:p>
      <w:pPr>
        <w:tabs>
          <w:tab w:val="clear" w:pos="426"/>
        </w:tabs>
        <w:rPr>
          <w:rFonts w:hint="eastAsia"/>
        </w:rPr>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pPr>
        <w:tabs>
          <w:tab w:val="clear" w:pos="426"/>
        </w:tabs>
        <w:rPr>
          <w:rFonts w:hint="eastAsia"/>
        </w:rPr>
      </w:pPr>
      <w:r>
        <w:t xml:space="preserve">14.2 </w:t>
      </w:r>
      <w:r>
        <w:rPr>
          <w:rFonts w:hint="eastAsia"/>
        </w:rPr>
        <w:t>除技术规范另有规定外，投标文件使用的度量单位，均采用中华人民共和国法定计量单位。</w:t>
      </w:r>
    </w:p>
    <w:p>
      <w:pPr>
        <w:tabs>
          <w:tab w:val="clear" w:pos="426"/>
        </w:tabs>
        <w:rPr>
          <w:rFonts w:hint="eastAsia"/>
        </w:rPr>
      </w:pPr>
      <w:r>
        <w:t>15</w:t>
      </w:r>
      <w:r>
        <w:rPr>
          <w:rFonts w:hint="eastAsia"/>
        </w:rPr>
        <w:t>．投标文件的组成</w:t>
      </w:r>
    </w:p>
    <w:p>
      <w:pPr>
        <w:tabs>
          <w:tab w:val="clear" w:pos="426"/>
        </w:tabs>
        <w:rPr>
          <w:rFonts w:hint="eastAsia"/>
        </w:rPr>
      </w:pPr>
      <w:r>
        <w:rPr>
          <w:rFonts w:hint="eastAsia"/>
        </w:rPr>
        <w:t>具体内容请详见本项目专用条款的相关内容。</w:t>
      </w:r>
    </w:p>
    <w:p>
      <w:pPr>
        <w:tabs>
          <w:tab w:val="clear" w:pos="426"/>
        </w:tabs>
        <w:rPr>
          <w:rFonts w:hint="eastAsia"/>
        </w:rPr>
      </w:pPr>
      <w:r>
        <w:t xml:space="preserve">16. </w:t>
      </w:r>
      <w:r>
        <w:rPr>
          <w:rFonts w:hint="eastAsia"/>
        </w:rPr>
        <w:t>投标文件格式</w:t>
      </w:r>
    </w:p>
    <w:p>
      <w:pPr>
        <w:tabs>
          <w:tab w:val="clear" w:pos="426"/>
        </w:tabs>
        <w:rPr>
          <w:rFonts w:hint="eastAsia"/>
        </w:rPr>
      </w:pPr>
      <w:r>
        <w:t>16.1</w:t>
      </w:r>
      <w:r>
        <w:rPr>
          <w:rFonts w:hint="eastAsia"/>
        </w:rPr>
        <w:t>投标文件包括本通用条款第</w:t>
      </w:r>
      <w:r>
        <w:t>15</w:t>
      </w:r>
      <w:r>
        <w:rPr>
          <w:rFonts w:hint="eastAsia"/>
        </w:rPr>
        <w:t>条中规定的内容。如招标文件提供了投标文件格式，则投标供应商提交的投标文件必须毫无例外地使用招标文件所提供的相应格式并统一使用</w:t>
      </w:r>
      <w:r>
        <w:t>A4</w:t>
      </w:r>
      <w:r>
        <w:rPr>
          <w:rFonts w:hint="eastAsia"/>
        </w:rPr>
        <w:t>篇幅（表格可以按同样格式扩展）。</w:t>
      </w:r>
    </w:p>
    <w:p>
      <w:pPr>
        <w:tabs>
          <w:tab w:val="clear" w:pos="426"/>
        </w:tabs>
        <w:rPr>
          <w:rFonts w:hint="eastAsia"/>
        </w:rPr>
      </w:pPr>
      <w:r>
        <w:t>17</w:t>
      </w:r>
      <w:r>
        <w:rPr>
          <w:rFonts w:hint="eastAsia"/>
        </w:rPr>
        <w:t>．投标货币</w:t>
      </w:r>
    </w:p>
    <w:p>
      <w:pPr>
        <w:tabs>
          <w:tab w:val="clear" w:pos="426"/>
        </w:tabs>
        <w:rPr>
          <w:rFonts w:hint="eastAsia"/>
        </w:rPr>
      </w:pPr>
      <w:r>
        <w:rPr>
          <w:rFonts w:hint="eastAsia"/>
        </w:rPr>
        <w:t>本项目的投标应以人民币计。</w:t>
      </w:r>
    </w:p>
    <w:p>
      <w:pPr>
        <w:widowControl w:val="0"/>
        <w:shd w:val="clear" w:color="auto" w:fill="auto"/>
        <w:tabs>
          <w:tab w:val="clear" w:pos="426"/>
        </w:tabs>
        <w:autoSpaceDE w:val="0"/>
        <w:autoSpaceDN w:val="0"/>
        <w:rPr>
          <w:rFonts w:hint="eastAsia"/>
        </w:rPr>
      </w:pPr>
      <w:r>
        <w:t xml:space="preserve">18. </w:t>
      </w:r>
      <w:r>
        <w:rPr>
          <w:rFonts w:hint="eastAsia"/>
        </w:rPr>
        <w:t>证明投标供应商合格和资格的文件</w:t>
      </w:r>
    </w:p>
    <w:p>
      <w:pPr>
        <w:widowControl w:val="0"/>
        <w:shd w:val="clear" w:color="auto" w:fill="auto"/>
        <w:tabs>
          <w:tab w:val="clear" w:pos="426"/>
        </w:tabs>
        <w:autoSpaceDE w:val="0"/>
        <w:autoSpaceDN w:val="0"/>
        <w:rPr>
          <w:rFonts w:hint="eastAsia"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pPr>
        <w:widowControl w:val="0"/>
        <w:shd w:val="clear" w:color="auto" w:fill="auto"/>
        <w:tabs>
          <w:tab w:val="clear" w:pos="426"/>
        </w:tabs>
        <w:autoSpaceDE w:val="0"/>
        <w:autoSpaceDN w:val="0"/>
        <w:rPr>
          <w:rFonts w:hint="eastAsia"/>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pPr>
        <w:tabs>
          <w:tab w:val="clear" w:pos="426"/>
        </w:tabs>
        <w:rPr>
          <w:rFonts w:hint="eastAsia"/>
        </w:rPr>
      </w:pPr>
      <w:r>
        <w:t>19</w:t>
      </w:r>
      <w:r>
        <w:rPr>
          <w:rFonts w:hint="eastAsia"/>
        </w:rPr>
        <w:t>．证明投标文件投标技术方案的合格性和符合招标文件规定的文件要求</w:t>
      </w:r>
    </w:p>
    <w:p>
      <w:pPr>
        <w:tabs>
          <w:tab w:val="clear" w:pos="426"/>
        </w:tabs>
        <w:rPr>
          <w:rFonts w:hint="eastAsia"/>
        </w:rPr>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pPr>
        <w:tabs>
          <w:tab w:val="clear" w:pos="426"/>
        </w:tabs>
        <w:rPr>
          <w:rFonts w:hint="eastAsia"/>
        </w:rPr>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pPr>
        <w:tabs>
          <w:tab w:val="clear" w:pos="426"/>
        </w:tabs>
        <w:rPr>
          <w:rFonts w:hint="eastAsia"/>
        </w:rPr>
      </w:pPr>
      <w:r>
        <w:t>19.2.1</w:t>
      </w:r>
      <w:r>
        <w:rPr>
          <w:rFonts w:hint="eastAsia"/>
        </w:rPr>
        <w:t>主要技术指标和性能的详细说明。</w:t>
      </w:r>
    </w:p>
    <w:p>
      <w:pPr>
        <w:tabs>
          <w:tab w:val="clear" w:pos="426"/>
        </w:tabs>
        <w:rPr>
          <w:rFonts w:hint="eastAsia"/>
        </w:rPr>
      </w:pPr>
      <w:r>
        <w:t>19.2.2</w:t>
      </w:r>
      <w:r>
        <w:rPr>
          <w:rFonts w:hint="eastAsia"/>
        </w:rPr>
        <w:t>投标产品从采购单位开始使用至招标文件中规定的周期内正常、连续地使用所必须的备件和专用工具清单，包括备件和专用工具的货源及现行价格。</w:t>
      </w:r>
    </w:p>
    <w:p>
      <w:pPr>
        <w:tabs>
          <w:tab w:val="clear" w:pos="426"/>
        </w:tabs>
        <w:rPr>
          <w:rFonts w:hint="eastAsia"/>
        </w:rPr>
      </w:pPr>
      <w:r>
        <w:t>19.2.3</w:t>
      </w:r>
      <w:r>
        <w:rPr>
          <w:rFonts w:hint="eastAsia"/>
        </w:rPr>
        <w:t>对照招标文件技术规格，逐条说明投标技术方案已对采购单位的技术规格做出了实质性的响应，或申明与技术规格条文的偏差和例外。投标供应商应详细说明投标技术方案中产品的具体参数，不得照搬照抄招标文件的技术要求。</w:t>
      </w:r>
    </w:p>
    <w:p>
      <w:pPr>
        <w:tabs>
          <w:tab w:val="clear" w:pos="426"/>
        </w:tabs>
        <w:rPr>
          <w:rFonts w:hint="eastAsia"/>
        </w:rPr>
      </w:pPr>
      <w:r>
        <w:t>19.2.4</w:t>
      </w:r>
      <w:r>
        <w:rPr>
          <w:rFonts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rFonts w:hint="eastAsia"/>
        </w:rPr>
      </w:pPr>
      <w:r>
        <w:t>19.2.5</w:t>
      </w:r>
      <w:r>
        <w:rPr>
          <w:rFonts w:hint="eastAsia"/>
        </w:rPr>
        <w:t>我国政府机构出具的产品检验和核准证件应为证件正面、背面和附件标注的全部具体内容；产品检验和核准证件应能清晰的阅读、识别和判断，提供原件复印件。</w:t>
      </w:r>
    </w:p>
    <w:p>
      <w:pPr>
        <w:tabs>
          <w:tab w:val="clear" w:pos="426"/>
        </w:tabs>
        <w:rPr>
          <w:rFonts w:hint="eastAsia"/>
        </w:rPr>
      </w:pPr>
      <w:r>
        <w:t>19.3</w:t>
      </w:r>
      <w:r>
        <w:rPr>
          <w:rFonts w:hint="eastAsia"/>
        </w:rPr>
        <w:t>相关资料不符合</w:t>
      </w:r>
      <w:r>
        <w:t>19.2</w:t>
      </w:r>
      <w:r>
        <w:rPr>
          <w:rFonts w:hint="eastAsia"/>
        </w:rPr>
        <w:t>款要求的，评标委员会有权认定为投标技术方案不合格响应，其相关分数予以扣减或作废标处理。</w:t>
      </w:r>
    </w:p>
    <w:p>
      <w:pPr>
        <w:tabs>
          <w:tab w:val="clear" w:pos="426"/>
        </w:tabs>
        <w:rPr>
          <w:rFonts w:hint="eastAsia"/>
        </w:rPr>
      </w:pPr>
      <w:r>
        <w:t>19.4</w:t>
      </w:r>
      <w:r>
        <w:rPr>
          <w:rFonts w:hint="eastAsia"/>
        </w:rPr>
        <w:t>评标委员会有权对以谋取中标为目的的技术规格模糊响应（如有意照搬照抄招标文件的技术要求）或虚假响应予以认定。供应商上述行为一经发现或查实，除扣分或废标外，采购代理机构可视情况报相关监督管理部门做进一步处理。</w:t>
      </w:r>
    </w:p>
    <w:p>
      <w:pPr>
        <w:tabs>
          <w:tab w:val="clear" w:pos="426"/>
        </w:tabs>
        <w:rPr>
          <w:rFonts w:hint="eastAsia"/>
        </w:rPr>
      </w:pPr>
      <w:r>
        <w:t>19.5</w:t>
      </w:r>
      <w:r>
        <w:rPr>
          <w:rFonts w:hint="eastAsia"/>
        </w:rPr>
        <w:t>投标供应商在阐述上述第</w:t>
      </w:r>
      <w:r>
        <w:t>18.2</w:t>
      </w:r>
      <w:r>
        <w:rPr>
          <w:rFonts w:hint="eastAsia"/>
        </w:rPr>
        <w:t>时应注意采购单位在技术规格中指出的工艺、材料和设备的标准以及参照的牌号或分类号仅起说明作用，并没有任何限制性。投标供应商在投标中可以选用替代标准、牌号或分类号，但这些替代要实质上满足招标文件中技术规格的要求，是否满足要求，由评标委员会来评判。</w:t>
      </w:r>
    </w:p>
    <w:p>
      <w:pPr>
        <w:tabs>
          <w:tab w:val="clear" w:pos="426"/>
        </w:tabs>
        <w:rPr>
          <w:rFonts w:hint="eastAsia"/>
        </w:rPr>
      </w:pPr>
      <w:r>
        <w:t>19.6</w:t>
      </w:r>
      <w:r>
        <w:rPr>
          <w:rFonts w:hint="eastAsia"/>
        </w:rPr>
        <w:t>为保证公平公正，除非另有规定或说明，投标供应商对同一货物或服务投标时，不得同时提供两套或两套以上的投标方案。</w:t>
      </w:r>
    </w:p>
    <w:p>
      <w:pPr>
        <w:tabs>
          <w:tab w:val="clear" w:pos="426"/>
        </w:tabs>
        <w:rPr>
          <w:rFonts w:hint="eastAsia"/>
        </w:rPr>
      </w:pPr>
      <w:r>
        <w:t>20</w:t>
      </w:r>
      <w:r>
        <w:rPr>
          <w:rFonts w:hint="eastAsia"/>
        </w:rPr>
        <w:t>．投标文件其他证明文件的要求</w:t>
      </w:r>
    </w:p>
    <w:p>
      <w:pPr>
        <w:tabs>
          <w:tab w:val="clear" w:pos="426"/>
        </w:tabs>
        <w:rPr>
          <w:rFonts w:hint="eastAsia"/>
        </w:rPr>
      </w:pPr>
      <w:r>
        <w:t>20.1</w:t>
      </w:r>
      <w:r>
        <w:rPr>
          <w:rFonts w:hint="eastAsia"/>
        </w:rPr>
        <w:t>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w:t>
      </w:r>
      <w:r>
        <w:t>0</w:t>
      </w:r>
      <w:r>
        <w:rPr>
          <w:rFonts w:hint="eastAsia"/>
        </w:rPr>
        <w:t>分处理。</w:t>
      </w:r>
    </w:p>
    <w:p>
      <w:pPr>
        <w:tabs>
          <w:tab w:val="clear" w:pos="426"/>
        </w:tabs>
        <w:rPr>
          <w:rFonts w:hint="eastAsia"/>
        </w:rPr>
      </w:pPr>
      <w:r>
        <w:t>20.2</w:t>
      </w:r>
      <w:r>
        <w:rPr>
          <w:rFonts w:hint="eastAsia"/>
        </w:rPr>
        <w:t>本项目涉及提供的有关资质证书，若原有资质证书处于年审期间，投标供应商提供年审证明的可按原资质投标；若投标供应商正在申报上一级别资质，在未获批准之前，仍按原级别资质投标。</w:t>
      </w:r>
    </w:p>
    <w:p>
      <w:pPr>
        <w:tabs>
          <w:tab w:val="clear" w:pos="426"/>
        </w:tabs>
        <w:rPr>
          <w:rFonts w:hint="eastAsia"/>
        </w:rPr>
      </w:pPr>
      <w:r>
        <w:t>21</w:t>
      </w:r>
      <w:r>
        <w:rPr>
          <w:rFonts w:hint="eastAsia"/>
        </w:rPr>
        <w:t>．投标有效期</w:t>
      </w:r>
    </w:p>
    <w:p>
      <w:pPr>
        <w:tabs>
          <w:tab w:val="clear" w:pos="426"/>
        </w:tabs>
        <w:rPr>
          <w:rFonts w:hint="eastAsia"/>
        </w:rPr>
      </w:pPr>
      <w:r>
        <w:t xml:space="preserve">21.1 </w:t>
      </w:r>
      <w:r>
        <w:rPr>
          <w:rFonts w:hint="eastAsia"/>
        </w:rPr>
        <w:t>投标有效期为从投标截止之日算起的日历天数，具体见专用条款中投标有效期的天数要求。在此期限内，所有投标文件均保持有效；</w:t>
      </w:r>
    </w:p>
    <w:p>
      <w:pPr>
        <w:tabs>
          <w:tab w:val="clear" w:pos="426"/>
        </w:tabs>
        <w:rPr>
          <w:rFonts w:hint="eastAsia"/>
        </w:rPr>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w:t>
      </w:r>
      <w:r>
        <w:rPr>
          <w:rFonts w:hint="eastAsia"/>
        </w:rPr>
        <w:t>条关于投标保证金的退还与没收的规定仍然适用；</w:t>
      </w:r>
    </w:p>
    <w:p>
      <w:pPr>
        <w:tabs>
          <w:tab w:val="clear" w:pos="426"/>
        </w:tabs>
        <w:rPr>
          <w:rFonts w:hint="eastAsia"/>
        </w:rPr>
      </w:pPr>
      <w:r>
        <w:t xml:space="preserve">21.3 </w:t>
      </w:r>
      <w:r>
        <w:rPr>
          <w:rFonts w:hint="eastAsia"/>
        </w:rPr>
        <w:t>中标单位的投标书有效期，截止于完成本招标文件规定的全部项目内容，并通过竣工验收及保修结束。</w:t>
      </w:r>
    </w:p>
    <w:p>
      <w:pPr>
        <w:tabs>
          <w:tab w:val="clear" w:pos="426"/>
        </w:tabs>
        <w:rPr>
          <w:rFonts w:hint="eastAsia"/>
        </w:rPr>
      </w:pPr>
      <w:r>
        <w:t>22</w:t>
      </w:r>
      <w:r>
        <w:rPr>
          <w:rFonts w:hint="eastAsia"/>
        </w:rPr>
        <w:t>．投标保证金</w:t>
      </w:r>
    </w:p>
    <w:p>
      <w:pPr>
        <w:tabs>
          <w:tab w:val="clear" w:pos="426"/>
        </w:tabs>
        <w:rPr>
          <w:rFonts w:hint="eastAsia"/>
        </w:rPr>
      </w:pPr>
      <w:r>
        <w:t>22.1</w:t>
      </w:r>
      <w:r>
        <w:rPr>
          <w:rFonts w:hint="eastAsia"/>
        </w:rPr>
        <w:t>投标保证金的缴纳：</w:t>
      </w:r>
      <w:r>
        <w:rPr>
          <w:rFonts w:hint="eastAsia"/>
          <w:b/>
        </w:rPr>
        <w:t>（本项目不适用）</w:t>
      </w:r>
    </w:p>
    <w:p>
      <w:pPr>
        <w:tabs>
          <w:tab w:val="clear" w:pos="426"/>
        </w:tabs>
        <w:rPr>
          <w:rFonts w:hint="eastAsia"/>
        </w:rPr>
      </w:pPr>
      <w:r>
        <w:t>22.1.1</w:t>
      </w:r>
      <w:r>
        <w:rPr>
          <w:rFonts w:hint="eastAsia"/>
        </w:rPr>
        <w:t>缴纳投标保证金的方式：参与投标前须缴纳</w:t>
      </w:r>
      <w:r>
        <w:t>/</w:t>
      </w:r>
      <w:r>
        <w:rPr>
          <w:rFonts w:hint="eastAsia"/>
        </w:rPr>
        <w:t>万元保证金，落标或中标项目完成后返还，参与投标前未缴纳的，其投标将不予受理。</w:t>
      </w:r>
    </w:p>
    <w:p>
      <w:pPr>
        <w:tabs>
          <w:tab w:val="clear" w:pos="426"/>
        </w:tabs>
        <w:rPr>
          <w:rFonts w:hint="eastAsia"/>
        </w:rPr>
      </w:pPr>
      <w:r>
        <w:t xml:space="preserve">22.1.2 </w:t>
      </w:r>
      <w:r>
        <w:rPr>
          <w:rFonts w:hint="eastAsia"/>
        </w:rPr>
        <w:t>若为重大项目，采购代理机构可自行决定另外收取投标保证金，不受</w:t>
      </w:r>
      <w:r>
        <w:t>22.1.1</w:t>
      </w:r>
      <w:r>
        <w:rPr>
          <w:rFonts w:hint="eastAsia"/>
        </w:rPr>
        <w:t>款限制。是否另外收取投标保证金，请见本招标文件专用条款《对通用条款的补充内容》中的相关要求。</w:t>
      </w:r>
    </w:p>
    <w:p>
      <w:pPr>
        <w:tabs>
          <w:tab w:val="clear" w:pos="426"/>
        </w:tabs>
        <w:rPr>
          <w:rFonts w:hint="eastAsia"/>
          <w:szCs w:val="21"/>
        </w:rPr>
      </w:pPr>
      <w:r>
        <w:rPr>
          <w:szCs w:val="21"/>
        </w:rPr>
        <w:t>22.2</w:t>
      </w:r>
      <w:r>
        <w:rPr>
          <w:rFonts w:hint="eastAsia"/>
        </w:rPr>
        <w:t>投标保证金是为了保护采购代理机构和采购单位免因投标供应商的行为而蒙受损失。采购代理机构和采购单位因投标供应商的行为受到损害时可根据本通用条款第</w:t>
      </w:r>
      <w:r>
        <w:rPr>
          <w:szCs w:val="21"/>
        </w:rPr>
        <w:t>22.3</w:t>
      </w:r>
      <w:r>
        <w:rPr>
          <w:rFonts w:hint="eastAsia"/>
          <w:szCs w:val="21"/>
        </w:rPr>
        <w:t>款</w:t>
      </w:r>
      <w:r>
        <w:rPr>
          <w:rFonts w:hint="eastAsia"/>
        </w:rPr>
        <w:t>的规定没收投标供应商的投标保证金。</w:t>
      </w:r>
    </w:p>
    <w:p>
      <w:pPr>
        <w:tabs>
          <w:tab w:val="clear" w:pos="426"/>
        </w:tabs>
        <w:rPr>
          <w:rFonts w:hint="eastAsia"/>
        </w:rPr>
      </w:pPr>
      <w:r>
        <w:t>22.3</w:t>
      </w:r>
      <w:r>
        <w:rPr>
          <w:rFonts w:hint="eastAsia"/>
        </w:rPr>
        <w:t>如下列任何情况发生时，投标保证金将被没收。</w:t>
      </w:r>
    </w:p>
    <w:p>
      <w:pPr>
        <w:tabs>
          <w:tab w:val="clear" w:pos="426"/>
        </w:tabs>
        <w:rPr>
          <w:rFonts w:hint="eastAsia"/>
        </w:rPr>
      </w:pPr>
      <w:r>
        <w:t>1</w:t>
      </w:r>
      <w:r>
        <w:rPr>
          <w:rFonts w:hint="eastAsia"/>
        </w:rPr>
        <w:t>）投标供应商在招标文件中规定的投标有效期内撤回其投标；</w:t>
      </w:r>
    </w:p>
    <w:p>
      <w:pPr>
        <w:tabs>
          <w:tab w:val="clear" w:pos="426"/>
        </w:tabs>
        <w:rPr>
          <w:rFonts w:hint="eastAsia"/>
        </w:rPr>
      </w:pPr>
      <w:r>
        <w:t>2</w:t>
      </w:r>
      <w:r>
        <w:rPr>
          <w:rFonts w:hint="eastAsia"/>
        </w:rPr>
        <w:t>）中标供应商在规定期限内未能根据本项通用条款第</w:t>
      </w:r>
      <w:r>
        <w:t>47</w:t>
      </w:r>
      <w:r>
        <w:rPr>
          <w:rFonts w:hint="eastAsia"/>
        </w:rPr>
        <w:t>条规定签订合同；</w:t>
      </w:r>
    </w:p>
    <w:p>
      <w:pPr>
        <w:tabs>
          <w:tab w:val="clear" w:pos="426"/>
        </w:tabs>
        <w:rPr>
          <w:rFonts w:hint="eastAsia"/>
        </w:rPr>
      </w:pPr>
      <w:r>
        <w:t>3</w:t>
      </w:r>
      <w:r>
        <w:rPr>
          <w:rFonts w:hint="eastAsia"/>
        </w:rPr>
        <w:t>）投标供应商提供虚假投标文件或虚假补充文件：</w:t>
      </w:r>
    </w:p>
    <w:p>
      <w:pPr>
        <w:tabs>
          <w:tab w:val="clear" w:pos="426"/>
        </w:tabs>
        <w:rPr>
          <w:rFonts w:hint="eastAsia"/>
        </w:rPr>
      </w:pPr>
      <w:r>
        <w:t>4</w:t>
      </w:r>
      <w:r>
        <w:rPr>
          <w:rFonts w:hint="eastAsia"/>
        </w:rPr>
        <w:t>）投标供应商以谋取中标为目的的技术规格模糊响应（如有意照搬照抄招标文件的技术要求）或虚假响应的；</w:t>
      </w:r>
    </w:p>
    <w:p>
      <w:pPr>
        <w:tabs>
          <w:tab w:val="clear" w:pos="426"/>
        </w:tabs>
        <w:rPr>
          <w:rFonts w:hint="eastAsia"/>
        </w:rPr>
      </w:pPr>
      <w:r>
        <w:t>5</w:t>
      </w:r>
      <w:r>
        <w:rPr>
          <w:rFonts w:hint="eastAsia"/>
        </w:rPr>
        <w:t>）投标供应商质疑投诉提供虚假情况。</w:t>
      </w:r>
    </w:p>
    <w:p>
      <w:pPr>
        <w:tabs>
          <w:tab w:val="clear" w:pos="426"/>
        </w:tabs>
        <w:rPr>
          <w:rFonts w:hint="eastAsia"/>
        </w:rPr>
      </w:pPr>
      <w:r>
        <w:t>22.4</w:t>
      </w:r>
      <w:r>
        <w:rPr>
          <w:rFonts w:hint="eastAsia"/>
        </w:rPr>
        <w:t>不再收取投标保证金。</w:t>
      </w:r>
    </w:p>
    <w:p>
      <w:pPr>
        <w:tabs>
          <w:tab w:val="clear" w:pos="426"/>
        </w:tabs>
        <w:rPr>
          <w:rFonts w:hint="eastAsia"/>
        </w:rPr>
      </w:pPr>
      <w:r>
        <w:t>23</w:t>
      </w:r>
      <w:r>
        <w:rPr>
          <w:rFonts w:hint="eastAsia"/>
        </w:rPr>
        <w:t>．投标供应商的替代方案</w:t>
      </w:r>
    </w:p>
    <w:p>
      <w:pPr>
        <w:tabs>
          <w:tab w:val="clear" w:pos="426"/>
        </w:tabs>
        <w:rPr>
          <w:rFonts w:hint="eastAsia"/>
        </w:rPr>
      </w:pPr>
      <w:r>
        <w:t>23.1</w:t>
      </w:r>
      <w:r>
        <w:rPr>
          <w:rFonts w:hint="eastAsia"/>
        </w:rPr>
        <w:t>投标供应商所提交的投标文件应完全满足招标文件（包括图纸和技术规范所示的基本技术设计）的要求。除非招标的项目明确允许投标供应商提交替代方案，否则投标供应商有关替代方案的条款将不予考虑。</w:t>
      </w:r>
    </w:p>
    <w:p>
      <w:pPr>
        <w:tabs>
          <w:tab w:val="clear" w:pos="426"/>
        </w:tabs>
        <w:rPr>
          <w:rFonts w:hint="eastAsia"/>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tabs>
          <w:tab w:val="clear" w:pos="426"/>
        </w:tabs>
        <w:rPr>
          <w:rFonts w:hint="eastAsia"/>
        </w:rPr>
      </w:pPr>
      <w:r>
        <w:t>24</w:t>
      </w:r>
      <w:r>
        <w:rPr>
          <w:rFonts w:hint="eastAsia"/>
        </w:rPr>
        <w:t>．</w:t>
      </w:r>
      <w:r>
        <w:t xml:space="preserve"> </w:t>
      </w:r>
      <w:r>
        <w:rPr>
          <w:rFonts w:hint="eastAsia"/>
        </w:rPr>
        <w:t>投标文件的密封、标记和装订</w:t>
      </w:r>
    </w:p>
    <w:p>
      <w:pPr>
        <w:widowControl w:val="0"/>
        <w:shd w:val="clear" w:color="auto" w:fill="auto"/>
        <w:tabs>
          <w:tab w:val="clear" w:pos="426"/>
        </w:tabs>
        <w:autoSpaceDE w:val="0"/>
        <w:autoSpaceDN w:val="0"/>
        <w:rPr>
          <w:rFonts w:hint="eastAsia" w:cs="黑体"/>
          <w:bCs/>
          <w:szCs w:val="21"/>
        </w:rPr>
      </w:pPr>
      <w:r>
        <w:t xml:space="preserve">24.1 </w:t>
      </w:r>
      <w:r>
        <w:rPr>
          <w:rFonts w:hint="eastAsia" w:cs="黑体"/>
          <w:bCs/>
          <w:szCs w:val="21"/>
        </w:rPr>
        <w:t>为方便开标唱标，投标供应商应单独提交一个密封信封，并在信封上标明“开标信封”的字样，内容包括开标一览表</w:t>
      </w:r>
      <w:r>
        <w:rPr>
          <w:rFonts w:cs="黑体"/>
          <w:bCs/>
          <w:szCs w:val="21"/>
        </w:rPr>
        <w:t>(</w:t>
      </w:r>
      <w:r>
        <w:rPr>
          <w:rFonts w:hint="eastAsia" w:cs="黑体"/>
          <w:bCs/>
          <w:szCs w:val="21"/>
        </w:rPr>
        <w:t>报价表</w:t>
      </w:r>
      <w:r>
        <w:rPr>
          <w:rFonts w:cs="黑体"/>
          <w:bCs/>
          <w:szCs w:val="21"/>
        </w:rPr>
        <w:t>)</w:t>
      </w:r>
      <w:r>
        <w:rPr>
          <w:rFonts w:hint="eastAsia" w:cs="黑体"/>
          <w:bCs/>
          <w:szCs w:val="21"/>
        </w:rPr>
        <w:t>、法定代表人证明书或法定代表人授权委托书、</w:t>
      </w:r>
      <w:r>
        <w:rPr>
          <w:rFonts w:hint="eastAsia"/>
          <w:szCs w:val="21"/>
        </w:rPr>
        <w:t>投标文件电子光盘</w:t>
      </w:r>
      <w:r>
        <w:rPr>
          <w:rFonts w:hint="eastAsia" w:cs="黑体"/>
          <w:bCs/>
          <w:szCs w:val="21"/>
        </w:rPr>
        <w:t>，若本项目（或包组）接受联合体投标，则联合体投标，应将各方共同签署的《联合投标协议》和《投标联合体授权主体方协议书》一并提交。开标信封是投标文件的组成部分。</w:t>
      </w:r>
    </w:p>
    <w:p>
      <w:pPr>
        <w:tabs>
          <w:tab w:val="clear" w:pos="426"/>
        </w:tabs>
        <w:rPr>
          <w:rFonts w:hint="eastAsia"/>
          <w:szCs w:val="21"/>
        </w:rPr>
      </w:pPr>
      <w:r>
        <w:t xml:space="preserve">24.2 </w:t>
      </w:r>
      <w:r>
        <w:rPr>
          <w:rFonts w:hint="eastAsia"/>
        </w:rPr>
        <w:t>投标文件为纸质投标文件，</w:t>
      </w:r>
      <w:r>
        <w:rPr>
          <w:rFonts w:hint="eastAsia"/>
          <w:szCs w:val="21"/>
        </w:rPr>
        <w:t>含正本和副本，投标文件应标明项目编号、招标项目名称及“正本”或“副本”。</w:t>
      </w:r>
      <w:r>
        <w:rPr>
          <w:rFonts w:hint="eastAsia"/>
        </w:rPr>
        <w:t>投标文件的所有内容应按</w:t>
      </w:r>
      <w:r>
        <w:t>A4</w:t>
      </w:r>
      <w:r>
        <w:rPr>
          <w:rFonts w:hint="eastAsia"/>
        </w:rPr>
        <w:t>篇幅装订成一册，装订应牢固不可拆卸。装订好的投标文件密封包装在一个外密封袋中，并在外密封袋上注明：</w:t>
      </w:r>
    </w:p>
    <w:p>
      <w:pPr>
        <w:tabs>
          <w:tab w:val="clear" w:pos="426"/>
        </w:tabs>
        <w:rPr>
          <w:rFonts w:hint="eastAsia"/>
        </w:rPr>
      </w:pPr>
      <w:r>
        <w:rPr>
          <w:rFonts w:hint="eastAsia"/>
        </w:rPr>
        <w:t>投标文件</w:t>
      </w:r>
    </w:p>
    <w:p>
      <w:pPr>
        <w:tabs>
          <w:tab w:val="clear" w:pos="426"/>
        </w:tabs>
        <w:rPr>
          <w:rFonts w:hint="eastAsia"/>
        </w:rPr>
      </w:pPr>
      <w:r>
        <w:rPr>
          <w:rFonts w:hint="eastAsia"/>
        </w:rPr>
        <w:t>项目编号：</w:t>
      </w:r>
    </w:p>
    <w:p>
      <w:pPr>
        <w:tabs>
          <w:tab w:val="clear" w:pos="426"/>
        </w:tabs>
        <w:rPr>
          <w:rFonts w:hint="eastAsia"/>
        </w:rPr>
      </w:pPr>
      <w:r>
        <w:rPr>
          <w:rFonts w:hint="eastAsia"/>
        </w:rPr>
        <w:t>项目名称：</w:t>
      </w:r>
    </w:p>
    <w:p>
      <w:pPr>
        <w:tabs>
          <w:tab w:val="clear" w:pos="426"/>
        </w:tabs>
        <w:rPr>
          <w:rFonts w:hint="eastAsia"/>
        </w:rPr>
      </w:pPr>
      <w:r>
        <w:rPr>
          <w:rFonts w:hint="eastAsia"/>
        </w:rPr>
        <w:t>投标供应商名称（盖章）：</w:t>
      </w:r>
    </w:p>
    <w:p>
      <w:pPr>
        <w:tabs>
          <w:tab w:val="clear" w:pos="426"/>
        </w:tabs>
        <w:rPr>
          <w:rFonts w:hint="eastAsia"/>
        </w:rPr>
      </w:pPr>
      <w:r>
        <w:rPr>
          <w:rFonts w:hint="eastAsia"/>
        </w:rPr>
        <w:t>投标截止时间：</w:t>
      </w:r>
      <w:r>
        <w:rPr>
          <w:u w:val="single"/>
        </w:rPr>
        <w:t>_______</w:t>
      </w:r>
      <w:r>
        <w:rPr>
          <w:rFonts w:hint="eastAsia"/>
          <w:u w:val="single"/>
        </w:rPr>
        <w:t>年</w:t>
      </w:r>
      <w:r>
        <w:rPr>
          <w:u w:val="single"/>
        </w:rPr>
        <w:t>______</w:t>
      </w:r>
      <w:r>
        <w:rPr>
          <w:rFonts w:hint="eastAsia"/>
          <w:u w:val="single"/>
        </w:rPr>
        <w:t>月</w:t>
      </w:r>
      <w:r>
        <w:rPr>
          <w:u w:val="single"/>
        </w:rPr>
        <w:t>______</w:t>
      </w:r>
      <w:r>
        <w:rPr>
          <w:rFonts w:hint="eastAsia"/>
          <w:u w:val="single"/>
        </w:rPr>
        <w:t>日</w:t>
      </w:r>
      <w:r>
        <w:rPr>
          <w:u w:val="single"/>
        </w:rPr>
        <w:t>______</w:t>
      </w:r>
      <w:r>
        <w:rPr>
          <w:rFonts w:hint="eastAsia"/>
          <w:u w:val="single"/>
        </w:rPr>
        <w:t>时</w:t>
      </w:r>
      <w:r>
        <w:rPr>
          <w:u w:val="single"/>
        </w:rPr>
        <w:t>______</w:t>
      </w:r>
      <w:r>
        <w:rPr>
          <w:rFonts w:hint="eastAsia"/>
          <w:u w:val="single"/>
        </w:rPr>
        <w:t>分（前不得开封）</w:t>
      </w:r>
      <w:r>
        <w:rPr>
          <w:rFonts w:hint="eastAsia"/>
        </w:rPr>
        <w:t>。</w:t>
      </w:r>
    </w:p>
    <w:p>
      <w:pPr>
        <w:tabs>
          <w:tab w:val="clear" w:pos="426"/>
        </w:tabs>
        <w:rPr>
          <w:rFonts w:hint="eastAsia"/>
        </w:rPr>
      </w:pPr>
      <w:r>
        <w:t xml:space="preserve">24.3  </w:t>
      </w:r>
      <w:r>
        <w:rPr>
          <w:rFonts w:hint="eastAsia"/>
        </w:rPr>
        <w:t>所有投标文件的密封袋的封口处均应加盖投标供应商公章。</w:t>
      </w:r>
    </w:p>
    <w:p>
      <w:pPr>
        <w:tabs>
          <w:tab w:val="clear" w:pos="426"/>
        </w:tabs>
        <w:rPr>
          <w:rFonts w:hint="eastAsia"/>
        </w:rPr>
      </w:pPr>
      <w:r>
        <w:t xml:space="preserve">24.4  </w:t>
      </w:r>
      <w:r>
        <w:rPr>
          <w:rFonts w:hint="eastAsia"/>
        </w:rPr>
        <w:t>对于因标书标识不清、装订不牢、密封不严等导致的不利后果由该投标供应商自负。</w:t>
      </w:r>
    </w:p>
    <w:p>
      <w:pPr>
        <w:tabs>
          <w:tab w:val="clear" w:pos="426"/>
        </w:tabs>
        <w:rPr>
          <w:rFonts w:hint="eastAsia"/>
          <w:szCs w:val="21"/>
        </w:rPr>
      </w:pPr>
      <w:r>
        <w:rPr>
          <w:szCs w:val="21"/>
        </w:rPr>
        <w:t xml:space="preserve">24.5  </w:t>
      </w:r>
      <w:r>
        <w:rPr>
          <w:rFonts w:hint="eastAsia"/>
          <w:szCs w:val="21"/>
        </w:rPr>
        <w:t>投标方应将投标文件按</w:t>
      </w:r>
      <w:r>
        <w:rPr>
          <w:szCs w:val="21"/>
        </w:rPr>
        <w:t>24.1-24.2</w:t>
      </w:r>
      <w:r>
        <w:rPr>
          <w:rFonts w:hint="eastAsia"/>
          <w:szCs w:val="21"/>
        </w:rPr>
        <w:t>中的规定进行密封和标记后，按专用条款中采购公告注明的地址送至招标机构。</w:t>
      </w:r>
    </w:p>
    <w:p>
      <w:pPr>
        <w:tabs>
          <w:tab w:val="clear" w:pos="426"/>
        </w:tabs>
        <w:rPr>
          <w:rFonts w:hint="eastAsia"/>
          <w:szCs w:val="21"/>
        </w:rPr>
      </w:pPr>
      <w:r>
        <w:rPr>
          <w:szCs w:val="21"/>
        </w:rPr>
        <w:t xml:space="preserve">24.6  </w:t>
      </w:r>
      <w:r>
        <w:rPr>
          <w:rFonts w:hint="eastAsia"/>
          <w:szCs w:val="21"/>
        </w:rPr>
        <w:t>邮寄、电报、电话、传真形式的投标概不接受。</w:t>
      </w:r>
    </w:p>
    <w:p>
      <w:pPr>
        <w:tabs>
          <w:tab w:val="clear" w:pos="426"/>
        </w:tabs>
        <w:rPr>
          <w:rFonts w:hint="eastAsia"/>
          <w:b/>
          <w:szCs w:val="21"/>
        </w:rPr>
      </w:pPr>
      <w:r>
        <w:rPr>
          <w:b/>
          <w:szCs w:val="21"/>
        </w:rPr>
        <w:t xml:space="preserve">24.7  </w:t>
      </w:r>
      <w:r>
        <w:rPr>
          <w:rFonts w:hint="eastAsia"/>
          <w:b/>
          <w:bCs/>
          <w:szCs w:val="21"/>
        </w:rPr>
        <w:t>投标文件电子版：电子光盘一张或</w:t>
      </w:r>
      <w:r>
        <w:rPr>
          <w:b/>
          <w:bCs/>
          <w:szCs w:val="21"/>
        </w:rPr>
        <w:t>U</w:t>
      </w:r>
      <w:r>
        <w:rPr>
          <w:rFonts w:hint="eastAsia"/>
          <w:b/>
          <w:bCs/>
          <w:szCs w:val="21"/>
        </w:rPr>
        <w:t>盘一个（</w:t>
      </w:r>
      <w:r>
        <w:rPr>
          <w:b/>
          <w:bCs/>
          <w:szCs w:val="21"/>
        </w:rPr>
        <w:t>WORD</w:t>
      </w:r>
      <w:r>
        <w:rPr>
          <w:rFonts w:hint="eastAsia"/>
          <w:b/>
          <w:bCs/>
          <w:szCs w:val="21"/>
        </w:rPr>
        <w:t>及投标文件正本盖章后的彩色复印件，复印件要求为</w:t>
      </w:r>
      <w:r>
        <w:rPr>
          <w:b/>
          <w:bCs/>
          <w:szCs w:val="21"/>
        </w:rPr>
        <w:t>PDF</w:t>
      </w:r>
      <w:r>
        <w:rPr>
          <w:rFonts w:hint="eastAsia"/>
          <w:b/>
          <w:bCs/>
          <w:szCs w:val="21"/>
        </w:rPr>
        <w:t>格式），请将该光盘放在开标信封中，并在光盘上标明项目编号、项目名称及投标供应商名称。</w:t>
      </w:r>
    </w:p>
    <w:p>
      <w:pPr>
        <w:tabs>
          <w:tab w:val="clear" w:pos="426"/>
        </w:tabs>
        <w:rPr>
          <w:rFonts w:hint="eastAsia"/>
          <w:szCs w:val="21"/>
        </w:rPr>
      </w:pPr>
      <w:r>
        <w:rPr>
          <w:szCs w:val="21"/>
        </w:rPr>
        <w:t>25</w:t>
      </w:r>
      <w:r>
        <w:rPr>
          <w:rFonts w:hint="eastAsia"/>
          <w:szCs w:val="21"/>
        </w:rPr>
        <w:t>．</w:t>
      </w:r>
      <w:r>
        <w:rPr>
          <w:szCs w:val="21"/>
        </w:rPr>
        <w:t xml:space="preserve"> </w:t>
      </w:r>
      <w:r>
        <w:rPr>
          <w:rFonts w:hint="eastAsia"/>
          <w:szCs w:val="21"/>
        </w:rPr>
        <w:t>投标截止时间</w:t>
      </w:r>
    </w:p>
    <w:p>
      <w:pPr>
        <w:tabs>
          <w:tab w:val="clear" w:pos="426"/>
        </w:tabs>
        <w:rPr>
          <w:rFonts w:hint="eastAsia"/>
          <w:szCs w:val="21"/>
        </w:rPr>
      </w:pPr>
      <w:r>
        <w:rPr>
          <w:rFonts w:hint="eastAsia"/>
          <w:szCs w:val="21"/>
        </w:rPr>
        <w:t>招标机构在投标供应商须知第</w:t>
      </w:r>
      <w:r>
        <w:rPr>
          <w:szCs w:val="21"/>
        </w:rPr>
        <w:t>24.5</w:t>
      </w:r>
      <w:r>
        <w:rPr>
          <w:rFonts w:hint="eastAsia"/>
          <w:szCs w:val="21"/>
        </w:rPr>
        <w:t>条规定的地址收到投标书的时间不得迟于“投标供应商须知前附表”第</w:t>
      </w:r>
      <w:r>
        <w:rPr>
          <w:szCs w:val="21"/>
        </w:rPr>
        <w:t>19</w:t>
      </w:r>
      <w:r>
        <w:rPr>
          <w:rFonts w:hint="eastAsia"/>
          <w:szCs w:val="21"/>
        </w:rPr>
        <w:t>项所规定的时间。</w:t>
      </w:r>
    </w:p>
    <w:p>
      <w:pPr>
        <w:tabs>
          <w:tab w:val="clear" w:pos="426"/>
        </w:tabs>
        <w:rPr>
          <w:rFonts w:hint="eastAsia"/>
          <w:szCs w:val="21"/>
        </w:rPr>
      </w:pPr>
      <w:r>
        <w:rPr>
          <w:szCs w:val="21"/>
        </w:rPr>
        <w:t>26</w:t>
      </w:r>
      <w:r>
        <w:rPr>
          <w:rFonts w:hint="eastAsia"/>
          <w:szCs w:val="21"/>
        </w:rPr>
        <w:t>．迟交的投标书</w:t>
      </w:r>
    </w:p>
    <w:p>
      <w:pPr>
        <w:tabs>
          <w:tab w:val="clear" w:pos="426"/>
        </w:tabs>
        <w:rPr>
          <w:rFonts w:hint="eastAsia"/>
          <w:szCs w:val="21"/>
        </w:rPr>
      </w:pPr>
      <w:r>
        <w:rPr>
          <w:szCs w:val="21"/>
        </w:rPr>
        <w:t xml:space="preserve">    </w:t>
      </w:r>
      <w:r>
        <w:rPr>
          <w:rFonts w:hint="eastAsia"/>
          <w:szCs w:val="21"/>
        </w:rPr>
        <w:t>按照本通用条款第</w:t>
      </w:r>
      <w:r>
        <w:rPr>
          <w:szCs w:val="21"/>
        </w:rPr>
        <w:t>25</w:t>
      </w:r>
      <w:r>
        <w:rPr>
          <w:rFonts w:hint="eastAsia"/>
          <w:szCs w:val="21"/>
        </w:rPr>
        <w:t>条规定，招标机构将拒绝并原封退回在其规定的投标截止期后收到的任何投标书。</w:t>
      </w:r>
    </w:p>
    <w:p>
      <w:pPr>
        <w:tabs>
          <w:tab w:val="clear" w:pos="426"/>
        </w:tabs>
        <w:rPr>
          <w:rFonts w:hint="eastAsia"/>
        </w:rPr>
      </w:pPr>
      <w:r>
        <w:t>27</w:t>
      </w:r>
      <w:r>
        <w:rPr>
          <w:rFonts w:hint="eastAsia"/>
        </w:rPr>
        <w:t>．</w:t>
      </w:r>
      <w:r>
        <w:t xml:space="preserve"> </w:t>
      </w:r>
      <w:r>
        <w:rPr>
          <w:rFonts w:hint="eastAsia"/>
        </w:rPr>
        <w:t>投标文件的提交和截标时投标文件的数量要求</w:t>
      </w:r>
    </w:p>
    <w:p>
      <w:pPr>
        <w:tabs>
          <w:tab w:val="clear" w:pos="426"/>
        </w:tabs>
        <w:rPr>
          <w:rFonts w:hint="eastAsia"/>
        </w:rPr>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pPr>
        <w:tabs>
          <w:tab w:val="clear" w:pos="426"/>
        </w:tabs>
        <w:rPr>
          <w:rFonts w:hint="eastAsia"/>
        </w:rPr>
      </w:pPr>
      <w:r>
        <w:t xml:space="preserve">27.2  </w:t>
      </w:r>
      <w:r>
        <w:rPr>
          <w:rFonts w:hint="eastAsia"/>
        </w:rPr>
        <w:t>截标时递交标书的投标供应商数量未达到法定家数的，采购代理机构将按法律法规的规定暂停开标和评标程序。如导致招标失败，采购人或采购代理机构将不负担因此给投标供应商造成的损失。</w:t>
      </w:r>
    </w:p>
    <w:p>
      <w:pPr>
        <w:tabs>
          <w:tab w:val="clear" w:pos="426"/>
        </w:tabs>
        <w:rPr>
          <w:rFonts w:hint="eastAsia"/>
        </w:rPr>
      </w:pPr>
      <w:r>
        <w:t>28</w:t>
      </w:r>
      <w:r>
        <w:rPr>
          <w:rFonts w:hint="eastAsia"/>
        </w:rPr>
        <w:t>．</w:t>
      </w:r>
      <w:r>
        <w:t xml:space="preserve">  </w:t>
      </w:r>
      <w:r>
        <w:rPr>
          <w:rFonts w:hint="eastAsia"/>
        </w:rPr>
        <w:t>投标文件的修改或撤回</w:t>
      </w:r>
    </w:p>
    <w:p>
      <w:pPr>
        <w:tabs>
          <w:tab w:val="clear" w:pos="426"/>
        </w:tabs>
        <w:rPr>
          <w:rFonts w:hint="eastAsia"/>
        </w:rPr>
      </w:pPr>
      <w:r>
        <w:t xml:space="preserve">28.1  </w:t>
      </w:r>
      <w:r>
        <w:rPr>
          <w:rFonts w:hint="eastAsia"/>
        </w:rPr>
        <w:t>投标供应商已提交投标文件，规定的投标截止时间还未到，投标供应商可提出对其投标文件的修改或撤回。投标供应商须提交由投标供应商代表签名的修改或撤回的书面通知。</w:t>
      </w:r>
    </w:p>
    <w:p>
      <w:pPr>
        <w:tabs>
          <w:tab w:val="clear" w:pos="426"/>
        </w:tabs>
        <w:rPr>
          <w:rFonts w:hint="eastAsia"/>
        </w:rPr>
      </w:pPr>
      <w:r>
        <w:t xml:space="preserve">28.2  </w:t>
      </w:r>
      <w:r>
        <w:rPr>
          <w:rFonts w:hint="eastAsia"/>
        </w:rPr>
        <w:t>采购代理机构收到由投标供应商代表签名的修改或撤回的书面通知并确认后，投标供应商可对其投标文件进行修改，或是撤回其投标。</w:t>
      </w:r>
    </w:p>
    <w:p>
      <w:pPr>
        <w:tabs>
          <w:tab w:val="clear" w:pos="426"/>
        </w:tabs>
        <w:rPr>
          <w:rFonts w:hint="eastAsia"/>
        </w:rPr>
      </w:pPr>
      <w:r>
        <w:t xml:space="preserve">28.3  </w:t>
      </w:r>
      <w:r>
        <w:rPr>
          <w:rFonts w:hint="eastAsia"/>
        </w:rPr>
        <w:t>投标供应商的修改文件应按照本招标文件的规定进行编制、密封、标记和提交，并在密封袋上注明“投标修改”。</w:t>
      </w:r>
    </w:p>
    <w:p>
      <w:pPr>
        <w:tabs>
          <w:tab w:val="clear" w:pos="426"/>
        </w:tabs>
        <w:rPr>
          <w:rFonts w:hint="eastAsia"/>
        </w:rPr>
      </w:pPr>
      <w:r>
        <w:t xml:space="preserve">28.4  </w:t>
      </w:r>
      <w:r>
        <w:rPr>
          <w:rFonts w:hint="eastAsia"/>
        </w:rPr>
        <w:t>投标截止时间之后至投标文件有效期终止之前，投标供应商不得要求撤回其投标。在此期间撤回投标的，其投标担保将会被没收。</w:t>
      </w:r>
    </w:p>
    <w:p>
      <w:pPr>
        <w:tabs>
          <w:tab w:val="clear" w:pos="426"/>
        </w:tabs>
        <w:rPr>
          <w:rFonts w:hint="eastAsia"/>
        </w:rPr>
      </w:pPr>
      <w:r>
        <w:t xml:space="preserve">28.5  </w:t>
      </w:r>
      <w:r>
        <w:rPr>
          <w:rFonts w:hint="eastAsia"/>
        </w:rPr>
        <w:t>评标结束后，不论中标与否，投标供应商均不得收回投标文件。</w:t>
      </w:r>
    </w:p>
    <w:p>
      <w:pPr>
        <w:pStyle w:val="5"/>
        <w:tabs>
          <w:tab w:val="clear" w:pos="426"/>
        </w:tabs>
        <w:rPr>
          <w:rFonts w:hint="eastAsia"/>
        </w:rPr>
      </w:pPr>
      <w:bookmarkStart w:id="172" w:name="_Toc11979"/>
      <w:bookmarkStart w:id="173" w:name="_Toc529280584"/>
      <w:bookmarkStart w:id="174" w:name="_Toc14427257"/>
      <w:bookmarkStart w:id="175" w:name="_Toc530152525"/>
      <w:r>
        <w:rPr>
          <w:rFonts w:hint="eastAsia"/>
        </w:rPr>
        <w:t>第四章</w:t>
      </w:r>
      <w:r>
        <w:t xml:space="preserve"> </w:t>
      </w:r>
      <w:r>
        <w:rPr>
          <w:rFonts w:hint="eastAsia"/>
        </w:rPr>
        <w:t>开标</w:t>
      </w:r>
      <w:bookmarkEnd w:id="172"/>
      <w:bookmarkEnd w:id="173"/>
      <w:bookmarkEnd w:id="174"/>
      <w:bookmarkEnd w:id="175"/>
    </w:p>
    <w:p>
      <w:pPr>
        <w:tabs>
          <w:tab w:val="clear" w:pos="426"/>
        </w:tabs>
        <w:rPr>
          <w:rFonts w:hint="eastAsia"/>
        </w:rPr>
      </w:pPr>
      <w:r>
        <w:t>29</w:t>
      </w:r>
      <w:r>
        <w:rPr>
          <w:rFonts w:hint="eastAsia"/>
        </w:rPr>
        <w:t>．　开标</w:t>
      </w:r>
    </w:p>
    <w:p>
      <w:pPr>
        <w:tabs>
          <w:tab w:val="clear" w:pos="426"/>
        </w:tabs>
        <w:rPr>
          <w:rFonts w:hint="eastAsia"/>
        </w:rPr>
      </w:pPr>
      <w:r>
        <w:t xml:space="preserve">29.1  </w:t>
      </w:r>
      <w:r>
        <w:rPr>
          <w:rFonts w:hint="eastAsia"/>
        </w:rPr>
        <w:t>采购人在“投标须知前附表”中规定的时间、地点组织公开开标。邀请所有投标供应商代表参加。不参加开标会的投标供应商，视为其认可开标程序和结果。</w:t>
      </w:r>
    </w:p>
    <w:p>
      <w:pPr>
        <w:tabs>
          <w:tab w:val="clear" w:pos="426"/>
        </w:tabs>
        <w:rPr>
          <w:rFonts w:hint="eastAsia"/>
        </w:rPr>
      </w:pPr>
      <w:r>
        <w:t xml:space="preserve">29.2  </w:t>
      </w:r>
      <w:r>
        <w:rPr>
          <w:rFonts w:hint="eastAsia"/>
        </w:rPr>
        <w:t>参加开标会议的投标供应商只委派一名代表，且必须是本单位法定代表人或授权代表，参加会议人员须提供相应的授权委托书。</w:t>
      </w:r>
    </w:p>
    <w:p>
      <w:pPr>
        <w:tabs>
          <w:tab w:val="clear" w:pos="426"/>
        </w:tabs>
        <w:rPr>
          <w:rFonts w:hint="eastAsia"/>
        </w:rPr>
      </w:pPr>
      <w:r>
        <w:t xml:space="preserve">29.3  </w:t>
      </w:r>
      <w:r>
        <w:rPr>
          <w:rFonts w:hint="eastAsia"/>
        </w:rPr>
        <w:t>开标会由采购代理机构主持，开标程序如下：</w:t>
      </w:r>
    </w:p>
    <w:p>
      <w:pPr>
        <w:tabs>
          <w:tab w:val="clear" w:pos="426"/>
        </w:tabs>
        <w:rPr>
          <w:rFonts w:hint="eastAsia"/>
        </w:rPr>
      </w:pPr>
      <w:r>
        <w:t xml:space="preserve">29.3.1  </w:t>
      </w:r>
      <w:r>
        <w:rPr>
          <w:rFonts w:hint="eastAsia"/>
        </w:rPr>
        <w:t>采购代理机构核对法人代表或其授权代表身份证明，若不能提供相应的身份证明或不相符，则不能参与开标会议；</w:t>
      </w:r>
      <w:r>
        <w:t xml:space="preserve"> </w:t>
      </w:r>
    </w:p>
    <w:p>
      <w:pPr>
        <w:tabs>
          <w:tab w:val="clear" w:pos="426"/>
        </w:tabs>
        <w:rPr>
          <w:rFonts w:hint="eastAsia"/>
          <w:szCs w:val="21"/>
        </w:rPr>
      </w:pPr>
      <w:r>
        <w:rPr>
          <w:szCs w:val="21"/>
        </w:rPr>
        <w:t xml:space="preserve">29.3.2  </w:t>
      </w:r>
      <w:r>
        <w:rPr>
          <w:rFonts w:hint="eastAsia"/>
          <w:szCs w:val="21"/>
        </w:rPr>
        <w:t>招标机构将按“采购公告”规定的时间和地点组织公开开标。投标供应商应委派代表参加，参加开标的代表应签名报到以证明出席。</w:t>
      </w:r>
    </w:p>
    <w:p>
      <w:pPr>
        <w:tabs>
          <w:tab w:val="clear" w:pos="426"/>
        </w:tabs>
        <w:rPr>
          <w:rFonts w:hint="eastAsia"/>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pPr>
        <w:ind w:firstLine="411" w:firstLineChars="196"/>
        <w:rPr>
          <w:rFonts w:hint="eastAsia"/>
          <w:szCs w:val="21"/>
        </w:rPr>
      </w:pPr>
      <w:r>
        <w:rPr>
          <w:rFonts w:hint="eastAsia"/>
          <w:szCs w:val="21"/>
        </w:rPr>
        <w:t>除了按照本通用条款第</w:t>
      </w:r>
      <w:r>
        <w:rPr>
          <w:szCs w:val="21"/>
        </w:rPr>
        <w:t>26</w:t>
      </w:r>
      <w:r>
        <w:rPr>
          <w:rFonts w:hint="eastAsia"/>
          <w:szCs w:val="21"/>
        </w:rPr>
        <w:t>条规定原封退回的投标之外，开标时将不得拒绝任何投标书。</w:t>
      </w:r>
    </w:p>
    <w:p>
      <w:pPr>
        <w:tabs>
          <w:tab w:val="clear" w:pos="426"/>
        </w:tabs>
        <w:rPr>
          <w:rFonts w:hint="eastAsia"/>
          <w:szCs w:val="21"/>
        </w:rPr>
      </w:pPr>
      <w:r>
        <w:rPr>
          <w:szCs w:val="21"/>
        </w:rPr>
        <w:t xml:space="preserve">29.3.4  </w:t>
      </w:r>
      <w:r>
        <w:rPr>
          <w:rFonts w:hint="eastAsia"/>
          <w:szCs w:val="21"/>
        </w:rPr>
        <w:t>开标时，招标机构仅拆封开标信封。如投标供应商未单独密封包装开标信封，招标机构有权拆封投标文件。</w:t>
      </w:r>
    </w:p>
    <w:p>
      <w:pPr>
        <w:tabs>
          <w:tab w:val="clear" w:pos="426"/>
        </w:tabs>
        <w:rPr>
          <w:rFonts w:hint="eastAsia"/>
          <w:szCs w:val="21"/>
        </w:rPr>
      </w:pPr>
      <w:r>
        <w:rPr>
          <w:szCs w:val="21"/>
        </w:rPr>
        <w:t xml:space="preserve">29.3.5  </w:t>
      </w:r>
      <w:r>
        <w:rPr>
          <w:rFonts w:hint="eastAsia"/>
          <w:szCs w:val="21"/>
        </w:rPr>
        <w:t>按照投标供应商须知第</w:t>
      </w:r>
      <w:r>
        <w:rPr>
          <w:szCs w:val="21"/>
        </w:rPr>
        <w:t>28</w:t>
      </w:r>
      <w:r>
        <w:rPr>
          <w:rFonts w:hint="eastAsia"/>
          <w:szCs w:val="21"/>
        </w:rPr>
        <w:t>条规定，提交了可接受的“撤回”通知的投标将不予开封。</w:t>
      </w:r>
    </w:p>
    <w:p>
      <w:pPr>
        <w:tabs>
          <w:tab w:val="clear" w:pos="426"/>
        </w:tabs>
        <w:rPr>
          <w:rFonts w:hint="eastAsia"/>
          <w:szCs w:val="21"/>
        </w:rPr>
      </w:pPr>
      <w:r>
        <w:rPr>
          <w:szCs w:val="21"/>
        </w:rPr>
        <w:t xml:space="preserve">29.3.6  </w:t>
      </w:r>
      <w:r>
        <w:rPr>
          <w:rFonts w:hint="eastAsia"/>
          <w:szCs w:val="21"/>
        </w:rPr>
        <w:t>无论如何在开标时没有启封和读出的投标书在评标时将不予考虑。撤回的投标书将原封退回投标供应商。</w:t>
      </w:r>
    </w:p>
    <w:p>
      <w:pPr>
        <w:tabs>
          <w:tab w:val="clear" w:pos="426"/>
        </w:tabs>
        <w:rPr>
          <w:rFonts w:hint="eastAsia"/>
          <w:szCs w:val="21"/>
        </w:rPr>
      </w:pPr>
      <w:r>
        <w:rPr>
          <w:szCs w:val="21"/>
        </w:rPr>
        <w:t xml:space="preserve">29.3.7  </w:t>
      </w:r>
      <w:r>
        <w:rPr>
          <w:rFonts w:hint="eastAsia"/>
          <w:szCs w:val="21"/>
        </w:rPr>
        <w:t>招标机构将做开标记录，开标记录包括按本通用条款第</w:t>
      </w:r>
      <w:r>
        <w:rPr>
          <w:szCs w:val="21"/>
        </w:rPr>
        <w:t>29.3.3</w:t>
      </w:r>
      <w:r>
        <w:rPr>
          <w:rFonts w:hint="eastAsia"/>
          <w:szCs w:val="21"/>
        </w:rPr>
        <w:t>的规定在开标时宣读的全部内容。</w:t>
      </w:r>
    </w:p>
    <w:p>
      <w:pPr>
        <w:tabs>
          <w:tab w:val="clear" w:pos="426"/>
        </w:tabs>
        <w:rPr>
          <w:rFonts w:hint="eastAsia"/>
        </w:rPr>
      </w:pPr>
      <w:r>
        <w:t xml:space="preserve">29.3.8  </w:t>
      </w:r>
      <w:r>
        <w:rPr>
          <w:rFonts w:hint="eastAsia"/>
        </w:rPr>
        <w:t>供应商在开标过程中知道或者应知其权益受到损害时必须现场明确提出，未明确提出的，即视为认可开标结果。</w:t>
      </w:r>
    </w:p>
    <w:p>
      <w:pPr>
        <w:pStyle w:val="5"/>
        <w:tabs>
          <w:tab w:val="clear" w:pos="426"/>
        </w:tabs>
        <w:rPr>
          <w:rFonts w:hint="eastAsia"/>
        </w:rPr>
      </w:pPr>
      <w:bookmarkStart w:id="176" w:name="_Toc530152526"/>
      <w:bookmarkStart w:id="177" w:name="_Toc529280585"/>
      <w:bookmarkStart w:id="178" w:name="_Toc14427258"/>
      <w:bookmarkStart w:id="179" w:name="_Toc6615"/>
      <w:r>
        <w:rPr>
          <w:rFonts w:hint="eastAsia"/>
        </w:rPr>
        <w:t>第五章</w:t>
      </w:r>
      <w:r>
        <w:t xml:space="preserve"> </w:t>
      </w:r>
      <w:r>
        <w:rPr>
          <w:rFonts w:hint="eastAsia"/>
        </w:rPr>
        <w:t>评标要求</w:t>
      </w:r>
      <w:bookmarkEnd w:id="176"/>
      <w:bookmarkEnd w:id="177"/>
      <w:bookmarkEnd w:id="178"/>
      <w:bookmarkEnd w:id="179"/>
    </w:p>
    <w:p>
      <w:pPr>
        <w:tabs>
          <w:tab w:val="clear" w:pos="426"/>
        </w:tabs>
        <w:rPr>
          <w:rFonts w:hint="eastAsia"/>
        </w:rPr>
      </w:pPr>
      <w:r>
        <w:t>30</w:t>
      </w:r>
      <w:r>
        <w:rPr>
          <w:rFonts w:hint="eastAsia"/>
        </w:rPr>
        <w:t>．评标委员会组成</w:t>
      </w:r>
    </w:p>
    <w:p>
      <w:pPr>
        <w:tabs>
          <w:tab w:val="clear" w:pos="426"/>
        </w:tabs>
        <w:rPr>
          <w:rFonts w:hint="eastAsia"/>
        </w:rPr>
      </w:pPr>
      <w:r>
        <w:t>30.1</w:t>
      </w:r>
      <w:r>
        <w:rPr>
          <w:rFonts w:hint="eastAsia"/>
        </w:rPr>
        <w:t>开标结束后召开评标会议，评标委员会由采购代理机构依法组建，负责评标活动。</w:t>
      </w:r>
    </w:p>
    <w:p>
      <w:pPr>
        <w:tabs>
          <w:tab w:val="clear" w:pos="426"/>
        </w:tabs>
        <w:rPr>
          <w:rFonts w:hint="eastAsia"/>
        </w:rPr>
      </w:pPr>
      <w:r>
        <w:rPr>
          <w:rFonts w:hint="eastAsia"/>
        </w:rPr>
        <w:t>评标委员会的组成及行为规范执行《中华人民共和国政府采购法》《中华人民共和国政府采购法实施条例》，评标委员会由采购单位代表和有关技术、经济等方面的专家组成，成员人数为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pPr>
        <w:tabs>
          <w:tab w:val="clear" w:pos="426"/>
        </w:tabs>
        <w:rPr>
          <w:rFonts w:hint="eastAsia"/>
        </w:rPr>
      </w:pPr>
      <w:r>
        <w:rPr>
          <w:rFonts w:hint="eastAsia"/>
        </w:rPr>
        <w:t>为保证评委人选的专业性，以及评标中的公平公正性，评标委员会成员从深圳市财政委员会评标专家库中随机抽取。</w:t>
      </w:r>
    </w:p>
    <w:p>
      <w:pPr>
        <w:tabs>
          <w:tab w:val="clear" w:pos="426"/>
        </w:tabs>
        <w:rPr>
          <w:rFonts w:hint="eastAsia"/>
        </w:rPr>
      </w:pPr>
      <w:r>
        <w:rPr>
          <w:rFonts w:hint="eastAsia"/>
        </w:rPr>
        <w:t>采购单位代表须持本单位签发的《评标授权书》参加评标。</w:t>
      </w:r>
    </w:p>
    <w:p>
      <w:pPr>
        <w:tabs>
          <w:tab w:val="clear" w:pos="426"/>
        </w:tabs>
        <w:rPr>
          <w:rFonts w:hint="eastAsia"/>
        </w:rPr>
      </w:pPr>
      <w:r>
        <w:rPr>
          <w:rFonts w:hint="eastAsia"/>
        </w:rPr>
        <w:t>采购单位无代表参与评标，应在开标前一天提交《采购单位不派评委参与项目评标承诺书》给采购代理机构。</w:t>
      </w:r>
    </w:p>
    <w:p>
      <w:pPr>
        <w:tabs>
          <w:tab w:val="clear" w:pos="426"/>
        </w:tabs>
        <w:rPr>
          <w:rFonts w:hint="eastAsia"/>
          <w:sz w:val="24"/>
        </w:rPr>
      </w:pPr>
      <w:r>
        <w:rPr>
          <w:rFonts w:hint="eastAsia"/>
        </w:rPr>
        <w:t>注：《评标授权书》《采购单位不派评委参与项目评标承诺书》模板由采购代理机构提供</w:t>
      </w:r>
      <w:r>
        <w:rPr>
          <w:rFonts w:hint="eastAsia"/>
          <w:sz w:val="24"/>
        </w:rPr>
        <w:t>。</w:t>
      </w:r>
    </w:p>
    <w:p>
      <w:pPr>
        <w:tabs>
          <w:tab w:val="clear" w:pos="426"/>
        </w:tabs>
        <w:rPr>
          <w:rFonts w:hint="eastAsia"/>
        </w:rPr>
      </w:pPr>
      <w:r>
        <w:t>30.2</w:t>
      </w:r>
      <w:r>
        <w:rPr>
          <w:rFonts w:hint="eastAsia"/>
        </w:rPr>
        <w:t>评标定标应当遵循公平、公正、科学、择优的原则。</w:t>
      </w:r>
    </w:p>
    <w:p>
      <w:pPr>
        <w:tabs>
          <w:tab w:val="clear" w:pos="426"/>
        </w:tabs>
        <w:rPr>
          <w:rFonts w:hint="eastAsia"/>
        </w:rPr>
      </w:pPr>
      <w:r>
        <w:t>30.3</w:t>
      </w:r>
      <w:r>
        <w:rPr>
          <w:rFonts w:hint="eastAsia"/>
        </w:rPr>
        <w:t>评标活动依法进行，任何单位和个人不得非法干预评标过程和结果。</w:t>
      </w:r>
    </w:p>
    <w:p>
      <w:pPr>
        <w:tabs>
          <w:tab w:val="clear" w:pos="426"/>
        </w:tabs>
        <w:rPr>
          <w:rFonts w:hint="eastAsia"/>
        </w:rPr>
      </w:pPr>
      <w:r>
        <w:t>30.4</w:t>
      </w:r>
      <w:r>
        <w:rPr>
          <w:rFonts w:hint="eastAsia"/>
        </w:rPr>
        <w:t>评标过程中不允许违背评标程序或采用招标文件未载明的评标方法或评标因素进行评标。</w:t>
      </w:r>
    </w:p>
    <w:p>
      <w:pPr>
        <w:tabs>
          <w:tab w:val="clear" w:pos="426"/>
        </w:tabs>
        <w:rPr>
          <w:rFonts w:hint="eastAsia"/>
        </w:rPr>
      </w:pPr>
      <w:r>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pPr>
        <w:tabs>
          <w:tab w:val="clear" w:pos="426"/>
        </w:tabs>
        <w:rPr>
          <w:rFonts w:hint="eastAsia"/>
        </w:rPr>
      </w:pPr>
      <w:r>
        <w:t>31</w:t>
      </w:r>
      <w:r>
        <w:rPr>
          <w:rFonts w:hint="eastAsia"/>
        </w:rPr>
        <w:t>．向评标委员会提供的资料</w:t>
      </w:r>
    </w:p>
    <w:p>
      <w:pPr>
        <w:tabs>
          <w:tab w:val="clear" w:pos="426"/>
        </w:tabs>
        <w:rPr>
          <w:rFonts w:hint="eastAsia"/>
        </w:rPr>
      </w:pPr>
      <w:r>
        <w:t>31.1</w:t>
      </w:r>
      <w:r>
        <w:rPr>
          <w:rFonts w:hint="eastAsia"/>
        </w:rPr>
        <w:t>公开发布的招标文件，包括图纸、服务清单、答疑文件等；</w:t>
      </w:r>
    </w:p>
    <w:p>
      <w:pPr>
        <w:tabs>
          <w:tab w:val="clear" w:pos="426"/>
        </w:tabs>
        <w:rPr>
          <w:rFonts w:hint="eastAsia"/>
        </w:rPr>
      </w:pPr>
      <w:r>
        <w:t>31.2</w:t>
      </w:r>
      <w:r>
        <w:rPr>
          <w:rFonts w:hint="eastAsia"/>
        </w:rPr>
        <w:t>其他评标必须的资料。</w:t>
      </w:r>
    </w:p>
    <w:p>
      <w:pPr>
        <w:tabs>
          <w:tab w:val="clear" w:pos="426"/>
        </w:tabs>
        <w:rPr>
          <w:rFonts w:hint="eastAsia"/>
        </w:rPr>
      </w:pPr>
      <w:r>
        <w:t>31.3</w:t>
      </w:r>
      <w:r>
        <w:rPr>
          <w:rFonts w:hint="eastAsia"/>
        </w:rPr>
        <w:t>评标委员会应当认真研究招标文件，至少应了解熟悉以下内容：</w:t>
      </w:r>
    </w:p>
    <w:p>
      <w:pPr>
        <w:tabs>
          <w:tab w:val="clear" w:pos="426"/>
        </w:tabs>
        <w:rPr>
          <w:rFonts w:hint="eastAsia"/>
        </w:rPr>
      </w:pPr>
      <w:r>
        <w:rPr>
          <w:rFonts w:hint="eastAsia"/>
        </w:rPr>
        <w:t>（</w:t>
      </w:r>
      <w:r>
        <w:t>1</w:t>
      </w:r>
      <w:r>
        <w:rPr>
          <w:rFonts w:hint="eastAsia"/>
        </w:rPr>
        <w:t>）招标的目的；</w:t>
      </w:r>
    </w:p>
    <w:p>
      <w:pPr>
        <w:tabs>
          <w:tab w:val="clear" w:pos="426"/>
        </w:tabs>
        <w:rPr>
          <w:rFonts w:hint="eastAsia"/>
        </w:rPr>
      </w:pPr>
      <w:r>
        <w:rPr>
          <w:rFonts w:hint="eastAsia"/>
        </w:rPr>
        <w:t>（</w:t>
      </w:r>
      <w:r>
        <w:t>2</w:t>
      </w:r>
      <w:r>
        <w:rPr>
          <w:rFonts w:hint="eastAsia"/>
        </w:rPr>
        <w:t>）招标项目需求的范围和性质；</w:t>
      </w:r>
    </w:p>
    <w:p>
      <w:pPr>
        <w:tabs>
          <w:tab w:val="clear" w:pos="426"/>
        </w:tabs>
        <w:rPr>
          <w:rFonts w:hint="eastAsia"/>
        </w:rPr>
      </w:pPr>
      <w:r>
        <w:rPr>
          <w:rFonts w:hint="eastAsia"/>
        </w:rPr>
        <w:t>（</w:t>
      </w:r>
      <w:r>
        <w:t>3</w:t>
      </w:r>
      <w:r>
        <w:rPr>
          <w:rFonts w:hint="eastAsia"/>
        </w:rPr>
        <w:t>）招标文件规定的投标供应商的资格、财政预算限额、商务条款；</w:t>
      </w:r>
    </w:p>
    <w:p>
      <w:pPr>
        <w:tabs>
          <w:tab w:val="clear" w:pos="426"/>
        </w:tabs>
        <w:rPr>
          <w:rFonts w:hint="eastAsia"/>
        </w:rPr>
      </w:pPr>
      <w:r>
        <w:rPr>
          <w:rFonts w:hint="eastAsia"/>
        </w:rPr>
        <w:t>（</w:t>
      </w:r>
      <w:r>
        <w:t>4</w:t>
      </w:r>
      <w:r>
        <w:rPr>
          <w:rFonts w:hint="eastAsia"/>
        </w:rPr>
        <w:t>）招标文件规定的评标程序、评标方法和评标因素；</w:t>
      </w:r>
    </w:p>
    <w:p>
      <w:pPr>
        <w:tabs>
          <w:tab w:val="clear" w:pos="426"/>
        </w:tabs>
        <w:rPr>
          <w:rFonts w:hint="eastAsia"/>
        </w:rPr>
      </w:pPr>
      <w:r>
        <w:rPr>
          <w:rFonts w:hint="eastAsia"/>
        </w:rPr>
        <w:t>（</w:t>
      </w:r>
      <w:r>
        <w:t>5</w:t>
      </w:r>
      <w:r>
        <w:rPr>
          <w:rFonts w:hint="eastAsia"/>
        </w:rPr>
        <w:t>）招标文件所列示的投标文件“资格、符合性评审条款”。</w:t>
      </w:r>
    </w:p>
    <w:p>
      <w:pPr>
        <w:tabs>
          <w:tab w:val="clear" w:pos="426"/>
        </w:tabs>
        <w:rPr>
          <w:rFonts w:hint="eastAsia"/>
        </w:rPr>
      </w:pPr>
      <w:r>
        <w:t>32</w:t>
      </w:r>
      <w:r>
        <w:rPr>
          <w:rFonts w:hint="eastAsia"/>
        </w:rPr>
        <w:t>．独立评标</w:t>
      </w:r>
    </w:p>
    <w:p>
      <w:pPr>
        <w:tabs>
          <w:tab w:val="clear" w:pos="426"/>
        </w:tabs>
        <w:rPr>
          <w:rFonts w:hint="eastAsia"/>
          <w:szCs w:val="21"/>
        </w:rPr>
      </w:pPr>
      <w:r>
        <w:t>32.1</w:t>
      </w:r>
      <w:r>
        <w:rPr>
          <w:rFonts w:hint="eastAsia"/>
        </w:rPr>
        <w:t>评标委员会成员的评标活动应当独立进行，并应遵循投标文件初审、澄清有关问题、比较与评价、确定中标候选供应商、编写评标报告的工作程序。</w:t>
      </w:r>
    </w:p>
    <w:p>
      <w:pPr>
        <w:pStyle w:val="5"/>
        <w:tabs>
          <w:tab w:val="clear" w:pos="426"/>
        </w:tabs>
        <w:rPr>
          <w:rFonts w:hint="eastAsia"/>
        </w:rPr>
      </w:pPr>
      <w:bookmarkStart w:id="180" w:name="_Toc17324"/>
      <w:bookmarkStart w:id="181" w:name="_Toc529280586"/>
      <w:bookmarkStart w:id="182" w:name="_Toc14427259"/>
      <w:bookmarkStart w:id="183" w:name="_Toc530152527"/>
      <w:r>
        <w:rPr>
          <w:rFonts w:hint="eastAsia"/>
        </w:rPr>
        <w:t>第六章</w:t>
      </w:r>
      <w:r>
        <w:t xml:space="preserve"> </w:t>
      </w:r>
      <w:r>
        <w:rPr>
          <w:rFonts w:hint="eastAsia"/>
        </w:rPr>
        <w:t>评标程序及评标方法</w:t>
      </w:r>
      <w:bookmarkEnd w:id="180"/>
      <w:bookmarkEnd w:id="181"/>
      <w:bookmarkEnd w:id="182"/>
      <w:bookmarkEnd w:id="183"/>
    </w:p>
    <w:p>
      <w:pPr>
        <w:tabs>
          <w:tab w:val="clear" w:pos="426"/>
        </w:tabs>
        <w:rPr>
          <w:rFonts w:hint="eastAsia"/>
        </w:rPr>
      </w:pPr>
      <w:r>
        <w:t>33</w:t>
      </w:r>
      <w:r>
        <w:rPr>
          <w:rFonts w:hint="eastAsia"/>
        </w:rPr>
        <w:t>．投标文件初审</w:t>
      </w:r>
    </w:p>
    <w:p>
      <w:pPr>
        <w:widowControl w:val="0"/>
        <w:shd w:val="clear" w:color="auto" w:fill="auto"/>
        <w:tabs>
          <w:tab w:val="clear" w:pos="426"/>
        </w:tabs>
        <w:autoSpaceDE w:val="0"/>
        <w:autoSpaceDN w:val="0"/>
        <w:rPr>
          <w:rFonts w:hint="eastAsia" w:cs="黑体"/>
          <w:b/>
          <w:bCs/>
          <w:szCs w:val="21"/>
        </w:rPr>
      </w:pPr>
      <w: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tabs>
          <w:tab w:val="clear" w:pos="426"/>
        </w:tabs>
        <w:rPr>
          <w:rFonts w:hint="eastAsia"/>
          <w:b/>
        </w:rPr>
      </w:pPr>
      <w:r>
        <w:t xml:space="preserve">33.2 </w:t>
      </w:r>
      <w:r>
        <w:rPr>
          <w:rFonts w:hint="eastAsia"/>
        </w:rPr>
        <w:t>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pPr>
        <w:tabs>
          <w:tab w:val="clear" w:pos="426"/>
        </w:tabs>
        <w:rPr>
          <w:rFonts w:hint="eastAsia"/>
        </w:rPr>
      </w:pPr>
      <w:r>
        <w:t xml:space="preserve">33.3 </w:t>
      </w:r>
      <w:r>
        <w:rPr>
          <w:rFonts w:hint="eastAsia"/>
        </w:rPr>
        <w:t>投标文件初审中关于供应商家数的计算。</w:t>
      </w:r>
    </w:p>
    <w:p>
      <w:pPr>
        <w:tabs>
          <w:tab w:val="clear" w:pos="426"/>
        </w:tabs>
        <w:rPr>
          <w:rFonts w:hint="eastAsia"/>
        </w:rPr>
      </w:pPr>
      <w:r>
        <w:t xml:space="preserve">33.3.1 </w:t>
      </w:r>
      <w:r>
        <w:rPr>
          <w:rFonts w:hint="eastAsia"/>
        </w:rPr>
        <w:t>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tabs>
          <w:tab w:val="clear" w:pos="426"/>
        </w:tabs>
        <w:rPr>
          <w:rFonts w:hint="eastAsia"/>
        </w:rPr>
      </w:pPr>
      <w:r>
        <w:t>33.3.2</w:t>
      </w:r>
      <w:r>
        <w:rPr>
          <w:rFonts w:hint="eastAsia"/>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tabs>
          <w:tab w:val="clear" w:pos="426"/>
        </w:tabs>
        <w:rPr>
          <w:rFonts w:hint="eastAsia"/>
        </w:rPr>
      </w:pPr>
      <w:r>
        <w:t>33.3.3</w:t>
      </w:r>
      <w:r>
        <w:rPr>
          <w:rFonts w:hint="eastAsia"/>
        </w:rPr>
        <w:t>非单一产品采购项目，采购人应当根据采购项目技术构成、产品价格比重等合理确定核心产品，并在招标文件中载明。多家投标供应商提供的核心产品品牌相同的，按前两款规定处理。</w:t>
      </w:r>
    </w:p>
    <w:p>
      <w:pPr>
        <w:tabs>
          <w:tab w:val="clear" w:pos="426"/>
        </w:tabs>
        <w:rPr>
          <w:rFonts w:hint="eastAsia"/>
        </w:rPr>
      </w:pPr>
      <w:r>
        <w:t>33.3.4</w:t>
      </w:r>
      <w:r>
        <w:rPr>
          <w:rFonts w:hint="eastAsia"/>
        </w:rPr>
        <w:t>公开招标以外采购方式以及采购服务和工程涉及采购货物的项目，也按此方法计算供应商家数。</w:t>
      </w:r>
    </w:p>
    <w:p>
      <w:pPr>
        <w:tabs>
          <w:tab w:val="clear" w:pos="426"/>
        </w:tabs>
        <w:rPr>
          <w:rFonts w:hint="eastAsia"/>
          <w:b/>
          <w:bCs/>
        </w:rPr>
      </w:pPr>
      <w:r>
        <w:t xml:space="preserve">33.4 </w:t>
      </w:r>
      <w:r>
        <w:rPr>
          <w:rFonts w:hint="eastAsia"/>
        </w:rPr>
        <w:t>对不属于投标文件“</w:t>
      </w:r>
      <w:r>
        <w:rPr>
          <w:rFonts w:hint="eastAsia"/>
          <w:b/>
        </w:rPr>
        <w:t>资格、符合性评审条款</w:t>
      </w:r>
      <w:r>
        <w:rPr>
          <w:rFonts w:hint="eastAsia"/>
        </w:rPr>
        <w:t>”要所列不符合的情形，除法律法规另有规定外，不得作为废标的理由。</w:t>
      </w:r>
    </w:p>
    <w:p>
      <w:pPr>
        <w:tabs>
          <w:tab w:val="clear" w:pos="426"/>
        </w:tabs>
        <w:rPr>
          <w:rFonts w:hint="eastAsia"/>
        </w:rPr>
      </w:pPr>
      <w:r>
        <w:t>34</w:t>
      </w:r>
      <w:r>
        <w:rPr>
          <w:rFonts w:hint="eastAsia"/>
        </w:rPr>
        <w:t>．澄清有关问题</w:t>
      </w:r>
    </w:p>
    <w:p>
      <w:pPr>
        <w:tabs>
          <w:tab w:val="clear" w:pos="426"/>
        </w:tabs>
        <w:rPr>
          <w:rFonts w:hint="eastAsia"/>
        </w:rPr>
      </w:pPr>
      <w:r>
        <w:rPr>
          <w:rFonts w:hint="eastAsia"/>
        </w:rPr>
        <w:t>为了有助于投标文件的审查、评价和比较，对投标文件含义不明确、同类问题表述不一致或者有明显文字和计算错误的内容，评标委员会可以用书面形式</w:t>
      </w:r>
      <w:r>
        <w:t>(</w:t>
      </w:r>
      <w:r>
        <w:rPr>
          <w:rFonts w:hint="eastAsia"/>
        </w:rPr>
        <w:t>应当由评标委员会签字</w:t>
      </w:r>
      <w:r>
        <w:t>)</w:t>
      </w:r>
      <w:r>
        <w:rPr>
          <w:rFonts w:hint="eastAsia"/>
        </w:rPr>
        <w:t>要求投标供应商作出必要的澄清、说明或者纠正。投标供应商的澄清、说明或者补正应当用采用书面形式（由其授权的代表签字），并不得超出投标文件的范围或者改变投标文件的实质性的内容。根据本通用条款第</w:t>
      </w:r>
      <w:r>
        <w:t>34</w:t>
      </w:r>
      <w:r>
        <w:rPr>
          <w:rFonts w:hint="eastAsia"/>
        </w:rPr>
        <w:t>条，凡属于评标委员会在评标中发现的算术错误进行核实的修改不在此列。</w:t>
      </w:r>
    </w:p>
    <w:p>
      <w:pPr>
        <w:tabs>
          <w:tab w:val="clear" w:pos="426"/>
        </w:tabs>
        <w:rPr>
          <w:rFonts w:hint="eastAsia"/>
        </w:rPr>
      </w:pPr>
      <w:r>
        <w:t>35</w:t>
      </w:r>
      <w:r>
        <w:rPr>
          <w:rFonts w:hint="eastAsia"/>
        </w:rPr>
        <w:t>．错误的修正</w:t>
      </w:r>
    </w:p>
    <w:p>
      <w:pPr>
        <w:tabs>
          <w:tab w:val="clear" w:pos="426"/>
        </w:tabs>
        <w:rPr>
          <w:rFonts w:hint="eastAsia"/>
        </w:rPr>
      </w:pPr>
      <w:r>
        <w:t xml:space="preserve">35.1 </w:t>
      </w:r>
      <w:r>
        <w:rPr>
          <w:rFonts w:hint="eastAsia"/>
        </w:rPr>
        <w:t>评标委员会将审查投标文件是否完整、总体编排是否有序、文件签署是否合格、投标供应商是否提交了投标保证金、有无计算上的错误等。</w:t>
      </w:r>
    </w:p>
    <w:p>
      <w:pPr>
        <w:tabs>
          <w:tab w:val="clear" w:pos="426"/>
        </w:tabs>
        <w:rPr>
          <w:rFonts w:hint="eastAsia"/>
        </w:rPr>
      </w:pPr>
      <w:r>
        <w:t xml:space="preserve">35.2  </w:t>
      </w:r>
      <w:r>
        <w:rPr>
          <w:rFonts w:hint="eastAsia"/>
        </w:rPr>
        <w:t>算术错误将按以下方法更正（次序排先者优先）：</w:t>
      </w:r>
    </w:p>
    <w:p>
      <w:pPr>
        <w:tabs>
          <w:tab w:val="clear" w:pos="426"/>
        </w:tabs>
        <w:rPr>
          <w:rFonts w:hint="eastAsia"/>
        </w:rPr>
      </w:pPr>
      <w:r>
        <w:t>35.2.1</w:t>
      </w:r>
      <w:r>
        <w:rPr>
          <w:rFonts w:hint="eastAsia"/>
        </w:rPr>
        <w:t>投标文件中开标一览表（报价表）内容与投标文件中相应内容不一致的，以开标一览表（报价表）为准；</w:t>
      </w:r>
    </w:p>
    <w:p>
      <w:pPr>
        <w:tabs>
          <w:tab w:val="clear" w:pos="426"/>
        </w:tabs>
        <w:rPr>
          <w:rFonts w:hint="eastAsia"/>
        </w:rPr>
      </w:pPr>
      <w:r>
        <w:t>35.2.2</w:t>
      </w:r>
      <w:r>
        <w:rPr>
          <w:rFonts w:hint="eastAsia"/>
        </w:rPr>
        <w:t>大写金额和小写金额不一致的，以大写金额为准；</w:t>
      </w:r>
    </w:p>
    <w:p>
      <w:pPr>
        <w:tabs>
          <w:tab w:val="clear" w:pos="426"/>
        </w:tabs>
        <w:rPr>
          <w:rFonts w:hint="eastAsia"/>
        </w:rPr>
      </w:pPr>
      <w:r>
        <w:t>35.2.3</w:t>
      </w:r>
      <w:r>
        <w:rPr>
          <w:rFonts w:hint="eastAsia"/>
        </w:rPr>
        <w:t>单价金额小数点或者百分比有明显错位的，以开标一览表的总价为准，并修改单价；</w:t>
      </w:r>
    </w:p>
    <w:p>
      <w:pPr>
        <w:tabs>
          <w:tab w:val="clear" w:pos="426"/>
        </w:tabs>
        <w:rPr>
          <w:rFonts w:hint="eastAsia"/>
        </w:rPr>
      </w:pPr>
      <w:r>
        <w:t>35.2.4</w:t>
      </w:r>
      <w:r>
        <w:rPr>
          <w:rFonts w:hint="eastAsia"/>
        </w:rPr>
        <w:t>总价金额与按单价汇总金额不一致的，以单价金额计算结果为准；</w:t>
      </w:r>
    </w:p>
    <w:p>
      <w:pPr>
        <w:tabs>
          <w:tab w:val="clear" w:pos="426"/>
        </w:tabs>
        <w:rPr>
          <w:rFonts w:hint="eastAsia"/>
        </w:rPr>
      </w:pPr>
      <w:r>
        <w:t xml:space="preserve">35.2.5 </w:t>
      </w:r>
      <w:r>
        <w:rPr>
          <w:rFonts w:hint="eastAsia"/>
        </w:rPr>
        <w:t>对不同文字文本投标文件的解释发生异议的，以中文文本为准。</w:t>
      </w:r>
    </w:p>
    <w:p>
      <w:pPr>
        <w:tabs>
          <w:tab w:val="clear" w:pos="426"/>
        </w:tabs>
        <w:rPr>
          <w:rFonts w:hint="eastAsia"/>
        </w:rPr>
      </w:pPr>
      <w:r>
        <w:t xml:space="preserve">35.3  </w:t>
      </w:r>
      <w:r>
        <w:rPr>
          <w:rFonts w:hint="eastAsia"/>
        </w:rPr>
        <w:t>对于投标文件中不构成实质性偏差的不正规、不一致或不规则，给评审带来不便，评标委员会可以接受。</w:t>
      </w:r>
    </w:p>
    <w:p>
      <w:pPr>
        <w:tabs>
          <w:tab w:val="clear" w:pos="426"/>
        </w:tabs>
        <w:rPr>
          <w:rFonts w:hint="eastAsia"/>
        </w:rPr>
      </w:pPr>
      <w:r>
        <w:t xml:space="preserve">35.4  </w:t>
      </w:r>
      <w:r>
        <w:rPr>
          <w:rFonts w:hint="eastAsia"/>
        </w:rPr>
        <w:t>投标供应商的投标报价是可变动价格的，或包含了价格调整要求的，或投标报价中提供两个（含两个）以上的报价（招标文件规定提交备选投标方案的除外），或严重漏项，评标委员会无法进行判断的，评标委员会可以作无效标处理。</w:t>
      </w:r>
    </w:p>
    <w:p>
      <w:pPr>
        <w:tabs>
          <w:tab w:val="clear" w:pos="426"/>
        </w:tabs>
        <w:rPr>
          <w:rFonts w:hint="eastAsia"/>
        </w:rPr>
      </w:pPr>
      <w:r>
        <w:t>35.5</w:t>
      </w:r>
      <w:r>
        <w:rPr>
          <w:rFonts w:hint="eastAsia"/>
        </w:rPr>
        <w:t>根据上述修正错误的原则及方法调整或修正投标文件的投标报价，投标供应商同意后，调整后的投标报价对投标供应商起约束作用。</w:t>
      </w:r>
      <w:r>
        <w:rPr>
          <w:rFonts w:hint="eastAsia"/>
          <w:bCs/>
        </w:rPr>
        <w:t>如果投标供应商不接受修正后的报价，则其投标将被拒绝并且其投标保证金也将被没收，并不影响评标工作。</w:t>
      </w:r>
    </w:p>
    <w:p>
      <w:pPr>
        <w:tabs>
          <w:tab w:val="clear" w:pos="426"/>
        </w:tabs>
        <w:rPr>
          <w:rFonts w:hint="eastAsia"/>
        </w:rPr>
      </w:pPr>
      <w:r>
        <w:t>36</w:t>
      </w:r>
      <w:r>
        <w:rPr>
          <w:rFonts w:hint="eastAsia"/>
        </w:rPr>
        <w:t>．投标文件的比较与评价</w:t>
      </w:r>
    </w:p>
    <w:p>
      <w:pPr>
        <w:tabs>
          <w:tab w:val="clear" w:pos="426"/>
        </w:tabs>
        <w:rPr>
          <w:rFonts w:hint="eastAsia"/>
        </w:rPr>
      </w:pPr>
      <w:r>
        <w:t>36.1</w:t>
      </w:r>
      <w:r>
        <w:rPr>
          <w:rFonts w:hint="eastAsia"/>
        </w:rPr>
        <w:t>评标委员会将参照相关法律、法规、规定，仅对通过资格性审查和符合性审查的投标文件进行综合比较与评价。</w:t>
      </w:r>
    </w:p>
    <w:p>
      <w:pPr>
        <w:tabs>
          <w:tab w:val="clear" w:pos="426"/>
        </w:tabs>
        <w:rPr>
          <w:rFonts w:hint="eastAsia"/>
        </w:rPr>
      </w:pPr>
      <w:r>
        <w:rPr>
          <w:bCs/>
        </w:rPr>
        <w:t xml:space="preserve">36.2  </w:t>
      </w:r>
      <w:r>
        <w:rPr>
          <w:rFonts w:hint="eastAsia"/>
        </w:rPr>
        <w:t>评标委员会应当根据招标文件，审查并逐项列出投标文件的全部投标偏离。投标偏离分为重大偏离和细微偏离。</w:t>
      </w:r>
    </w:p>
    <w:p>
      <w:pPr>
        <w:tabs>
          <w:tab w:val="clear" w:pos="426"/>
        </w:tabs>
        <w:rPr>
          <w:rFonts w:hint="eastAsia"/>
        </w:rPr>
      </w:pPr>
      <w:r>
        <w:t xml:space="preserve">36.3 </w:t>
      </w:r>
      <w:r>
        <w:rPr>
          <w:rFonts w:hint="eastAsia"/>
        </w:rPr>
        <w:t>评标委员会应当对投标供应商的投标文件进行分析和比较。</w:t>
      </w:r>
    </w:p>
    <w:p>
      <w:pPr>
        <w:tabs>
          <w:tab w:val="clear" w:pos="426"/>
        </w:tabs>
        <w:rPr>
          <w:rFonts w:hint="eastAsia"/>
        </w:rPr>
      </w:pPr>
      <w:r>
        <w:t xml:space="preserve">36.4  </w:t>
      </w:r>
      <w:r>
        <w:rPr>
          <w:rFonts w:hint="eastAsia"/>
        </w:rPr>
        <w:t>评标委员会应当根据招标文件规定，对投标文件中的每项评审内容进行评审。</w:t>
      </w:r>
    </w:p>
    <w:p>
      <w:pPr>
        <w:tabs>
          <w:tab w:val="clear" w:pos="426"/>
        </w:tabs>
        <w:rPr>
          <w:rFonts w:hint="eastAsia"/>
          <w:kern w:val="10"/>
        </w:rPr>
      </w:pPr>
      <w:r>
        <w:rPr>
          <w:kern w:val="10"/>
        </w:rPr>
        <w:t xml:space="preserve">36.5  </w:t>
      </w:r>
      <w:r>
        <w:rPr>
          <w:rFonts w:hint="eastAsia"/>
          <w:kern w:val="10"/>
        </w:rPr>
        <w:t>投标文件存在重大偏离的，应作废标处理。下列情况属于重大偏离：</w:t>
      </w:r>
    </w:p>
    <w:p>
      <w:pPr>
        <w:tabs>
          <w:tab w:val="clear" w:pos="426"/>
        </w:tabs>
        <w:rPr>
          <w:rFonts w:hint="eastAsia"/>
          <w:kern w:val="10"/>
        </w:rPr>
      </w:pPr>
      <w:r>
        <w:rPr>
          <w:kern w:val="10"/>
        </w:rPr>
        <w:t xml:space="preserve">36.5.1  </w:t>
      </w:r>
      <w:r>
        <w:rPr>
          <w:rFonts w:hint="eastAsia"/>
          <w:kern w:val="10"/>
        </w:rPr>
        <w:t>投标供应商以他人的名义投标或出现下列串通投标、弄虚作假投标嫌疑的：</w:t>
      </w:r>
    </w:p>
    <w:p>
      <w:pPr>
        <w:tabs>
          <w:tab w:val="clear" w:pos="426"/>
        </w:tabs>
        <w:rPr>
          <w:rFonts w:hint="eastAsia"/>
          <w:kern w:val="10"/>
        </w:rPr>
      </w:pPr>
      <w:r>
        <w:rPr>
          <w:kern w:val="10"/>
        </w:rPr>
        <w:t xml:space="preserve">36.5.1.1  </w:t>
      </w:r>
      <w:r>
        <w:rPr>
          <w:rFonts w:hint="eastAsia"/>
          <w:kern w:val="10"/>
        </w:rPr>
        <w:t>不同投标供应商的投标文件内容存在非正常一致的；</w:t>
      </w:r>
    </w:p>
    <w:p>
      <w:pPr>
        <w:tabs>
          <w:tab w:val="clear" w:pos="426"/>
        </w:tabs>
        <w:rPr>
          <w:rFonts w:hint="eastAsia"/>
          <w:kern w:val="10"/>
        </w:rPr>
      </w:pPr>
      <w:r>
        <w:rPr>
          <w:kern w:val="10"/>
        </w:rPr>
        <w:t xml:space="preserve">36.5.1.2  </w:t>
      </w:r>
      <w:r>
        <w:rPr>
          <w:rFonts w:hint="eastAsia"/>
          <w:kern w:val="10"/>
        </w:rPr>
        <w:t>不同投标供应商的投标文件错漏之处一致的；</w:t>
      </w:r>
    </w:p>
    <w:p>
      <w:pPr>
        <w:tabs>
          <w:tab w:val="clear" w:pos="426"/>
        </w:tabs>
        <w:rPr>
          <w:rFonts w:hint="eastAsia"/>
          <w:kern w:val="10"/>
        </w:rPr>
      </w:pPr>
      <w:r>
        <w:rPr>
          <w:kern w:val="10"/>
        </w:rPr>
        <w:t xml:space="preserve">36.5.1.3  </w:t>
      </w:r>
      <w:r>
        <w:rPr>
          <w:rFonts w:hint="eastAsia"/>
          <w:kern w:val="10"/>
        </w:rPr>
        <w:t>不同投标供应商的投标报价或者报价组成异常一致或者呈规律性变化的；</w:t>
      </w:r>
    </w:p>
    <w:p>
      <w:pPr>
        <w:tabs>
          <w:tab w:val="clear" w:pos="426"/>
        </w:tabs>
        <w:rPr>
          <w:rFonts w:hint="eastAsia"/>
          <w:kern w:val="10"/>
        </w:rPr>
      </w:pPr>
      <w:r>
        <w:rPr>
          <w:kern w:val="10"/>
        </w:rPr>
        <w:t xml:space="preserve">36.5.1.4  </w:t>
      </w:r>
      <w:r>
        <w:rPr>
          <w:rFonts w:hint="eastAsia"/>
          <w:kern w:val="10"/>
        </w:rPr>
        <w:t>不同投标供应商的投标文件由同一单位或者同一个人编制的；</w:t>
      </w:r>
    </w:p>
    <w:p>
      <w:pPr>
        <w:tabs>
          <w:tab w:val="clear" w:pos="426"/>
        </w:tabs>
        <w:rPr>
          <w:rFonts w:hint="eastAsia"/>
          <w:kern w:val="10"/>
        </w:rPr>
      </w:pPr>
      <w:r>
        <w:rPr>
          <w:kern w:val="10"/>
        </w:rPr>
        <w:t xml:space="preserve">36.5.1.5  </w:t>
      </w:r>
      <w:r>
        <w:rPr>
          <w:rFonts w:hint="eastAsia"/>
          <w:kern w:val="10"/>
        </w:rPr>
        <w:t>不同投标供应商的投标文件载明的项目负责人与主要技术人员出现同一人的；</w:t>
      </w:r>
    </w:p>
    <w:p>
      <w:pPr>
        <w:tabs>
          <w:tab w:val="clear" w:pos="426"/>
        </w:tabs>
        <w:rPr>
          <w:rFonts w:hint="eastAsia"/>
          <w:kern w:val="10"/>
        </w:rPr>
      </w:pPr>
      <w:r>
        <w:rPr>
          <w:kern w:val="10"/>
        </w:rPr>
        <w:t xml:space="preserve">36.5.1.6  </w:t>
      </w:r>
      <w:r>
        <w:rPr>
          <w:rFonts w:hint="eastAsia"/>
          <w:kern w:val="10"/>
        </w:rPr>
        <w:t>不同投标供应商的投标文件相互混装的；</w:t>
      </w:r>
    </w:p>
    <w:p>
      <w:pPr>
        <w:tabs>
          <w:tab w:val="clear" w:pos="426"/>
        </w:tabs>
        <w:rPr>
          <w:rFonts w:hint="eastAsia"/>
          <w:kern w:val="10"/>
        </w:rPr>
      </w:pPr>
      <w:r>
        <w:rPr>
          <w:kern w:val="10"/>
        </w:rPr>
        <w:t xml:space="preserve">36.5.1.7  </w:t>
      </w:r>
      <w:r>
        <w:rPr>
          <w:rFonts w:hint="eastAsia"/>
          <w:kern w:val="10"/>
        </w:rPr>
        <w:t>不同投标供应商委托同一人投标的；</w:t>
      </w:r>
    </w:p>
    <w:p>
      <w:pPr>
        <w:tabs>
          <w:tab w:val="clear" w:pos="426"/>
        </w:tabs>
        <w:rPr>
          <w:rFonts w:hint="eastAsia"/>
          <w:kern w:val="10"/>
        </w:rPr>
      </w:pPr>
      <w:r>
        <w:rPr>
          <w:kern w:val="10"/>
        </w:rPr>
        <w:t xml:space="preserve">36.5.1.8  </w:t>
      </w:r>
      <w:r>
        <w:rPr>
          <w:rFonts w:hint="eastAsia"/>
          <w:kern w:val="10"/>
        </w:rPr>
        <w:t>不同投标供应商聘请同一人为其投标提供技术或者经济咨询服务的，但招标工程本身要求采用专有技术的除外；</w:t>
      </w:r>
    </w:p>
    <w:p>
      <w:pPr>
        <w:tabs>
          <w:tab w:val="clear" w:pos="426"/>
        </w:tabs>
        <w:rPr>
          <w:rFonts w:hint="eastAsia"/>
          <w:kern w:val="10"/>
        </w:rPr>
      </w:pPr>
      <w:r>
        <w:rPr>
          <w:kern w:val="10"/>
        </w:rPr>
        <w:t xml:space="preserve">36.5.1.9  </w:t>
      </w:r>
      <w:r>
        <w:rPr>
          <w:rFonts w:hint="eastAsia"/>
          <w:kern w:val="10"/>
        </w:rPr>
        <w:t>评标委员会认定的其他串通投标情形。</w:t>
      </w:r>
    </w:p>
    <w:p>
      <w:pPr>
        <w:tabs>
          <w:tab w:val="clear" w:pos="426"/>
        </w:tabs>
        <w:rPr>
          <w:rFonts w:hint="eastAsia"/>
        </w:rPr>
      </w:pPr>
      <w:r>
        <w:rPr>
          <w:kern w:val="10"/>
        </w:rPr>
        <w:t xml:space="preserve">36.5.2 </w:t>
      </w:r>
      <w:r>
        <w:t xml:space="preserve"> </w:t>
      </w:r>
      <w:r>
        <w:rPr>
          <w:rFonts w:hint="eastAsia"/>
        </w:rPr>
        <w:t>投标文件不满足招标文件规定的任何一项实质性要求的；</w:t>
      </w:r>
    </w:p>
    <w:p>
      <w:pPr>
        <w:tabs>
          <w:tab w:val="clear" w:pos="426"/>
        </w:tabs>
        <w:rPr>
          <w:rFonts w:hint="eastAsia"/>
        </w:rPr>
      </w:pPr>
      <w:r>
        <w:rPr>
          <w:bCs/>
          <w:kern w:val="10"/>
        </w:rPr>
        <w:t xml:space="preserve">36.5.3 </w:t>
      </w:r>
      <w:r>
        <w:t xml:space="preserve"> </w:t>
      </w:r>
      <w:r>
        <w:rPr>
          <w:rFonts w:hint="eastAsia"/>
        </w:rPr>
        <w:t>投标文件对招标文件规定的非实质性要求的偏离，超出允许偏离的最大范围或最高项数的；</w:t>
      </w:r>
    </w:p>
    <w:p>
      <w:pPr>
        <w:tabs>
          <w:tab w:val="clear" w:pos="426"/>
        </w:tabs>
        <w:rPr>
          <w:rFonts w:hint="eastAsia"/>
        </w:rPr>
      </w:pPr>
      <w:r>
        <w:rPr>
          <w:kern w:val="10"/>
        </w:rPr>
        <w:t xml:space="preserve">36.5.4 </w:t>
      </w:r>
      <w:r>
        <w:t xml:space="preserve"> </w:t>
      </w:r>
      <w:r>
        <w:rPr>
          <w:rFonts w:hint="eastAsia"/>
        </w:rPr>
        <w:t>评标委员会根据招标文件的规定对投标文件的投标价格进行调整，投标供应商不接受调整方式的，或不接受调整后的价格的；</w:t>
      </w:r>
    </w:p>
    <w:p>
      <w:pPr>
        <w:tabs>
          <w:tab w:val="clear" w:pos="426"/>
        </w:tabs>
        <w:rPr>
          <w:rFonts w:hint="eastAsia"/>
          <w:kern w:val="10"/>
        </w:rPr>
      </w:pPr>
      <w:r>
        <w:rPr>
          <w:kern w:val="10"/>
        </w:rPr>
        <w:t xml:space="preserve">36.6  </w:t>
      </w:r>
      <w:r>
        <w:rPr>
          <w:rFonts w:hint="eastAsia"/>
          <w:kern w:val="10"/>
        </w:rPr>
        <w:t>细微偏离是指投标文件在实质上响应招标文件要求，但在个别地方存在漏项或者提供了不完整的技术信息和数据等情况，并且补正这些漏项或者不完整不会对其他投标供应商造成不公平的结果。细微偏离不影响投标文件的有效性。</w:t>
      </w:r>
    </w:p>
    <w:p>
      <w:pPr>
        <w:tabs>
          <w:tab w:val="clear" w:pos="426"/>
        </w:tabs>
        <w:rPr>
          <w:rFonts w:hint="eastAsia"/>
          <w:kern w:val="10"/>
        </w:rPr>
      </w:pPr>
      <w:r>
        <w:rPr>
          <w:kern w:val="10"/>
        </w:rPr>
        <w:t xml:space="preserve">36.7 </w:t>
      </w:r>
      <w:r>
        <w:rPr>
          <w:rFonts w:hint="eastAsia"/>
          <w:kern w:val="10"/>
        </w:rPr>
        <w:t>评标委员会应书面要求存在细微偏离的投标供应商在评标结束前予以补正。拒不补正的，在详细评审时可以对细微偏离按照不利于该投标供应商的原则进行调整，且投标供应商不得因此提出任何异议。</w:t>
      </w:r>
    </w:p>
    <w:p>
      <w:pPr>
        <w:tabs>
          <w:tab w:val="clear" w:pos="426"/>
        </w:tabs>
        <w:rPr>
          <w:rFonts w:hint="eastAsia"/>
        </w:rPr>
      </w:pPr>
      <w:r>
        <w:t>37.</w:t>
      </w:r>
      <w:r>
        <w:rPr>
          <w:rFonts w:hint="eastAsia"/>
        </w:rPr>
        <w:t>实地考察、演示或设备测试</w:t>
      </w:r>
    </w:p>
    <w:p>
      <w:pPr>
        <w:tabs>
          <w:tab w:val="clear" w:pos="426"/>
        </w:tabs>
        <w:rPr>
          <w:rFonts w:hint="eastAsia"/>
        </w:rPr>
      </w:pPr>
      <w:r>
        <w:t>37.1</w:t>
      </w:r>
      <w:r>
        <w:rPr>
          <w:rFonts w:hint="eastAsia"/>
        </w:rPr>
        <w:t>在招标过程中，评标委员会有权决定是否对本项目投标供应商进行现场勘察或实地考察或检验有关证明材料的原件。投标供应商应随时做好接受检查的准备。</w:t>
      </w:r>
    </w:p>
    <w:p>
      <w:pPr>
        <w:tabs>
          <w:tab w:val="clear" w:pos="426"/>
        </w:tabs>
        <w:rPr>
          <w:rFonts w:hint="eastAsia"/>
        </w:rPr>
      </w:pPr>
      <w:r>
        <w:t>37.2</w:t>
      </w:r>
      <w:r>
        <w:rPr>
          <w:rFonts w:hint="eastAsia"/>
        </w:rPr>
        <w:t>若招标文件要求进行现场演示或设备测试的，投标供应商应做好相应准备。</w:t>
      </w:r>
    </w:p>
    <w:p>
      <w:pPr>
        <w:tabs>
          <w:tab w:val="clear" w:pos="426"/>
        </w:tabs>
        <w:rPr>
          <w:rFonts w:hint="eastAsia"/>
        </w:rPr>
      </w:pPr>
      <w:r>
        <w:t>38</w:t>
      </w:r>
      <w:r>
        <w:rPr>
          <w:rFonts w:hint="eastAsia"/>
        </w:rPr>
        <w:t>．评标方法</w:t>
      </w:r>
    </w:p>
    <w:p>
      <w:pPr>
        <w:tabs>
          <w:tab w:val="clear" w:pos="426"/>
        </w:tabs>
        <w:rPr>
          <w:rFonts w:hint="eastAsia"/>
          <w:szCs w:val="21"/>
        </w:rPr>
      </w:pPr>
      <w:r>
        <w:rPr>
          <w:szCs w:val="21"/>
        </w:rPr>
        <w:t>38.1</w:t>
      </w:r>
      <w:r>
        <w:rPr>
          <w:rFonts w:hint="eastAsia"/>
        </w:rPr>
        <w:t>根据有关要求，</w:t>
      </w:r>
      <w:r>
        <w:rPr>
          <w:rFonts w:hint="eastAsia"/>
          <w:szCs w:val="21"/>
        </w:rPr>
        <w:t>项目评标方法根据是否是评定分离项目进行选择。</w:t>
      </w:r>
    </w:p>
    <w:p>
      <w:pPr>
        <w:tabs>
          <w:tab w:val="clear" w:pos="426"/>
        </w:tabs>
        <w:rPr>
          <w:rFonts w:hint="eastAsia"/>
        </w:rPr>
      </w:pPr>
      <w:r>
        <w:t>38.2</w:t>
      </w:r>
      <w:r>
        <w:rPr>
          <w:rFonts w:hint="eastAsia"/>
        </w:rPr>
        <w:t>非评定分离项目</w:t>
      </w:r>
    </w:p>
    <w:p>
      <w:pPr>
        <w:tabs>
          <w:tab w:val="clear" w:pos="426"/>
        </w:tabs>
        <w:rPr>
          <w:rFonts w:hint="eastAsia"/>
        </w:rPr>
      </w:pPr>
      <w:r>
        <w:rPr>
          <w:rFonts w:hint="eastAsia"/>
        </w:rPr>
        <w:t>非评定分离项目评分方法为最低评标价法、综合评标法、性价比法及法律、法规允许的其它评标办法。</w:t>
      </w:r>
    </w:p>
    <w:p>
      <w:pPr>
        <w:tabs>
          <w:tab w:val="clear" w:pos="426"/>
        </w:tabs>
        <w:rPr>
          <w:rFonts w:hint="eastAsia"/>
          <w:b/>
        </w:rPr>
      </w:pPr>
      <w:r>
        <w:t>38.2.1</w:t>
      </w:r>
      <w:r>
        <w:rPr>
          <w:rFonts w:hint="eastAsia"/>
        </w:rPr>
        <w:t>最低评标价法</w:t>
      </w:r>
    </w:p>
    <w:p>
      <w:pPr>
        <w:tabs>
          <w:tab w:val="clear" w:pos="426"/>
        </w:tabs>
        <w:rPr>
          <w:rFonts w:hint="eastAsia"/>
        </w:rPr>
      </w:pPr>
      <w:r>
        <w:rPr>
          <w:rFonts w:hint="eastAsia"/>
        </w:rPr>
        <w:t>最低价法是指以价格因素确定中标候选供应商的评标方法，即在满足招标文件实质性要求前提下，以报价最低的投标供应商作为中标候选供应商或中标供应商的评标方法；</w:t>
      </w:r>
    </w:p>
    <w:p>
      <w:pPr>
        <w:tabs>
          <w:tab w:val="clear" w:pos="426"/>
        </w:tabs>
        <w:rPr>
          <w:rFonts w:hint="eastAsia"/>
          <w:b/>
        </w:rPr>
      </w:pPr>
      <w:r>
        <w:t>38.2.2</w:t>
      </w:r>
      <w:r>
        <w:rPr>
          <w:rFonts w:hint="eastAsia"/>
        </w:rPr>
        <w:t>综合评分法</w:t>
      </w:r>
    </w:p>
    <w:p>
      <w:pPr>
        <w:tabs>
          <w:tab w:val="clear" w:pos="426"/>
        </w:tabs>
        <w:rPr>
          <w:rFonts w:hint="eastAsia"/>
        </w:rPr>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pPr>
        <w:tabs>
          <w:tab w:val="clear" w:pos="426"/>
        </w:tabs>
        <w:rPr>
          <w:rFonts w:hint="eastAsia"/>
          <w:b/>
          <w:bCs/>
        </w:rPr>
      </w:pPr>
      <w:r>
        <w:t>38.2.3</w:t>
      </w:r>
      <w:r>
        <w:rPr>
          <w:rFonts w:hint="eastAsia"/>
          <w:bCs/>
        </w:rPr>
        <w:t>性价比法</w:t>
      </w:r>
    </w:p>
    <w:p>
      <w:pPr>
        <w:tabs>
          <w:tab w:val="clear" w:pos="426"/>
        </w:tabs>
        <w:rPr>
          <w:rFonts w:hint="eastAsia"/>
        </w:rPr>
      </w:pPr>
      <w:r>
        <w:rPr>
          <w:rFonts w:hint="eastAsia"/>
        </w:rPr>
        <w:t>性价比法是指除价格因素外，经对投标文件进行评审，计算出评分因素的总分，除以投标报价，以商数最高的投标供应商作为中标候选供应商或中标供应商的评标方法。</w:t>
      </w:r>
    </w:p>
    <w:p>
      <w:pPr>
        <w:tabs>
          <w:tab w:val="clear" w:pos="426"/>
        </w:tabs>
        <w:rPr>
          <w:rFonts w:hint="eastAsia"/>
        </w:rPr>
      </w:pPr>
      <w:r>
        <w:t>38.3</w:t>
      </w:r>
      <w:r>
        <w:rPr>
          <w:rFonts w:hint="eastAsia"/>
        </w:rPr>
        <w:t>评定分离项目</w:t>
      </w:r>
    </w:p>
    <w:p>
      <w:pPr>
        <w:tabs>
          <w:tab w:val="clear" w:pos="426"/>
        </w:tabs>
        <w:rPr>
          <w:rFonts w:hint="eastAsia"/>
        </w:rPr>
      </w:pPr>
      <w:r>
        <w:rPr>
          <w:rFonts w:hint="eastAsia"/>
        </w:rPr>
        <w:t>评定分离项目，评审委员会应当按照综合评分法、定性评审法、最低价法或者法律、法规及规章规定的其他评审方法对投标文件进行评审。</w:t>
      </w:r>
    </w:p>
    <w:p>
      <w:pPr>
        <w:tabs>
          <w:tab w:val="clear" w:pos="426"/>
        </w:tabs>
        <w:rPr>
          <w:rFonts w:hint="eastAsia"/>
          <w:b/>
        </w:rPr>
      </w:pPr>
      <w:r>
        <w:t>38.3.1</w:t>
      </w:r>
      <w:r>
        <w:rPr>
          <w:rFonts w:hint="eastAsia"/>
        </w:rPr>
        <w:t>综合评分法</w:t>
      </w:r>
    </w:p>
    <w:p>
      <w:pPr>
        <w:tabs>
          <w:tab w:val="clear" w:pos="426"/>
        </w:tabs>
        <w:rPr>
          <w:rFonts w:hint="eastAsia"/>
        </w:rPr>
      </w:pPr>
      <w:r>
        <w:rPr>
          <w:rFonts w:hint="eastAsia"/>
        </w:rPr>
        <w:t>综合评分法是指在最大限度满足招标文件实质性要求的前提下，按照招标文件中规定的各项因素进行综合评审，评审总得分排名前列的投标供应商，作为推荐的候选中标供应商。</w:t>
      </w:r>
    </w:p>
    <w:p>
      <w:pPr>
        <w:tabs>
          <w:tab w:val="clear" w:pos="426"/>
        </w:tabs>
        <w:rPr>
          <w:rFonts w:hint="eastAsia"/>
          <w:sz w:val="18"/>
          <w:szCs w:val="18"/>
          <w:shd w:val="clear" w:color="auto" w:fill="FFFFFF"/>
        </w:rPr>
      </w:pPr>
      <w:r>
        <w:t>38.3.2</w:t>
      </w:r>
      <w:r>
        <w:rPr>
          <w:rFonts w:hint="eastAsia"/>
          <w:bCs/>
        </w:rPr>
        <w:t>定性评审法</w:t>
      </w:r>
    </w:p>
    <w:p>
      <w:pPr>
        <w:tabs>
          <w:tab w:val="clear" w:pos="426"/>
        </w:tabs>
        <w:rPr>
          <w:rFonts w:hint="eastAsia"/>
        </w:rPr>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供应商，均推荐为候选中标供应商。</w:t>
      </w:r>
    </w:p>
    <w:p>
      <w:pPr>
        <w:tabs>
          <w:tab w:val="clear" w:pos="426"/>
        </w:tabs>
        <w:rPr>
          <w:rFonts w:hint="eastAsia"/>
        </w:rPr>
      </w:pPr>
      <w:r>
        <w:t>38.3.3</w:t>
      </w:r>
      <w:r>
        <w:rPr>
          <w:rFonts w:hint="eastAsia"/>
        </w:rPr>
        <w:t>最低价法</w:t>
      </w:r>
    </w:p>
    <w:p>
      <w:pPr>
        <w:tabs>
          <w:tab w:val="clear" w:pos="426"/>
        </w:tabs>
        <w:rPr>
          <w:rFonts w:hint="eastAsia"/>
        </w:rPr>
      </w:pPr>
      <w:r>
        <w:rPr>
          <w:rFonts w:hint="eastAsia"/>
        </w:rPr>
        <w:t>最低价法是指以价格为主要因素确定候选中标供应商的评审方法。</w:t>
      </w:r>
    </w:p>
    <w:p>
      <w:pPr>
        <w:tabs>
          <w:tab w:val="clear" w:pos="426"/>
        </w:tabs>
        <w:rPr>
          <w:rFonts w:hint="eastAsia"/>
        </w:rPr>
      </w:pPr>
      <w:r>
        <w:t>38.4</w:t>
      </w:r>
      <w:r>
        <w:rPr>
          <w:rFonts w:hint="eastAsia"/>
        </w:rPr>
        <w:t>本项目采用的评标方法见本项目招标文件专用条款的相关内容。</w:t>
      </w:r>
    </w:p>
    <w:p>
      <w:pPr>
        <w:pStyle w:val="5"/>
        <w:tabs>
          <w:tab w:val="clear" w:pos="426"/>
        </w:tabs>
        <w:rPr>
          <w:rFonts w:hint="eastAsia"/>
        </w:rPr>
      </w:pPr>
      <w:bookmarkStart w:id="184" w:name="_Toc14427260"/>
      <w:bookmarkStart w:id="185" w:name="_Toc529280587"/>
      <w:bookmarkStart w:id="186" w:name="_Toc7218"/>
      <w:bookmarkStart w:id="187" w:name="_Toc530152528"/>
      <w:r>
        <w:rPr>
          <w:rFonts w:hint="eastAsia"/>
        </w:rPr>
        <w:t>第七章</w:t>
      </w:r>
      <w:r>
        <w:t xml:space="preserve"> </w:t>
      </w:r>
      <w:r>
        <w:rPr>
          <w:rFonts w:hint="eastAsia"/>
        </w:rPr>
        <w:t>定标及公示</w:t>
      </w:r>
      <w:bookmarkEnd w:id="184"/>
      <w:bookmarkEnd w:id="185"/>
      <w:bookmarkEnd w:id="186"/>
      <w:bookmarkEnd w:id="187"/>
    </w:p>
    <w:p>
      <w:pPr>
        <w:tabs>
          <w:tab w:val="clear" w:pos="426"/>
        </w:tabs>
        <w:rPr>
          <w:rFonts w:hint="eastAsia"/>
        </w:rPr>
      </w:pPr>
      <w:r>
        <w:t>39</w:t>
      </w:r>
      <w:r>
        <w:rPr>
          <w:rFonts w:hint="eastAsia"/>
        </w:rPr>
        <w:t>．定标方法</w:t>
      </w:r>
    </w:p>
    <w:p>
      <w:pPr>
        <w:tabs>
          <w:tab w:val="clear" w:pos="426"/>
        </w:tabs>
        <w:rPr>
          <w:rFonts w:hint="eastAsia"/>
        </w:rPr>
      </w:pPr>
      <w:r>
        <w:t>39.1</w:t>
      </w:r>
      <w:r>
        <w:rPr>
          <w:rFonts w:hint="eastAsia"/>
        </w:rPr>
        <w:t>项目定标方法根据是否是评定分离项目进行选择。</w:t>
      </w:r>
    </w:p>
    <w:p>
      <w:pPr>
        <w:tabs>
          <w:tab w:val="clear" w:pos="426"/>
        </w:tabs>
        <w:rPr>
          <w:rFonts w:hint="eastAsia"/>
        </w:rPr>
      </w:pPr>
      <w:r>
        <w:t>39.2</w:t>
      </w:r>
      <w:r>
        <w:rPr>
          <w:rFonts w:hint="eastAsia"/>
        </w:rPr>
        <w:t>非评定分离项目</w:t>
      </w:r>
    </w:p>
    <w:p>
      <w:pPr>
        <w:tabs>
          <w:tab w:val="clear" w:pos="426"/>
        </w:tabs>
        <w:rPr>
          <w:rFonts w:hint="eastAsia"/>
        </w:rPr>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pPr>
        <w:tabs>
          <w:tab w:val="clear" w:pos="426"/>
        </w:tabs>
        <w:rPr>
          <w:rFonts w:hint="eastAsia"/>
        </w:rPr>
      </w:pPr>
      <w:r>
        <w:t>39.2.1</w:t>
      </w:r>
      <w:r>
        <w:rPr>
          <w:rFonts w:hint="eastAsia"/>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tabs>
          <w:tab w:val="clear" w:pos="426"/>
        </w:tabs>
        <w:rPr>
          <w:rFonts w:hint="eastAsia"/>
        </w:rPr>
      </w:pPr>
      <w:r>
        <w:t>39.2.2</w:t>
      </w:r>
      <w:r>
        <w:rPr>
          <w:rFonts w:hint="eastAsia"/>
        </w:rPr>
        <w:t>采用综合评分法的，按评审后得分由高到低顺序排列。得分相同的，按投标报价由低到高顺序排列。得分且投标报价相同的，按技术指标优劣顺序排列。</w:t>
      </w:r>
    </w:p>
    <w:p>
      <w:pPr>
        <w:tabs>
          <w:tab w:val="clear" w:pos="426"/>
        </w:tabs>
        <w:rPr>
          <w:rFonts w:hint="eastAsia"/>
        </w:rPr>
      </w:pPr>
      <w:r>
        <w:t>39.2.3</w:t>
      </w:r>
      <w:r>
        <w:rPr>
          <w:rFonts w:hint="eastAsia"/>
        </w:rPr>
        <w:t>采用性价比法的，按商数得分由高到低顺序排列。商数得分相同的，按投标报价由低到高顺序排列。商数得分且投标报价相同的，按技术指标优劣顺序排列。</w:t>
      </w:r>
    </w:p>
    <w:p>
      <w:pPr>
        <w:tabs>
          <w:tab w:val="clear" w:pos="426"/>
        </w:tabs>
        <w:rPr>
          <w:rFonts w:hint="eastAsia"/>
        </w:rPr>
      </w:pPr>
      <w:r>
        <w:t>39.3</w:t>
      </w:r>
      <w:r>
        <w:rPr>
          <w:rFonts w:hint="eastAsia"/>
        </w:rPr>
        <w:t>评定分离项目</w:t>
      </w:r>
    </w:p>
    <w:p>
      <w:pPr>
        <w:tabs>
          <w:tab w:val="clear" w:pos="426"/>
        </w:tabs>
        <w:rPr>
          <w:rFonts w:hint="eastAsia"/>
        </w:rPr>
      </w:pPr>
      <w:r>
        <w:rPr>
          <w:rFonts w:hint="eastAsia"/>
        </w:rPr>
        <w:t>适用评定分离的采购项目，采购人应当根据不同的项目选用自定法、抽签法、竞价法或者法律、法规及规章规定的其他定标方法确定中标供应商。</w:t>
      </w:r>
    </w:p>
    <w:p>
      <w:pPr>
        <w:tabs>
          <w:tab w:val="clear" w:pos="426"/>
        </w:tabs>
        <w:rPr>
          <w:rFonts w:hint="eastAsia"/>
        </w:rPr>
      </w:pPr>
      <w:r>
        <w:t>39.3.1</w:t>
      </w:r>
      <w:r>
        <w:rPr>
          <w:rFonts w:hint="eastAsia"/>
        </w:rPr>
        <w:t>自定法是指采购人组织定标委员会，由定标委员会在候选中标供应商中确定中标供应商。</w:t>
      </w:r>
    </w:p>
    <w:p>
      <w:pPr>
        <w:tabs>
          <w:tab w:val="clear" w:pos="426"/>
        </w:tabs>
        <w:rPr>
          <w:rFonts w:hint="eastAsia"/>
        </w:rPr>
      </w:pPr>
      <w:r>
        <w:t>39.3.2 </w:t>
      </w:r>
      <w:r>
        <w:rPr>
          <w:rFonts w:hint="eastAsia"/>
        </w:rPr>
        <w:t>抽签法是指候选中标供应商产生后，由采购人委托招标机构按照随机抽签的方式在候选中标供应商中确定中标供应商。</w:t>
      </w:r>
      <w:r>
        <w:t> </w:t>
      </w:r>
    </w:p>
    <w:p>
      <w:pPr>
        <w:tabs>
          <w:tab w:val="clear" w:pos="426"/>
        </w:tabs>
        <w:rPr>
          <w:rFonts w:hint="eastAsia"/>
        </w:rPr>
      </w:pPr>
      <w:r>
        <w:t>39.3.3</w:t>
      </w:r>
      <w:r>
        <w:rPr>
          <w:rFonts w:hint="eastAsia"/>
        </w:rPr>
        <w:t>竞价法是指候选中标供应商产生后，由采购人委托招标机构组织候选中标供应商进行二次竞价，最终报价最低的为中标供应商</w:t>
      </w:r>
    </w:p>
    <w:p>
      <w:pPr>
        <w:tabs>
          <w:tab w:val="clear" w:pos="426"/>
        </w:tabs>
        <w:rPr>
          <w:rFonts w:hint="eastAsia"/>
        </w:rPr>
      </w:pPr>
      <w:r>
        <w:t>39.4</w:t>
      </w:r>
      <w:r>
        <w:rPr>
          <w:rFonts w:hint="eastAsia"/>
        </w:rPr>
        <w:t>本项目采用的定标方法见本项目招标文件专用条款的相关内容。</w:t>
      </w:r>
    </w:p>
    <w:p>
      <w:pPr>
        <w:tabs>
          <w:tab w:val="clear" w:pos="426"/>
        </w:tabs>
        <w:rPr>
          <w:rFonts w:hint="eastAsia"/>
        </w:rPr>
      </w:pPr>
      <w:r>
        <w:t>40</w:t>
      </w:r>
      <w:r>
        <w:rPr>
          <w:rFonts w:hint="eastAsia"/>
        </w:rPr>
        <w:t>．编写评标报告</w:t>
      </w:r>
    </w:p>
    <w:p>
      <w:pPr>
        <w:tabs>
          <w:tab w:val="clear" w:pos="426"/>
        </w:tabs>
        <w:rPr>
          <w:rFonts w:hint="eastAsia"/>
        </w:rPr>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rFonts w:hint="eastAsia"/>
        </w:rPr>
      </w:pPr>
      <w:r>
        <w:t>41</w:t>
      </w:r>
      <w:r>
        <w:rPr>
          <w:rFonts w:hint="eastAsia"/>
        </w:rPr>
        <w:t>．中标公告</w:t>
      </w:r>
    </w:p>
    <w:p>
      <w:pPr>
        <w:tabs>
          <w:tab w:val="clear" w:pos="426"/>
        </w:tabs>
        <w:rPr>
          <w:rFonts w:hint="eastAsia"/>
        </w:rPr>
      </w:pPr>
      <w:r>
        <w:t>41.1</w:t>
      </w:r>
      <w:r>
        <w:rPr>
          <w:rFonts w:hint="eastAsia"/>
        </w:rPr>
        <w:t>为体现“公开、公平、公正”的原则，评标结束后，将在深圳海关门户网</w:t>
      </w:r>
      <w:r>
        <w:t xml:space="preserve">  </w:t>
      </w:r>
      <w:r>
        <w:rPr>
          <w:rFonts w:hint="eastAsia"/>
        </w:rPr>
        <w:t>（</w:t>
      </w:r>
      <w:r>
        <w:t>http://shenzhen.customs.gov.cn</w:t>
      </w:r>
      <w:r>
        <w:rPr>
          <w:rFonts w:hint="eastAsia"/>
        </w:rPr>
        <w:t>）、采购代理机构官网：（</w:t>
      </w:r>
      <w:r>
        <w:t>http://www.szsszx.com/</w:t>
      </w:r>
      <w:r>
        <w:rPr>
          <w:rFonts w:hint="eastAsia"/>
        </w:rPr>
        <w:t>）上发布中标结果公告，</w:t>
      </w:r>
      <w:r>
        <w:t xml:space="preserve"> </w:t>
      </w:r>
      <w:r>
        <w:rPr>
          <w:rFonts w:hint="eastAsia"/>
        </w:rPr>
        <w:t>公示期为</w:t>
      </w:r>
      <w:r>
        <w:t>1</w:t>
      </w:r>
      <w:r>
        <w:rPr>
          <w:rFonts w:hint="eastAsia"/>
        </w:rPr>
        <w:t>个工作日。供应商如对评标结果有异议，请于公示期内，以书面的形式向我公司反映。若在公示期内未提出异议，则视为认同该评标结果。</w:t>
      </w:r>
    </w:p>
    <w:p>
      <w:pPr>
        <w:tabs>
          <w:tab w:val="clear" w:pos="426"/>
        </w:tabs>
        <w:rPr>
          <w:rFonts w:hint="eastAsia"/>
        </w:rPr>
      </w:pPr>
      <w:r>
        <w:t>41.2</w:t>
      </w:r>
      <w:r>
        <w:rPr>
          <w:rFonts w:hint="eastAsia"/>
        </w:rPr>
        <w:t>质疑投诉人应保证质疑投诉内容的真实性和可靠性，并承担相应的法律责任。</w:t>
      </w:r>
    </w:p>
    <w:p>
      <w:pPr>
        <w:tabs>
          <w:tab w:val="clear" w:pos="426"/>
        </w:tabs>
        <w:rPr>
          <w:rFonts w:hint="eastAsia"/>
        </w:rPr>
      </w:pPr>
      <w:r>
        <w:t>42</w:t>
      </w:r>
      <w:r>
        <w:rPr>
          <w:rFonts w:hint="eastAsia"/>
        </w:rPr>
        <w:t>．中标通知书</w:t>
      </w:r>
    </w:p>
    <w:p>
      <w:pPr>
        <w:tabs>
          <w:tab w:val="clear" w:pos="426"/>
        </w:tabs>
        <w:rPr>
          <w:rFonts w:hint="eastAsia"/>
        </w:rPr>
      </w:pPr>
      <w:r>
        <w:t>42.1</w:t>
      </w:r>
      <w:r>
        <w:rPr>
          <w:rFonts w:hint="eastAsia"/>
        </w:rPr>
        <w:t>中标公告公布后</w:t>
      </w:r>
      <w:r>
        <w:t>,</w:t>
      </w:r>
      <w:r>
        <w:rPr>
          <w:rFonts w:hint="eastAsia"/>
        </w:rPr>
        <w:t>公示期内无人投诉</w:t>
      </w:r>
      <w:r>
        <w:t>,</w:t>
      </w:r>
      <w:r>
        <w:rPr>
          <w:rFonts w:hint="eastAsia"/>
        </w:rPr>
        <w:t>请中标供应商凭单位证明及本人身份证到采购代理机构领取《中标通知书》。</w:t>
      </w:r>
    </w:p>
    <w:p>
      <w:pPr>
        <w:tabs>
          <w:tab w:val="clear" w:pos="426"/>
        </w:tabs>
        <w:rPr>
          <w:rFonts w:hint="eastAsia"/>
        </w:rPr>
      </w:pPr>
      <w:r>
        <w:t>42.2</w:t>
      </w:r>
      <w:r>
        <w:rPr>
          <w:rFonts w:hint="eastAsia"/>
        </w:rPr>
        <w:t>中标通知书是合同的重要组成部分。</w:t>
      </w:r>
    </w:p>
    <w:p>
      <w:pPr>
        <w:tabs>
          <w:tab w:val="clear" w:pos="426"/>
        </w:tabs>
        <w:rPr>
          <w:rFonts w:hint="eastAsia"/>
        </w:rPr>
      </w:pPr>
      <w:r>
        <w:t>42.3</w:t>
      </w:r>
      <w:r>
        <w:rPr>
          <w:rFonts w:hint="eastAsia"/>
        </w:rPr>
        <w:t>因质疑投诉或其它原因导致项目结果变更或采购终止的，我公司有权收回中标通知书或终止采购合同。</w:t>
      </w:r>
    </w:p>
    <w:p>
      <w:pPr>
        <w:pStyle w:val="5"/>
        <w:tabs>
          <w:tab w:val="clear" w:pos="426"/>
        </w:tabs>
        <w:rPr>
          <w:rFonts w:hint="eastAsia"/>
        </w:rPr>
      </w:pPr>
      <w:bookmarkStart w:id="188" w:name="_Toc529280588"/>
      <w:bookmarkStart w:id="189" w:name="_Toc14427261"/>
      <w:bookmarkStart w:id="190" w:name="_Toc530152529"/>
      <w:bookmarkStart w:id="191" w:name="_Toc3007"/>
      <w:r>
        <w:rPr>
          <w:rFonts w:hint="eastAsia"/>
        </w:rPr>
        <w:t>第八章</w:t>
      </w:r>
      <w:r>
        <w:t xml:space="preserve"> </w:t>
      </w:r>
      <w:r>
        <w:rPr>
          <w:rFonts w:hint="eastAsia"/>
        </w:rPr>
        <w:t>公开招标失败的后续处理</w:t>
      </w:r>
      <w:bookmarkEnd w:id="188"/>
      <w:bookmarkEnd w:id="189"/>
      <w:bookmarkEnd w:id="190"/>
      <w:bookmarkEnd w:id="191"/>
    </w:p>
    <w:p>
      <w:pPr>
        <w:rPr>
          <w:rFonts w:hAnsi="Times New Roman"/>
          <w:b/>
          <w:bCs/>
        </w:rPr>
      </w:pPr>
      <w:r>
        <w:t>43</w:t>
      </w:r>
      <w:r>
        <w:rPr>
          <w:rFonts w:hint="eastAsia"/>
        </w:rPr>
        <w:t>．公开招标失败的处理</w:t>
      </w:r>
      <w:r>
        <w:rPr>
          <w:rFonts w:hint="eastAsia" w:hAnsi="Times New Roman"/>
          <w:b/>
          <w:bCs/>
        </w:rPr>
        <w:t>（本项目选择方式一）</w:t>
      </w:r>
    </w:p>
    <w:p>
      <w:pPr>
        <w:rPr>
          <w:rFonts w:hAnsi="Times New Roman"/>
          <w:b/>
          <w:bCs/>
          <w:szCs w:val="21"/>
        </w:rPr>
      </w:pPr>
      <w:r>
        <w:rPr>
          <w:rFonts w:hAnsi="Times New Roman"/>
          <w:b/>
          <w:bCs/>
          <w:szCs w:val="21"/>
        </w:rPr>
        <w:t>43.1</w:t>
      </w:r>
      <w:r>
        <w:rPr>
          <w:rFonts w:hint="eastAsia" w:hAnsi="Times New Roman"/>
          <w:b/>
          <w:bCs/>
          <w:szCs w:val="21"/>
        </w:rPr>
        <w:t>方式一：公开招标的货物、服务采购项目，招标过程中提交投标文件或者经评审实质性响应招标文件要求的供应商只有两家时，经评审委员会审核采购文件无歧视性、排他性等不合理条款，可现场直接转为与该两家供应商进行竞争性谈判采购。（《深圳海关非政府采购管理办法》第二十七条）。根据《财库〔</w:t>
      </w:r>
      <w:r>
        <w:rPr>
          <w:rFonts w:hAnsi="Times New Roman"/>
          <w:b/>
          <w:bCs/>
          <w:szCs w:val="21"/>
        </w:rPr>
        <w:t>2012</w:t>
      </w:r>
      <w:r>
        <w:rPr>
          <w:rFonts w:hint="eastAsia" w:hAnsi="Times New Roman"/>
          <w:b/>
          <w:bCs/>
          <w:szCs w:val="21"/>
        </w:rPr>
        <w:t>〕</w:t>
      </w:r>
      <w:r>
        <w:rPr>
          <w:rFonts w:hAnsi="Times New Roman"/>
          <w:b/>
          <w:bCs/>
          <w:szCs w:val="21"/>
        </w:rPr>
        <w:t>69</w:t>
      </w:r>
      <w:r>
        <w:rPr>
          <w:rFonts w:hint="eastAsia" w:hAnsi="Times New Roman"/>
          <w:b/>
          <w:bCs/>
          <w:szCs w:val="21"/>
        </w:rPr>
        <w:t>号财政部关于进一步规范政府采购评审工作有关问题的通知》的规定，评审委员会要在采购项目招标失败时，出具招标文件是否存在不合理条款的论证意见，论证意见写进评审报告中。</w:t>
      </w:r>
    </w:p>
    <w:p>
      <w:pPr>
        <w:tabs>
          <w:tab w:val="clear" w:pos="426"/>
        </w:tabs>
        <w:rPr>
          <w:rFonts w:hint="eastAsia"/>
        </w:rPr>
      </w:pPr>
      <w:r>
        <w:rPr>
          <w:rFonts w:hint="eastAsia" w:hAnsi="Times New Roman"/>
          <w:szCs w:val="21"/>
        </w:rPr>
        <w:t>方式二：</w:t>
      </w:r>
      <w:r>
        <w:rPr>
          <w:rFonts w:hint="eastAsia"/>
          <w:szCs w:val="21"/>
        </w:rPr>
        <w:t>本项目公开招标过程中若由于投标截止后</w:t>
      </w:r>
      <w:r>
        <w:rPr>
          <w:rFonts w:hint="eastAsia"/>
        </w:rPr>
        <w:t>实际递交投标文件的供应商数量不足、经评标委员会评审对招标文件作实质响应的供应商不足等原因造成公开招标失败，可由采购代理机构重新组织采购。</w:t>
      </w:r>
    </w:p>
    <w:p>
      <w:pPr>
        <w:tabs>
          <w:tab w:val="clear" w:pos="426"/>
        </w:tabs>
        <w:rPr>
          <w:rFonts w:hint="eastAsia"/>
        </w:rPr>
      </w:pPr>
      <w:r>
        <w:t>43.2</w:t>
      </w:r>
      <w:r>
        <w:rPr>
          <w:rFonts w:hint="eastAsia"/>
        </w:rPr>
        <w:t>对公开招标失败的项目，评标委员会在出具该项目招标失败结论的同时，提出重新采购组织形式的建议，以及进一步完善招标文件的资格、技术、商务要求的修改建议。</w:t>
      </w:r>
    </w:p>
    <w:p>
      <w:pPr>
        <w:tabs>
          <w:tab w:val="clear" w:pos="426"/>
        </w:tabs>
        <w:rPr>
          <w:rFonts w:hint="eastAsia"/>
        </w:rPr>
      </w:pPr>
      <w:r>
        <w:t>43.3</w:t>
      </w:r>
      <w:r>
        <w:rPr>
          <w:rFonts w:hint="eastAsia"/>
        </w:rPr>
        <w:t>评审委员会要在采购项目招标失败时，出具招标文件是否存在不合理条款的论证意见，要协助采购人、采购代理机构、财政部门答复质疑或处理投诉事项。</w:t>
      </w:r>
    </w:p>
    <w:p>
      <w:pPr>
        <w:tabs>
          <w:tab w:val="clear" w:pos="426"/>
        </w:tabs>
        <w:rPr>
          <w:rFonts w:hint="eastAsia"/>
        </w:rPr>
      </w:pPr>
      <w:r>
        <w:t>43.4</w:t>
      </w:r>
      <w:r>
        <w:rPr>
          <w:rFonts w:hint="eastAsia"/>
        </w:rPr>
        <w:t>重新组织采购有以下两种组织形式：</w:t>
      </w:r>
    </w:p>
    <w:p>
      <w:pPr>
        <w:tabs>
          <w:tab w:val="clear" w:pos="426"/>
        </w:tabs>
        <w:rPr>
          <w:rFonts w:hint="eastAsia"/>
        </w:rPr>
      </w:pPr>
      <w:r>
        <w:rPr>
          <w:rFonts w:hint="eastAsia"/>
        </w:rPr>
        <w:t>（</w:t>
      </w:r>
      <w:r>
        <w:t>1</w:t>
      </w:r>
      <w:r>
        <w:rPr>
          <w:rFonts w:hint="eastAsia"/>
        </w:rPr>
        <w:t>）由采购代理机构重新组织公开招标；</w:t>
      </w:r>
    </w:p>
    <w:p>
      <w:pPr>
        <w:tabs>
          <w:tab w:val="clear" w:pos="426"/>
        </w:tabs>
        <w:rPr>
          <w:rFonts w:hint="eastAsia"/>
        </w:rPr>
      </w:pPr>
      <w:r>
        <w:rPr>
          <w:rFonts w:hint="eastAsia"/>
        </w:rPr>
        <w:t>（</w:t>
      </w:r>
      <w:r>
        <w:t>2</w:t>
      </w:r>
      <w:r>
        <w:rPr>
          <w:rFonts w:hint="eastAsia"/>
        </w:rPr>
        <w:t>）根据实际情况需要向相关监督管理部门提出非公开招标方式申请，经相关监督管理部门批准公开招标失败采购项目可转为竞争性谈判或单一来源谈判方式采购。</w:t>
      </w:r>
    </w:p>
    <w:p>
      <w:pPr>
        <w:tabs>
          <w:tab w:val="clear" w:pos="426"/>
        </w:tabs>
        <w:rPr>
          <w:rFonts w:hint="eastAsia"/>
        </w:rPr>
      </w:pPr>
      <w:r>
        <w:t>43.5</w:t>
      </w:r>
      <w:r>
        <w:rPr>
          <w:rFonts w:hint="eastAsia"/>
        </w:rPr>
        <w:t>公开招标失败的采购项目重新组织公开招标，采购代理机构要重新按公开招标流程发布采购公告和招标文件、组成评标委员会等组织采购活动。</w:t>
      </w:r>
    </w:p>
    <w:p>
      <w:pPr>
        <w:tabs>
          <w:tab w:val="clear" w:pos="426"/>
        </w:tabs>
        <w:rPr>
          <w:rFonts w:hint="eastAsia"/>
        </w:rPr>
      </w:pPr>
      <w:r>
        <w:t>43.6</w:t>
      </w:r>
      <w:r>
        <w:rPr>
          <w:rFonts w:hint="eastAsia"/>
        </w:rPr>
        <w:t>公开招标失败的采购项目经相关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rFonts w:hint="eastAsia"/>
        </w:rPr>
      </w:pPr>
      <w:r>
        <w:t>44</w:t>
      </w:r>
      <w:r>
        <w:rPr>
          <w:rFonts w:hint="eastAsia"/>
        </w:rPr>
        <w:t>．公开招标失败项目转为竞争性谈判方式采购的</w:t>
      </w:r>
    </w:p>
    <w:p>
      <w:pPr>
        <w:tabs>
          <w:tab w:val="clear" w:pos="426"/>
        </w:tabs>
        <w:rPr>
          <w:rFonts w:hint="eastAsia"/>
        </w:rPr>
      </w:pPr>
      <w:r>
        <w:t>44.1</w:t>
      </w:r>
      <w:r>
        <w:rPr>
          <w:rFonts w:hint="eastAsia"/>
        </w:rPr>
        <w:t>谈判文件</w:t>
      </w:r>
    </w:p>
    <w:p>
      <w:pPr>
        <w:tabs>
          <w:tab w:val="clear" w:pos="426"/>
        </w:tabs>
        <w:rPr>
          <w:rFonts w:hint="eastAsia"/>
        </w:rPr>
      </w:pPr>
      <w:r>
        <w:t>44.1.1</w:t>
      </w:r>
      <w:r>
        <w:rPr>
          <w:rFonts w:hint="eastAsia"/>
        </w:rPr>
        <w:t>公开招标失败项目转为竞争性谈判方式采购的，原招标文件转为谈判文件。</w:t>
      </w:r>
    </w:p>
    <w:p>
      <w:pPr>
        <w:tabs>
          <w:tab w:val="clear" w:pos="426"/>
        </w:tabs>
        <w:rPr>
          <w:rFonts w:hint="eastAsia"/>
        </w:rPr>
      </w:pPr>
      <w:r>
        <w:t>44.2</w:t>
      </w:r>
      <w:r>
        <w:rPr>
          <w:rFonts w:hint="eastAsia"/>
        </w:rPr>
        <w:t>谈判小组</w:t>
      </w:r>
    </w:p>
    <w:p>
      <w:pPr>
        <w:tabs>
          <w:tab w:val="clear" w:pos="426"/>
        </w:tabs>
        <w:rPr>
          <w:rFonts w:hint="eastAsia"/>
        </w:rPr>
      </w:pPr>
      <w:r>
        <w:t>44.2.1</w:t>
      </w:r>
      <w:r>
        <w:rPr>
          <w:rFonts w:hint="eastAsia"/>
        </w:rPr>
        <w:t>公开招标失败项目转为竞争性谈判方式采购后，评标委员会转为谈判小组；专家可重新抽取也可继续采用评标委员会内专家。</w:t>
      </w:r>
    </w:p>
    <w:p>
      <w:pPr>
        <w:tabs>
          <w:tab w:val="clear" w:pos="426"/>
        </w:tabs>
        <w:rPr>
          <w:rFonts w:hint="eastAsia"/>
        </w:rPr>
      </w:pPr>
      <w:r>
        <w:rPr>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w:t>
      </w:r>
      <w:r>
        <w:rPr>
          <w:rFonts w:hint="eastAsia"/>
          <w:bCs/>
        </w:rPr>
        <w:t>”</w:t>
      </w:r>
      <w:r>
        <w:rPr>
          <w:rFonts w:hint="eastAsia"/>
        </w:rPr>
        <w:t>部分以及谈判邀请中相应的变动部分。</w:t>
      </w:r>
    </w:p>
    <w:p>
      <w:pPr>
        <w:tabs>
          <w:tab w:val="clear" w:pos="426"/>
        </w:tabs>
        <w:rPr>
          <w:rFonts w:hint="eastAsia"/>
        </w:rPr>
      </w:pPr>
      <w:r>
        <w:t>44.3</w:t>
      </w:r>
      <w:r>
        <w:rPr>
          <w:rFonts w:hint="eastAsia"/>
        </w:rPr>
        <w:t>谈判程序</w:t>
      </w:r>
    </w:p>
    <w:p>
      <w:pPr>
        <w:tabs>
          <w:tab w:val="clear" w:pos="426"/>
        </w:tabs>
        <w:rPr>
          <w:rFonts w:hint="eastAsia"/>
        </w:rPr>
      </w:pPr>
      <w:r>
        <w:t>44.3.1</w:t>
      </w:r>
      <w:r>
        <w:rPr>
          <w:rFonts w:hint="eastAsia"/>
        </w:rPr>
        <w:t>参加谈判的供应商和谈判小组成员填写谈判登记表，并交验证明文件（法定代表人证明书、法人授权委托书、被授权的谈判代表身份证原件）。</w:t>
      </w:r>
    </w:p>
    <w:p>
      <w:pPr>
        <w:tabs>
          <w:tab w:val="clear" w:pos="426"/>
        </w:tabs>
        <w:rPr>
          <w:rFonts w:hint="eastAsia"/>
        </w:rPr>
      </w:pPr>
      <w:r>
        <w:t>44.3.2</w:t>
      </w:r>
      <w:r>
        <w:rPr>
          <w:rFonts w:hint="eastAsia"/>
        </w:rPr>
        <w:t>谈判小组主持人宣布谈判规则和谈判纪律。</w:t>
      </w:r>
    </w:p>
    <w:p>
      <w:pPr>
        <w:tabs>
          <w:tab w:val="clear" w:pos="426"/>
        </w:tabs>
        <w:rPr>
          <w:rFonts w:hint="eastAsia"/>
        </w:rPr>
      </w:pPr>
      <w:r>
        <w:t>44.3.3</w:t>
      </w:r>
      <w:r>
        <w:rPr>
          <w:rFonts w:hint="eastAsia"/>
        </w:rPr>
        <w:t>在谈判中，谈判小组将就以下谈判内容跟供应商进行谈判：</w:t>
      </w:r>
    </w:p>
    <w:p>
      <w:pPr>
        <w:tabs>
          <w:tab w:val="clear" w:pos="426"/>
        </w:tabs>
        <w:rPr>
          <w:rFonts w:hint="eastAsia"/>
        </w:rPr>
      </w:pPr>
      <w:r>
        <w:rPr>
          <w:rFonts w:hint="eastAsia"/>
        </w:rPr>
        <w:t>（</w:t>
      </w:r>
      <w:r>
        <w:t>1</w:t>
      </w:r>
      <w:r>
        <w:rPr>
          <w:rFonts w:hint="eastAsia"/>
        </w:rPr>
        <w:t>）项目方案；</w:t>
      </w:r>
    </w:p>
    <w:p>
      <w:pPr>
        <w:tabs>
          <w:tab w:val="clear" w:pos="426"/>
        </w:tabs>
        <w:rPr>
          <w:rFonts w:hint="eastAsia"/>
        </w:rPr>
      </w:pPr>
      <w:r>
        <w:rPr>
          <w:rFonts w:hint="eastAsia"/>
        </w:rPr>
        <w:t>（</w:t>
      </w:r>
      <w:r>
        <w:t>2</w:t>
      </w:r>
      <w:r>
        <w:rPr>
          <w:rFonts w:hint="eastAsia"/>
        </w:rPr>
        <w:t>）报价；</w:t>
      </w:r>
    </w:p>
    <w:p>
      <w:pPr>
        <w:tabs>
          <w:tab w:val="clear" w:pos="426"/>
        </w:tabs>
        <w:rPr>
          <w:rFonts w:hint="eastAsia"/>
        </w:rPr>
      </w:pPr>
      <w:r>
        <w:rPr>
          <w:rFonts w:hint="eastAsia"/>
        </w:rPr>
        <w:t>（</w:t>
      </w:r>
      <w:r>
        <w:t>3</w:t>
      </w:r>
      <w:r>
        <w:rPr>
          <w:rFonts w:hint="eastAsia"/>
        </w:rPr>
        <w:t>）其它相关事项。</w:t>
      </w:r>
    </w:p>
    <w:p>
      <w:pPr>
        <w:tabs>
          <w:tab w:val="clear" w:pos="426"/>
        </w:tabs>
        <w:rPr>
          <w:rFonts w:hint="eastAsia"/>
        </w:rPr>
      </w:pPr>
      <w:r>
        <w:rPr>
          <w:rFonts w:hint="eastAsia"/>
        </w:rPr>
        <w:t>原招标文件或谈判邀请文件有实质性变动的，谈判小组应当通过采购代理机构通知所有参加谈判的供应商。</w:t>
      </w:r>
    </w:p>
    <w:p>
      <w:pPr>
        <w:tabs>
          <w:tab w:val="clear" w:pos="426"/>
        </w:tabs>
        <w:rPr>
          <w:rFonts w:hint="eastAsia"/>
        </w:rPr>
      </w:pPr>
      <w:r>
        <w:t>44.3.4</w:t>
      </w:r>
      <w:r>
        <w:rPr>
          <w:rFonts w:hint="eastAsia"/>
        </w:rPr>
        <w:t>谈判小组可以用书面形式要求各供应商对其谈判应答文件含义不明确的内容作必要的澄清或者说明，重要问题供应商应以书面形式进行澄清、说明。</w:t>
      </w:r>
    </w:p>
    <w:p>
      <w:pPr>
        <w:tabs>
          <w:tab w:val="clear" w:pos="426"/>
        </w:tabs>
        <w:rPr>
          <w:rFonts w:hint="eastAsia"/>
        </w:rPr>
      </w:pPr>
      <w:r>
        <w:t xml:space="preserve">44.3.5 </w:t>
      </w:r>
      <w:r>
        <w:rPr>
          <w:rFonts w:hint="eastAsia"/>
        </w:rPr>
        <w:t>允许供应商在谈判结束之前根据谈判小组提出的内容进行澄清、修改或完善，或对项目方案进行相应的调整。</w:t>
      </w:r>
    </w:p>
    <w:p>
      <w:pPr>
        <w:tabs>
          <w:tab w:val="clear" w:pos="426"/>
        </w:tabs>
        <w:rPr>
          <w:rFonts w:hint="eastAsia"/>
        </w:rPr>
      </w:pPr>
      <w:r>
        <w:t>44.3.6</w:t>
      </w:r>
      <w:r>
        <w:rPr>
          <w:rFonts w:hint="eastAsia"/>
        </w:rPr>
        <w:t>供应商对谈判应答文件进行修改，都应形成文字材料，并经供应商谈判授权人签字认可。</w:t>
      </w:r>
    </w:p>
    <w:p>
      <w:pPr>
        <w:tabs>
          <w:tab w:val="clear" w:pos="426"/>
        </w:tabs>
        <w:rPr>
          <w:rFonts w:hint="eastAsia"/>
        </w:rPr>
      </w:pPr>
      <w:r>
        <w:t>44.3.7</w:t>
      </w:r>
      <w:r>
        <w:rPr>
          <w:rFonts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rFonts w:hint="eastAsia"/>
          <w:szCs w:val="21"/>
        </w:rPr>
      </w:pPr>
      <w:r>
        <w:rPr>
          <w:szCs w:val="21"/>
        </w:rPr>
        <w:t>44.3.8</w:t>
      </w:r>
      <w:r>
        <w:rPr>
          <w:rFonts w:hint="eastAsia"/>
          <w:szCs w:val="21"/>
        </w:rPr>
        <w:t>有下列情形之一的，该供应商的谈判结果</w:t>
      </w:r>
      <w:r>
        <w:rPr>
          <w:rFonts w:hint="eastAsia"/>
          <w:bCs/>
        </w:rPr>
        <w:t>按无效标或废标处理</w:t>
      </w:r>
      <w:r>
        <w:rPr>
          <w:rFonts w:hint="eastAsia"/>
          <w:szCs w:val="21"/>
        </w:rPr>
        <w:t>，</w:t>
      </w:r>
      <w:r>
        <w:rPr>
          <w:rFonts w:hint="eastAsia"/>
        </w:rPr>
        <w:t>具体内容见原招标文件中不符合“资格、符合性评审条款”部分以及谈判邀请中相应的变动部分。</w:t>
      </w:r>
    </w:p>
    <w:p>
      <w:pPr>
        <w:tabs>
          <w:tab w:val="clear" w:pos="426"/>
        </w:tabs>
        <w:rPr>
          <w:rFonts w:hint="eastAsia"/>
        </w:rPr>
      </w:pPr>
      <w:r>
        <w:t>44.3.9</w:t>
      </w:r>
      <w:r>
        <w:rPr>
          <w:rFonts w:hint="eastAsia"/>
        </w:rPr>
        <w:t>谈判结束后，谈判小组根据供应商提供的谈判应答文件、谈判过程中产生的相关资料，对供应商谈判应答文件进行评估与比较，提出书面评审意见。</w:t>
      </w:r>
    </w:p>
    <w:p>
      <w:pPr>
        <w:tabs>
          <w:tab w:val="clear" w:pos="426"/>
        </w:tabs>
        <w:rPr>
          <w:rFonts w:hint="eastAsia"/>
        </w:rPr>
      </w:pPr>
      <w:r>
        <w:t>44.3.10</w:t>
      </w:r>
      <w:r>
        <w:rPr>
          <w:rFonts w:hint="eastAsia"/>
        </w:rPr>
        <w:t>谈判小组将对谈判过程进行记录，以存档备查。</w:t>
      </w:r>
    </w:p>
    <w:p>
      <w:pPr>
        <w:tabs>
          <w:tab w:val="clear" w:pos="426"/>
        </w:tabs>
        <w:rPr>
          <w:rFonts w:hint="eastAsia"/>
        </w:rPr>
      </w:pPr>
      <w:r>
        <w:t>44.4</w:t>
      </w:r>
      <w:r>
        <w:rPr>
          <w:rFonts w:hint="eastAsia"/>
        </w:rPr>
        <w:t>评标方法和定标原则</w:t>
      </w:r>
    </w:p>
    <w:p>
      <w:pPr>
        <w:tabs>
          <w:tab w:val="clear" w:pos="426"/>
        </w:tabs>
        <w:rPr>
          <w:rFonts w:hint="eastAsia"/>
        </w:rPr>
      </w:pPr>
      <w:r>
        <w:t>44.4.1</w:t>
      </w:r>
      <w:r>
        <w:rPr>
          <w:rFonts w:hint="eastAsia"/>
        </w:rPr>
        <w:t>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pPr>
        <w:tabs>
          <w:tab w:val="clear" w:pos="426"/>
        </w:tabs>
        <w:rPr>
          <w:rFonts w:hint="eastAsia"/>
        </w:rPr>
      </w:pPr>
      <w:r>
        <w:rPr>
          <w:szCs w:val="21"/>
        </w:rPr>
        <w:t>44.4.2</w:t>
      </w:r>
      <w:r>
        <w:rPr>
          <w:rFonts w:hint="eastAsia"/>
          <w:szCs w:val="21"/>
        </w:rPr>
        <w:t>对公开招标失败转为竞争性谈判方式采购的项目，谈判小组</w:t>
      </w:r>
      <w:r>
        <w:rPr>
          <w:rFonts w:hint="eastAsia"/>
        </w:rPr>
        <w:t>对谈判应答文件进行评审和比较，综合各家供应商最终的方案、服务和投资等谈判结果并按本通用条款第</w:t>
      </w:r>
      <w:r>
        <w:rPr>
          <w:bCs/>
          <w:szCs w:val="21"/>
        </w:rPr>
        <w:t>37.1.1</w:t>
      </w:r>
      <w:r>
        <w:rPr>
          <w:rFonts w:hint="eastAsia"/>
          <w:bCs/>
          <w:szCs w:val="21"/>
        </w:rPr>
        <w:t>款</w:t>
      </w:r>
      <w:r>
        <w:rPr>
          <w:rFonts w:hint="eastAsia"/>
        </w:rPr>
        <w:t>的</w:t>
      </w:r>
      <w:r>
        <w:rPr>
          <w:rFonts w:hint="eastAsia"/>
          <w:bCs/>
        </w:rPr>
        <w:t>最低评标价法</w:t>
      </w:r>
      <w:r>
        <w:rPr>
          <w:rFonts w:hint="eastAsia"/>
        </w:rPr>
        <w:t>进行评审。</w:t>
      </w:r>
    </w:p>
    <w:p>
      <w:pPr>
        <w:tabs>
          <w:tab w:val="clear" w:pos="426"/>
        </w:tabs>
        <w:rPr>
          <w:rFonts w:hint="eastAsia"/>
        </w:rPr>
      </w:pPr>
      <w:r>
        <w:t>44.4.3</w:t>
      </w:r>
      <w:r>
        <w:rPr>
          <w:rFonts w:hint="eastAsia"/>
        </w:rPr>
        <w:t>若要采用其他评标方法的，必须报经相关监督管理部门批准，谈判小组按批准的评标方法进行评审。谈判邀请文件中应注明批准的评标方法。</w:t>
      </w:r>
    </w:p>
    <w:p>
      <w:pPr>
        <w:tabs>
          <w:tab w:val="clear" w:pos="426"/>
        </w:tabs>
        <w:rPr>
          <w:rFonts w:hint="eastAsia"/>
        </w:rPr>
      </w:pPr>
      <w:r>
        <w:t>44.4.4</w:t>
      </w:r>
      <w:r>
        <w:rPr>
          <w:rFonts w:hint="eastAsia"/>
        </w:rPr>
        <w:t>谈判小组向采购代理机构提交书面评标报告，并推荐中标候选人或确定中标供应商。</w:t>
      </w:r>
    </w:p>
    <w:p>
      <w:pPr>
        <w:tabs>
          <w:tab w:val="clear" w:pos="426"/>
        </w:tabs>
        <w:rPr>
          <w:rFonts w:hint="eastAsia"/>
        </w:rPr>
      </w:pPr>
      <w:r>
        <w:t>45</w:t>
      </w:r>
      <w:r>
        <w:rPr>
          <w:rFonts w:hint="eastAsia"/>
        </w:rPr>
        <w:t>．公开招标失败项目转为单一来源谈判方式采购</w:t>
      </w:r>
    </w:p>
    <w:p>
      <w:pPr>
        <w:tabs>
          <w:tab w:val="clear" w:pos="426"/>
        </w:tabs>
        <w:rPr>
          <w:rFonts w:hint="eastAsia"/>
        </w:rPr>
      </w:pPr>
      <w:r>
        <w:t>45.1</w:t>
      </w:r>
      <w:r>
        <w:rPr>
          <w:rFonts w:hint="eastAsia"/>
        </w:rPr>
        <w:t>谈判文件</w:t>
      </w:r>
    </w:p>
    <w:p>
      <w:pPr>
        <w:tabs>
          <w:tab w:val="clear" w:pos="426"/>
        </w:tabs>
        <w:rPr>
          <w:rFonts w:hint="eastAsia"/>
        </w:rPr>
      </w:pPr>
      <w:r>
        <w:t>45.1.1</w:t>
      </w:r>
      <w:r>
        <w:rPr>
          <w:rFonts w:hint="eastAsia"/>
        </w:rPr>
        <w:t>公开招标失败项目转为单一来源谈判方式采购的，原招标文件转为谈判文件。</w:t>
      </w:r>
    </w:p>
    <w:p>
      <w:pPr>
        <w:tabs>
          <w:tab w:val="clear" w:pos="426"/>
        </w:tabs>
        <w:rPr>
          <w:rFonts w:hint="eastAsia"/>
        </w:rPr>
      </w:pPr>
      <w:r>
        <w:t>45.2</w:t>
      </w:r>
      <w:r>
        <w:rPr>
          <w:rFonts w:hint="eastAsia"/>
        </w:rPr>
        <w:t>谈判小组</w:t>
      </w:r>
    </w:p>
    <w:p>
      <w:pPr>
        <w:tabs>
          <w:tab w:val="clear" w:pos="426"/>
        </w:tabs>
        <w:rPr>
          <w:rFonts w:hint="eastAsia"/>
        </w:rPr>
      </w:pPr>
      <w:r>
        <w:t>45.2.1</w:t>
      </w:r>
      <w:r>
        <w:rPr>
          <w:rFonts w:hint="eastAsia"/>
        </w:rPr>
        <w:t>公开招标失败项目转为单一来源谈判方式采购后，评标委员会转为谈判小组，专家可重新抽取也可继续采用评标委员会内专家。</w:t>
      </w:r>
    </w:p>
    <w:p>
      <w:pPr>
        <w:tabs>
          <w:tab w:val="clear" w:pos="426"/>
        </w:tabs>
        <w:rPr>
          <w:rFonts w:hint="eastAsia"/>
        </w:rPr>
      </w:pPr>
      <w:r>
        <w:rPr>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具体内容见原招标文件中“资格、符合性评审条款</w:t>
      </w:r>
      <w:r>
        <w:rPr>
          <w:rFonts w:hint="eastAsia"/>
          <w:bCs/>
        </w:rPr>
        <w:t>”</w:t>
      </w:r>
      <w:r>
        <w:rPr>
          <w:rFonts w:hint="eastAsia"/>
        </w:rPr>
        <w:t>部分以及谈判邀请中相应的变动部分。</w:t>
      </w:r>
    </w:p>
    <w:p>
      <w:pPr>
        <w:tabs>
          <w:tab w:val="clear" w:pos="426"/>
        </w:tabs>
        <w:rPr>
          <w:rFonts w:hint="eastAsia"/>
        </w:rPr>
      </w:pPr>
      <w:r>
        <w:t>45.3</w:t>
      </w:r>
      <w:r>
        <w:rPr>
          <w:rFonts w:hint="eastAsia"/>
        </w:rPr>
        <w:t>谈判程序</w:t>
      </w:r>
    </w:p>
    <w:p>
      <w:pPr>
        <w:tabs>
          <w:tab w:val="clear" w:pos="426"/>
        </w:tabs>
        <w:rPr>
          <w:rFonts w:hint="eastAsia"/>
        </w:rPr>
      </w:pPr>
      <w:r>
        <w:t>45.3.1</w:t>
      </w:r>
      <w:r>
        <w:rPr>
          <w:rFonts w:hint="eastAsia"/>
        </w:rPr>
        <w:t>参加谈判的供应商和谈判小组成员填写谈判登记表，并交验证明文件（法定代表人证明书、法人授权委托书、被授权的谈判代表身份证原件）。</w:t>
      </w:r>
    </w:p>
    <w:p>
      <w:pPr>
        <w:tabs>
          <w:tab w:val="clear" w:pos="426"/>
        </w:tabs>
        <w:rPr>
          <w:rFonts w:hint="eastAsia"/>
        </w:rPr>
      </w:pPr>
      <w:r>
        <w:t>45.3.2</w:t>
      </w:r>
      <w:r>
        <w:rPr>
          <w:rFonts w:hint="eastAsia"/>
        </w:rPr>
        <w:t>谈判小组主持人宣布谈判规则和谈判纪律。</w:t>
      </w:r>
    </w:p>
    <w:p>
      <w:pPr>
        <w:tabs>
          <w:tab w:val="clear" w:pos="426"/>
        </w:tabs>
        <w:rPr>
          <w:rFonts w:hint="eastAsia"/>
        </w:rPr>
      </w:pPr>
      <w:r>
        <w:t>45.3.3</w:t>
      </w:r>
      <w:r>
        <w:rPr>
          <w:rFonts w:hint="eastAsia"/>
        </w:rPr>
        <w:t>在谈判中，谈判小组将就以下谈判内容跟供应商进行谈判：</w:t>
      </w:r>
    </w:p>
    <w:p>
      <w:pPr>
        <w:tabs>
          <w:tab w:val="clear" w:pos="426"/>
        </w:tabs>
        <w:rPr>
          <w:rFonts w:hint="eastAsia"/>
        </w:rPr>
      </w:pPr>
      <w:r>
        <w:rPr>
          <w:rFonts w:hint="eastAsia"/>
        </w:rPr>
        <w:t>（</w:t>
      </w:r>
      <w:r>
        <w:t>1</w:t>
      </w:r>
      <w:r>
        <w:rPr>
          <w:rFonts w:hint="eastAsia"/>
        </w:rPr>
        <w:t>）项目方案；</w:t>
      </w:r>
    </w:p>
    <w:p>
      <w:pPr>
        <w:tabs>
          <w:tab w:val="clear" w:pos="426"/>
        </w:tabs>
        <w:rPr>
          <w:rFonts w:hint="eastAsia"/>
        </w:rPr>
      </w:pPr>
      <w:r>
        <w:rPr>
          <w:rFonts w:hint="eastAsia"/>
        </w:rPr>
        <w:t>（</w:t>
      </w:r>
      <w:r>
        <w:t>2</w:t>
      </w:r>
      <w:r>
        <w:rPr>
          <w:rFonts w:hint="eastAsia"/>
        </w:rPr>
        <w:t>）报价；</w:t>
      </w:r>
    </w:p>
    <w:p>
      <w:pPr>
        <w:tabs>
          <w:tab w:val="clear" w:pos="426"/>
        </w:tabs>
        <w:rPr>
          <w:rFonts w:hint="eastAsia"/>
        </w:rPr>
      </w:pPr>
      <w:r>
        <w:rPr>
          <w:rFonts w:hint="eastAsia"/>
        </w:rPr>
        <w:t>（</w:t>
      </w:r>
      <w:r>
        <w:t>3</w:t>
      </w:r>
      <w:r>
        <w:rPr>
          <w:rFonts w:hint="eastAsia"/>
        </w:rPr>
        <w:t>）其它相关事项。</w:t>
      </w:r>
    </w:p>
    <w:p>
      <w:pPr>
        <w:tabs>
          <w:tab w:val="clear" w:pos="426"/>
        </w:tabs>
        <w:rPr>
          <w:rFonts w:hint="eastAsia"/>
        </w:rPr>
      </w:pPr>
      <w:r>
        <w:rPr>
          <w:rFonts w:hint="eastAsia"/>
        </w:rPr>
        <w:t>原招标文件或谈判邀请文件有实质性变动的，谈判小组应当通过采购代理机构通知供应商。</w:t>
      </w:r>
    </w:p>
    <w:p>
      <w:pPr>
        <w:tabs>
          <w:tab w:val="clear" w:pos="426"/>
        </w:tabs>
        <w:rPr>
          <w:rFonts w:hint="eastAsia"/>
        </w:rPr>
      </w:pPr>
      <w:r>
        <w:t>45.3.4</w:t>
      </w:r>
      <w:r>
        <w:rPr>
          <w:rFonts w:hint="eastAsia"/>
        </w:rPr>
        <w:t>谈判小组可以用书面形式要求供应商对其谈判应答文件含义不明确的内容作必要的澄清或者说明，重要问题供应商应以书面形式进行澄清、说明。</w:t>
      </w:r>
    </w:p>
    <w:p>
      <w:pPr>
        <w:tabs>
          <w:tab w:val="clear" w:pos="426"/>
        </w:tabs>
        <w:rPr>
          <w:rFonts w:hint="eastAsia"/>
        </w:rPr>
      </w:pPr>
      <w:r>
        <w:t xml:space="preserve">45.3.5 </w:t>
      </w:r>
      <w:r>
        <w:rPr>
          <w:rFonts w:hint="eastAsia"/>
        </w:rPr>
        <w:t>允许供应商在谈判结束之前根据谈判小组提出的内容进行澄清、修改或完善，或对项目方案进行相应的调整。</w:t>
      </w:r>
    </w:p>
    <w:p>
      <w:pPr>
        <w:tabs>
          <w:tab w:val="clear" w:pos="426"/>
        </w:tabs>
        <w:rPr>
          <w:rFonts w:hint="eastAsia"/>
        </w:rPr>
      </w:pPr>
      <w:r>
        <w:t>45.3.6</w:t>
      </w:r>
      <w:r>
        <w:rPr>
          <w:rFonts w:hint="eastAsia"/>
        </w:rPr>
        <w:t>供应商对谈判应答文件进行修改，都应形成文字材料，并经供应商谈判授权人签字认可。</w:t>
      </w:r>
    </w:p>
    <w:p>
      <w:pPr>
        <w:tabs>
          <w:tab w:val="clear" w:pos="426"/>
        </w:tabs>
        <w:rPr>
          <w:rFonts w:hint="eastAsia"/>
        </w:rPr>
      </w:pPr>
      <w:r>
        <w:t>45.3.7</w:t>
      </w:r>
      <w:r>
        <w:rPr>
          <w:rFonts w:hint="eastAsia"/>
        </w:rPr>
        <w:t>谈判小组与单一来源供应商进行谈判。供应商有两次更改机会；供应商应在规定的时间内提出最后更改及书面承诺。</w:t>
      </w:r>
    </w:p>
    <w:p>
      <w:pPr>
        <w:tabs>
          <w:tab w:val="clear" w:pos="426"/>
        </w:tabs>
        <w:rPr>
          <w:rFonts w:hint="eastAsia"/>
          <w:szCs w:val="21"/>
        </w:rPr>
      </w:pPr>
      <w:r>
        <w:rPr>
          <w:szCs w:val="21"/>
        </w:rPr>
        <w:t>45.3.8</w:t>
      </w:r>
      <w:r>
        <w:rPr>
          <w:rFonts w:hint="eastAsia"/>
          <w:szCs w:val="21"/>
        </w:rPr>
        <w:t>有下列情形之一的，供应商的谈判结果作废标处理，</w:t>
      </w:r>
      <w:r>
        <w:rPr>
          <w:rFonts w:hint="eastAsia"/>
        </w:rPr>
        <w:t>具体内容见原招标文件中不符合“资格、符合性评审条款”部分以及谈判邀请中相应的变动部分。</w:t>
      </w:r>
    </w:p>
    <w:p>
      <w:pPr>
        <w:tabs>
          <w:tab w:val="clear" w:pos="426"/>
        </w:tabs>
        <w:rPr>
          <w:rFonts w:hint="eastAsia"/>
        </w:rPr>
      </w:pPr>
      <w:r>
        <w:t>45.3.9</w:t>
      </w:r>
      <w:r>
        <w:rPr>
          <w:rFonts w:hint="eastAsia"/>
        </w:rPr>
        <w:t>谈判结束后，谈判小组根据供应商提供的谈判应答文件、谈判过程中产生的相关资料，对供应商谈判应答文件进行评估与比较，提出书面评审意见。</w:t>
      </w:r>
    </w:p>
    <w:p>
      <w:pPr>
        <w:tabs>
          <w:tab w:val="clear" w:pos="426"/>
        </w:tabs>
        <w:rPr>
          <w:rFonts w:hint="eastAsia"/>
        </w:rPr>
      </w:pPr>
      <w:r>
        <w:t>45.3.10</w:t>
      </w:r>
      <w:r>
        <w:rPr>
          <w:rFonts w:hint="eastAsia"/>
        </w:rPr>
        <w:t>谈判小组将对谈判过程进行记录，以存档备查。</w:t>
      </w:r>
    </w:p>
    <w:p>
      <w:pPr>
        <w:tabs>
          <w:tab w:val="clear" w:pos="426"/>
        </w:tabs>
        <w:rPr>
          <w:rFonts w:hint="eastAsia"/>
        </w:rPr>
      </w:pPr>
      <w:r>
        <w:t>45.4</w:t>
      </w:r>
      <w:r>
        <w:rPr>
          <w:rFonts w:hint="eastAsia"/>
        </w:rPr>
        <w:t>评标方法和定标原则</w:t>
      </w:r>
    </w:p>
    <w:p>
      <w:pPr>
        <w:tabs>
          <w:tab w:val="clear" w:pos="426"/>
        </w:tabs>
        <w:rPr>
          <w:rFonts w:hint="eastAsia"/>
        </w:rPr>
      </w:pPr>
      <w:r>
        <w:rPr>
          <w:szCs w:val="21"/>
        </w:rPr>
        <w:t>45.4.1</w:t>
      </w:r>
      <w:r>
        <w:rPr>
          <w:rFonts w:hint="eastAsia"/>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w:t>
      </w:r>
      <w:r>
        <w:t>37.1.1</w:t>
      </w:r>
      <w:r>
        <w:rPr>
          <w:rFonts w:hint="eastAsia"/>
        </w:rPr>
        <w:t>的</w:t>
      </w:r>
      <w:r>
        <w:rPr>
          <w:rFonts w:hint="eastAsia"/>
          <w:bCs/>
        </w:rPr>
        <w:t>最低评标价法</w:t>
      </w:r>
      <w:r>
        <w:rPr>
          <w:rFonts w:hint="eastAsia"/>
        </w:rPr>
        <w:t>进行评审。</w:t>
      </w:r>
    </w:p>
    <w:p>
      <w:pPr>
        <w:tabs>
          <w:tab w:val="clear" w:pos="426"/>
        </w:tabs>
        <w:rPr>
          <w:rFonts w:hint="eastAsia"/>
          <w:szCs w:val="21"/>
        </w:rPr>
      </w:pPr>
      <w:r>
        <w:t>45.4.2</w:t>
      </w:r>
      <w:r>
        <w:rPr>
          <w:rFonts w:hint="eastAsia"/>
        </w:rPr>
        <w:t>谈判小组向采购代理机构提交书面评标报告，并推荐中标候选人或确定中标供应商。</w:t>
      </w:r>
    </w:p>
    <w:p>
      <w:pPr>
        <w:pStyle w:val="5"/>
        <w:tabs>
          <w:tab w:val="clear" w:pos="426"/>
        </w:tabs>
        <w:rPr>
          <w:rFonts w:hint="eastAsia"/>
          <w:sz w:val="28"/>
          <w:szCs w:val="28"/>
        </w:rPr>
      </w:pPr>
      <w:bookmarkStart w:id="192" w:name="_Toc8231"/>
      <w:bookmarkStart w:id="193" w:name="_Toc530152530"/>
      <w:bookmarkStart w:id="194" w:name="_Toc14427262"/>
      <w:bookmarkStart w:id="195" w:name="_Toc529280589"/>
      <w:r>
        <w:rPr>
          <w:rFonts w:hint="eastAsia"/>
        </w:rPr>
        <w:t>第九章</w:t>
      </w:r>
      <w:r>
        <w:t xml:space="preserve"> </w:t>
      </w:r>
      <w:r>
        <w:rPr>
          <w:rFonts w:hint="eastAsia"/>
        </w:rPr>
        <w:t>合同的授予与备案</w:t>
      </w:r>
      <w:bookmarkEnd w:id="192"/>
      <w:bookmarkEnd w:id="193"/>
      <w:bookmarkEnd w:id="194"/>
      <w:bookmarkEnd w:id="195"/>
    </w:p>
    <w:p>
      <w:pPr>
        <w:tabs>
          <w:tab w:val="clear" w:pos="426"/>
        </w:tabs>
        <w:rPr>
          <w:rFonts w:hint="eastAsia"/>
        </w:rPr>
      </w:pPr>
      <w:r>
        <w:t>46</w:t>
      </w:r>
      <w:r>
        <w:rPr>
          <w:rFonts w:hint="eastAsia"/>
        </w:rPr>
        <w:t>．</w:t>
      </w:r>
      <w:r>
        <w:t xml:space="preserve">  </w:t>
      </w:r>
      <w:r>
        <w:rPr>
          <w:rFonts w:hint="eastAsia"/>
        </w:rPr>
        <w:t>履约担保</w:t>
      </w:r>
    </w:p>
    <w:p>
      <w:pPr>
        <w:tabs>
          <w:tab w:val="clear" w:pos="426"/>
        </w:tabs>
        <w:rPr>
          <w:rFonts w:hint="eastAsia"/>
        </w:rPr>
      </w:pPr>
      <w:r>
        <w:t xml:space="preserve">46.1  </w:t>
      </w:r>
      <w:r>
        <w:rPr>
          <w:rFonts w:hint="eastAsia"/>
        </w:rPr>
        <w:t>本项目履约担保的相关要求：详见“投标须知前附表”。</w:t>
      </w:r>
    </w:p>
    <w:p>
      <w:pPr>
        <w:tabs>
          <w:tab w:val="clear" w:pos="426"/>
        </w:tabs>
        <w:rPr>
          <w:rFonts w:hint="eastAsia"/>
        </w:rPr>
      </w:pPr>
      <w:r>
        <w:t xml:space="preserve">46.2  </w:t>
      </w:r>
      <w:r>
        <w:rPr>
          <w:rFonts w:hint="eastAsia"/>
        </w:rPr>
        <w:t>在签订合同前，中标供应商应按规定向采购人提交履约担保，采用履约保函形式的可参照使用本招标文件提供的格式。</w:t>
      </w:r>
    </w:p>
    <w:p>
      <w:pPr>
        <w:tabs>
          <w:tab w:val="clear" w:pos="426"/>
        </w:tabs>
        <w:rPr>
          <w:rFonts w:hint="eastAsia"/>
        </w:rPr>
      </w:pPr>
      <w:r>
        <w:t xml:space="preserve">46.3  </w:t>
      </w:r>
      <w:r>
        <w:rPr>
          <w:rFonts w:hint="eastAsia"/>
        </w:rPr>
        <w:t>联合体中标的，其履约担保由联合体牵头人提交，并应符合本节第</w:t>
      </w:r>
      <w:r>
        <w:t>42.1</w:t>
      </w:r>
      <w:r>
        <w:rPr>
          <w:rFonts w:hint="eastAsia"/>
        </w:rPr>
        <w:t>条、第</w:t>
      </w:r>
      <w:r>
        <w:t>45.2</w:t>
      </w:r>
      <w:r>
        <w:rPr>
          <w:rFonts w:hint="eastAsia"/>
        </w:rPr>
        <w:t>条的规定。</w:t>
      </w:r>
    </w:p>
    <w:p>
      <w:pPr>
        <w:tabs>
          <w:tab w:val="clear" w:pos="426"/>
        </w:tabs>
        <w:rPr>
          <w:rFonts w:hint="eastAsia"/>
        </w:rPr>
      </w:pPr>
      <w:r>
        <w:t xml:space="preserve">46.4  </w:t>
      </w:r>
      <w:r>
        <w:rPr>
          <w:rFonts w:hint="eastAsia"/>
        </w:rPr>
        <w:t>如果中标供应商拒不提交本节第</w:t>
      </w:r>
      <w:r>
        <w:t>42.1</w:t>
      </w:r>
      <w:r>
        <w:rPr>
          <w:rFonts w:hint="eastAsia"/>
        </w:rPr>
        <w:t>条、第</w:t>
      </w:r>
      <w:r>
        <w:t>42.2</w:t>
      </w:r>
      <w:r>
        <w:rPr>
          <w:rFonts w:hint="eastAsia"/>
        </w:rPr>
        <w:t>条要求的履约担保的，采购人可取消其中标资格，并没收其投标担保。</w:t>
      </w:r>
    </w:p>
    <w:p>
      <w:pPr>
        <w:tabs>
          <w:tab w:val="clear" w:pos="426"/>
        </w:tabs>
        <w:rPr>
          <w:rFonts w:hint="eastAsia"/>
        </w:rPr>
      </w:pPr>
      <w:r>
        <w:t>47</w:t>
      </w:r>
      <w:r>
        <w:rPr>
          <w:rFonts w:hint="eastAsia"/>
        </w:rPr>
        <w:t>．</w:t>
      </w:r>
      <w:r>
        <w:t xml:space="preserve">  </w:t>
      </w:r>
      <w:r>
        <w:rPr>
          <w:rFonts w:hint="eastAsia"/>
        </w:rPr>
        <w:t>签订合同</w:t>
      </w:r>
    </w:p>
    <w:p>
      <w:pPr>
        <w:tabs>
          <w:tab w:val="clear" w:pos="426"/>
        </w:tabs>
        <w:rPr>
          <w:rFonts w:hint="eastAsia"/>
        </w:rPr>
      </w:pPr>
      <w:r>
        <w:t xml:space="preserve">47.1  </w:t>
      </w:r>
      <w:r>
        <w:rPr>
          <w:rFonts w:hint="eastAsia"/>
        </w:rPr>
        <w:t>采购人和中标供应商应当按“投标须知前附表”的规定，依据招标文件和中标供应商的投标文件订立书面合同。</w:t>
      </w:r>
    </w:p>
    <w:p>
      <w:pPr>
        <w:tabs>
          <w:tab w:val="clear" w:pos="426"/>
        </w:tabs>
        <w:rPr>
          <w:rFonts w:hint="eastAsia"/>
        </w:rPr>
      </w:pPr>
      <w:r>
        <w:t xml:space="preserve">47.2  </w:t>
      </w:r>
      <w:r>
        <w:rPr>
          <w:rFonts w:hint="eastAsia"/>
        </w:rPr>
        <w:t>中标供应商无正当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pPr>
        <w:pStyle w:val="5"/>
        <w:tabs>
          <w:tab w:val="clear" w:pos="426"/>
        </w:tabs>
        <w:rPr>
          <w:rFonts w:hint="eastAsia"/>
        </w:rPr>
      </w:pPr>
      <w:bookmarkStart w:id="196" w:name="_Toc529280590"/>
      <w:bookmarkStart w:id="197" w:name="_Toc14427263"/>
      <w:bookmarkStart w:id="198" w:name="_Toc3704"/>
      <w:bookmarkStart w:id="199" w:name="_Toc530152531"/>
      <w:r>
        <w:rPr>
          <w:rFonts w:hint="eastAsia"/>
        </w:rPr>
        <w:t>第十章</w:t>
      </w:r>
      <w:r>
        <w:t xml:space="preserve"> </w:t>
      </w:r>
      <w:r>
        <w:rPr>
          <w:rFonts w:hint="eastAsia"/>
        </w:rPr>
        <w:t>质疑受理</w:t>
      </w:r>
      <w:bookmarkEnd w:id="196"/>
      <w:bookmarkEnd w:id="197"/>
      <w:bookmarkEnd w:id="198"/>
      <w:bookmarkEnd w:id="199"/>
    </w:p>
    <w:p>
      <w:pPr>
        <w:tabs>
          <w:tab w:val="clear" w:pos="426"/>
        </w:tabs>
        <w:rPr>
          <w:rFonts w:hint="eastAsia"/>
        </w:rPr>
      </w:pPr>
      <w:r>
        <w:t>48.</w:t>
      </w:r>
      <w:r>
        <w:rPr>
          <w:rFonts w:hint="eastAsia"/>
        </w:rPr>
        <w:t>质疑受理机构</w:t>
      </w:r>
    </w:p>
    <w:p>
      <w:pPr>
        <w:tabs>
          <w:tab w:val="clear" w:pos="426"/>
        </w:tabs>
        <w:rPr>
          <w:rFonts w:hint="eastAsia"/>
          <w:sz w:val="22"/>
          <w:szCs w:val="22"/>
        </w:rPr>
      </w:pPr>
      <w:r>
        <w:rPr>
          <w:rFonts w:hint="eastAsia"/>
        </w:rPr>
        <w:t>采购代理机构及采购人负责受理和答复质疑</w:t>
      </w:r>
      <w:r>
        <w:rPr>
          <w:rFonts w:hint="eastAsia"/>
          <w:sz w:val="22"/>
          <w:szCs w:val="22"/>
        </w:rPr>
        <w:t>。</w:t>
      </w:r>
    </w:p>
    <w:p>
      <w:pPr>
        <w:tabs>
          <w:tab w:val="clear" w:pos="426"/>
        </w:tabs>
        <w:rPr>
          <w:rFonts w:hint="eastAsia"/>
        </w:rPr>
      </w:pPr>
      <w:r>
        <w:t>49.</w:t>
      </w:r>
      <w:r>
        <w:rPr>
          <w:rFonts w:hint="eastAsia"/>
        </w:rPr>
        <w:t>质疑处理原则</w:t>
      </w:r>
    </w:p>
    <w:p>
      <w:pPr>
        <w:tabs>
          <w:tab w:val="clear" w:pos="426"/>
        </w:tabs>
        <w:rPr>
          <w:rFonts w:hint="eastAsia"/>
        </w:rPr>
      </w:pPr>
      <w:r>
        <w:t>49.1</w:t>
      </w:r>
      <w:r>
        <w:rPr>
          <w:rFonts w:hint="eastAsia"/>
        </w:rPr>
        <w:t>质疑处理遵循公平、公正、规范、高效的原则。</w:t>
      </w:r>
    </w:p>
    <w:p>
      <w:pPr>
        <w:tabs>
          <w:tab w:val="clear" w:pos="426"/>
        </w:tabs>
        <w:rPr>
          <w:rFonts w:hint="eastAsia"/>
        </w:rPr>
      </w:pPr>
      <w:r>
        <w:t>49.2</w:t>
      </w:r>
      <w:r>
        <w:rPr>
          <w:rFonts w:hint="eastAsia"/>
        </w:rPr>
        <w:t>供应商质疑实行实名制和“谁质疑，谁举证”的原则，质疑应有具体的事项及事实根据。</w:t>
      </w:r>
    </w:p>
    <w:p>
      <w:pPr>
        <w:tabs>
          <w:tab w:val="clear" w:pos="426"/>
        </w:tabs>
        <w:rPr>
          <w:rFonts w:hint="eastAsia"/>
        </w:rPr>
      </w:pPr>
      <w:r>
        <w:t>50.</w:t>
      </w:r>
      <w:r>
        <w:rPr>
          <w:rFonts w:hint="eastAsia"/>
        </w:rPr>
        <w:t>质疑受理的时效和范围</w:t>
      </w:r>
    </w:p>
    <w:p>
      <w:pPr>
        <w:tabs>
          <w:tab w:val="clear" w:pos="426"/>
        </w:tabs>
        <w:rPr>
          <w:rFonts w:hint="eastAsia"/>
        </w:rPr>
      </w:pPr>
      <w:r>
        <w:t>50.1</w:t>
      </w:r>
      <w:r>
        <w:rPr>
          <w:rFonts w:hint="eastAsia"/>
        </w:rPr>
        <w:t>供应商认为采购文件、采购过程和中标、成交结果使自己权益受到损害的，可以在知道或者应知其权益受到损害之日起</w:t>
      </w:r>
      <w:r>
        <w:t>7</w:t>
      </w:r>
      <w:r>
        <w:rPr>
          <w:rFonts w:hint="eastAsia"/>
        </w:rPr>
        <w:t>个工作日内，以书面形式向采购代理机构提出质疑。</w:t>
      </w:r>
    </w:p>
    <w:p>
      <w:pPr>
        <w:tabs>
          <w:tab w:val="clear" w:pos="426"/>
        </w:tabs>
        <w:rPr>
          <w:rFonts w:hint="eastAsia"/>
        </w:rPr>
      </w:pPr>
      <w:r>
        <w:t>50.2</w:t>
      </w:r>
      <w:r>
        <w:rPr>
          <w:rFonts w:hint="eastAsia"/>
        </w:rPr>
        <w:t>供应商对采购文件有疑问的，采购代理机构及采购人按答疑程序处理；供应商对采购文件有异议的，按质疑程序处理。</w:t>
      </w:r>
    </w:p>
    <w:p>
      <w:pPr>
        <w:tabs>
          <w:tab w:val="clear" w:pos="426"/>
        </w:tabs>
        <w:rPr>
          <w:rFonts w:hint="eastAsia"/>
        </w:rPr>
      </w:pPr>
      <w:r>
        <w:t>51.</w:t>
      </w:r>
      <w:r>
        <w:rPr>
          <w:rFonts w:hint="eastAsia"/>
        </w:rPr>
        <w:t>质疑条件</w:t>
      </w:r>
    </w:p>
    <w:p>
      <w:pPr>
        <w:tabs>
          <w:tab w:val="clear" w:pos="426"/>
        </w:tabs>
        <w:rPr>
          <w:rFonts w:hint="eastAsia"/>
        </w:rPr>
      </w:pPr>
      <w:r>
        <w:t>51.1</w:t>
      </w:r>
      <w:r>
        <w:rPr>
          <w:rFonts w:hint="eastAsia"/>
        </w:rPr>
        <w:t>提出质疑的应是直接参与相应采购项目的供应商。以联合体形式参与的，由联合体共同提出；</w:t>
      </w:r>
    </w:p>
    <w:p>
      <w:pPr>
        <w:tabs>
          <w:tab w:val="clear" w:pos="426"/>
        </w:tabs>
        <w:rPr>
          <w:rFonts w:hint="eastAsia"/>
        </w:rPr>
      </w:pPr>
      <w:r>
        <w:t>51.2</w:t>
      </w:r>
      <w:r>
        <w:rPr>
          <w:rFonts w:hint="eastAsia"/>
        </w:rPr>
        <w:t>提供质疑的项目名称和编号、质疑供应商的单位名称、详细地址、邮政编码、联系人及联系电话等基本情况；</w:t>
      </w:r>
    </w:p>
    <w:p>
      <w:pPr>
        <w:tabs>
          <w:tab w:val="clear" w:pos="426"/>
        </w:tabs>
        <w:rPr>
          <w:rFonts w:hint="eastAsia"/>
        </w:rPr>
      </w:pPr>
      <w:r>
        <w:t>51.3</w:t>
      </w:r>
      <w:r>
        <w:rPr>
          <w:rFonts w:hint="eastAsia"/>
        </w:rPr>
        <w:t>有质疑的具体事项、请求及理由，并附相关证据材料；</w:t>
      </w:r>
    </w:p>
    <w:p>
      <w:pPr>
        <w:tabs>
          <w:tab w:val="clear" w:pos="426"/>
        </w:tabs>
        <w:rPr>
          <w:rFonts w:hint="eastAsia"/>
        </w:rPr>
      </w:pPr>
      <w:r>
        <w:t>51.4</w:t>
      </w:r>
      <w:r>
        <w:rPr>
          <w:rFonts w:hint="eastAsia"/>
        </w:rPr>
        <w:t>质疑书加盖公章，被授权人进行质疑的同时提交法人授权委托书；</w:t>
      </w:r>
    </w:p>
    <w:p>
      <w:pPr>
        <w:tabs>
          <w:tab w:val="clear" w:pos="426"/>
        </w:tabs>
        <w:rPr>
          <w:rFonts w:hint="eastAsia"/>
        </w:rPr>
      </w:pPr>
      <w:r>
        <w:t>51.5</w:t>
      </w:r>
      <w:r>
        <w:rPr>
          <w:rFonts w:hint="eastAsia"/>
        </w:rPr>
        <w:t>质疑材料中有外文资料的，应一并附上中文译本，并以中文译本为准。</w:t>
      </w:r>
    </w:p>
    <w:p>
      <w:pPr>
        <w:tabs>
          <w:tab w:val="clear" w:pos="426"/>
        </w:tabs>
        <w:rPr>
          <w:rFonts w:hint="eastAsia"/>
        </w:rPr>
      </w:pPr>
      <w:r>
        <w:t>51.6</w:t>
      </w:r>
      <w:r>
        <w:rPr>
          <w:rFonts w:hint="eastAsia"/>
        </w:rPr>
        <w:t>质疑不得超过质疑受理的时效和范围。</w:t>
      </w:r>
    </w:p>
    <w:p>
      <w:pPr>
        <w:tabs>
          <w:tab w:val="clear" w:pos="426"/>
        </w:tabs>
        <w:rPr>
          <w:rFonts w:hint="eastAsia"/>
        </w:rPr>
      </w:pPr>
      <w:r>
        <w:rPr>
          <w:rFonts w:hint="eastAsia"/>
        </w:rPr>
        <w:t>不符合上述条件的，我采购代理机构不予受理。</w:t>
      </w:r>
    </w:p>
    <w:p>
      <w:pPr>
        <w:tabs>
          <w:tab w:val="clear" w:pos="426"/>
        </w:tabs>
        <w:rPr>
          <w:rFonts w:hint="eastAsia"/>
        </w:rPr>
      </w:pPr>
      <w:r>
        <w:t>52.</w:t>
      </w:r>
      <w:r>
        <w:rPr>
          <w:rFonts w:hint="eastAsia"/>
        </w:rPr>
        <w:t>受理质疑办理程序</w:t>
      </w:r>
    </w:p>
    <w:p>
      <w:pPr>
        <w:tabs>
          <w:tab w:val="clear" w:pos="426"/>
        </w:tabs>
        <w:rPr>
          <w:rFonts w:hint="eastAsia"/>
        </w:rPr>
      </w:pPr>
      <w:r>
        <w:t>52.1</w:t>
      </w:r>
      <w:r>
        <w:rPr>
          <w:rFonts w:hint="eastAsia"/>
        </w:rPr>
        <w:t>先与质疑供应商进行沟通，以消除因误解或对采购规则和程序的不了解而引起的质疑。对沟通情况满意的，供应商撤回质疑，质疑处理程序终止。</w:t>
      </w:r>
    </w:p>
    <w:p>
      <w:pPr>
        <w:tabs>
          <w:tab w:val="clear" w:pos="426"/>
        </w:tabs>
        <w:rPr>
          <w:rFonts w:hint="eastAsia"/>
        </w:rPr>
      </w:pPr>
      <w:r>
        <w:t>52.2</w:t>
      </w:r>
      <w:r>
        <w:rPr>
          <w:rFonts w:hint="eastAsia"/>
        </w:rPr>
        <w:t>处理质疑一般进行书面审查；必要时听取各方当事人的陈述和申辩、进行相关调查；组织原评标委员会或谈判小组进行复议。</w:t>
      </w:r>
    </w:p>
    <w:p>
      <w:pPr>
        <w:tabs>
          <w:tab w:val="clear" w:pos="426"/>
        </w:tabs>
        <w:rPr>
          <w:rFonts w:hint="eastAsia"/>
        </w:rPr>
      </w:pPr>
      <w:r>
        <w:t>52.3</w:t>
      </w:r>
      <w:r>
        <w:rPr>
          <w:rFonts w:hint="eastAsia"/>
        </w:rPr>
        <w:t>在质疑处理期间，采购代理机构视情形决定暂停采购活动。</w:t>
      </w:r>
    </w:p>
    <w:p>
      <w:pPr>
        <w:tabs>
          <w:tab w:val="clear" w:pos="426"/>
        </w:tabs>
        <w:rPr>
          <w:rFonts w:hint="eastAsia"/>
        </w:rPr>
      </w:pPr>
      <w:r>
        <w:t>52.4</w:t>
      </w:r>
      <w:r>
        <w:rPr>
          <w:rFonts w:hint="eastAsia"/>
        </w:rPr>
        <w:t>采购代理机构原则上在质疑受理之日起</w:t>
      </w:r>
      <w:r>
        <w:t>7</w:t>
      </w:r>
      <w:r>
        <w:rPr>
          <w:rFonts w:hint="eastAsia"/>
        </w:rPr>
        <w:t>个工作日内书面答复质疑供应商。答复函以直接领取、传真或邮寄方式送达。</w:t>
      </w:r>
    </w:p>
    <w:p>
      <w:pPr>
        <w:tabs>
          <w:tab w:val="clear" w:pos="426"/>
        </w:tabs>
        <w:rPr>
          <w:rFonts w:hint="eastAsia"/>
        </w:rPr>
      </w:pPr>
      <w:r>
        <w:t>52.5</w:t>
      </w:r>
      <w:r>
        <w:rPr>
          <w:rFonts w:hint="eastAsia"/>
        </w:rPr>
        <w:t>供应商向采购代理机构提出质疑后，在质疑处理期限内，不得同时向其他方面提起同一质疑。质疑供应商如已就同一事项提起投诉、提请行政复议或诉讼的，质疑程序终止。</w:t>
      </w:r>
    </w:p>
    <w:p>
      <w:pPr>
        <w:tabs>
          <w:tab w:val="clear" w:pos="426"/>
        </w:tabs>
        <w:rPr>
          <w:rFonts w:hint="eastAsia"/>
        </w:rPr>
      </w:pPr>
      <w:r>
        <w:t>53.</w:t>
      </w:r>
      <w:r>
        <w:rPr>
          <w:rFonts w:hint="eastAsia"/>
        </w:rPr>
        <w:t>相关责任与义务</w:t>
      </w:r>
    </w:p>
    <w:p>
      <w:pPr>
        <w:tabs>
          <w:tab w:val="clear" w:pos="426"/>
        </w:tabs>
        <w:rPr>
          <w:rFonts w:hint="eastAsia"/>
        </w:rPr>
      </w:pPr>
      <w:r>
        <w:t>53.1</w:t>
      </w:r>
      <w:r>
        <w:rPr>
          <w:rFonts w:hint="eastAsia"/>
        </w:rPr>
        <w:t>采购单位、评标专家和相关供应商等当事人应积极配合采购代理机构进行质疑调查，如实反映情况，及时提供证明材料。</w:t>
      </w:r>
    </w:p>
    <w:p>
      <w:pPr>
        <w:tabs>
          <w:tab w:val="clear" w:pos="426"/>
        </w:tabs>
        <w:rPr>
          <w:rFonts w:hint="eastAsia"/>
        </w:rPr>
      </w:pPr>
      <w:r>
        <w:t>53.2</w:t>
      </w:r>
      <w:r>
        <w:rPr>
          <w:rFonts w:hint="eastAsia"/>
        </w:rPr>
        <w:t>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pPr>
        <w:tabs>
          <w:tab w:val="clear" w:pos="426"/>
        </w:tabs>
        <w:rPr>
          <w:rFonts w:hint="eastAsia"/>
        </w:rPr>
      </w:pPr>
      <w:r>
        <w:t>53.2.1</w:t>
      </w:r>
      <w:r>
        <w:rPr>
          <w:rFonts w:hint="eastAsia"/>
        </w:rPr>
        <w:t>捏造事实或提供虚假证明材料的；</w:t>
      </w:r>
    </w:p>
    <w:p>
      <w:pPr>
        <w:tabs>
          <w:tab w:val="clear" w:pos="426"/>
        </w:tabs>
        <w:rPr>
          <w:rFonts w:hint="eastAsia"/>
        </w:rPr>
      </w:pPr>
      <w:r>
        <w:t>53.2.2</w:t>
      </w:r>
      <w:r>
        <w:rPr>
          <w:rFonts w:hint="eastAsia"/>
        </w:rPr>
        <w:t>假冒他人名义进行质疑的；</w:t>
      </w:r>
    </w:p>
    <w:p>
      <w:pPr>
        <w:tabs>
          <w:tab w:val="clear" w:pos="426"/>
        </w:tabs>
        <w:rPr>
          <w:rFonts w:hint="eastAsia"/>
        </w:rPr>
      </w:pPr>
      <w:r>
        <w:t>53.2.3</w:t>
      </w:r>
      <w:r>
        <w:rPr>
          <w:rFonts w:hint="eastAsia"/>
        </w:rPr>
        <w:t>拒不配合进行有关调查、情节严重的。</w:t>
      </w:r>
    </w:p>
    <w:p>
      <w:pPr>
        <w:tabs>
          <w:tab w:val="clear" w:pos="426"/>
        </w:tabs>
        <w:rPr>
          <w:rFonts w:hint="eastAsia"/>
          <w:b/>
        </w:rPr>
      </w:pPr>
      <w:r>
        <w:t>54</w:t>
      </w:r>
      <w:r>
        <w:rPr>
          <w:rFonts w:hint="eastAsia"/>
        </w:rPr>
        <w:t>．</w:t>
      </w:r>
      <w:r>
        <w:t xml:space="preserve">  </w:t>
      </w:r>
      <w:r>
        <w:rPr>
          <w:rFonts w:hint="eastAsia"/>
          <w:b/>
        </w:rPr>
        <w:t>其他</w:t>
      </w:r>
    </w:p>
    <w:p>
      <w:pPr>
        <w:tabs>
          <w:tab w:val="clear" w:pos="426"/>
        </w:tabs>
        <w:rPr>
          <w:rFonts w:hint="eastAsia"/>
        </w:rPr>
      </w:pPr>
      <w:r>
        <w:t xml:space="preserve">54.1  </w:t>
      </w:r>
      <w:r>
        <w:rPr>
          <w:rFonts w:hint="eastAsia"/>
        </w:rPr>
        <w:t>本招标文件的解释权归采购代理机构所有，采购代理机构在征得采购人或相关主管部门同意后，有权在法律允许范围内调整本次招标活动的细节及保留最终解释权。</w:t>
      </w:r>
    </w:p>
    <w:p>
      <w:pPr>
        <w:tabs>
          <w:tab w:val="clear" w:pos="426"/>
        </w:tabs>
        <w:rPr>
          <w:rFonts w:hint="eastAsia"/>
        </w:rPr>
      </w:pPr>
      <w:r>
        <w:t xml:space="preserve">54.2 </w:t>
      </w:r>
      <w:r>
        <w:rPr>
          <w:rFonts w:hint="eastAsia"/>
        </w:rPr>
        <w:t>采购代理机构向投标供应商提供的资料和数据，是采购代理机构现有的能供投标供应商利用的资料，采购代理机构对投标供应商由此而作出的推论、理解和结论概不负责。</w:t>
      </w:r>
    </w:p>
    <w:p>
      <w:pPr>
        <w:tabs>
          <w:tab w:val="clear" w:pos="426"/>
        </w:tabs>
        <w:rPr>
          <w:rFonts w:hint="eastAsia"/>
        </w:rPr>
      </w:pPr>
      <w:r>
        <w:t xml:space="preserve">54.3 </w:t>
      </w:r>
      <w:r>
        <w:rPr>
          <w:rFonts w:hint="eastAsia"/>
        </w:rPr>
        <w:t>如果投标供应商实质上不符合投标资格，即使已购买招标文件、参加投标并缴纳各种费用，采购代理机构或采购人可以随时取消其投标或中标资格，采购代理机构或采购人对该投标供应商的一切损失概不责任。</w:t>
      </w:r>
    </w:p>
    <w:p>
      <w:pPr>
        <w:tabs>
          <w:tab w:val="clear" w:pos="426"/>
        </w:tabs>
        <w:rPr>
          <w:rFonts w:hint="eastAsia"/>
        </w:rPr>
      </w:pPr>
      <w:r>
        <w:t xml:space="preserve">54.4 </w:t>
      </w:r>
      <w:r>
        <w:rPr>
          <w:rFonts w:hint="eastAsia"/>
        </w:rPr>
        <w:t>中标无效的，发出的中标通知书和签订的合同自始没有法律约束力，但不影响合同中存在的有关解决争议方法的条款的效力。</w:t>
      </w:r>
    </w:p>
    <w:p>
      <w:pPr>
        <w:shd w:val="clear" w:color="auto" w:fill="auto"/>
        <w:tabs>
          <w:tab w:val="clear" w:pos="426"/>
        </w:tabs>
        <w:adjustRightInd/>
        <w:snapToGrid/>
        <w:spacing w:line="240" w:lineRule="auto"/>
        <w:jc w:val="left"/>
        <w:rPr>
          <w:rFonts w:hint="eastAsia"/>
        </w:rPr>
      </w:pPr>
      <w:r>
        <w:t xml:space="preserve">54.5 </w:t>
      </w:r>
      <w:r>
        <w:rPr>
          <w:rFonts w:hint="eastAsia"/>
        </w:rPr>
        <w:t>本招标文件所有的附件与本招标文件具有同等效力。</w:t>
      </w:r>
      <w:r>
        <w:br w:type="page"/>
      </w:r>
    </w:p>
    <w:p>
      <w:pPr>
        <w:pStyle w:val="81"/>
        <w:tabs>
          <w:tab w:val="clear" w:pos="426"/>
        </w:tabs>
      </w:pPr>
      <w:bookmarkStart w:id="200" w:name="_Toc14427264"/>
      <w:bookmarkStart w:id="201" w:name="_Toc732"/>
      <w:bookmarkStart w:id="202" w:name="_Toc3627284"/>
      <w:r>
        <w:rPr>
          <w:rFonts w:hint="eastAsia"/>
        </w:rPr>
        <w:t>招标代理服务取费说明</w:t>
      </w:r>
      <w:bookmarkEnd w:id="200"/>
      <w:bookmarkEnd w:id="201"/>
      <w:bookmarkEnd w:id="202"/>
    </w:p>
    <w:p>
      <w:pPr>
        <w:ind w:firstLine="440" w:firstLineChars="200"/>
        <w:rPr>
          <w:rFonts w:hint="eastAsia"/>
          <w:sz w:val="22"/>
        </w:rPr>
      </w:pPr>
      <w:r>
        <w:rPr>
          <w:rFonts w:hint="eastAsia"/>
          <w:sz w:val="22"/>
        </w:rPr>
        <w:t>招标代理服务收费以各包中标金额为计算基数，按差额定率累进法计算，向各包中标供应商收取，收费标准如下表所列：</w:t>
      </w:r>
      <w:r>
        <w:rPr>
          <w:sz w:val="22"/>
        </w:rPr>
        <w:t xml:space="preserve"> </w:t>
      </w:r>
    </w:p>
    <w:p>
      <w:pPr>
        <w:ind w:firstLine="440" w:firstLineChars="200"/>
        <w:rPr>
          <w:rFonts w:hint="eastAsia"/>
          <w:sz w:val="22"/>
        </w:rPr>
      </w:pPr>
      <w:r>
        <w:rPr>
          <w:rFonts w:hint="eastAsia"/>
          <w:sz w:val="22"/>
        </w:rPr>
        <w:t>招标代理服务收费标准</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rFonts w:hint="eastAsia"/>
                <w:szCs w:val="21"/>
              </w:rPr>
            </w:pPr>
            <w:r>
              <w:rPr>
                <w:rFonts w:hint="eastAsia"/>
                <w:szCs w:val="21"/>
              </w:rPr>
              <w:t>服务类型</w:t>
            </w:r>
          </w:p>
          <w:p>
            <w:pPr>
              <w:tabs>
                <w:tab w:val="clear" w:pos="426"/>
              </w:tabs>
              <w:spacing w:line="300" w:lineRule="auto"/>
              <w:jc w:val="center"/>
              <w:rPr>
                <w:rFonts w:hint="eastAsia"/>
                <w:szCs w:val="21"/>
              </w:rPr>
            </w:pPr>
            <w:r>
              <w:rPr>
                <w:rFonts w:hint="eastAsia"/>
                <w:szCs w:val="21"/>
              </w:rPr>
              <w:t>费率</w:t>
            </w:r>
          </w:p>
          <w:p>
            <w:pPr>
              <w:tabs>
                <w:tab w:val="clear" w:pos="426"/>
              </w:tabs>
              <w:spacing w:line="300" w:lineRule="auto"/>
              <w:rPr>
                <w:rFonts w:hint="eastAsia"/>
                <w:szCs w:val="21"/>
              </w:rPr>
            </w:pPr>
            <w:r>
              <w:rPr>
                <w:rFonts w:hint="eastAsia"/>
                <w:szCs w:val="21"/>
              </w:rPr>
              <w:t>中标金额</w:t>
            </w:r>
          </w:p>
        </w:tc>
        <w:tc>
          <w:tcPr>
            <w:tcW w:w="1845" w:type="dxa"/>
            <w:vAlign w:val="center"/>
          </w:tcPr>
          <w:p>
            <w:pPr>
              <w:spacing w:line="240" w:lineRule="auto"/>
              <w:jc w:val="center"/>
              <w:rPr>
                <w:rFonts w:hint="eastAsia"/>
                <w:szCs w:val="21"/>
              </w:rPr>
            </w:pPr>
            <w:r>
              <w:rPr>
                <w:rFonts w:hint="eastAsia"/>
                <w:szCs w:val="21"/>
              </w:rPr>
              <w:t>货物采购</w:t>
            </w:r>
          </w:p>
        </w:tc>
        <w:tc>
          <w:tcPr>
            <w:tcW w:w="1845" w:type="dxa"/>
            <w:vAlign w:val="center"/>
          </w:tcPr>
          <w:p>
            <w:pPr>
              <w:spacing w:line="240" w:lineRule="auto"/>
              <w:jc w:val="center"/>
              <w:rPr>
                <w:rFonts w:hint="eastAsia"/>
                <w:szCs w:val="21"/>
              </w:rPr>
            </w:pPr>
            <w:r>
              <w:rPr>
                <w:rFonts w:hint="eastAsia"/>
                <w:szCs w:val="21"/>
              </w:rPr>
              <w:t>服务采购</w:t>
            </w:r>
          </w:p>
        </w:tc>
        <w:tc>
          <w:tcPr>
            <w:tcW w:w="1846" w:type="dxa"/>
            <w:vAlign w:val="center"/>
          </w:tcPr>
          <w:p>
            <w:pPr>
              <w:spacing w:line="240" w:lineRule="auto"/>
              <w:jc w:val="center"/>
              <w:rPr>
                <w:rFonts w:hint="eastAsia"/>
                <w:szCs w:val="21"/>
              </w:rPr>
            </w:pPr>
            <w:r>
              <w:rPr>
                <w:rFonts w:hint="eastAsia"/>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adjustRightInd/>
              <w:snapToGrid/>
              <w:spacing w:line="240" w:lineRule="auto"/>
              <w:jc w:val="left"/>
              <w:rPr>
                <w:rFonts w:hint="eastAsia"/>
                <w:szCs w:val="21"/>
              </w:rPr>
            </w:pPr>
            <w:r>
              <w:rPr>
                <w:szCs w:val="21"/>
              </w:rPr>
              <w:t>100</w:t>
            </w:r>
            <w:r>
              <w:rPr>
                <w:rFonts w:hint="eastAsia"/>
                <w:szCs w:val="21"/>
              </w:rPr>
              <w:t>万元以下</w:t>
            </w:r>
          </w:p>
        </w:tc>
        <w:tc>
          <w:tcPr>
            <w:tcW w:w="1845" w:type="dxa"/>
            <w:vAlign w:val="center"/>
          </w:tcPr>
          <w:p>
            <w:pPr>
              <w:spacing w:line="240" w:lineRule="auto"/>
              <w:jc w:val="center"/>
              <w:rPr>
                <w:rFonts w:hint="eastAsia"/>
                <w:szCs w:val="21"/>
              </w:rPr>
            </w:pPr>
            <w:r>
              <w:rPr>
                <w:szCs w:val="21"/>
              </w:rPr>
              <w:t>1.500%</w:t>
            </w:r>
          </w:p>
        </w:tc>
        <w:tc>
          <w:tcPr>
            <w:tcW w:w="1845" w:type="dxa"/>
            <w:vAlign w:val="center"/>
          </w:tcPr>
          <w:p>
            <w:pPr>
              <w:spacing w:line="240" w:lineRule="auto"/>
              <w:jc w:val="center"/>
              <w:rPr>
                <w:rFonts w:hint="eastAsia"/>
                <w:szCs w:val="21"/>
              </w:rPr>
            </w:pPr>
            <w:r>
              <w:rPr>
                <w:szCs w:val="21"/>
              </w:rPr>
              <w:t>1.500%</w:t>
            </w:r>
          </w:p>
        </w:tc>
        <w:tc>
          <w:tcPr>
            <w:tcW w:w="1846" w:type="dxa"/>
            <w:vAlign w:val="center"/>
          </w:tcPr>
          <w:p>
            <w:pPr>
              <w:spacing w:line="240" w:lineRule="auto"/>
              <w:jc w:val="center"/>
              <w:rPr>
                <w:rFonts w:hint="eastAsia"/>
                <w:szCs w:val="21"/>
              </w:rPr>
            </w:pPr>
            <w:r>
              <w:rPr>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szCs w:val="21"/>
              </w:rPr>
              <w:t>100</w:t>
            </w:r>
            <w:r>
              <w:rPr>
                <w:rFonts w:hint="eastAsia"/>
                <w:szCs w:val="21"/>
              </w:rPr>
              <w:t>万元（含）</w:t>
            </w:r>
            <w:r>
              <w:rPr>
                <w:szCs w:val="21"/>
              </w:rPr>
              <w:t>-500</w:t>
            </w:r>
            <w:r>
              <w:rPr>
                <w:rFonts w:hint="eastAsia"/>
                <w:szCs w:val="21"/>
              </w:rPr>
              <w:t>万元</w:t>
            </w:r>
          </w:p>
        </w:tc>
        <w:tc>
          <w:tcPr>
            <w:tcW w:w="1845" w:type="dxa"/>
            <w:vAlign w:val="center"/>
          </w:tcPr>
          <w:p>
            <w:pPr>
              <w:spacing w:line="240" w:lineRule="auto"/>
              <w:jc w:val="center"/>
              <w:rPr>
                <w:rFonts w:hint="eastAsia"/>
                <w:szCs w:val="21"/>
              </w:rPr>
            </w:pPr>
            <w:r>
              <w:rPr>
                <w:szCs w:val="21"/>
              </w:rPr>
              <w:t>1.100%</w:t>
            </w:r>
          </w:p>
        </w:tc>
        <w:tc>
          <w:tcPr>
            <w:tcW w:w="1845" w:type="dxa"/>
            <w:vAlign w:val="center"/>
          </w:tcPr>
          <w:p>
            <w:pPr>
              <w:spacing w:line="240" w:lineRule="auto"/>
              <w:jc w:val="center"/>
              <w:rPr>
                <w:rFonts w:hint="eastAsia"/>
                <w:szCs w:val="21"/>
              </w:rPr>
            </w:pPr>
            <w:r>
              <w:rPr>
                <w:szCs w:val="21"/>
              </w:rPr>
              <w:t>0.800%</w:t>
            </w:r>
          </w:p>
        </w:tc>
        <w:tc>
          <w:tcPr>
            <w:tcW w:w="1846" w:type="dxa"/>
            <w:vAlign w:val="center"/>
          </w:tcPr>
          <w:p>
            <w:pPr>
              <w:spacing w:line="240" w:lineRule="auto"/>
              <w:jc w:val="center"/>
              <w:rPr>
                <w:rFonts w:hint="eastAsia"/>
                <w:szCs w:val="21"/>
              </w:rPr>
            </w:pPr>
            <w:r>
              <w:rPr>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szCs w:val="21"/>
              </w:rPr>
              <w:t>500</w:t>
            </w:r>
            <w:r>
              <w:rPr>
                <w:rFonts w:hint="eastAsia"/>
                <w:szCs w:val="21"/>
              </w:rPr>
              <w:t>万元（含）</w:t>
            </w:r>
            <w:r>
              <w:rPr>
                <w:szCs w:val="21"/>
              </w:rPr>
              <w:t>-1000</w:t>
            </w:r>
            <w:r>
              <w:rPr>
                <w:rFonts w:hint="eastAsia"/>
                <w:szCs w:val="21"/>
              </w:rPr>
              <w:t>万元</w:t>
            </w:r>
          </w:p>
        </w:tc>
        <w:tc>
          <w:tcPr>
            <w:tcW w:w="1845" w:type="dxa"/>
            <w:vAlign w:val="center"/>
          </w:tcPr>
          <w:p>
            <w:pPr>
              <w:spacing w:line="240" w:lineRule="auto"/>
              <w:jc w:val="center"/>
              <w:rPr>
                <w:rFonts w:hint="eastAsia"/>
                <w:szCs w:val="21"/>
              </w:rPr>
            </w:pPr>
            <w:r>
              <w:rPr>
                <w:szCs w:val="21"/>
              </w:rPr>
              <w:t>0.800%</w:t>
            </w:r>
          </w:p>
        </w:tc>
        <w:tc>
          <w:tcPr>
            <w:tcW w:w="1845" w:type="dxa"/>
            <w:vAlign w:val="center"/>
          </w:tcPr>
          <w:p>
            <w:pPr>
              <w:spacing w:line="240" w:lineRule="auto"/>
              <w:jc w:val="center"/>
              <w:rPr>
                <w:rFonts w:hint="eastAsia"/>
                <w:szCs w:val="21"/>
              </w:rPr>
            </w:pPr>
            <w:r>
              <w:rPr>
                <w:szCs w:val="21"/>
              </w:rPr>
              <w:t>0.450%</w:t>
            </w:r>
          </w:p>
        </w:tc>
        <w:tc>
          <w:tcPr>
            <w:tcW w:w="1846" w:type="dxa"/>
            <w:vAlign w:val="center"/>
          </w:tcPr>
          <w:p>
            <w:pPr>
              <w:spacing w:line="240" w:lineRule="auto"/>
              <w:jc w:val="center"/>
              <w:rPr>
                <w:rFonts w:hint="eastAsia"/>
                <w:szCs w:val="21"/>
              </w:rPr>
            </w:pPr>
            <w:r>
              <w:rPr>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szCs w:val="21"/>
              </w:rPr>
              <w:t>1000</w:t>
            </w:r>
            <w:r>
              <w:rPr>
                <w:rFonts w:hint="eastAsia"/>
                <w:szCs w:val="21"/>
              </w:rPr>
              <w:t>万元（含）</w:t>
            </w:r>
            <w:r>
              <w:rPr>
                <w:szCs w:val="21"/>
              </w:rPr>
              <w:t>-5000</w:t>
            </w:r>
            <w:r>
              <w:rPr>
                <w:rFonts w:hint="eastAsia"/>
                <w:szCs w:val="21"/>
              </w:rPr>
              <w:t>万元</w:t>
            </w:r>
          </w:p>
        </w:tc>
        <w:tc>
          <w:tcPr>
            <w:tcW w:w="1845" w:type="dxa"/>
            <w:vAlign w:val="center"/>
          </w:tcPr>
          <w:p>
            <w:pPr>
              <w:spacing w:line="240" w:lineRule="auto"/>
              <w:jc w:val="center"/>
              <w:rPr>
                <w:rFonts w:hint="eastAsia"/>
                <w:szCs w:val="21"/>
              </w:rPr>
            </w:pPr>
            <w:r>
              <w:rPr>
                <w:szCs w:val="21"/>
              </w:rPr>
              <w:t>0.500%</w:t>
            </w:r>
          </w:p>
        </w:tc>
        <w:tc>
          <w:tcPr>
            <w:tcW w:w="1845" w:type="dxa"/>
            <w:vAlign w:val="center"/>
          </w:tcPr>
          <w:p>
            <w:pPr>
              <w:spacing w:line="240" w:lineRule="auto"/>
              <w:jc w:val="center"/>
              <w:rPr>
                <w:rFonts w:hint="eastAsia"/>
                <w:szCs w:val="21"/>
              </w:rPr>
            </w:pPr>
            <w:r>
              <w:rPr>
                <w:szCs w:val="21"/>
              </w:rPr>
              <w:t>0.250%</w:t>
            </w:r>
          </w:p>
        </w:tc>
        <w:tc>
          <w:tcPr>
            <w:tcW w:w="1846" w:type="dxa"/>
            <w:vAlign w:val="center"/>
          </w:tcPr>
          <w:p>
            <w:pPr>
              <w:spacing w:line="240" w:lineRule="auto"/>
              <w:jc w:val="center"/>
              <w:rPr>
                <w:rFonts w:hint="eastAsia"/>
                <w:szCs w:val="21"/>
              </w:rPr>
            </w:pPr>
            <w:r>
              <w:rPr>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szCs w:val="21"/>
              </w:rPr>
              <w:t>5000</w:t>
            </w:r>
            <w:r>
              <w:rPr>
                <w:rFonts w:hint="eastAsia"/>
                <w:szCs w:val="21"/>
              </w:rPr>
              <w:t>万元（含）</w:t>
            </w:r>
            <w:r>
              <w:rPr>
                <w:szCs w:val="21"/>
              </w:rPr>
              <w:t>-1</w:t>
            </w:r>
            <w:r>
              <w:rPr>
                <w:rFonts w:hint="eastAsia"/>
                <w:szCs w:val="21"/>
              </w:rPr>
              <w:t>亿元</w:t>
            </w:r>
          </w:p>
        </w:tc>
        <w:tc>
          <w:tcPr>
            <w:tcW w:w="1845" w:type="dxa"/>
            <w:vAlign w:val="center"/>
          </w:tcPr>
          <w:p>
            <w:pPr>
              <w:spacing w:line="240" w:lineRule="auto"/>
              <w:jc w:val="center"/>
              <w:rPr>
                <w:rFonts w:hint="eastAsia"/>
                <w:szCs w:val="21"/>
              </w:rPr>
            </w:pPr>
            <w:r>
              <w:rPr>
                <w:szCs w:val="21"/>
              </w:rPr>
              <w:t>0.250%</w:t>
            </w:r>
          </w:p>
        </w:tc>
        <w:tc>
          <w:tcPr>
            <w:tcW w:w="1845" w:type="dxa"/>
            <w:vAlign w:val="center"/>
          </w:tcPr>
          <w:p>
            <w:pPr>
              <w:spacing w:line="240" w:lineRule="auto"/>
              <w:jc w:val="center"/>
              <w:rPr>
                <w:rFonts w:hint="eastAsia"/>
                <w:szCs w:val="21"/>
              </w:rPr>
            </w:pPr>
            <w:r>
              <w:rPr>
                <w:szCs w:val="21"/>
              </w:rPr>
              <w:t>0.100%</w:t>
            </w:r>
          </w:p>
        </w:tc>
        <w:tc>
          <w:tcPr>
            <w:tcW w:w="1846" w:type="dxa"/>
            <w:vAlign w:val="center"/>
          </w:tcPr>
          <w:p>
            <w:pPr>
              <w:spacing w:line="240" w:lineRule="auto"/>
              <w:jc w:val="center"/>
              <w:rPr>
                <w:rFonts w:hint="eastAsia"/>
                <w:szCs w:val="21"/>
              </w:rPr>
            </w:pPr>
            <w:r>
              <w:rPr>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szCs w:val="21"/>
              </w:rPr>
              <w:t>1</w:t>
            </w:r>
            <w:r>
              <w:rPr>
                <w:rFonts w:hint="eastAsia"/>
                <w:szCs w:val="21"/>
              </w:rPr>
              <w:t>亿元（含）</w:t>
            </w:r>
            <w:r>
              <w:rPr>
                <w:szCs w:val="21"/>
              </w:rPr>
              <w:t>-5</w:t>
            </w:r>
            <w:r>
              <w:rPr>
                <w:rFonts w:hint="eastAsia"/>
                <w:szCs w:val="21"/>
              </w:rPr>
              <w:t>亿元</w:t>
            </w:r>
          </w:p>
        </w:tc>
        <w:tc>
          <w:tcPr>
            <w:tcW w:w="1845" w:type="dxa"/>
            <w:vAlign w:val="center"/>
          </w:tcPr>
          <w:p>
            <w:pPr>
              <w:spacing w:line="240" w:lineRule="auto"/>
              <w:jc w:val="center"/>
              <w:rPr>
                <w:rFonts w:hint="eastAsia"/>
                <w:szCs w:val="21"/>
              </w:rPr>
            </w:pPr>
            <w:r>
              <w:rPr>
                <w:szCs w:val="21"/>
              </w:rPr>
              <w:t>0.050%</w:t>
            </w:r>
          </w:p>
        </w:tc>
        <w:tc>
          <w:tcPr>
            <w:tcW w:w="1845" w:type="dxa"/>
            <w:vAlign w:val="center"/>
          </w:tcPr>
          <w:p>
            <w:pPr>
              <w:spacing w:line="240" w:lineRule="auto"/>
              <w:jc w:val="center"/>
              <w:rPr>
                <w:rFonts w:hint="eastAsia"/>
                <w:szCs w:val="21"/>
              </w:rPr>
            </w:pPr>
            <w:r>
              <w:rPr>
                <w:szCs w:val="21"/>
              </w:rPr>
              <w:t>0.050%</w:t>
            </w:r>
          </w:p>
        </w:tc>
        <w:tc>
          <w:tcPr>
            <w:tcW w:w="1846" w:type="dxa"/>
            <w:vAlign w:val="center"/>
          </w:tcPr>
          <w:p>
            <w:pPr>
              <w:spacing w:line="240" w:lineRule="auto"/>
              <w:jc w:val="center"/>
              <w:rPr>
                <w:rFonts w:hint="eastAsia"/>
                <w:szCs w:val="21"/>
              </w:rPr>
            </w:pPr>
            <w:r>
              <w:rPr>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szCs w:val="21"/>
              </w:rPr>
              <w:t>5</w:t>
            </w:r>
            <w:r>
              <w:rPr>
                <w:rFonts w:hint="eastAsia"/>
                <w:szCs w:val="21"/>
              </w:rPr>
              <w:t>亿元（含）</w:t>
            </w:r>
            <w:r>
              <w:rPr>
                <w:szCs w:val="21"/>
              </w:rPr>
              <w:t>-10</w:t>
            </w:r>
            <w:r>
              <w:rPr>
                <w:rFonts w:hint="eastAsia"/>
                <w:szCs w:val="21"/>
              </w:rPr>
              <w:t>亿元</w:t>
            </w:r>
          </w:p>
        </w:tc>
        <w:tc>
          <w:tcPr>
            <w:tcW w:w="1845" w:type="dxa"/>
            <w:vAlign w:val="center"/>
          </w:tcPr>
          <w:p>
            <w:pPr>
              <w:spacing w:line="240" w:lineRule="auto"/>
              <w:jc w:val="center"/>
              <w:rPr>
                <w:rFonts w:hint="eastAsia"/>
                <w:szCs w:val="21"/>
              </w:rPr>
            </w:pPr>
            <w:r>
              <w:rPr>
                <w:szCs w:val="21"/>
              </w:rPr>
              <w:t>0.035%</w:t>
            </w:r>
          </w:p>
        </w:tc>
        <w:tc>
          <w:tcPr>
            <w:tcW w:w="1845" w:type="dxa"/>
            <w:vAlign w:val="center"/>
          </w:tcPr>
          <w:p>
            <w:pPr>
              <w:spacing w:line="240" w:lineRule="auto"/>
              <w:jc w:val="center"/>
              <w:rPr>
                <w:rFonts w:hint="eastAsia"/>
                <w:szCs w:val="21"/>
              </w:rPr>
            </w:pPr>
            <w:r>
              <w:rPr>
                <w:szCs w:val="21"/>
              </w:rPr>
              <w:t>0.035%</w:t>
            </w:r>
          </w:p>
        </w:tc>
        <w:tc>
          <w:tcPr>
            <w:tcW w:w="1846" w:type="dxa"/>
            <w:vAlign w:val="center"/>
          </w:tcPr>
          <w:p>
            <w:pPr>
              <w:spacing w:line="240" w:lineRule="auto"/>
              <w:jc w:val="center"/>
              <w:rPr>
                <w:rFonts w:hint="eastAsia"/>
                <w:szCs w:val="21"/>
              </w:rPr>
            </w:pPr>
            <w:r>
              <w:rPr>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szCs w:val="21"/>
              </w:rPr>
              <w:t>10</w:t>
            </w:r>
            <w:r>
              <w:rPr>
                <w:rFonts w:hint="eastAsia"/>
                <w:szCs w:val="21"/>
              </w:rPr>
              <w:t>亿元（含）</w:t>
            </w:r>
            <w:r>
              <w:rPr>
                <w:szCs w:val="21"/>
              </w:rPr>
              <w:t>-50</w:t>
            </w:r>
            <w:r>
              <w:rPr>
                <w:rFonts w:hint="eastAsia"/>
                <w:szCs w:val="21"/>
              </w:rPr>
              <w:t>亿元</w:t>
            </w:r>
          </w:p>
        </w:tc>
        <w:tc>
          <w:tcPr>
            <w:tcW w:w="1845" w:type="dxa"/>
            <w:vAlign w:val="center"/>
          </w:tcPr>
          <w:p>
            <w:pPr>
              <w:spacing w:line="240" w:lineRule="auto"/>
              <w:jc w:val="center"/>
              <w:rPr>
                <w:rFonts w:hint="eastAsia"/>
                <w:szCs w:val="21"/>
              </w:rPr>
            </w:pPr>
            <w:r>
              <w:rPr>
                <w:szCs w:val="21"/>
              </w:rPr>
              <w:t>0.008%</w:t>
            </w:r>
          </w:p>
        </w:tc>
        <w:tc>
          <w:tcPr>
            <w:tcW w:w="1845" w:type="dxa"/>
            <w:vAlign w:val="center"/>
          </w:tcPr>
          <w:p>
            <w:pPr>
              <w:spacing w:line="240" w:lineRule="auto"/>
              <w:jc w:val="center"/>
              <w:rPr>
                <w:rFonts w:hint="eastAsia"/>
                <w:szCs w:val="21"/>
              </w:rPr>
            </w:pPr>
            <w:r>
              <w:rPr>
                <w:szCs w:val="21"/>
              </w:rPr>
              <w:t>0.008%</w:t>
            </w:r>
          </w:p>
        </w:tc>
        <w:tc>
          <w:tcPr>
            <w:tcW w:w="1846" w:type="dxa"/>
            <w:vAlign w:val="center"/>
          </w:tcPr>
          <w:p>
            <w:pPr>
              <w:spacing w:line="240" w:lineRule="auto"/>
              <w:jc w:val="center"/>
              <w:rPr>
                <w:rFonts w:hint="eastAsia"/>
                <w:szCs w:val="21"/>
              </w:rPr>
            </w:pPr>
            <w:r>
              <w:rPr>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szCs w:val="21"/>
              </w:rPr>
              <w:t>50</w:t>
            </w:r>
            <w:r>
              <w:rPr>
                <w:rFonts w:hint="eastAsia"/>
                <w:szCs w:val="21"/>
              </w:rPr>
              <w:t>亿元（含）</w:t>
            </w:r>
            <w:r>
              <w:rPr>
                <w:szCs w:val="21"/>
              </w:rPr>
              <w:t>-100</w:t>
            </w:r>
            <w:r>
              <w:rPr>
                <w:rFonts w:hint="eastAsia"/>
                <w:szCs w:val="21"/>
              </w:rPr>
              <w:t>亿元</w:t>
            </w:r>
          </w:p>
        </w:tc>
        <w:tc>
          <w:tcPr>
            <w:tcW w:w="1845" w:type="dxa"/>
            <w:vAlign w:val="center"/>
          </w:tcPr>
          <w:p>
            <w:pPr>
              <w:spacing w:line="240" w:lineRule="auto"/>
              <w:jc w:val="center"/>
              <w:rPr>
                <w:rFonts w:hint="eastAsia"/>
                <w:szCs w:val="21"/>
              </w:rPr>
            </w:pPr>
            <w:r>
              <w:rPr>
                <w:szCs w:val="21"/>
              </w:rPr>
              <w:t>0.006%</w:t>
            </w:r>
          </w:p>
        </w:tc>
        <w:tc>
          <w:tcPr>
            <w:tcW w:w="1845" w:type="dxa"/>
            <w:vAlign w:val="center"/>
          </w:tcPr>
          <w:p>
            <w:pPr>
              <w:spacing w:line="240" w:lineRule="auto"/>
              <w:jc w:val="center"/>
              <w:rPr>
                <w:rFonts w:hint="eastAsia"/>
                <w:szCs w:val="21"/>
              </w:rPr>
            </w:pPr>
            <w:r>
              <w:rPr>
                <w:szCs w:val="21"/>
              </w:rPr>
              <w:t>0.006%</w:t>
            </w:r>
          </w:p>
        </w:tc>
        <w:tc>
          <w:tcPr>
            <w:tcW w:w="1846" w:type="dxa"/>
            <w:vAlign w:val="center"/>
          </w:tcPr>
          <w:p>
            <w:pPr>
              <w:spacing w:line="240" w:lineRule="auto"/>
              <w:jc w:val="center"/>
              <w:rPr>
                <w:rFonts w:hint="eastAsia"/>
                <w:szCs w:val="21"/>
              </w:rPr>
            </w:pPr>
            <w:r>
              <w:rPr>
                <w:szCs w:val="21"/>
              </w:rPr>
              <w:t>0.006%</w:t>
            </w:r>
          </w:p>
        </w:tc>
      </w:tr>
    </w:tbl>
    <w:p>
      <w:pPr>
        <w:ind w:left="424" w:leftChars="202" w:firstLine="440" w:firstLineChars="200"/>
        <w:rPr>
          <w:rFonts w:hint="eastAsia"/>
          <w:sz w:val="22"/>
        </w:rPr>
      </w:pPr>
      <w:r>
        <w:rPr>
          <w:rFonts w:hint="eastAsia"/>
          <w:sz w:val="22"/>
        </w:rPr>
        <w:t>以某</w:t>
      </w:r>
      <w:r>
        <w:rPr>
          <w:sz w:val="22"/>
        </w:rPr>
        <w:t>5000</w:t>
      </w:r>
      <w:r>
        <w:rPr>
          <w:rFonts w:hint="eastAsia"/>
          <w:sz w:val="22"/>
        </w:rPr>
        <w:t>万项目货物类招标为例：</w:t>
      </w:r>
    </w:p>
    <w:p>
      <w:pPr>
        <w:ind w:left="424" w:leftChars="202" w:firstLine="440" w:firstLineChars="200"/>
        <w:rPr>
          <w:rFonts w:hint="eastAsia"/>
          <w:sz w:val="22"/>
        </w:rPr>
      </w:pPr>
      <w:r>
        <w:rPr>
          <w:rFonts w:hint="eastAsia"/>
          <w:sz w:val="22"/>
        </w:rPr>
        <w:t>计算基准价为中标价</w:t>
      </w:r>
      <w:r>
        <w:rPr>
          <w:sz w:val="22"/>
        </w:rPr>
        <w:t>5000</w:t>
      </w:r>
      <w:r>
        <w:rPr>
          <w:rFonts w:hint="eastAsia"/>
          <w:sz w:val="22"/>
        </w:rPr>
        <w:t>万元，则招标代理服务费计算为：</w:t>
      </w:r>
    </w:p>
    <w:p>
      <w:pPr>
        <w:ind w:left="424" w:leftChars="202" w:firstLine="440" w:firstLineChars="200"/>
        <w:rPr>
          <w:rFonts w:hint="eastAsia"/>
          <w:sz w:val="22"/>
        </w:rPr>
      </w:pPr>
      <w:r>
        <w:rPr>
          <w:sz w:val="22"/>
        </w:rPr>
        <w:t>100</w:t>
      </w:r>
      <w:r>
        <w:rPr>
          <w:rFonts w:hint="eastAsia"/>
          <w:sz w:val="22"/>
        </w:rPr>
        <w:t>万元×</w:t>
      </w:r>
      <w:r>
        <w:rPr>
          <w:sz w:val="22"/>
        </w:rPr>
        <w:t>1.5%=1.5</w:t>
      </w:r>
      <w:r>
        <w:rPr>
          <w:rFonts w:hint="eastAsia"/>
          <w:sz w:val="22"/>
        </w:rPr>
        <w:t>万元</w:t>
      </w:r>
      <w:r>
        <w:rPr>
          <w:sz w:val="22"/>
        </w:rPr>
        <w:t xml:space="preserve">   </w:t>
      </w:r>
    </w:p>
    <w:p>
      <w:pPr>
        <w:ind w:left="424" w:leftChars="202" w:firstLine="440" w:firstLineChars="200"/>
        <w:rPr>
          <w:rFonts w:hint="eastAsia"/>
          <w:sz w:val="22"/>
        </w:rPr>
      </w:pPr>
      <w:r>
        <w:rPr>
          <w:rFonts w:hint="eastAsia"/>
          <w:sz w:val="22"/>
        </w:rPr>
        <w:t>（</w:t>
      </w:r>
      <w:r>
        <w:rPr>
          <w:sz w:val="22"/>
        </w:rPr>
        <w:t>500-100</w:t>
      </w:r>
      <w:r>
        <w:rPr>
          <w:rFonts w:hint="eastAsia"/>
          <w:sz w:val="22"/>
        </w:rPr>
        <w:t>）万元×</w:t>
      </w:r>
      <w:r>
        <w:rPr>
          <w:sz w:val="22"/>
        </w:rPr>
        <w:t>1.1%=4.4</w:t>
      </w:r>
      <w:r>
        <w:rPr>
          <w:rFonts w:hint="eastAsia"/>
          <w:sz w:val="22"/>
        </w:rPr>
        <w:t>万元</w:t>
      </w:r>
      <w:r>
        <w:rPr>
          <w:sz w:val="22"/>
        </w:rPr>
        <w:t xml:space="preserve"> </w:t>
      </w:r>
    </w:p>
    <w:p>
      <w:pPr>
        <w:ind w:left="424" w:leftChars="202" w:firstLine="440" w:firstLineChars="200"/>
        <w:rPr>
          <w:rFonts w:hint="eastAsia"/>
          <w:sz w:val="22"/>
        </w:rPr>
      </w:pPr>
      <w:r>
        <w:rPr>
          <w:rFonts w:hint="eastAsia"/>
          <w:sz w:val="22"/>
        </w:rPr>
        <w:t>（</w:t>
      </w:r>
      <w:r>
        <w:rPr>
          <w:sz w:val="22"/>
        </w:rPr>
        <w:t>1000-500</w:t>
      </w:r>
      <w:r>
        <w:rPr>
          <w:rFonts w:hint="eastAsia"/>
          <w:sz w:val="22"/>
        </w:rPr>
        <w:t>）万元×</w:t>
      </w:r>
      <w:r>
        <w:rPr>
          <w:sz w:val="22"/>
        </w:rPr>
        <w:t>0.8%=4</w:t>
      </w:r>
      <w:r>
        <w:rPr>
          <w:rFonts w:hint="eastAsia"/>
          <w:sz w:val="22"/>
        </w:rPr>
        <w:t>万元</w:t>
      </w:r>
      <w:r>
        <w:rPr>
          <w:sz w:val="22"/>
        </w:rPr>
        <w:t xml:space="preserve"> </w:t>
      </w:r>
    </w:p>
    <w:p>
      <w:pPr>
        <w:ind w:left="424" w:leftChars="202" w:firstLine="440" w:firstLineChars="200"/>
        <w:rPr>
          <w:rFonts w:hint="eastAsia"/>
          <w:sz w:val="22"/>
        </w:rPr>
      </w:pPr>
      <w:r>
        <w:rPr>
          <w:rFonts w:hint="eastAsia"/>
          <w:sz w:val="22"/>
        </w:rPr>
        <w:t>（</w:t>
      </w:r>
      <w:r>
        <w:rPr>
          <w:sz w:val="22"/>
        </w:rPr>
        <w:t>5000-1000</w:t>
      </w:r>
      <w:r>
        <w:rPr>
          <w:rFonts w:hint="eastAsia"/>
          <w:sz w:val="22"/>
        </w:rPr>
        <w:t>）万元×</w:t>
      </w:r>
      <w:r>
        <w:rPr>
          <w:sz w:val="22"/>
        </w:rPr>
        <w:t>0.5%=20</w:t>
      </w:r>
      <w:r>
        <w:rPr>
          <w:rFonts w:hint="eastAsia"/>
          <w:sz w:val="22"/>
        </w:rPr>
        <w:t>万元</w:t>
      </w:r>
    </w:p>
    <w:p>
      <w:pPr>
        <w:ind w:left="424" w:leftChars="202" w:firstLine="440" w:firstLineChars="200"/>
        <w:rPr>
          <w:rFonts w:hint="eastAsia"/>
          <w:sz w:val="22"/>
        </w:rPr>
      </w:pPr>
      <w:r>
        <w:rPr>
          <w:rFonts w:hint="eastAsia"/>
          <w:sz w:val="22"/>
        </w:rPr>
        <w:t>因此，招标代理服务费为：</w:t>
      </w:r>
      <w:r>
        <w:rPr>
          <w:sz w:val="22"/>
        </w:rPr>
        <w:t>1.5+4.4+4+20=29.9</w:t>
      </w:r>
      <w:r>
        <w:rPr>
          <w:rFonts w:hint="eastAsia"/>
          <w:sz w:val="22"/>
        </w:rPr>
        <w:t>万元。</w:t>
      </w:r>
    </w:p>
    <w:p>
      <w:pPr>
        <w:shd w:val="clear" w:color="auto" w:fill="auto"/>
        <w:tabs>
          <w:tab w:val="clear" w:pos="426"/>
        </w:tabs>
        <w:adjustRightInd/>
        <w:snapToGrid/>
        <w:spacing w:line="240" w:lineRule="auto"/>
        <w:jc w:val="left"/>
        <w:rPr>
          <w:rFonts w:ascii="Arial" w:hAnsi="Arial" w:cs="Times New Roman"/>
          <w:bCs/>
          <w:kern w:val="2"/>
          <w:sz w:val="36"/>
          <w:szCs w:val="32"/>
        </w:rPr>
      </w:pPr>
    </w:p>
    <w:sectPr>
      <w:headerReference r:id="rId6" w:type="first"/>
      <w:footerReference r:id="rId8" w:type="first"/>
      <w:headerReference r:id="rId5" w:type="default"/>
      <w:footerReference r:id="rId7" w:type="default"/>
      <w:pgSz w:w="11906" w:h="16838"/>
      <w:pgMar w:top="1134" w:right="1134" w:bottom="1134" w:left="1418" w:header="851" w:footer="992" w:gutter="0"/>
      <w:pgNumType w:start="1"/>
      <w:cols w:space="720" w:num="1"/>
      <w:titlePg/>
      <w:rtlGutter w:val="1"/>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line="240" w:lineRule="auto"/>
    </w:pPr>
    <w:r>
      <w:rPr>
        <w:rFonts w:hint="eastAsia"/>
      </w:rPr>
      <w:t>深圳市深水水务咨询有限公司招标文件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深圳市深水水务咨询有限公司招标文件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2"/>
      <w:numFmt w:val="decimal"/>
      <w:lvlText w:val="(%1)"/>
      <w:lvlJc w:val="left"/>
      <w:pPr>
        <w:tabs>
          <w:tab w:val="left" w:pos="1200"/>
        </w:tabs>
        <w:ind w:left="1200" w:hanging="360"/>
      </w:pPr>
      <w:rPr>
        <w:rFonts w:hint="default" w:cs="Times New Roman"/>
      </w:rPr>
    </w:lvl>
    <w:lvl w:ilvl="1" w:tentative="0">
      <w:start w:val="1"/>
      <w:numFmt w:val="decimal"/>
      <w:suff w:val="nothing"/>
      <w:lvlText w:val="%2．"/>
      <w:lvlJc w:val="left"/>
      <w:pPr>
        <w:ind w:left="1620" w:hanging="360"/>
      </w:pPr>
      <w:rPr>
        <w:rFonts w:hint="default" w:ascii="宋体" w:hAnsi="宋体" w:eastAsia="宋体" w:cs="Times New Roman"/>
      </w:rPr>
    </w:lvl>
    <w:lvl w:ilvl="2" w:tentative="0">
      <w:start w:val="1"/>
      <w:numFmt w:val="lowerRoman"/>
      <w:lvlText w:val="%3."/>
      <w:lvlJc w:val="right"/>
      <w:pPr>
        <w:tabs>
          <w:tab w:val="left" w:pos="2100"/>
        </w:tabs>
        <w:ind w:left="2100" w:hanging="420"/>
      </w:pPr>
      <w:rPr>
        <w:rFonts w:hint="eastAsia" w:cs="Times New Roman"/>
      </w:rPr>
    </w:lvl>
    <w:lvl w:ilvl="3" w:tentative="0">
      <w:start w:val="1"/>
      <w:numFmt w:val="decimal"/>
      <w:lvlText w:val="%4."/>
      <w:lvlJc w:val="left"/>
      <w:pPr>
        <w:tabs>
          <w:tab w:val="left" w:pos="2520"/>
        </w:tabs>
        <w:ind w:left="2520" w:hanging="420"/>
      </w:pPr>
      <w:rPr>
        <w:rFonts w:hint="eastAsia" w:cs="Times New Roman"/>
      </w:rPr>
    </w:lvl>
    <w:lvl w:ilvl="4" w:tentative="0">
      <w:start w:val="1"/>
      <w:numFmt w:val="lowerLetter"/>
      <w:lvlText w:val="%5)"/>
      <w:lvlJc w:val="left"/>
      <w:pPr>
        <w:tabs>
          <w:tab w:val="left" w:pos="2940"/>
        </w:tabs>
        <w:ind w:left="2940" w:hanging="420"/>
      </w:pPr>
      <w:rPr>
        <w:rFonts w:hint="eastAsia" w:cs="Times New Roman"/>
      </w:rPr>
    </w:lvl>
    <w:lvl w:ilvl="5" w:tentative="0">
      <w:start w:val="1"/>
      <w:numFmt w:val="lowerRoman"/>
      <w:lvlText w:val="%6."/>
      <w:lvlJc w:val="right"/>
      <w:pPr>
        <w:tabs>
          <w:tab w:val="left" w:pos="3360"/>
        </w:tabs>
        <w:ind w:left="3360" w:hanging="420"/>
      </w:pPr>
      <w:rPr>
        <w:rFonts w:hint="eastAsia" w:cs="Times New Roman"/>
      </w:rPr>
    </w:lvl>
    <w:lvl w:ilvl="6" w:tentative="0">
      <w:start w:val="1"/>
      <w:numFmt w:val="decimal"/>
      <w:lvlText w:val="%7."/>
      <w:lvlJc w:val="left"/>
      <w:pPr>
        <w:tabs>
          <w:tab w:val="left" w:pos="3780"/>
        </w:tabs>
        <w:ind w:left="3780" w:hanging="420"/>
      </w:pPr>
      <w:rPr>
        <w:rFonts w:hint="eastAsia" w:cs="Times New Roman"/>
      </w:rPr>
    </w:lvl>
    <w:lvl w:ilvl="7" w:tentative="0">
      <w:start w:val="1"/>
      <w:numFmt w:val="lowerLetter"/>
      <w:lvlText w:val="%8)"/>
      <w:lvlJc w:val="left"/>
      <w:pPr>
        <w:tabs>
          <w:tab w:val="left" w:pos="4200"/>
        </w:tabs>
        <w:ind w:left="4200" w:hanging="420"/>
      </w:pPr>
      <w:rPr>
        <w:rFonts w:hint="eastAsia" w:cs="Times New Roman"/>
      </w:rPr>
    </w:lvl>
    <w:lvl w:ilvl="8" w:tentative="0">
      <w:start w:val="1"/>
      <w:numFmt w:val="lowerRoman"/>
      <w:lvlText w:val="%9."/>
      <w:lvlJc w:val="right"/>
      <w:pPr>
        <w:tabs>
          <w:tab w:val="left" w:pos="4620"/>
        </w:tabs>
        <w:ind w:left="4620" w:hanging="420"/>
      </w:pPr>
      <w:rPr>
        <w:rFonts w:hint="eastAsia" w:cs="Times New Roman"/>
      </w:rPr>
    </w:lvl>
  </w:abstractNum>
  <w:abstractNum w:abstractNumId="1">
    <w:nsid w:val="24212C01"/>
    <w:multiLevelType w:val="multilevel"/>
    <w:tmpl w:val="24212C01"/>
    <w:lvl w:ilvl="0" w:tentative="0">
      <w:start w:val="1"/>
      <w:numFmt w:val="chineseCountingThousand"/>
      <w:lvlText w:val="%1、"/>
      <w:lvlJc w:val="left"/>
      <w:pPr>
        <w:tabs>
          <w:tab w:val="left" w:pos="420"/>
        </w:tabs>
        <w:ind w:left="420" w:hanging="420"/>
      </w:pPr>
      <w:rPr>
        <w:rFonts w:hint="eastAsia" w:cs="Times New Roman"/>
      </w:rPr>
    </w:lvl>
    <w:lvl w:ilvl="1" w:tentative="0">
      <w:start w:val="1"/>
      <w:numFmt w:val="decimal"/>
      <w:suff w:val="nothing"/>
      <w:lvlText w:val="%2."/>
      <w:lvlJc w:val="left"/>
      <w:pPr>
        <w:ind w:left="840" w:hanging="420"/>
      </w:pPr>
      <w:rPr>
        <w:rFonts w:hint="eastAsia" w:ascii="宋体" w:hAnsi="宋体" w:eastAsia="宋体" w:cs="Times New Roman"/>
        <w:b w:val="0"/>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2">
    <w:nsid w:val="2DF849D3"/>
    <w:multiLevelType w:val="multilevel"/>
    <w:tmpl w:val="2DF849D3"/>
    <w:lvl w:ilvl="0" w:tentative="0">
      <w:start w:val="1"/>
      <w:numFmt w:val="chineseCountingThousand"/>
      <w:suff w:val="nothing"/>
      <w:lvlText w:val="%1、"/>
      <w:lvlJc w:val="left"/>
      <w:pPr>
        <w:ind w:left="420" w:hanging="420"/>
      </w:pPr>
      <w:rPr>
        <w:rFonts w:hint="eastAsia"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4253DA1"/>
    <w:multiLevelType w:val="multilevel"/>
    <w:tmpl w:val="64253DA1"/>
    <w:lvl w:ilvl="0" w:tentative="0">
      <w:start w:val="1"/>
      <w:numFmt w:val="decimal"/>
      <w:suff w:val="nothing"/>
      <w:lvlText w:val="%1"/>
      <w:lvlJc w:val="left"/>
      <w:pPr>
        <w:ind w:left="596" w:hanging="420"/>
      </w:pPr>
      <w:rPr>
        <w:rFonts w:hint="eastAsia" w:cs="Times New Roman"/>
      </w:rPr>
    </w:lvl>
    <w:lvl w:ilvl="1" w:tentative="0">
      <w:start w:val="1"/>
      <w:numFmt w:val="lowerLetter"/>
      <w:lvlText w:val="%2)"/>
      <w:lvlJc w:val="left"/>
      <w:pPr>
        <w:tabs>
          <w:tab w:val="left" w:pos="1016"/>
        </w:tabs>
        <w:ind w:left="1016" w:hanging="420"/>
      </w:pPr>
      <w:rPr>
        <w:rFonts w:hint="eastAsia" w:cs="Times New Roman"/>
      </w:rPr>
    </w:lvl>
    <w:lvl w:ilvl="2" w:tentative="0">
      <w:start w:val="1"/>
      <w:numFmt w:val="lowerRoman"/>
      <w:lvlText w:val="%3."/>
      <w:lvlJc w:val="right"/>
      <w:pPr>
        <w:tabs>
          <w:tab w:val="left" w:pos="1436"/>
        </w:tabs>
        <w:ind w:left="1436" w:hanging="420"/>
      </w:pPr>
      <w:rPr>
        <w:rFonts w:hint="eastAsia" w:cs="Times New Roman"/>
      </w:rPr>
    </w:lvl>
    <w:lvl w:ilvl="3" w:tentative="0">
      <w:start w:val="1"/>
      <w:numFmt w:val="decimal"/>
      <w:lvlText w:val="%4."/>
      <w:lvlJc w:val="left"/>
      <w:pPr>
        <w:tabs>
          <w:tab w:val="left" w:pos="1856"/>
        </w:tabs>
        <w:ind w:left="1856" w:hanging="420"/>
      </w:pPr>
      <w:rPr>
        <w:rFonts w:hint="eastAsia" w:cs="Times New Roman"/>
      </w:rPr>
    </w:lvl>
    <w:lvl w:ilvl="4" w:tentative="0">
      <w:start w:val="1"/>
      <w:numFmt w:val="lowerLetter"/>
      <w:lvlText w:val="%5)"/>
      <w:lvlJc w:val="left"/>
      <w:pPr>
        <w:tabs>
          <w:tab w:val="left" w:pos="2276"/>
        </w:tabs>
        <w:ind w:left="2276" w:hanging="420"/>
      </w:pPr>
      <w:rPr>
        <w:rFonts w:hint="eastAsia" w:cs="Times New Roman"/>
      </w:rPr>
    </w:lvl>
    <w:lvl w:ilvl="5" w:tentative="0">
      <w:start w:val="1"/>
      <w:numFmt w:val="lowerRoman"/>
      <w:lvlText w:val="%6."/>
      <w:lvlJc w:val="right"/>
      <w:pPr>
        <w:tabs>
          <w:tab w:val="left" w:pos="2696"/>
        </w:tabs>
        <w:ind w:left="2696" w:hanging="420"/>
      </w:pPr>
      <w:rPr>
        <w:rFonts w:hint="eastAsia" w:cs="Times New Roman"/>
      </w:rPr>
    </w:lvl>
    <w:lvl w:ilvl="6" w:tentative="0">
      <w:start w:val="1"/>
      <w:numFmt w:val="decimal"/>
      <w:lvlText w:val="%7."/>
      <w:lvlJc w:val="left"/>
      <w:pPr>
        <w:tabs>
          <w:tab w:val="left" w:pos="3116"/>
        </w:tabs>
        <w:ind w:left="3116" w:hanging="420"/>
      </w:pPr>
      <w:rPr>
        <w:rFonts w:hint="eastAsia" w:cs="Times New Roman"/>
      </w:rPr>
    </w:lvl>
    <w:lvl w:ilvl="7" w:tentative="0">
      <w:start w:val="1"/>
      <w:numFmt w:val="lowerLetter"/>
      <w:lvlText w:val="%8)"/>
      <w:lvlJc w:val="left"/>
      <w:pPr>
        <w:tabs>
          <w:tab w:val="left" w:pos="3536"/>
        </w:tabs>
        <w:ind w:left="3536" w:hanging="420"/>
      </w:pPr>
      <w:rPr>
        <w:rFonts w:hint="eastAsia" w:cs="Times New Roman"/>
      </w:rPr>
    </w:lvl>
    <w:lvl w:ilvl="8" w:tentative="0">
      <w:start w:val="1"/>
      <w:numFmt w:val="lowerRoman"/>
      <w:lvlText w:val="%9."/>
      <w:lvlJc w:val="right"/>
      <w:pPr>
        <w:tabs>
          <w:tab w:val="left" w:pos="3956"/>
        </w:tabs>
        <w:ind w:left="3956" w:hanging="420"/>
      </w:pPr>
      <w:rPr>
        <w:rFonts w:hint="eastAsia" w:cs="Times New Roman"/>
      </w:rPr>
    </w:lvl>
  </w:abstractNum>
  <w:abstractNum w:abstractNumId="4">
    <w:nsid w:val="726C71F1"/>
    <w:multiLevelType w:val="multilevel"/>
    <w:tmpl w:val="726C71F1"/>
    <w:lvl w:ilvl="0" w:tentative="0">
      <w:start w:val="1"/>
      <w:numFmt w:val="chineseCountingThousand"/>
      <w:pStyle w:val="555"/>
      <w:suff w:val="nothing"/>
      <w:lvlText w:val="%1、"/>
      <w:lvlJc w:val="left"/>
      <w:rPr>
        <w:rFonts w:hint="eastAsia" w:cs="Times New Roman"/>
        <w:b/>
      </w:rPr>
    </w:lvl>
    <w:lvl w:ilvl="1" w:tentative="0">
      <w:start w:val="1"/>
      <w:numFmt w:val="decimal"/>
      <w:lvlText w:val="%1.%2"/>
      <w:lvlJc w:val="left"/>
      <w:rPr>
        <w:rFonts w:hint="eastAsia" w:cs="Times New Roman"/>
      </w:rPr>
    </w:lvl>
    <w:lvl w:ilvl="2" w:tentative="0">
      <w:start w:val="1"/>
      <w:numFmt w:val="decimal"/>
      <w:lvlText w:val="%1.%2.%3"/>
      <w:lvlJc w:val="left"/>
      <w:rPr>
        <w:rFonts w:hint="eastAsia" w:cs="Times New Roman"/>
      </w:rPr>
    </w:lvl>
    <w:lvl w:ilvl="3" w:tentative="0">
      <w:start w:val="1"/>
      <w:numFmt w:val="decimal"/>
      <w:lvlText w:val="%1.%2.%3.%4"/>
      <w:lvlJc w:val="left"/>
      <w:rPr>
        <w:rFonts w:hint="eastAsia" w:cs="Times New Roman"/>
      </w:rPr>
    </w:lvl>
    <w:lvl w:ilvl="4" w:tentative="0">
      <w:start w:val="1"/>
      <w:numFmt w:val="decimal"/>
      <w:lvlText w:val="%1.%2.%3.%4.%5"/>
      <w:lvlJc w:val="left"/>
      <w:rPr>
        <w:rFonts w:hint="eastAsia" w:cs="Times New Roman"/>
      </w:rPr>
    </w:lvl>
    <w:lvl w:ilvl="5" w:tentative="0">
      <w:start w:val="1"/>
      <w:numFmt w:val="decimal"/>
      <w:lvlText w:val="%1.%2.%3.%4.%5.%6"/>
      <w:lvlJc w:val="left"/>
      <w:rPr>
        <w:rFonts w:hint="eastAsia" w:cs="Times New Roman"/>
      </w:rPr>
    </w:lvl>
    <w:lvl w:ilvl="6" w:tentative="0">
      <w:start w:val="1"/>
      <w:numFmt w:val="decimal"/>
      <w:lvlText w:val="%1.%2.%3.%4.%5.%6.%7"/>
      <w:lvlJc w:val="left"/>
      <w:rPr>
        <w:rFonts w:hint="eastAsia" w:cs="Times New Roman"/>
      </w:rPr>
    </w:lvl>
    <w:lvl w:ilvl="7" w:tentative="0">
      <w:start w:val="1"/>
      <w:numFmt w:val="decimal"/>
      <w:lvlText w:val="%1.%2.%3.%4.%5.%6.%7.%8"/>
      <w:lvlJc w:val="left"/>
      <w:rPr>
        <w:rFonts w:hint="eastAsia" w:cs="Times New Roman"/>
      </w:rPr>
    </w:lvl>
    <w:lvl w:ilvl="8" w:tentative="0">
      <w:start w:val="1"/>
      <w:numFmt w:val="decimal"/>
      <w:lvlText w:val="%1.%2.%3.%4.%5.%6.%7.%8.%9"/>
      <w:lvlJc w:val="left"/>
      <w:rPr>
        <w:rFonts w:hint="eastAsia" w:cs="Times New Roman"/>
      </w:rPr>
    </w:lvl>
  </w:abstractNum>
  <w:abstractNum w:abstractNumId="5">
    <w:nsid w:val="734F656C"/>
    <w:multiLevelType w:val="multilevel"/>
    <w:tmpl w:val="734F656C"/>
    <w:lvl w:ilvl="0" w:tentative="0">
      <w:start w:val="1"/>
      <w:numFmt w:val="decimal"/>
      <w:suff w:val="nothing"/>
      <w:lvlText w:val="%1"/>
      <w:lvlJc w:val="left"/>
      <w:pPr>
        <w:ind w:left="63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NzIwNzA4ZTJjN2M2YzAzODJmMmZmNWFlZjU1OTAifQ=="/>
  </w:docVars>
  <w:rsids>
    <w:rsidRoot w:val="006C5683"/>
    <w:rsid w:val="0000037F"/>
    <w:rsid w:val="000006B9"/>
    <w:rsid w:val="00000915"/>
    <w:rsid w:val="00000941"/>
    <w:rsid w:val="00000AFB"/>
    <w:rsid w:val="00000DA4"/>
    <w:rsid w:val="0000145B"/>
    <w:rsid w:val="0000159C"/>
    <w:rsid w:val="00001AEA"/>
    <w:rsid w:val="00001CE0"/>
    <w:rsid w:val="00002054"/>
    <w:rsid w:val="000020FF"/>
    <w:rsid w:val="00002F93"/>
    <w:rsid w:val="00002F9F"/>
    <w:rsid w:val="00003526"/>
    <w:rsid w:val="000036F7"/>
    <w:rsid w:val="000038EB"/>
    <w:rsid w:val="00003B2E"/>
    <w:rsid w:val="00003CC2"/>
    <w:rsid w:val="00004225"/>
    <w:rsid w:val="00004251"/>
    <w:rsid w:val="0000488C"/>
    <w:rsid w:val="00004952"/>
    <w:rsid w:val="000049E7"/>
    <w:rsid w:val="00005215"/>
    <w:rsid w:val="00005A10"/>
    <w:rsid w:val="00005AB7"/>
    <w:rsid w:val="00005AFC"/>
    <w:rsid w:val="00006023"/>
    <w:rsid w:val="00006D66"/>
    <w:rsid w:val="00007123"/>
    <w:rsid w:val="000073A7"/>
    <w:rsid w:val="000078FF"/>
    <w:rsid w:val="00007B76"/>
    <w:rsid w:val="00007FCD"/>
    <w:rsid w:val="00010102"/>
    <w:rsid w:val="00010A6F"/>
    <w:rsid w:val="000111B4"/>
    <w:rsid w:val="0001175B"/>
    <w:rsid w:val="0001231B"/>
    <w:rsid w:val="000124E2"/>
    <w:rsid w:val="0001275D"/>
    <w:rsid w:val="000128AD"/>
    <w:rsid w:val="00012C0A"/>
    <w:rsid w:val="00012C1F"/>
    <w:rsid w:val="00013044"/>
    <w:rsid w:val="0001325A"/>
    <w:rsid w:val="00014018"/>
    <w:rsid w:val="00014026"/>
    <w:rsid w:val="00014AA6"/>
    <w:rsid w:val="00014E10"/>
    <w:rsid w:val="00014F58"/>
    <w:rsid w:val="000151D5"/>
    <w:rsid w:val="00015433"/>
    <w:rsid w:val="000154D8"/>
    <w:rsid w:val="00015968"/>
    <w:rsid w:val="00015E98"/>
    <w:rsid w:val="0001634A"/>
    <w:rsid w:val="000168E6"/>
    <w:rsid w:val="00016D58"/>
    <w:rsid w:val="00016ED5"/>
    <w:rsid w:val="00017112"/>
    <w:rsid w:val="0001716B"/>
    <w:rsid w:val="000177C0"/>
    <w:rsid w:val="0001792D"/>
    <w:rsid w:val="0001794C"/>
    <w:rsid w:val="00020321"/>
    <w:rsid w:val="000207D1"/>
    <w:rsid w:val="000211EA"/>
    <w:rsid w:val="000218B0"/>
    <w:rsid w:val="00021B1A"/>
    <w:rsid w:val="00022196"/>
    <w:rsid w:val="00022548"/>
    <w:rsid w:val="00022E19"/>
    <w:rsid w:val="000233D6"/>
    <w:rsid w:val="000234B2"/>
    <w:rsid w:val="0002382E"/>
    <w:rsid w:val="0002401D"/>
    <w:rsid w:val="000244E1"/>
    <w:rsid w:val="000245FE"/>
    <w:rsid w:val="000246D4"/>
    <w:rsid w:val="000252D1"/>
    <w:rsid w:val="00025673"/>
    <w:rsid w:val="00025E39"/>
    <w:rsid w:val="00026A09"/>
    <w:rsid w:val="00026CAC"/>
    <w:rsid w:val="00027F8E"/>
    <w:rsid w:val="0003072D"/>
    <w:rsid w:val="000308B1"/>
    <w:rsid w:val="0003148B"/>
    <w:rsid w:val="00031700"/>
    <w:rsid w:val="00031E25"/>
    <w:rsid w:val="00031F18"/>
    <w:rsid w:val="00031F6E"/>
    <w:rsid w:val="00032001"/>
    <w:rsid w:val="00032090"/>
    <w:rsid w:val="000325A7"/>
    <w:rsid w:val="00032926"/>
    <w:rsid w:val="00033051"/>
    <w:rsid w:val="00033725"/>
    <w:rsid w:val="0003373D"/>
    <w:rsid w:val="000339DE"/>
    <w:rsid w:val="00033B7B"/>
    <w:rsid w:val="00034B41"/>
    <w:rsid w:val="00034D82"/>
    <w:rsid w:val="0003503F"/>
    <w:rsid w:val="0003509A"/>
    <w:rsid w:val="0003617B"/>
    <w:rsid w:val="000372DD"/>
    <w:rsid w:val="000377F6"/>
    <w:rsid w:val="00037F52"/>
    <w:rsid w:val="00037F54"/>
    <w:rsid w:val="0004000A"/>
    <w:rsid w:val="00040A4B"/>
    <w:rsid w:val="00040D3C"/>
    <w:rsid w:val="00040F06"/>
    <w:rsid w:val="0004120F"/>
    <w:rsid w:val="00041611"/>
    <w:rsid w:val="00041A75"/>
    <w:rsid w:val="00041B72"/>
    <w:rsid w:val="00041B9A"/>
    <w:rsid w:val="00041BD2"/>
    <w:rsid w:val="00041E1A"/>
    <w:rsid w:val="00041E58"/>
    <w:rsid w:val="000423A2"/>
    <w:rsid w:val="00042404"/>
    <w:rsid w:val="00042BE4"/>
    <w:rsid w:val="00042CE2"/>
    <w:rsid w:val="00043131"/>
    <w:rsid w:val="0004348E"/>
    <w:rsid w:val="00043A89"/>
    <w:rsid w:val="00043C31"/>
    <w:rsid w:val="00044204"/>
    <w:rsid w:val="00044591"/>
    <w:rsid w:val="00044926"/>
    <w:rsid w:val="00044A73"/>
    <w:rsid w:val="00045739"/>
    <w:rsid w:val="00045AD6"/>
    <w:rsid w:val="00046354"/>
    <w:rsid w:val="00046767"/>
    <w:rsid w:val="0004790E"/>
    <w:rsid w:val="00050B31"/>
    <w:rsid w:val="00050F3E"/>
    <w:rsid w:val="000510B6"/>
    <w:rsid w:val="00051D3E"/>
    <w:rsid w:val="00051F3F"/>
    <w:rsid w:val="0005204E"/>
    <w:rsid w:val="00052798"/>
    <w:rsid w:val="00052BC1"/>
    <w:rsid w:val="00052F7C"/>
    <w:rsid w:val="0005365D"/>
    <w:rsid w:val="00053715"/>
    <w:rsid w:val="0005381C"/>
    <w:rsid w:val="000538BE"/>
    <w:rsid w:val="000539E2"/>
    <w:rsid w:val="00053A25"/>
    <w:rsid w:val="00055013"/>
    <w:rsid w:val="00055256"/>
    <w:rsid w:val="000557BC"/>
    <w:rsid w:val="0005582B"/>
    <w:rsid w:val="00055C4B"/>
    <w:rsid w:val="000566D1"/>
    <w:rsid w:val="0005677F"/>
    <w:rsid w:val="00056E39"/>
    <w:rsid w:val="00057332"/>
    <w:rsid w:val="0005740C"/>
    <w:rsid w:val="000601F6"/>
    <w:rsid w:val="000602D1"/>
    <w:rsid w:val="0006039A"/>
    <w:rsid w:val="00060DD9"/>
    <w:rsid w:val="00060E5A"/>
    <w:rsid w:val="0006171E"/>
    <w:rsid w:val="00061BBA"/>
    <w:rsid w:val="00061DCB"/>
    <w:rsid w:val="0006267A"/>
    <w:rsid w:val="00062882"/>
    <w:rsid w:val="00062B74"/>
    <w:rsid w:val="00062BA0"/>
    <w:rsid w:val="00062C42"/>
    <w:rsid w:val="00063131"/>
    <w:rsid w:val="000638E3"/>
    <w:rsid w:val="00063A79"/>
    <w:rsid w:val="00063CD3"/>
    <w:rsid w:val="00063F40"/>
    <w:rsid w:val="00063FD9"/>
    <w:rsid w:val="00064ABC"/>
    <w:rsid w:val="00065E3F"/>
    <w:rsid w:val="0006640B"/>
    <w:rsid w:val="0006670C"/>
    <w:rsid w:val="00066EA8"/>
    <w:rsid w:val="00066EF6"/>
    <w:rsid w:val="0006703A"/>
    <w:rsid w:val="00067390"/>
    <w:rsid w:val="00067A02"/>
    <w:rsid w:val="00067B7F"/>
    <w:rsid w:val="00067D5E"/>
    <w:rsid w:val="00070409"/>
    <w:rsid w:val="000704BF"/>
    <w:rsid w:val="0007051D"/>
    <w:rsid w:val="00070736"/>
    <w:rsid w:val="00070929"/>
    <w:rsid w:val="000709E4"/>
    <w:rsid w:val="00071CDD"/>
    <w:rsid w:val="00071F7E"/>
    <w:rsid w:val="0007261A"/>
    <w:rsid w:val="00072D8F"/>
    <w:rsid w:val="00072DAB"/>
    <w:rsid w:val="00072DD1"/>
    <w:rsid w:val="0007310B"/>
    <w:rsid w:val="00073180"/>
    <w:rsid w:val="000732C9"/>
    <w:rsid w:val="00073E77"/>
    <w:rsid w:val="000740B8"/>
    <w:rsid w:val="0007455E"/>
    <w:rsid w:val="000750DC"/>
    <w:rsid w:val="0007542D"/>
    <w:rsid w:val="00075C4A"/>
    <w:rsid w:val="00076BF2"/>
    <w:rsid w:val="00076EDC"/>
    <w:rsid w:val="00077188"/>
    <w:rsid w:val="00077784"/>
    <w:rsid w:val="00080925"/>
    <w:rsid w:val="0008103C"/>
    <w:rsid w:val="00081639"/>
    <w:rsid w:val="000818BE"/>
    <w:rsid w:val="00081A6E"/>
    <w:rsid w:val="000820FF"/>
    <w:rsid w:val="00082667"/>
    <w:rsid w:val="00082B2F"/>
    <w:rsid w:val="00082DBC"/>
    <w:rsid w:val="00083AAF"/>
    <w:rsid w:val="00083DA4"/>
    <w:rsid w:val="00083DC6"/>
    <w:rsid w:val="000840C5"/>
    <w:rsid w:val="00085023"/>
    <w:rsid w:val="00085592"/>
    <w:rsid w:val="00085624"/>
    <w:rsid w:val="00085B5B"/>
    <w:rsid w:val="00085D12"/>
    <w:rsid w:val="000862AC"/>
    <w:rsid w:val="000864B8"/>
    <w:rsid w:val="0008698E"/>
    <w:rsid w:val="000869D8"/>
    <w:rsid w:val="00086B77"/>
    <w:rsid w:val="00086BB4"/>
    <w:rsid w:val="00086C4F"/>
    <w:rsid w:val="0008735D"/>
    <w:rsid w:val="00087A08"/>
    <w:rsid w:val="00087C7C"/>
    <w:rsid w:val="000909A1"/>
    <w:rsid w:val="00091179"/>
    <w:rsid w:val="0009141A"/>
    <w:rsid w:val="000915F3"/>
    <w:rsid w:val="00091657"/>
    <w:rsid w:val="000924E5"/>
    <w:rsid w:val="00092590"/>
    <w:rsid w:val="0009269A"/>
    <w:rsid w:val="000927D9"/>
    <w:rsid w:val="00092CD0"/>
    <w:rsid w:val="00092FC7"/>
    <w:rsid w:val="00093003"/>
    <w:rsid w:val="00093890"/>
    <w:rsid w:val="00093C08"/>
    <w:rsid w:val="0009421D"/>
    <w:rsid w:val="000946EC"/>
    <w:rsid w:val="00094EB7"/>
    <w:rsid w:val="000950A7"/>
    <w:rsid w:val="000951B4"/>
    <w:rsid w:val="00095480"/>
    <w:rsid w:val="000954D5"/>
    <w:rsid w:val="00095596"/>
    <w:rsid w:val="00095778"/>
    <w:rsid w:val="00095A25"/>
    <w:rsid w:val="0009618D"/>
    <w:rsid w:val="000961F2"/>
    <w:rsid w:val="0009709B"/>
    <w:rsid w:val="0009778F"/>
    <w:rsid w:val="00097D27"/>
    <w:rsid w:val="000A0441"/>
    <w:rsid w:val="000A0B8E"/>
    <w:rsid w:val="000A0BF6"/>
    <w:rsid w:val="000A1206"/>
    <w:rsid w:val="000A21E9"/>
    <w:rsid w:val="000A28A6"/>
    <w:rsid w:val="000A2927"/>
    <w:rsid w:val="000A2C6D"/>
    <w:rsid w:val="000A48A7"/>
    <w:rsid w:val="000A599B"/>
    <w:rsid w:val="000A5F2D"/>
    <w:rsid w:val="000A6726"/>
    <w:rsid w:val="000A6BCB"/>
    <w:rsid w:val="000A6C1B"/>
    <w:rsid w:val="000A6EE8"/>
    <w:rsid w:val="000A6F39"/>
    <w:rsid w:val="000A756F"/>
    <w:rsid w:val="000A7726"/>
    <w:rsid w:val="000B05E2"/>
    <w:rsid w:val="000B0E71"/>
    <w:rsid w:val="000B11E0"/>
    <w:rsid w:val="000B1345"/>
    <w:rsid w:val="000B20FB"/>
    <w:rsid w:val="000B2311"/>
    <w:rsid w:val="000B2568"/>
    <w:rsid w:val="000B2BAE"/>
    <w:rsid w:val="000B2BB0"/>
    <w:rsid w:val="000B381C"/>
    <w:rsid w:val="000B41A9"/>
    <w:rsid w:val="000B428A"/>
    <w:rsid w:val="000B44C8"/>
    <w:rsid w:val="000B4591"/>
    <w:rsid w:val="000B4777"/>
    <w:rsid w:val="000B4988"/>
    <w:rsid w:val="000B49C5"/>
    <w:rsid w:val="000B5097"/>
    <w:rsid w:val="000B5447"/>
    <w:rsid w:val="000B56CC"/>
    <w:rsid w:val="000B6961"/>
    <w:rsid w:val="000B69EB"/>
    <w:rsid w:val="000B6B59"/>
    <w:rsid w:val="000B6DE4"/>
    <w:rsid w:val="000B73D3"/>
    <w:rsid w:val="000B76A8"/>
    <w:rsid w:val="000B7ABC"/>
    <w:rsid w:val="000B7AF7"/>
    <w:rsid w:val="000C0173"/>
    <w:rsid w:val="000C0559"/>
    <w:rsid w:val="000C0D71"/>
    <w:rsid w:val="000C1C71"/>
    <w:rsid w:val="000C1EE4"/>
    <w:rsid w:val="000C2446"/>
    <w:rsid w:val="000C2FC5"/>
    <w:rsid w:val="000C3360"/>
    <w:rsid w:val="000C33C0"/>
    <w:rsid w:val="000C3497"/>
    <w:rsid w:val="000C3C43"/>
    <w:rsid w:val="000C3D9C"/>
    <w:rsid w:val="000C4198"/>
    <w:rsid w:val="000C427C"/>
    <w:rsid w:val="000C4425"/>
    <w:rsid w:val="000C4518"/>
    <w:rsid w:val="000C5044"/>
    <w:rsid w:val="000C580F"/>
    <w:rsid w:val="000C587B"/>
    <w:rsid w:val="000C5F59"/>
    <w:rsid w:val="000C61EA"/>
    <w:rsid w:val="000C6975"/>
    <w:rsid w:val="000C6AF5"/>
    <w:rsid w:val="000C6BA7"/>
    <w:rsid w:val="000C6F2D"/>
    <w:rsid w:val="000C70F7"/>
    <w:rsid w:val="000C7CA5"/>
    <w:rsid w:val="000C7D81"/>
    <w:rsid w:val="000C7E7E"/>
    <w:rsid w:val="000D03AD"/>
    <w:rsid w:val="000D1055"/>
    <w:rsid w:val="000D1275"/>
    <w:rsid w:val="000D12AA"/>
    <w:rsid w:val="000D1330"/>
    <w:rsid w:val="000D1A7D"/>
    <w:rsid w:val="000D1D09"/>
    <w:rsid w:val="000D20CD"/>
    <w:rsid w:val="000D2309"/>
    <w:rsid w:val="000D2390"/>
    <w:rsid w:val="000D23AD"/>
    <w:rsid w:val="000D2C15"/>
    <w:rsid w:val="000D350D"/>
    <w:rsid w:val="000D35B7"/>
    <w:rsid w:val="000D38F9"/>
    <w:rsid w:val="000D40F0"/>
    <w:rsid w:val="000D4106"/>
    <w:rsid w:val="000D41F0"/>
    <w:rsid w:val="000D495E"/>
    <w:rsid w:val="000D4CFC"/>
    <w:rsid w:val="000D4E09"/>
    <w:rsid w:val="000D53B3"/>
    <w:rsid w:val="000D5864"/>
    <w:rsid w:val="000D58D2"/>
    <w:rsid w:val="000D5DD9"/>
    <w:rsid w:val="000D6197"/>
    <w:rsid w:val="000D695F"/>
    <w:rsid w:val="000D6AF1"/>
    <w:rsid w:val="000D6DA4"/>
    <w:rsid w:val="000D77FE"/>
    <w:rsid w:val="000E0040"/>
    <w:rsid w:val="000E01F1"/>
    <w:rsid w:val="000E0227"/>
    <w:rsid w:val="000E0239"/>
    <w:rsid w:val="000E065D"/>
    <w:rsid w:val="000E0885"/>
    <w:rsid w:val="000E121E"/>
    <w:rsid w:val="000E14A4"/>
    <w:rsid w:val="000E14C6"/>
    <w:rsid w:val="000E166A"/>
    <w:rsid w:val="000E1C23"/>
    <w:rsid w:val="000E2321"/>
    <w:rsid w:val="000E2B3C"/>
    <w:rsid w:val="000E2F34"/>
    <w:rsid w:val="000E301B"/>
    <w:rsid w:val="000E34E1"/>
    <w:rsid w:val="000E41C0"/>
    <w:rsid w:val="000E4687"/>
    <w:rsid w:val="000E48ED"/>
    <w:rsid w:val="000E49EB"/>
    <w:rsid w:val="000E4DE8"/>
    <w:rsid w:val="000E60B2"/>
    <w:rsid w:val="000E62FD"/>
    <w:rsid w:val="000E6681"/>
    <w:rsid w:val="000E69FE"/>
    <w:rsid w:val="000E6C5E"/>
    <w:rsid w:val="000E6C9A"/>
    <w:rsid w:val="000E6DB4"/>
    <w:rsid w:val="000E6EC0"/>
    <w:rsid w:val="000E7D2D"/>
    <w:rsid w:val="000F0265"/>
    <w:rsid w:val="000F10F7"/>
    <w:rsid w:val="000F179C"/>
    <w:rsid w:val="000F1DD5"/>
    <w:rsid w:val="000F1FA3"/>
    <w:rsid w:val="000F2065"/>
    <w:rsid w:val="000F2359"/>
    <w:rsid w:val="000F2A88"/>
    <w:rsid w:val="000F2D1B"/>
    <w:rsid w:val="000F353A"/>
    <w:rsid w:val="000F3A80"/>
    <w:rsid w:val="000F3ADB"/>
    <w:rsid w:val="000F3FA1"/>
    <w:rsid w:val="000F4351"/>
    <w:rsid w:val="000F4752"/>
    <w:rsid w:val="000F48D9"/>
    <w:rsid w:val="000F4A59"/>
    <w:rsid w:val="000F4B7E"/>
    <w:rsid w:val="000F4E82"/>
    <w:rsid w:val="000F51DA"/>
    <w:rsid w:val="000F5577"/>
    <w:rsid w:val="000F565B"/>
    <w:rsid w:val="000F57BF"/>
    <w:rsid w:val="000F5F3F"/>
    <w:rsid w:val="000F5F65"/>
    <w:rsid w:val="000F67AA"/>
    <w:rsid w:val="001005C3"/>
    <w:rsid w:val="00100844"/>
    <w:rsid w:val="001018E7"/>
    <w:rsid w:val="00101C3F"/>
    <w:rsid w:val="00101DD0"/>
    <w:rsid w:val="00102555"/>
    <w:rsid w:val="001027FD"/>
    <w:rsid w:val="00102F06"/>
    <w:rsid w:val="00103D3E"/>
    <w:rsid w:val="00103DFC"/>
    <w:rsid w:val="00103ECC"/>
    <w:rsid w:val="001047E8"/>
    <w:rsid w:val="00104B2A"/>
    <w:rsid w:val="00104F15"/>
    <w:rsid w:val="001051A9"/>
    <w:rsid w:val="00105B3E"/>
    <w:rsid w:val="00105B99"/>
    <w:rsid w:val="00105BA0"/>
    <w:rsid w:val="001061D3"/>
    <w:rsid w:val="00106748"/>
    <w:rsid w:val="0010723E"/>
    <w:rsid w:val="001075B1"/>
    <w:rsid w:val="00107D54"/>
    <w:rsid w:val="00110079"/>
    <w:rsid w:val="00110173"/>
    <w:rsid w:val="00110A90"/>
    <w:rsid w:val="00110CD5"/>
    <w:rsid w:val="0011108B"/>
    <w:rsid w:val="001111F7"/>
    <w:rsid w:val="00111A14"/>
    <w:rsid w:val="00111C87"/>
    <w:rsid w:val="001136E5"/>
    <w:rsid w:val="001138DA"/>
    <w:rsid w:val="00113FFD"/>
    <w:rsid w:val="00115711"/>
    <w:rsid w:val="0011585F"/>
    <w:rsid w:val="00115973"/>
    <w:rsid w:val="00115A55"/>
    <w:rsid w:val="00115AD7"/>
    <w:rsid w:val="00116971"/>
    <w:rsid w:val="001172D4"/>
    <w:rsid w:val="00117316"/>
    <w:rsid w:val="00117A19"/>
    <w:rsid w:val="00117E2F"/>
    <w:rsid w:val="001205E7"/>
    <w:rsid w:val="001208AF"/>
    <w:rsid w:val="00120A84"/>
    <w:rsid w:val="001212EF"/>
    <w:rsid w:val="001213CE"/>
    <w:rsid w:val="001215C5"/>
    <w:rsid w:val="001217DC"/>
    <w:rsid w:val="00121AA9"/>
    <w:rsid w:val="0012203F"/>
    <w:rsid w:val="00122238"/>
    <w:rsid w:val="00122873"/>
    <w:rsid w:val="0012293C"/>
    <w:rsid w:val="00122EAA"/>
    <w:rsid w:val="00123243"/>
    <w:rsid w:val="00123987"/>
    <w:rsid w:val="00123CC6"/>
    <w:rsid w:val="001241FC"/>
    <w:rsid w:val="00124A28"/>
    <w:rsid w:val="00124E97"/>
    <w:rsid w:val="00125200"/>
    <w:rsid w:val="00125202"/>
    <w:rsid w:val="00125B11"/>
    <w:rsid w:val="00125C68"/>
    <w:rsid w:val="00125C8A"/>
    <w:rsid w:val="00125CF2"/>
    <w:rsid w:val="00125E74"/>
    <w:rsid w:val="00126080"/>
    <w:rsid w:val="0012649A"/>
    <w:rsid w:val="001264D8"/>
    <w:rsid w:val="00126813"/>
    <w:rsid w:val="00126953"/>
    <w:rsid w:val="00126AD5"/>
    <w:rsid w:val="00126C43"/>
    <w:rsid w:val="00126EEB"/>
    <w:rsid w:val="00127777"/>
    <w:rsid w:val="00127A00"/>
    <w:rsid w:val="00127AD2"/>
    <w:rsid w:val="00127CD1"/>
    <w:rsid w:val="0013053B"/>
    <w:rsid w:val="001305BF"/>
    <w:rsid w:val="001307D9"/>
    <w:rsid w:val="00130827"/>
    <w:rsid w:val="001308A2"/>
    <w:rsid w:val="00130C56"/>
    <w:rsid w:val="00131668"/>
    <w:rsid w:val="001319AB"/>
    <w:rsid w:val="00131E17"/>
    <w:rsid w:val="001321FC"/>
    <w:rsid w:val="0013288F"/>
    <w:rsid w:val="00132F55"/>
    <w:rsid w:val="00132FAF"/>
    <w:rsid w:val="001330B3"/>
    <w:rsid w:val="001333A3"/>
    <w:rsid w:val="00133D2B"/>
    <w:rsid w:val="00133F4C"/>
    <w:rsid w:val="00134014"/>
    <w:rsid w:val="001342FB"/>
    <w:rsid w:val="00134374"/>
    <w:rsid w:val="001343C8"/>
    <w:rsid w:val="001346A2"/>
    <w:rsid w:val="001348BB"/>
    <w:rsid w:val="00134AF9"/>
    <w:rsid w:val="00134B47"/>
    <w:rsid w:val="00134B53"/>
    <w:rsid w:val="00134C5F"/>
    <w:rsid w:val="00134D6D"/>
    <w:rsid w:val="00135640"/>
    <w:rsid w:val="00136467"/>
    <w:rsid w:val="00136543"/>
    <w:rsid w:val="00137027"/>
    <w:rsid w:val="0014046D"/>
    <w:rsid w:val="00140645"/>
    <w:rsid w:val="0014143D"/>
    <w:rsid w:val="00142838"/>
    <w:rsid w:val="00143156"/>
    <w:rsid w:val="00143282"/>
    <w:rsid w:val="00143653"/>
    <w:rsid w:val="0014396D"/>
    <w:rsid w:val="00143B3A"/>
    <w:rsid w:val="00144298"/>
    <w:rsid w:val="001446E6"/>
    <w:rsid w:val="0014521C"/>
    <w:rsid w:val="0014549B"/>
    <w:rsid w:val="00145601"/>
    <w:rsid w:val="001467D4"/>
    <w:rsid w:val="00146AE7"/>
    <w:rsid w:val="00147350"/>
    <w:rsid w:val="001474D5"/>
    <w:rsid w:val="001479A4"/>
    <w:rsid w:val="00147AE8"/>
    <w:rsid w:val="00147B3F"/>
    <w:rsid w:val="00150829"/>
    <w:rsid w:val="00151AFE"/>
    <w:rsid w:val="00152070"/>
    <w:rsid w:val="001520F3"/>
    <w:rsid w:val="00152CBF"/>
    <w:rsid w:val="00152FB5"/>
    <w:rsid w:val="0015305A"/>
    <w:rsid w:val="001530CC"/>
    <w:rsid w:val="001530FC"/>
    <w:rsid w:val="00153212"/>
    <w:rsid w:val="00153237"/>
    <w:rsid w:val="00153387"/>
    <w:rsid w:val="0015340E"/>
    <w:rsid w:val="0015359C"/>
    <w:rsid w:val="0015369F"/>
    <w:rsid w:val="00154156"/>
    <w:rsid w:val="00154CC9"/>
    <w:rsid w:val="001559C0"/>
    <w:rsid w:val="001560F0"/>
    <w:rsid w:val="001566EE"/>
    <w:rsid w:val="001568C1"/>
    <w:rsid w:val="00156D80"/>
    <w:rsid w:val="001573D7"/>
    <w:rsid w:val="00157A9B"/>
    <w:rsid w:val="00157E23"/>
    <w:rsid w:val="00157E58"/>
    <w:rsid w:val="00157FC3"/>
    <w:rsid w:val="0016028E"/>
    <w:rsid w:val="00160352"/>
    <w:rsid w:val="00160354"/>
    <w:rsid w:val="001603CE"/>
    <w:rsid w:val="00160854"/>
    <w:rsid w:val="00160EAC"/>
    <w:rsid w:val="001610A3"/>
    <w:rsid w:val="00161C84"/>
    <w:rsid w:val="001623F2"/>
    <w:rsid w:val="00162564"/>
    <w:rsid w:val="00162651"/>
    <w:rsid w:val="001626BD"/>
    <w:rsid w:val="001628F9"/>
    <w:rsid w:val="00162B2B"/>
    <w:rsid w:val="00162D28"/>
    <w:rsid w:val="001632C1"/>
    <w:rsid w:val="001635AE"/>
    <w:rsid w:val="001635DB"/>
    <w:rsid w:val="0016379F"/>
    <w:rsid w:val="00163812"/>
    <w:rsid w:val="00163865"/>
    <w:rsid w:val="00163E9E"/>
    <w:rsid w:val="00163FB5"/>
    <w:rsid w:val="0016482C"/>
    <w:rsid w:val="0016483A"/>
    <w:rsid w:val="001649DE"/>
    <w:rsid w:val="00164A38"/>
    <w:rsid w:val="00164C3F"/>
    <w:rsid w:val="00164DA5"/>
    <w:rsid w:val="00164E23"/>
    <w:rsid w:val="001650F8"/>
    <w:rsid w:val="00165222"/>
    <w:rsid w:val="0016595F"/>
    <w:rsid w:val="00165A06"/>
    <w:rsid w:val="00165F24"/>
    <w:rsid w:val="00166372"/>
    <w:rsid w:val="001664B0"/>
    <w:rsid w:val="00166A2C"/>
    <w:rsid w:val="00167972"/>
    <w:rsid w:val="00167E9C"/>
    <w:rsid w:val="0017070C"/>
    <w:rsid w:val="00170D23"/>
    <w:rsid w:val="00170E88"/>
    <w:rsid w:val="001711DB"/>
    <w:rsid w:val="00171D51"/>
    <w:rsid w:val="00171D7E"/>
    <w:rsid w:val="00172D74"/>
    <w:rsid w:val="0017320F"/>
    <w:rsid w:val="0017350C"/>
    <w:rsid w:val="00173696"/>
    <w:rsid w:val="00173A74"/>
    <w:rsid w:val="001746C2"/>
    <w:rsid w:val="00174840"/>
    <w:rsid w:val="00175235"/>
    <w:rsid w:val="0017584B"/>
    <w:rsid w:val="00175E0B"/>
    <w:rsid w:val="00175E43"/>
    <w:rsid w:val="001760B2"/>
    <w:rsid w:val="00176286"/>
    <w:rsid w:val="001766D0"/>
    <w:rsid w:val="00176BC7"/>
    <w:rsid w:val="00176EED"/>
    <w:rsid w:val="00176F51"/>
    <w:rsid w:val="00177167"/>
    <w:rsid w:val="001772DF"/>
    <w:rsid w:val="00180F96"/>
    <w:rsid w:val="0018102F"/>
    <w:rsid w:val="0018120A"/>
    <w:rsid w:val="00181DFA"/>
    <w:rsid w:val="0018205E"/>
    <w:rsid w:val="0018206A"/>
    <w:rsid w:val="00182A09"/>
    <w:rsid w:val="001834DC"/>
    <w:rsid w:val="00183959"/>
    <w:rsid w:val="00183B1B"/>
    <w:rsid w:val="00183C79"/>
    <w:rsid w:val="00183C8B"/>
    <w:rsid w:val="00183E75"/>
    <w:rsid w:val="00184125"/>
    <w:rsid w:val="00184225"/>
    <w:rsid w:val="00184465"/>
    <w:rsid w:val="001845CF"/>
    <w:rsid w:val="00184677"/>
    <w:rsid w:val="00184BF0"/>
    <w:rsid w:val="001851CF"/>
    <w:rsid w:val="001857BB"/>
    <w:rsid w:val="00185969"/>
    <w:rsid w:val="001865BB"/>
    <w:rsid w:val="00187339"/>
    <w:rsid w:val="00187438"/>
    <w:rsid w:val="00187518"/>
    <w:rsid w:val="00187885"/>
    <w:rsid w:val="00187941"/>
    <w:rsid w:val="0019005E"/>
    <w:rsid w:val="00190351"/>
    <w:rsid w:val="00190FB6"/>
    <w:rsid w:val="00191101"/>
    <w:rsid w:val="001912E3"/>
    <w:rsid w:val="001913D0"/>
    <w:rsid w:val="001933A1"/>
    <w:rsid w:val="001938DF"/>
    <w:rsid w:val="00193911"/>
    <w:rsid w:val="00193C6E"/>
    <w:rsid w:val="00194444"/>
    <w:rsid w:val="0019464F"/>
    <w:rsid w:val="00194FD4"/>
    <w:rsid w:val="001952F2"/>
    <w:rsid w:val="0019560F"/>
    <w:rsid w:val="00195AC6"/>
    <w:rsid w:val="00195D58"/>
    <w:rsid w:val="00195D5B"/>
    <w:rsid w:val="00195DED"/>
    <w:rsid w:val="00196B4E"/>
    <w:rsid w:val="00196F09"/>
    <w:rsid w:val="0019703B"/>
    <w:rsid w:val="00197BE9"/>
    <w:rsid w:val="00197EE5"/>
    <w:rsid w:val="00197F24"/>
    <w:rsid w:val="001A01E7"/>
    <w:rsid w:val="001A027A"/>
    <w:rsid w:val="001A0554"/>
    <w:rsid w:val="001A0C05"/>
    <w:rsid w:val="001A0D2C"/>
    <w:rsid w:val="001A173F"/>
    <w:rsid w:val="001A1AB1"/>
    <w:rsid w:val="001A1BB8"/>
    <w:rsid w:val="001A1EE6"/>
    <w:rsid w:val="001A2431"/>
    <w:rsid w:val="001A30E6"/>
    <w:rsid w:val="001A3425"/>
    <w:rsid w:val="001A35A9"/>
    <w:rsid w:val="001A3862"/>
    <w:rsid w:val="001A398D"/>
    <w:rsid w:val="001A3AD6"/>
    <w:rsid w:val="001A41EA"/>
    <w:rsid w:val="001A422B"/>
    <w:rsid w:val="001A440A"/>
    <w:rsid w:val="001A4441"/>
    <w:rsid w:val="001A4A55"/>
    <w:rsid w:val="001A4F44"/>
    <w:rsid w:val="001A54D4"/>
    <w:rsid w:val="001A54DC"/>
    <w:rsid w:val="001A58FE"/>
    <w:rsid w:val="001A5F3D"/>
    <w:rsid w:val="001A656E"/>
    <w:rsid w:val="001A66C2"/>
    <w:rsid w:val="001A6A4F"/>
    <w:rsid w:val="001A76B7"/>
    <w:rsid w:val="001B0900"/>
    <w:rsid w:val="001B0C8A"/>
    <w:rsid w:val="001B0E7A"/>
    <w:rsid w:val="001B1339"/>
    <w:rsid w:val="001B197E"/>
    <w:rsid w:val="001B1FC5"/>
    <w:rsid w:val="001B2B6A"/>
    <w:rsid w:val="001B32B8"/>
    <w:rsid w:val="001B3D57"/>
    <w:rsid w:val="001B41B1"/>
    <w:rsid w:val="001B4A03"/>
    <w:rsid w:val="001B4AD1"/>
    <w:rsid w:val="001B59CD"/>
    <w:rsid w:val="001B5B57"/>
    <w:rsid w:val="001B5C8A"/>
    <w:rsid w:val="001B6B20"/>
    <w:rsid w:val="001B783E"/>
    <w:rsid w:val="001B7BEC"/>
    <w:rsid w:val="001B7ECD"/>
    <w:rsid w:val="001C033C"/>
    <w:rsid w:val="001C04B2"/>
    <w:rsid w:val="001C0D59"/>
    <w:rsid w:val="001C0DED"/>
    <w:rsid w:val="001C150B"/>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4FD9"/>
    <w:rsid w:val="001C5839"/>
    <w:rsid w:val="001C61B1"/>
    <w:rsid w:val="001C6AF5"/>
    <w:rsid w:val="001C725D"/>
    <w:rsid w:val="001C77E1"/>
    <w:rsid w:val="001C7ADA"/>
    <w:rsid w:val="001D08C2"/>
    <w:rsid w:val="001D12B2"/>
    <w:rsid w:val="001D1635"/>
    <w:rsid w:val="001D1872"/>
    <w:rsid w:val="001D1B74"/>
    <w:rsid w:val="001D1C05"/>
    <w:rsid w:val="001D1C72"/>
    <w:rsid w:val="001D1EE5"/>
    <w:rsid w:val="001D2C4D"/>
    <w:rsid w:val="001D2F0C"/>
    <w:rsid w:val="001D3351"/>
    <w:rsid w:val="001D3543"/>
    <w:rsid w:val="001D46EF"/>
    <w:rsid w:val="001D4AF5"/>
    <w:rsid w:val="001D4DEE"/>
    <w:rsid w:val="001D5600"/>
    <w:rsid w:val="001D58E5"/>
    <w:rsid w:val="001D5F4C"/>
    <w:rsid w:val="001D6191"/>
    <w:rsid w:val="001D650B"/>
    <w:rsid w:val="001D6CA4"/>
    <w:rsid w:val="001D76AD"/>
    <w:rsid w:val="001D785D"/>
    <w:rsid w:val="001D7943"/>
    <w:rsid w:val="001D7A5C"/>
    <w:rsid w:val="001E086E"/>
    <w:rsid w:val="001E08AE"/>
    <w:rsid w:val="001E17B2"/>
    <w:rsid w:val="001E1B14"/>
    <w:rsid w:val="001E200A"/>
    <w:rsid w:val="001E2067"/>
    <w:rsid w:val="001E226F"/>
    <w:rsid w:val="001E24A9"/>
    <w:rsid w:val="001E2502"/>
    <w:rsid w:val="001E292F"/>
    <w:rsid w:val="001E2B40"/>
    <w:rsid w:val="001E3202"/>
    <w:rsid w:val="001E328E"/>
    <w:rsid w:val="001E3964"/>
    <w:rsid w:val="001E3CD1"/>
    <w:rsid w:val="001E3FDB"/>
    <w:rsid w:val="001E474D"/>
    <w:rsid w:val="001E47E9"/>
    <w:rsid w:val="001E4F0E"/>
    <w:rsid w:val="001E4FA1"/>
    <w:rsid w:val="001E5210"/>
    <w:rsid w:val="001E53B7"/>
    <w:rsid w:val="001E5580"/>
    <w:rsid w:val="001E582A"/>
    <w:rsid w:val="001E5A81"/>
    <w:rsid w:val="001E5AFC"/>
    <w:rsid w:val="001E5C3D"/>
    <w:rsid w:val="001E6DFF"/>
    <w:rsid w:val="001E72B2"/>
    <w:rsid w:val="001E72E6"/>
    <w:rsid w:val="001E7E98"/>
    <w:rsid w:val="001F0169"/>
    <w:rsid w:val="001F01B8"/>
    <w:rsid w:val="001F0349"/>
    <w:rsid w:val="001F05AE"/>
    <w:rsid w:val="001F09FD"/>
    <w:rsid w:val="001F0B74"/>
    <w:rsid w:val="001F15EE"/>
    <w:rsid w:val="001F1A0D"/>
    <w:rsid w:val="001F1E59"/>
    <w:rsid w:val="001F2335"/>
    <w:rsid w:val="001F295C"/>
    <w:rsid w:val="001F2B19"/>
    <w:rsid w:val="001F2D18"/>
    <w:rsid w:val="001F37E0"/>
    <w:rsid w:val="001F40A5"/>
    <w:rsid w:val="001F41F6"/>
    <w:rsid w:val="001F45A1"/>
    <w:rsid w:val="001F4AE1"/>
    <w:rsid w:val="001F4EB8"/>
    <w:rsid w:val="001F5E52"/>
    <w:rsid w:val="001F6F6A"/>
    <w:rsid w:val="001F7077"/>
    <w:rsid w:val="001F7139"/>
    <w:rsid w:val="001F7595"/>
    <w:rsid w:val="00200B34"/>
    <w:rsid w:val="00200B4C"/>
    <w:rsid w:val="002019F2"/>
    <w:rsid w:val="00201C2A"/>
    <w:rsid w:val="00201CDA"/>
    <w:rsid w:val="002021A8"/>
    <w:rsid w:val="00202326"/>
    <w:rsid w:val="002027C7"/>
    <w:rsid w:val="00202DE2"/>
    <w:rsid w:val="00202E03"/>
    <w:rsid w:val="00202F71"/>
    <w:rsid w:val="00203267"/>
    <w:rsid w:val="002033A2"/>
    <w:rsid w:val="0020391D"/>
    <w:rsid w:val="00204482"/>
    <w:rsid w:val="002044BC"/>
    <w:rsid w:val="00204EFE"/>
    <w:rsid w:val="00205010"/>
    <w:rsid w:val="00205519"/>
    <w:rsid w:val="00205F9C"/>
    <w:rsid w:val="00206F27"/>
    <w:rsid w:val="00207369"/>
    <w:rsid w:val="00207BDB"/>
    <w:rsid w:val="00207C8F"/>
    <w:rsid w:val="002100F0"/>
    <w:rsid w:val="00210605"/>
    <w:rsid w:val="00210771"/>
    <w:rsid w:val="00210815"/>
    <w:rsid w:val="00211470"/>
    <w:rsid w:val="00211885"/>
    <w:rsid w:val="00211AB7"/>
    <w:rsid w:val="00211C59"/>
    <w:rsid w:val="002126BA"/>
    <w:rsid w:val="002129C2"/>
    <w:rsid w:val="0021428F"/>
    <w:rsid w:val="002146BC"/>
    <w:rsid w:val="00214715"/>
    <w:rsid w:val="00215699"/>
    <w:rsid w:val="002159DE"/>
    <w:rsid w:val="00215CE6"/>
    <w:rsid w:val="00215E99"/>
    <w:rsid w:val="0021637C"/>
    <w:rsid w:val="002166A6"/>
    <w:rsid w:val="00216A61"/>
    <w:rsid w:val="00216ADB"/>
    <w:rsid w:val="00216BB6"/>
    <w:rsid w:val="00216C30"/>
    <w:rsid w:val="00217B45"/>
    <w:rsid w:val="0022006A"/>
    <w:rsid w:val="0022048B"/>
    <w:rsid w:val="00220692"/>
    <w:rsid w:val="00220998"/>
    <w:rsid w:val="00222078"/>
    <w:rsid w:val="00222103"/>
    <w:rsid w:val="00222261"/>
    <w:rsid w:val="00222616"/>
    <w:rsid w:val="00222AD9"/>
    <w:rsid w:val="00222D3C"/>
    <w:rsid w:val="0022369A"/>
    <w:rsid w:val="002237D3"/>
    <w:rsid w:val="00223960"/>
    <w:rsid w:val="00223B07"/>
    <w:rsid w:val="00224084"/>
    <w:rsid w:val="0022436A"/>
    <w:rsid w:val="00224AD6"/>
    <w:rsid w:val="00224E52"/>
    <w:rsid w:val="00225736"/>
    <w:rsid w:val="00225884"/>
    <w:rsid w:val="0022590D"/>
    <w:rsid w:val="00225E64"/>
    <w:rsid w:val="00226098"/>
    <w:rsid w:val="0022669A"/>
    <w:rsid w:val="002267CE"/>
    <w:rsid w:val="002272AB"/>
    <w:rsid w:val="00227C71"/>
    <w:rsid w:val="00227D49"/>
    <w:rsid w:val="00227FC7"/>
    <w:rsid w:val="00230C43"/>
    <w:rsid w:val="00231740"/>
    <w:rsid w:val="002319E6"/>
    <w:rsid w:val="002325A8"/>
    <w:rsid w:val="00232EED"/>
    <w:rsid w:val="002341F6"/>
    <w:rsid w:val="0023440D"/>
    <w:rsid w:val="002347B1"/>
    <w:rsid w:val="00234DDE"/>
    <w:rsid w:val="0023552A"/>
    <w:rsid w:val="00235A21"/>
    <w:rsid w:val="00235D25"/>
    <w:rsid w:val="00235E13"/>
    <w:rsid w:val="002365B5"/>
    <w:rsid w:val="0023694C"/>
    <w:rsid w:val="00236E72"/>
    <w:rsid w:val="00236F13"/>
    <w:rsid w:val="0023706D"/>
    <w:rsid w:val="002372F4"/>
    <w:rsid w:val="00237ABD"/>
    <w:rsid w:val="00237D17"/>
    <w:rsid w:val="0024029A"/>
    <w:rsid w:val="002407C8"/>
    <w:rsid w:val="00240ADA"/>
    <w:rsid w:val="00240F4D"/>
    <w:rsid w:val="002410F9"/>
    <w:rsid w:val="002411E2"/>
    <w:rsid w:val="002412C3"/>
    <w:rsid w:val="002412FE"/>
    <w:rsid w:val="002417F8"/>
    <w:rsid w:val="00241FC8"/>
    <w:rsid w:val="00242328"/>
    <w:rsid w:val="002424AD"/>
    <w:rsid w:val="00242C4A"/>
    <w:rsid w:val="002437D9"/>
    <w:rsid w:val="00243B56"/>
    <w:rsid w:val="00243C8D"/>
    <w:rsid w:val="00243FC7"/>
    <w:rsid w:val="002440FD"/>
    <w:rsid w:val="002446A3"/>
    <w:rsid w:val="0024472B"/>
    <w:rsid w:val="00244C00"/>
    <w:rsid w:val="00244E56"/>
    <w:rsid w:val="002454BE"/>
    <w:rsid w:val="00245C4C"/>
    <w:rsid w:val="00246221"/>
    <w:rsid w:val="00246447"/>
    <w:rsid w:val="00246CCD"/>
    <w:rsid w:val="0024727D"/>
    <w:rsid w:val="00247343"/>
    <w:rsid w:val="002478E5"/>
    <w:rsid w:val="00247C53"/>
    <w:rsid w:val="0025073C"/>
    <w:rsid w:val="00250F42"/>
    <w:rsid w:val="00250FD2"/>
    <w:rsid w:val="00251A8F"/>
    <w:rsid w:val="002529C2"/>
    <w:rsid w:val="00253EA0"/>
    <w:rsid w:val="0025434B"/>
    <w:rsid w:val="00254439"/>
    <w:rsid w:val="00254B44"/>
    <w:rsid w:val="00254E99"/>
    <w:rsid w:val="00255460"/>
    <w:rsid w:val="0025569E"/>
    <w:rsid w:val="00255BAF"/>
    <w:rsid w:val="0025614D"/>
    <w:rsid w:val="0025673C"/>
    <w:rsid w:val="0025674A"/>
    <w:rsid w:val="0025753B"/>
    <w:rsid w:val="00257AAE"/>
    <w:rsid w:val="0026010B"/>
    <w:rsid w:val="0026027A"/>
    <w:rsid w:val="002602E7"/>
    <w:rsid w:val="00260423"/>
    <w:rsid w:val="00260533"/>
    <w:rsid w:val="00260B94"/>
    <w:rsid w:val="00260ED8"/>
    <w:rsid w:val="002615F8"/>
    <w:rsid w:val="00261A54"/>
    <w:rsid w:val="00261C8F"/>
    <w:rsid w:val="00261D37"/>
    <w:rsid w:val="00261E00"/>
    <w:rsid w:val="00263081"/>
    <w:rsid w:val="00263607"/>
    <w:rsid w:val="00263874"/>
    <w:rsid w:val="00263AA1"/>
    <w:rsid w:val="00263D34"/>
    <w:rsid w:val="00263EF1"/>
    <w:rsid w:val="0026411A"/>
    <w:rsid w:val="00264912"/>
    <w:rsid w:val="00264FC8"/>
    <w:rsid w:val="002654E8"/>
    <w:rsid w:val="002656E1"/>
    <w:rsid w:val="00265946"/>
    <w:rsid w:val="00265CFF"/>
    <w:rsid w:val="00266719"/>
    <w:rsid w:val="002674E3"/>
    <w:rsid w:val="0026768C"/>
    <w:rsid w:val="00267755"/>
    <w:rsid w:val="00267A65"/>
    <w:rsid w:val="00267B69"/>
    <w:rsid w:val="002705FE"/>
    <w:rsid w:val="002706F0"/>
    <w:rsid w:val="00270CF7"/>
    <w:rsid w:val="00270D82"/>
    <w:rsid w:val="00270EEB"/>
    <w:rsid w:val="002713DB"/>
    <w:rsid w:val="00271599"/>
    <w:rsid w:val="002715AC"/>
    <w:rsid w:val="00271ADB"/>
    <w:rsid w:val="00272219"/>
    <w:rsid w:val="0027245C"/>
    <w:rsid w:val="00272A40"/>
    <w:rsid w:val="00272C99"/>
    <w:rsid w:val="00272D7E"/>
    <w:rsid w:val="0027302B"/>
    <w:rsid w:val="00273278"/>
    <w:rsid w:val="00273AFD"/>
    <w:rsid w:val="00273F2B"/>
    <w:rsid w:val="002741A0"/>
    <w:rsid w:val="002746D8"/>
    <w:rsid w:val="0027475A"/>
    <w:rsid w:val="00274B50"/>
    <w:rsid w:val="00275343"/>
    <w:rsid w:val="00275641"/>
    <w:rsid w:val="002762E6"/>
    <w:rsid w:val="00276AE0"/>
    <w:rsid w:val="00276D6A"/>
    <w:rsid w:val="00277E64"/>
    <w:rsid w:val="002802D7"/>
    <w:rsid w:val="00280337"/>
    <w:rsid w:val="00280AB5"/>
    <w:rsid w:val="00280B32"/>
    <w:rsid w:val="00280EDC"/>
    <w:rsid w:val="0028218E"/>
    <w:rsid w:val="002821E9"/>
    <w:rsid w:val="00282363"/>
    <w:rsid w:val="00282DE4"/>
    <w:rsid w:val="0028324E"/>
    <w:rsid w:val="00284163"/>
    <w:rsid w:val="00284F37"/>
    <w:rsid w:val="00285523"/>
    <w:rsid w:val="002857C6"/>
    <w:rsid w:val="002859F5"/>
    <w:rsid w:val="002865A0"/>
    <w:rsid w:val="002868A6"/>
    <w:rsid w:val="002868BE"/>
    <w:rsid w:val="00286EAA"/>
    <w:rsid w:val="0028710F"/>
    <w:rsid w:val="002872C3"/>
    <w:rsid w:val="00287B1D"/>
    <w:rsid w:val="002903E2"/>
    <w:rsid w:val="0029077C"/>
    <w:rsid w:val="002908A7"/>
    <w:rsid w:val="002910F9"/>
    <w:rsid w:val="002913FD"/>
    <w:rsid w:val="002916D1"/>
    <w:rsid w:val="00291D71"/>
    <w:rsid w:val="00292115"/>
    <w:rsid w:val="00292681"/>
    <w:rsid w:val="00292F66"/>
    <w:rsid w:val="0029315D"/>
    <w:rsid w:val="00293D6E"/>
    <w:rsid w:val="00293E79"/>
    <w:rsid w:val="0029421A"/>
    <w:rsid w:val="0029449E"/>
    <w:rsid w:val="002947C7"/>
    <w:rsid w:val="00294A35"/>
    <w:rsid w:val="00294C8B"/>
    <w:rsid w:val="00294E8F"/>
    <w:rsid w:val="0029504D"/>
    <w:rsid w:val="00295401"/>
    <w:rsid w:val="0029570C"/>
    <w:rsid w:val="0029625F"/>
    <w:rsid w:val="002965E0"/>
    <w:rsid w:val="0029696A"/>
    <w:rsid w:val="00296D2B"/>
    <w:rsid w:val="00296F46"/>
    <w:rsid w:val="00296F8A"/>
    <w:rsid w:val="002A01FD"/>
    <w:rsid w:val="002A05C9"/>
    <w:rsid w:val="002A0AAC"/>
    <w:rsid w:val="002A12BA"/>
    <w:rsid w:val="002A180F"/>
    <w:rsid w:val="002A183F"/>
    <w:rsid w:val="002A1873"/>
    <w:rsid w:val="002A1AE1"/>
    <w:rsid w:val="002A2060"/>
    <w:rsid w:val="002A2857"/>
    <w:rsid w:val="002A2D7B"/>
    <w:rsid w:val="002A33FE"/>
    <w:rsid w:val="002A353A"/>
    <w:rsid w:val="002A367A"/>
    <w:rsid w:val="002A391D"/>
    <w:rsid w:val="002A3B40"/>
    <w:rsid w:val="002A3C27"/>
    <w:rsid w:val="002A40BC"/>
    <w:rsid w:val="002A4404"/>
    <w:rsid w:val="002A46A3"/>
    <w:rsid w:val="002A4C57"/>
    <w:rsid w:val="002A51E9"/>
    <w:rsid w:val="002A52E3"/>
    <w:rsid w:val="002A5425"/>
    <w:rsid w:val="002A547D"/>
    <w:rsid w:val="002A556E"/>
    <w:rsid w:val="002A55A2"/>
    <w:rsid w:val="002A5B44"/>
    <w:rsid w:val="002A5CA0"/>
    <w:rsid w:val="002A6170"/>
    <w:rsid w:val="002A61F9"/>
    <w:rsid w:val="002A63AF"/>
    <w:rsid w:val="002A6AD1"/>
    <w:rsid w:val="002A6E8E"/>
    <w:rsid w:val="002A6FBE"/>
    <w:rsid w:val="002A7622"/>
    <w:rsid w:val="002A7869"/>
    <w:rsid w:val="002A7BB5"/>
    <w:rsid w:val="002A7F5B"/>
    <w:rsid w:val="002B0D78"/>
    <w:rsid w:val="002B0D89"/>
    <w:rsid w:val="002B0F46"/>
    <w:rsid w:val="002B1BB2"/>
    <w:rsid w:val="002B2078"/>
    <w:rsid w:val="002B22D4"/>
    <w:rsid w:val="002B2334"/>
    <w:rsid w:val="002B259E"/>
    <w:rsid w:val="002B291F"/>
    <w:rsid w:val="002B2E6C"/>
    <w:rsid w:val="002B3178"/>
    <w:rsid w:val="002B37A1"/>
    <w:rsid w:val="002B3A68"/>
    <w:rsid w:val="002B3C14"/>
    <w:rsid w:val="002B3C46"/>
    <w:rsid w:val="002B3FD0"/>
    <w:rsid w:val="002B43FA"/>
    <w:rsid w:val="002B46E6"/>
    <w:rsid w:val="002B46F6"/>
    <w:rsid w:val="002B4D9A"/>
    <w:rsid w:val="002B5C84"/>
    <w:rsid w:val="002B65D5"/>
    <w:rsid w:val="002B65D8"/>
    <w:rsid w:val="002B6B22"/>
    <w:rsid w:val="002B73B2"/>
    <w:rsid w:val="002B7969"/>
    <w:rsid w:val="002C06D1"/>
    <w:rsid w:val="002C0B3E"/>
    <w:rsid w:val="002C0BB1"/>
    <w:rsid w:val="002C0FA3"/>
    <w:rsid w:val="002C14A5"/>
    <w:rsid w:val="002C2252"/>
    <w:rsid w:val="002C28E2"/>
    <w:rsid w:val="002C2DB8"/>
    <w:rsid w:val="002C3066"/>
    <w:rsid w:val="002C314B"/>
    <w:rsid w:val="002C31E5"/>
    <w:rsid w:val="002C40D9"/>
    <w:rsid w:val="002C41DC"/>
    <w:rsid w:val="002C423C"/>
    <w:rsid w:val="002C4533"/>
    <w:rsid w:val="002C474F"/>
    <w:rsid w:val="002C4822"/>
    <w:rsid w:val="002C4CA9"/>
    <w:rsid w:val="002C5A63"/>
    <w:rsid w:val="002C5B61"/>
    <w:rsid w:val="002C5FD6"/>
    <w:rsid w:val="002C63F6"/>
    <w:rsid w:val="002C7064"/>
    <w:rsid w:val="002C73FD"/>
    <w:rsid w:val="002C754B"/>
    <w:rsid w:val="002C79D7"/>
    <w:rsid w:val="002C7A9A"/>
    <w:rsid w:val="002D0356"/>
    <w:rsid w:val="002D06E7"/>
    <w:rsid w:val="002D07C0"/>
    <w:rsid w:val="002D0829"/>
    <w:rsid w:val="002D0904"/>
    <w:rsid w:val="002D0905"/>
    <w:rsid w:val="002D0C19"/>
    <w:rsid w:val="002D0FC6"/>
    <w:rsid w:val="002D1101"/>
    <w:rsid w:val="002D138C"/>
    <w:rsid w:val="002D14B7"/>
    <w:rsid w:val="002D1822"/>
    <w:rsid w:val="002D18BC"/>
    <w:rsid w:val="002D1A3D"/>
    <w:rsid w:val="002D2385"/>
    <w:rsid w:val="002D2A68"/>
    <w:rsid w:val="002D32C9"/>
    <w:rsid w:val="002D34D0"/>
    <w:rsid w:val="002D36F6"/>
    <w:rsid w:val="002D3B3F"/>
    <w:rsid w:val="002D3EC8"/>
    <w:rsid w:val="002D403E"/>
    <w:rsid w:val="002D4325"/>
    <w:rsid w:val="002D45BF"/>
    <w:rsid w:val="002D46FB"/>
    <w:rsid w:val="002D4776"/>
    <w:rsid w:val="002D4A85"/>
    <w:rsid w:val="002D4D0F"/>
    <w:rsid w:val="002D4E7E"/>
    <w:rsid w:val="002D5365"/>
    <w:rsid w:val="002D553B"/>
    <w:rsid w:val="002D5AE2"/>
    <w:rsid w:val="002D64DF"/>
    <w:rsid w:val="002D6681"/>
    <w:rsid w:val="002D69D3"/>
    <w:rsid w:val="002D71F8"/>
    <w:rsid w:val="002E000C"/>
    <w:rsid w:val="002E02AA"/>
    <w:rsid w:val="002E0BB3"/>
    <w:rsid w:val="002E13E0"/>
    <w:rsid w:val="002E1950"/>
    <w:rsid w:val="002E2864"/>
    <w:rsid w:val="002E2900"/>
    <w:rsid w:val="002E2D4A"/>
    <w:rsid w:val="002E3159"/>
    <w:rsid w:val="002E38DB"/>
    <w:rsid w:val="002E39E2"/>
    <w:rsid w:val="002E4657"/>
    <w:rsid w:val="002E4708"/>
    <w:rsid w:val="002E4F35"/>
    <w:rsid w:val="002E5256"/>
    <w:rsid w:val="002E5271"/>
    <w:rsid w:val="002E538F"/>
    <w:rsid w:val="002E539A"/>
    <w:rsid w:val="002E55DD"/>
    <w:rsid w:val="002E5892"/>
    <w:rsid w:val="002E5995"/>
    <w:rsid w:val="002E5E77"/>
    <w:rsid w:val="002E5F31"/>
    <w:rsid w:val="002E69E6"/>
    <w:rsid w:val="002E72B2"/>
    <w:rsid w:val="002E7B71"/>
    <w:rsid w:val="002E7EA2"/>
    <w:rsid w:val="002F005B"/>
    <w:rsid w:val="002F059B"/>
    <w:rsid w:val="002F0F75"/>
    <w:rsid w:val="002F0FA6"/>
    <w:rsid w:val="002F1008"/>
    <w:rsid w:val="002F108D"/>
    <w:rsid w:val="002F117A"/>
    <w:rsid w:val="002F127D"/>
    <w:rsid w:val="002F12EB"/>
    <w:rsid w:val="002F14F5"/>
    <w:rsid w:val="002F1BD1"/>
    <w:rsid w:val="002F2B7A"/>
    <w:rsid w:val="002F3105"/>
    <w:rsid w:val="002F33CD"/>
    <w:rsid w:val="002F37D0"/>
    <w:rsid w:val="002F45FE"/>
    <w:rsid w:val="002F4604"/>
    <w:rsid w:val="002F4675"/>
    <w:rsid w:val="002F485F"/>
    <w:rsid w:val="002F493D"/>
    <w:rsid w:val="002F49C5"/>
    <w:rsid w:val="002F54F6"/>
    <w:rsid w:val="002F554B"/>
    <w:rsid w:val="002F5836"/>
    <w:rsid w:val="002F5892"/>
    <w:rsid w:val="002F5EB8"/>
    <w:rsid w:val="002F6071"/>
    <w:rsid w:val="002F6F94"/>
    <w:rsid w:val="002F72FF"/>
    <w:rsid w:val="002F797B"/>
    <w:rsid w:val="002F79CC"/>
    <w:rsid w:val="002F7AE0"/>
    <w:rsid w:val="002F7BE7"/>
    <w:rsid w:val="002F7C59"/>
    <w:rsid w:val="002F7F8F"/>
    <w:rsid w:val="00300149"/>
    <w:rsid w:val="00300264"/>
    <w:rsid w:val="00300B45"/>
    <w:rsid w:val="00300D13"/>
    <w:rsid w:val="00300F4E"/>
    <w:rsid w:val="003014B1"/>
    <w:rsid w:val="003019D9"/>
    <w:rsid w:val="0030242B"/>
    <w:rsid w:val="00302595"/>
    <w:rsid w:val="00303023"/>
    <w:rsid w:val="00303041"/>
    <w:rsid w:val="003030F5"/>
    <w:rsid w:val="003036F3"/>
    <w:rsid w:val="00304222"/>
    <w:rsid w:val="0030463E"/>
    <w:rsid w:val="00304AB6"/>
    <w:rsid w:val="00304D17"/>
    <w:rsid w:val="00304ED6"/>
    <w:rsid w:val="00305EAA"/>
    <w:rsid w:val="003062A7"/>
    <w:rsid w:val="003064BF"/>
    <w:rsid w:val="00306521"/>
    <w:rsid w:val="00307223"/>
    <w:rsid w:val="00307B47"/>
    <w:rsid w:val="0031034B"/>
    <w:rsid w:val="003107C6"/>
    <w:rsid w:val="00310825"/>
    <w:rsid w:val="00310FAC"/>
    <w:rsid w:val="00311632"/>
    <w:rsid w:val="00311993"/>
    <w:rsid w:val="00311FAD"/>
    <w:rsid w:val="00312079"/>
    <w:rsid w:val="0031239E"/>
    <w:rsid w:val="003123BD"/>
    <w:rsid w:val="003126DC"/>
    <w:rsid w:val="00312AB8"/>
    <w:rsid w:val="00312B6E"/>
    <w:rsid w:val="00313197"/>
    <w:rsid w:val="0031398C"/>
    <w:rsid w:val="00313CE4"/>
    <w:rsid w:val="00313D9B"/>
    <w:rsid w:val="00313E76"/>
    <w:rsid w:val="00313F79"/>
    <w:rsid w:val="00314102"/>
    <w:rsid w:val="00314410"/>
    <w:rsid w:val="00315212"/>
    <w:rsid w:val="00315306"/>
    <w:rsid w:val="00315A06"/>
    <w:rsid w:val="00315CD2"/>
    <w:rsid w:val="0031615F"/>
    <w:rsid w:val="003163DC"/>
    <w:rsid w:val="00316600"/>
    <w:rsid w:val="003166C1"/>
    <w:rsid w:val="00316A8B"/>
    <w:rsid w:val="00316BF6"/>
    <w:rsid w:val="0031733B"/>
    <w:rsid w:val="00317756"/>
    <w:rsid w:val="00317E87"/>
    <w:rsid w:val="0032081F"/>
    <w:rsid w:val="00320952"/>
    <w:rsid w:val="00321122"/>
    <w:rsid w:val="00322121"/>
    <w:rsid w:val="0032244B"/>
    <w:rsid w:val="003225FB"/>
    <w:rsid w:val="00322604"/>
    <w:rsid w:val="00323503"/>
    <w:rsid w:val="003235CB"/>
    <w:rsid w:val="00323759"/>
    <w:rsid w:val="00323A7C"/>
    <w:rsid w:val="00323ABB"/>
    <w:rsid w:val="00323C32"/>
    <w:rsid w:val="00323FC7"/>
    <w:rsid w:val="003247BA"/>
    <w:rsid w:val="00324A1D"/>
    <w:rsid w:val="00325742"/>
    <w:rsid w:val="00325B63"/>
    <w:rsid w:val="00326196"/>
    <w:rsid w:val="00326240"/>
    <w:rsid w:val="003278A1"/>
    <w:rsid w:val="00327909"/>
    <w:rsid w:val="0032791F"/>
    <w:rsid w:val="00327AB3"/>
    <w:rsid w:val="00327D3F"/>
    <w:rsid w:val="00327DA2"/>
    <w:rsid w:val="0033008F"/>
    <w:rsid w:val="003305B0"/>
    <w:rsid w:val="00330D77"/>
    <w:rsid w:val="00331120"/>
    <w:rsid w:val="003318D5"/>
    <w:rsid w:val="00331E0F"/>
    <w:rsid w:val="00331E9D"/>
    <w:rsid w:val="00331ECF"/>
    <w:rsid w:val="003327DF"/>
    <w:rsid w:val="00332FCC"/>
    <w:rsid w:val="0033364A"/>
    <w:rsid w:val="0033371C"/>
    <w:rsid w:val="00333A2F"/>
    <w:rsid w:val="00333D6D"/>
    <w:rsid w:val="00333E8D"/>
    <w:rsid w:val="003349B3"/>
    <w:rsid w:val="00334CA7"/>
    <w:rsid w:val="00334E59"/>
    <w:rsid w:val="0033592F"/>
    <w:rsid w:val="003369FF"/>
    <w:rsid w:val="00336AEA"/>
    <w:rsid w:val="00336B35"/>
    <w:rsid w:val="003373AC"/>
    <w:rsid w:val="0033758C"/>
    <w:rsid w:val="003375D7"/>
    <w:rsid w:val="0033764B"/>
    <w:rsid w:val="00340778"/>
    <w:rsid w:val="00340B2C"/>
    <w:rsid w:val="00340B44"/>
    <w:rsid w:val="0034134C"/>
    <w:rsid w:val="003414CC"/>
    <w:rsid w:val="0034170C"/>
    <w:rsid w:val="00341A2A"/>
    <w:rsid w:val="00341CED"/>
    <w:rsid w:val="00342759"/>
    <w:rsid w:val="00342DC1"/>
    <w:rsid w:val="00343BDF"/>
    <w:rsid w:val="00343E87"/>
    <w:rsid w:val="00343F41"/>
    <w:rsid w:val="0034459F"/>
    <w:rsid w:val="00344676"/>
    <w:rsid w:val="00344CAF"/>
    <w:rsid w:val="00344FD2"/>
    <w:rsid w:val="00345300"/>
    <w:rsid w:val="00345424"/>
    <w:rsid w:val="00345517"/>
    <w:rsid w:val="003459F3"/>
    <w:rsid w:val="00345BC6"/>
    <w:rsid w:val="00345D89"/>
    <w:rsid w:val="00345EA7"/>
    <w:rsid w:val="0034625F"/>
    <w:rsid w:val="0034652C"/>
    <w:rsid w:val="00346679"/>
    <w:rsid w:val="00347598"/>
    <w:rsid w:val="0034765D"/>
    <w:rsid w:val="00347D0E"/>
    <w:rsid w:val="00347F10"/>
    <w:rsid w:val="0035067B"/>
    <w:rsid w:val="00350D8B"/>
    <w:rsid w:val="00350E0D"/>
    <w:rsid w:val="00351B01"/>
    <w:rsid w:val="00351FB4"/>
    <w:rsid w:val="003528EA"/>
    <w:rsid w:val="00352B65"/>
    <w:rsid w:val="00352D4B"/>
    <w:rsid w:val="00353025"/>
    <w:rsid w:val="003530E5"/>
    <w:rsid w:val="00353220"/>
    <w:rsid w:val="00353878"/>
    <w:rsid w:val="00353A00"/>
    <w:rsid w:val="00354A1F"/>
    <w:rsid w:val="00354DAA"/>
    <w:rsid w:val="00355567"/>
    <w:rsid w:val="00355B11"/>
    <w:rsid w:val="00355B28"/>
    <w:rsid w:val="00356117"/>
    <w:rsid w:val="0035640C"/>
    <w:rsid w:val="00356F31"/>
    <w:rsid w:val="00357DFD"/>
    <w:rsid w:val="00357E85"/>
    <w:rsid w:val="00360494"/>
    <w:rsid w:val="0036063B"/>
    <w:rsid w:val="00362527"/>
    <w:rsid w:val="003626C0"/>
    <w:rsid w:val="00362C5E"/>
    <w:rsid w:val="00362E6F"/>
    <w:rsid w:val="00362FA9"/>
    <w:rsid w:val="00363417"/>
    <w:rsid w:val="003635F2"/>
    <w:rsid w:val="003639E5"/>
    <w:rsid w:val="00363D7A"/>
    <w:rsid w:val="00363F6E"/>
    <w:rsid w:val="0036404A"/>
    <w:rsid w:val="003640A7"/>
    <w:rsid w:val="0036449F"/>
    <w:rsid w:val="00364EA5"/>
    <w:rsid w:val="0036508D"/>
    <w:rsid w:val="003650E8"/>
    <w:rsid w:val="003651C8"/>
    <w:rsid w:val="003652EA"/>
    <w:rsid w:val="003657CA"/>
    <w:rsid w:val="00365A25"/>
    <w:rsid w:val="00365B48"/>
    <w:rsid w:val="00366214"/>
    <w:rsid w:val="00366CAC"/>
    <w:rsid w:val="00367440"/>
    <w:rsid w:val="00367894"/>
    <w:rsid w:val="003679BA"/>
    <w:rsid w:val="00367F25"/>
    <w:rsid w:val="003700A3"/>
    <w:rsid w:val="00370217"/>
    <w:rsid w:val="00370B40"/>
    <w:rsid w:val="003721FB"/>
    <w:rsid w:val="0037240A"/>
    <w:rsid w:val="00372AE4"/>
    <w:rsid w:val="00372C5B"/>
    <w:rsid w:val="003730D6"/>
    <w:rsid w:val="00373411"/>
    <w:rsid w:val="00373D40"/>
    <w:rsid w:val="00374251"/>
    <w:rsid w:val="003744B3"/>
    <w:rsid w:val="003745F4"/>
    <w:rsid w:val="00374910"/>
    <w:rsid w:val="00374D89"/>
    <w:rsid w:val="003751B4"/>
    <w:rsid w:val="00375509"/>
    <w:rsid w:val="00375848"/>
    <w:rsid w:val="00375D29"/>
    <w:rsid w:val="00375D91"/>
    <w:rsid w:val="003766D0"/>
    <w:rsid w:val="00376E2B"/>
    <w:rsid w:val="0037769E"/>
    <w:rsid w:val="00377BE4"/>
    <w:rsid w:val="00380094"/>
    <w:rsid w:val="003800F0"/>
    <w:rsid w:val="00382306"/>
    <w:rsid w:val="003827EC"/>
    <w:rsid w:val="0038292B"/>
    <w:rsid w:val="00382B6C"/>
    <w:rsid w:val="00382B86"/>
    <w:rsid w:val="00383071"/>
    <w:rsid w:val="003832EF"/>
    <w:rsid w:val="003836DD"/>
    <w:rsid w:val="003837F4"/>
    <w:rsid w:val="003840D8"/>
    <w:rsid w:val="003845A4"/>
    <w:rsid w:val="003846D9"/>
    <w:rsid w:val="00384F9D"/>
    <w:rsid w:val="00384FED"/>
    <w:rsid w:val="0038564A"/>
    <w:rsid w:val="0038576C"/>
    <w:rsid w:val="00385800"/>
    <w:rsid w:val="00385B99"/>
    <w:rsid w:val="00385F39"/>
    <w:rsid w:val="0038680B"/>
    <w:rsid w:val="0038743E"/>
    <w:rsid w:val="003879DF"/>
    <w:rsid w:val="00387DFA"/>
    <w:rsid w:val="00390081"/>
    <w:rsid w:val="0039083F"/>
    <w:rsid w:val="00390A30"/>
    <w:rsid w:val="00390D65"/>
    <w:rsid w:val="00390EC0"/>
    <w:rsid w:val="00391374"/>
    <w:rsid w:val="00391FAB"/>
    <w:rsid w:val="00392050"/>
    <w:rsid w:val="00392539"/>
    <w:rsid w:val="00392677"/>
    <w:rsid w:val="00392C99"/>
    <w:rsid w:val="0039365B"/>
    <w:rsid w:val="003936EA"/>
    <w:rsid w:val="00393987"/>
    <w:rsid w:val="003940F7"/>
    <w:rsid w:val="00394981"/>
    <w:rsid w:val="00394986"/>
    <w:rsid w:val="003953A8"/>
    <w:rsid w:val="00395E7E"/>
    <w:rsid w:val="003965D8"/>
    <w:rsid w:val="00396766"/>
    <w:rsid w:val="003968D5"/>
    <w:rsid w:val="00396D36"/>
    <w:rsid w:val="00396D6E"/>
    <w:rsid w:val="00396E80"/>
    <w:rsid w:val="00396FF0"/>
    <w:rsid w:val="0039746F"/>
    <w:rsid w:val="0039788E"/>
    <w:rsid w:val="00397F3C"/>
    <w:rsid w:val="003A0529"/>
    <w:rsid w:val="003A0962"/>
    <w:rsid w:val="003A0BA4"/>
    <w:rsid w:val="003A195A"/>
    <w:rsid w:val="003A1E28"/>
    <w:rsid w:val="003A2385"/>
    <w:rsid w:val="003A3551"/>
    <w:rsid w:val="003A37E9"/>
    <w:rsid w:val="003A38F0"/>
    <w:rsid w:val="003A42F3"/>
    <w:rsid w:val="003A443D"/>
    <w:rsid w:val="003A4932"/>
    <w:rsid w:val="003A5251"/>
    <w:rsid w:val="003A556D"/>
    <w:rsid w:val="003A5B55"/>
    <w:rsid w:val="003A5C97"/>
    <w:rsid w:val="003A6627"/>
    <w:rsid w:val="003A6A5A"/>
    <w:rsid w:val="003A7025"/>
    <w:rsid w:val="003A72E9"/>
    <w:rsid w:val="003A7807"/>
    <w:rsid w:val="003B0173"/>
    <w:rsid w:val="003B0398"/>
    <w:rsid w:val="003B0DA5"/>
    <w:rsid w:val="003B0E74"/>
    <w:rsid w:val="003B25B0"/>
    <w:rsid w:val="003B36B9"/>
    <w:rsid w:val="003B3EB8"/>
    <w:rsid w:val="003B4A4A"/>
    <w:rsid w:val="003B4E74"/>
    <w:rsid w:val="003B53A5"/>
    <w:rsid w:val="003B59EE"/>
    <w:rsid w:val="003B5B72"/>
    <w:rsid w:val="003B5C06"/>
    <w:rsid w:val="003B5D98"/>
    <w:rsid w:val="003B5DD0"/>
    <w:rsid w:val="003B60F7"/>
    <w:rsid w:val="003B658D"/>
    <w:rsid w:val="003B68A6"/>
    <w:rsid w:val="003B6D71"/>
    <w:rsid w:val="003B6EF2"/>
    <w:rsid w:val="003B7E7A"/>
    <w:rsid w:val="003C0463"/>
    <w:rsid w:val="003C0599"/>
    <w:rsid w:val="003C05F5"/>
    <w:rsid w:val="003C0905"/>
    <w:rsid w:val="003C0F5F"/>
    <w:rsid w:val="003C1CBE"/>
    <w:rsid w:val="003C1EAF"/>
    <w:rsid w:val="003C241F"/>
    <w:rsid w:val="003C2615"/>
    <w:rsid w:val="003C3460"/>
    <w:rsid w:val="003C346B"/>
    <w:rsid w:val="003C3F12"/>
    <w:rsid w:val="003C40EE"/>
    <w:rsid w:val="003C4206"/>
    <w:rsid w:val="003C42F7"/>
    <w:rsid w:val="003C479F"/>
    <w:rsid w:val="003C4884"/>
    <w:rsid w:val="003C4DC7"/>
    <w:rsid w:val="003C5092"/>
    <w:rsid w:val="003C5A73"/>
    <w:rsid w:val="003C5DEF"/>
    <w:rsid w:val="003C641E"/>
    <w:rsid w:val="003C6C81"/>
    <w:rsid w:val="003C6F33"/>
    <w:rsid w:val="003D047F"/>
    <w:rsid w:val="003D0748"/>
    <w:rsid w:val="003D0FBC"/>
    <w:rsid w:val="003D1145"/>
    <w:rsid w:val="003D2333"/>
    <w:rsid w:val="003D272F"/>
    <w:rsid w:val="003D2912"/>
    <w:rsid w:val="003D2FBA"/>
    <w:rsid w:val="003D3161"/>
    <w:rsid w:val="003D3227"/>
    <w:rsid w:val="003D3600"/>
    <w:rsid w:val="003D36B8"/>
    <w:rsid w:val="003D36EE"/>
    <w:rsid w:val="003D3A55"/>
    <w:rsid w:val="003D408F"/>
    <w:rsid w:val="003D4347"/>
    <w:rsid w:val="003D5393"/>
    <w:rsid w:val="003D5413"/>
    <w:rsid w:val="003D54E0"/>
    <w:rsid w:val="003D56EA"/>
    <w:rsid w:val="003D5996"/>
    <w:rsid w:val="003D5D5D"/>
    <w:rsid w:val="003D6163"/>
    <w:rsid w:val="003D6407"/>
    <w:rsid w:val="003D647A"/>
    <w:rsid w:val="003D6A90"/>
    <w:rsid w:val="003D6B1D"/>
    <w:rsid w:val="003D6E30"/>
    <w:rsid w:val="003D70B5"/>
    <w:rsid w:val="003D7B41"/>
    <w:rsid w:val="003D7B45"/>
    <w:rsid w:val="003E03E3"/>
    <w:rsid w:val="003E05FE"/>
    <w:rsid w:val="003E0CD7"/>
    <w:rsid w:val="003E0DF7"/>
    <w:rsid w:val="003E14F0"/>
    <w:rsid w:val="003E1E5D"/>
    <w:rsid w:val="003E21E4"/>
    <w:rsid w:val="003E2569"/>
    <w:rsid w:val="003E2784"/>
    <w:rsid w:val="003E2850"/>
    <w:rsid w:val="003E2D79"/>
    <w:rsid w:val="003E32D8"/>
    <w:rsid w:val="003E3A04"/>
    <w:rsid w:val="003E3B3D"/>
    <w:rsid w:val="003E3B65"/>
    <w:rsid w:val="003E3E19"/>
    <w:rsid w:val="003E3E1E"/>
    <w:rsid w:val="003E427F"/>
    <w:rsid w:val="003E47DE"/>
    <w:rsid w:val="003E4CFE"/>
    <w:rsid w:val="003E4F42"/>
    <w:rsid w:val="003E5075"/>
    <w:rsid w:val="003E5233"/>
    <w:rsid w:val="003E57D6"/>
    <w:rsid w:val="003E5F95"/>
    <w:rsid w:val="003E61FD"/>
    <w:rsid w:val="003E67BC"/>
    <w:rsid w:val="003E68A8"/>
    <w:rsid w:val="003E6F0B"/>
    <w:rsid w:val="003E7503"/>
    <w:rsid w:val="003E7F82"/>
    <w:rsid w:val="003F0031"/>
    <w:rsid w:val="003F00D4"/>
    <w:rsid w:val="003F00DF"/>
    <w:rsid w:val="003F018C"/>
    <w:rsid w:val="003F09CB"/>
    <w:rsid w:val="003F1045"/>
    <w:rsid w:val="003F10D3"/>
    <w:rsid w:val="003F1150"/>
    <w:rsid w:val="003F140D"/>
    <w:rsid w:val="003F143C"/>
    <w:rsid w:val="003F1548"/>
    <w:rsid w:val="003F176D"/>
    <w:rsid w:val="003F1DD8"/>
    <w:rsid w:val="003F20AE"/>
    <w:rsid w:val="003F228F"/>
    <w:rsid w:val="003F274F"/>
    <w:rsid w:val="003F2B3D"/>
    <w:rsid w:val="003F3105"/>
    <w:rsid w:val="003F319D"/>
    <w:rsid w:val="003F3303"/>
    <w:rsid w:val="003F3328"/>
    <w:rsid w:val="003F33F8"/>
    <w:rsid w:val="003F3700"/>
    <w:rsid w:val="003F3C34"/>
    <w:rsid w:val="003F3ED7"/>
    <w:rsid w:val="003F4108"/>
    <w:rsid w:val="003F4172"/>
    <w:rsid w:val="003F4222"/>
    <w:rsid w:val="003F4249"/>
    <w:rsid w:val="003F4251"/>
    <w:rsid w:val="003F461D"/>
    <w:rsid w:val="003F4621"/>
    <w:rsid w:val="003F4940"/>
    <w:rsid w:val="003F4C90"/>
    <w:rsid w:val="003F5071"/>
    <w:rsid w:val="003F5086"/>
    <w:rsid w:val="003F550A"/>
    <w:rsid w:val="003F694C"/>
    <w:rsid w:val="003F6ECC"/>
    <w:rsid w:val="003F7EFA"/>
    <w:rsid w:val="00400C90"/>
    <w:rsid w:val="00402D65"/>
    <w:rsid w:val="00402E02"/>
    <w:rsid w:val="004030FE"/>
    <w:rsid w:val="00403364"/>
    <w:rsid w:val="00403780"/>
    <w:rsid w:val="00403941"/>
    <w:rsid w:val="00403971"/>
    <w:rsid w:val="00404027"/>
    <w:rsid w:val="0040415C"/>
    <w:rsid w:val="0040422B"/>
    <w:rsid w:val="00404737"/>
    <w:rsid w:val="00404D74"/>
    <w:rsid w:val="00404D7E"/>
    <w:rsid w:val="0040518A"/>
    <w:rsid w:val="004056F3"/>
    <w:rsid w:val="00405F4B"/>
    <w:rsid w:val="0040616D"/>
    <w:rsid w:val="00406EF0"/>
    <w:rsid w:val="00407760"/>
    <w:rsid w:val="00410CB2"/>
    <w:rsid w:val="00411285"/>
    <w:rsid w:val="00411BB1"/>
    <w:rsid w:val="00411C96"/>
    <w:rsid w:val="00411CA9"/>
    <w:rsid w:val="00411F19"/>
    <w:rsid w:val="004126A1"/>
    <w:rsid w:val="00412A32"/>
    <w:rsid w:val="00414210"/>
    <w:rsid w:val="0041450E"/>
    <w:rsid w:val="00414514"/>
    <w:rsid w:val="004148E1"/>
    <w:rsid w:val="00414FE4"/>
    <w:rsid w:val="0041506A"/>
    <w:rsid w:val="00415370"/>
    <w:rsid w:val="004155B8"/>
    <w:rsid w:val="00415762"/>
    <w:rsid w:val="00415781"/>
    <w:rsid w:val="00415800"/>
    <w:rsid w:val="004158A9"/>
    <w:rsid w:val="00415A0B"/>
    <w:rsid w:val="00415C60"/>
    <w:rsid w:val="00415CE0"/>
    <w:rsid w:val="00415F80"/>
    <w:rsid w:val="00416BB6"/>
    <w:rsid w:val="00416F40"/>
    <w:rsid w:val="00417769"/>
    <w:rsid w:val="00417A3D"/>
    <w:rsid w:val="004202A7"/>
    <w:rsid w:val="004207F5"/>
    <w:rsid w:val="00420819"/>
    <w:rsid w:val="00420A85"/>
    <w:rsid w:val="00420C0A"/>
    <w:rsid w:val="004215BB"/>
    <w:rsid w:val="0042173F"/>
    <w:rsid w:val="0042192C"/>
    <w:rsid w:val="00421994"/>
    <w:rsid w:val="00421A87"/>
    <w:rsid w:val="00421EF2"/>
    <w:rsid w:val="00421F34"/>
    <w:rsid w:val="0042241E"/>
    <w:rsid w:val="00422668"/>
    <w:rsid w:val="00422EBD"/>
    <w:rsid w:val="00422EC3"/>
    <w:rsid w:val="004230B6"/>
    <w:rsid w:val="00423339"/>
    <w:rsid w:val="004235A9"/>
    <w:rsid w:val="004235EE"/>
    <w:rsid w:val="00423623"/>
    <w:rsid w:val="00423782"/>
    <w:rsid w:val="00423AE9"/>
    <w:rsid w:val="00423F33"/>
    <w:rsid w:val="00424B17"/>
    <w:rsid w:val="00424CC9"/>
    <w:rsid w:val="00424D00"/>
    <w:rsid w:val="0042548C"/>
    <w:rsid w:val="004259E2"/>
    <w:rsid w:val="00426176"/>
    <w:rsid w:val="004266B1"/>
    <w:rsid w:val="00426865"/>
    <w:rsid w:val="00426892"/>
    <w:rsid w:val="00426979"/>
    <w:rsid w:val="00426C49"/>
    <w:rsid w:val="00426CA0"/>
    <w:rsid w:val="004271DD"/>
    <w:rsid w:val="00427460"/>
    <w:rsid w:val="0042747D"/>
    <w:rsid w:val="004277E6"/>
    <w:rsid w:val="00427B6B"/>
    <w:rsid w:val="00430622"/>
    <w:rsid w:val="004306B1"/>
    <w:rsid w:val="004310B0"/>
    <w:rsid w:val="004311CE"/>
    <w:rsid w:val="0043166B"/>
    <w:rsid w:val="004316D2"/>
    <w:rsid w:val="00431AC1"/>
    <w:rsid w:val="00431C7A"/>
    <w:rsid w:val="004322D7"/>
    <w:rsid w:val="00432468"/>
    <w:rsid w:val="00432989"/>
    <w:rsid w:val="004329C9"/>
    <w:rsid w:val="00432C23"/>
    <w:rsid w:val="00432CD5"/>
    <w:rsid w:val="00432D2B"/>
    <w:rsid w:val="004335DE"/>
    <w:rsid w:val="004338F0"/>
    <w:rsid w:val="00433C2C"/>
    <w:rsid w:val="00434450"/>
    <w:rsid w:val="0043499F"/>
    <w:rsid w:val="00434AAB"/>
    <w:rsid w:val="00434F05"/>
    <w:rsid w:val="00435893"/>
    <w:rsid w:val="00435997"/>
    <w:rsid w:val="00435D95"/>
    <w:rsid w:val="00435F06"/>
    <w:rsid w:val="004363FA"/>
    <w:rsid w:val="004364CC"/>
    <w:rsid w:val="00436B89"/>
    <w:rsid w:val="00437003"/>
    <w:rsid w:val="004376C0"/>
    <w:rsid w:val="00437875"/>
    <w:rsid w:val="004405B0"/>
    <w:rsid w:val="00440CB7"/>
    <w:rsid w:val="00440CCD"/>
    <w:rsid w:val="00440D3E"/>
    <w:rsid w:val="00440FFC"/>
    <w:rsid w:val="00441440"/>
    <w:rsid w:val="0044169D"/>
    <w:rsid w:val="004417BD"/>
    <w:rsid w:val="00441A35"/>
    <w:rsid w:val="00441FF9"/>
    <w:rsid w:val="00442A49"/>
    <w:rsid w:val="00442B54"/>
    <w:rsid w:val="00442D02"/>
    <w:rsid w:val="004431D7"/>
    <w:rsid w:val="0044363A"/>
    <w:rsid w:val="004436E9"/>
    <w:rsid w:val="004437B2"/>
    <w:rsid w:val="0044382F"/>
    <w:rsid w:val="00443D71"/>
    <w:rsid w:val="00443DE8"/>
    <w:rsid w:val="0044408A"/>
    <w:rsid w:val="004441C8"/>
    <w:rsid w:val="004442EB"/>
    <w:rsid w:val="004443A5"/>
    <w:rsid w:val="004448B1"/>
    <w:rsid w:val="00444C64"/>
    <w:rsid w:val="0044507C"/>
    <w:rsid w:val="0044541F"/>
    <w:rsid w:val="00445A50"/>
    <w:rsid w:val="00445B86"/>
    <w:rsid w:val="00445DF5"/>
    <w:rsid w:val="00445E95"/>
    <w:rsid w:val="00445EE3"/>
    <w:rsid w:val="004510A4"/>
    <w:rsid w:val="0045135E"/>
    <w:rsid w:val="00451544"/>
    <w:rsid w:val="004515FF"/>
    <w:rsid w:val="004525DD"/>
    <w:rsid w:val="004535B0"/>
    <w:rsid w:val="00453A9A"/>
    <w:rsid w:val="00453E31"/>
    <w:rsid w:val="00454597"/>
    <w:rsid w:val="0045467E"/>
    <w:rsid w:val="004548E6"/>
    <w:rsid w:val="0045493D"/>
    <w:rsid w:val="004552F4"/>
    <w:rsid w:val="0045541F"/>
    <w:rsid w:val="0045543A"/>
    <w:rsid w:val="004556D9"/>
    <w:rsid w:val="00455D22"/>
    <w:rsid w:val="004561F9"/>
    <w:rsid w:val="0045637C"/>
    <w:rsid w:val="0045669F"/>
    <w:rsid w:val="0045695D"/>
    <w:rsid w:val="00460190"/>
    <w:rsid w:val="0046034A"/>
    <w:rsid w:val="004610C6"/>
    <w:rsid w:val="00461BF2"/>
    <w:rsid w:val="004626F8"/>
    <w:rsid w:val="00462CAE"/>
    <w:rsid w:val="00462D35"/>
    <w:rsid w:val="00463416"/>
    <w:rsid w:val="00463540"/>
    <w:rsid w:val="00463869"/>
    <w:rsid w:val="00463A89"/>
    <w:rsid w:val="00463CF9"/>
    <w:rsid w:val="00463E79"/>
    <w:rsid w:val="00463EAF"/>
    <w:rsid w:val="00464A9C"/>
    <w:rsid w:val="00464BE1"/>
    <w:rsid w:val="00464E8F"/>
    <w:rsid w:val="00464F23"/>
    <w:rsid w:val="0046569F"/>
    <w:rsid w:val="004657B3"/>
    <w:rsid w:val="00465E1C"/>
    <w:rsid w:val="00466341"/>
    <w:rsid w:val="00466395"/>
    <w:rsid w:val="004667A9"/>
    <w:rsid w:val="00466C93"/>
    <w:rsid w:val="004678C8"/>
    <w:rsid w:val="00467BC2"/>
    <w:rsid w:val="00467C44"/>
    <w:rsid w:val="00467CFB"/>
    <w:rsid w:val="00470418"/>
    <w:rsid w:val="00470ED0"/>
    <w:rsid w:val="00470F62"/>
    <w:rsid w:val="00471065"/>
    <w:rsid w:val="0047196C"/>
    <w:rsid w:val="00471E81"/>
    <w:rsid w:val="004724AF"/>
    <w:rsid w:val="00472620"/>
    <w:rsid w:val="0047272A"/>
    <w:rsid w:val="004727C4"/>
    <w:rsid w:val="004727E8"/>
    <w:rsid w:val="00472BF0"/>
    <w:rsid w:val="00472CD7"/>
    <w:rsid w:val="0047322A"/>
    <w:rsid w:val="00473379"/>
    <w:rsid w:val="0047352D"/>
    <w:rsid w:val="00473D67"/>
    <w:rsid w:val="004743CB"/>
    <w:rsid w:val="00474B50"/>
    <w:rsid w:val="00475898"/>
    <w:rsid w:val="00475D4E"/>
    <w:rsid w:val="00475DCF"/>
    <w:rsid w:val="0047643C"/>
    <w:rsid w:val="0047652F"/>
    <w:rsid w:val="00476821"/>
    <w:rsid w:val="00476A79"/>
    <w:rsid w:val="00476FE9"/>
    <w:rsid w:val="0047742A"/>
    <w:rsid w:val="00477597"/>
    <w:rsid w:val="00477E4A"/>
    <w:rsid w:val="00477EE3"/>
    <w:rsid w:val="00477FAF"/>
    <w:rsid w:val="0048027B"/>
    <w:rsid w:val="0048050F"/>
    <w:rsid w:val="004809AD"/>
    <w:rsid w:val="00481213"/>
    <w:rsid w:val="00481272"/>
    <w:rsid w:val="004817B5"/>
    <w:rsid w:val="00481E94"/>
    <w:rsid w:val="00482199"/>
    <w:rsid w:val="0048231B"/>
    <w:rsid w:val="00482478"/>
    <w:rsid w:val="00482736"/>
    <w:rsid w:val="00482CCF"/>
    <w:rsid w:val="00482DF5"/>
    <w:rsid w:val="00483131"/>
    <w:rsid w:val="00483170"/>
    <w:rsid w:val="00483508"/>
    <w:rsid w:val="0048383D"/>
    <w:rsid w:val="004844AC"/>
    <w:rsid w:val="00484509"/>
    <w:rsid w:val="004851E8"/>
    <w:rsid w:val="00485580"/>
    <w:rsid w:val="00485811"/>
    <w:rsid w:val="00485DD7"/>
    <w:rsid w:val="00485E3C"/>
    <w:rsid w:val="004869F8"/>
    <w:rsid w:val="00486A68"/>
    <w:rsid w:val="00486B09"/>
    <w:rsid w:val="00486C0C"/>
    <w:rsid w:val="00487644"/>
    <w:rsid w:val="00487CFA"/>
    <w:rsid w:val="004901CA"/>
    <w:rsid w:val="00490A10"/>
    <w:rsid w:val="00490A62"/>
    <w:rsid w:val="00490E9E"/>
    <w:rsid w:val="00491F9F"/>
    <w:rsid w:val="004920D9"/>
    <w:rsid w:val="0049242A"/>
    <w:rsid w:val="00492735"/>
    <w:rsid w:val="00492B25"/>
    <w:rsid w:val="00492EC7"/>
    <w:rsid w:val="004931EB"/>
    <w:rsid w:val="004934C8"/>
    <w:rsid w:val="00493C96"/>
    <w:rsid w:val="004945D4"/>
    <w:rsid w:val="00494932"/>
    <w:rsid w:val="00494D50"/>
    <w:rsid w:val="00494FC9"/>
    <w:rsid w:val="00494FF0"/>
    <w:rsid w:val="004950F8"/>
    <w:rsid w:val="00495211"/>
    <w:rsid w:val="004956F2"/>
    <w:rsid w:val="00495B23"/>
    <w:rsid w:val="00495E19"/>
    <w:rsid w:val="00496087"/>
    <w:rsid w:val="00496AD4"/>
    <w:rsid w:val="00496CBE"/>
    <w:rsid w:val="00497512"/>
    <w:rsid w:val="00497676"/>
    <w:rsid w:val="00497818"/>
    <w:rsid w:val="00497D2A"/>
    <w:rsid w:val="004A0324"/>
    <w:rsid w:val="004A034D"/>
    <w:rsid w:val="004A065C"/>
    <w:rsid w:val="004A06B2"/>
    <w:rsid w:val="004A0BDB"/>
    <w:rsid w:val="004A0C25"/>
    <w:rsid w:val="004A0D4D"/>
    <w:rsid w:val="004A0D79"/>
    <w:rsid w:val="004A0E76"/>
    <w:rsid w:val="004A1222"/>
    <w:rsid w:val="004A1EA2"/>
    <w:rsid w:val="004A201B"/>
    <w:rsid w:val="004A2604"/>
    <w:rsid w:val="004A27B0"/>
    <w:rsid w:val="004A2B6F"/>
    <w:rsid w:val="004A2EB2"/>
    <w:rsid w:val="004A3807"/>
    <w:rsid w:val="004A3A38"/>
    <w:rsid w:val="004A3BB0"/>
    <w:rsid w:val="004A3BB4"/>
    <w:rsid w:val="004A4377"/>
    <w:rsid w:val="004A4D2B"/>
    <w:rsid w:val="004A525D"/>
    <w:rsid w:val="004A52C4"/>
    <w:rsid w:val="004A53C4"/>
    <w:rsid w:val="004A57EB"/>
    <w:rsid w:val="004A5824"/>
    <w:rsid w:val="004A6211"/>
    <w:rsid w:val="004B0095"/>
    <w:rsid w:val="004B02EA"/>
    <w:rsid w:val="004B181D"/>
    <w:rsid w:val="004B1CAB"/>
    <w:rsid w:val="004B204F"/>
    <w:rsid w:val="004B274E"/>
    <w:rsid w:val="004B36ED"/>
    <w:rsid w:val="004B398F"/>
    <w:rsid w:val="004B3D44"/>
    <w:rsid w:val="004B40A0"/>
    <w:rsid w:val="004B41B5"/>
    <w:rsid w:val="004B4C04"/>
    <w:rsid w:val="004B5171"/>
    <w:rsid w:val="004B57A6"/>
    <w:rsid w:val="004B5895"/>
    <w:rsid w:val="004B5F8F"/>
    <w:rsid w:val="004B612E"/>
    <w:rsid w:val="004B6202"/>
    <w:rsid w:val="004B623B"/>
    <w:rsid w:val="004B63F2"/>
    <w:rsid w:val="004B6D84"/>
    <w:rsid w:val="004B6E31"/>
    <w:rsid w:val="004B7226"/>
    <w:rsid w:val="004C0625"/>
    <w:rsid w:val="004C1315"/>
    <w:rsid w:val="004C1931"/>
    <w:rsid w:val="004C1BAB"/>
    <w:rsid w:val="004C1E13"/>
    <w:rsid w:val="004C1EA7"/>
    <w:rsid w:val="004C2101"/>
    <w:rsid w:val="004C21B7"/>
    <w:rsid w:val="004C231F"/>
    <w:rsid w:val="004C2A81"/>
    <w:rsid w:val="004C31EF"/>
    <w:rsid w:val="004C3BF9"/>
    <w:rsid w:val="004C3E02"/>
    <w:rsid w:val="004C3EE4"/>
    <w:rsid w:val="004C4010"/>
    <w:rsid w:val="004C422D"/>
    <w:rsid w:val="004C4CEB"/>
    <w:rsid w:val="004C4D63"/>
    <w:rsid w:val="004C56BE"/>
    <w:rsid w:val="004C5CF1"/>
    <w:rsid w:val="004C667A"/>
    <w:rsid w:val="004C66A9"/>
    <w:rsid w:val="004C6D8E"/>
    <w:rsid w:val="004C7634"/>
    <w:rsid w:val="004C76FA"/>
    <w:rsid w:val="004C7A27"/>
    <w:rsid w:val="004C7CAC"/>
    <w:rsid w:val="004C7CE4"/>
    <w:rsid w:val="004D000F"/>
    <w:rsid w:val="004D0538"/>
    <w:rsid w:val="004D0551"/>
    <w:rsid w:val="004D07A8"/>
    <w:rsid w:val="004D0D3E"/>
    <w:rsid w:val="004D1BE7"/>
    <w:rsid w:val="004D2379"/>
    <w:rsid w:val="004D28EF"/>
    <w:rsid w:val="004D2A4E"/>
    <w:rsid w:val="004D3733"/>
    <w:rsid w:val="004D3A58"/>
    <w:rsid w:val="004D414F"/>
    <w:rsid w:val="004D466E"/>
    <w:rsid w:val="004D47CE"/>
    <w:rsid w:val="004D49C4"/>
    <w:rsid w:val="004D4AE0"/>
    <w:rsid w:val="004D4CF1"/>
    <w:rsid w:val="004D5A88"/>
    <w:rsid w:val="004D6019"/>
    <w:rsid w:val="004D60A0"/>
    <w:rsid w:val="004D69A2"/>
    <w:rsid w:val="004D6E54"/>
    <w:rsid w:val="004D6FAD"/>
    <w:rsid w:val="004D7BF4"/>
    <w:rsid w:val="004D7C41"/>
    <w:rsid w:val="004D7C92"/>
    <w:rsid w:val="004E00B8"/>
    <w:rsid w:val="004E0471"/>
    <w:rsid w:val="004E077B"/>
    <w:rsid w:val="004E0A57"/>
    <w:rsid w:val="004E0BD9"/>
    <w:rsid w:val="004E0E95"/>
    <w:rsid w:val="004E1156"/>
    <w:rsid w:val="004E1509"/>
    <w:rsid w:val="004E18E0"/>
    <w:rsid w:val="004E19BA"/>
    <w:rsid w:val="004E1AF8"/>
    <w:rsid w:val="004E23D0"/>
    <w:rsid w:val="004E242C"/>
    <w:rsid w:val="004E25FB"/>
    <w:rsid w:val="004E3061"/>
    <w:rsid w:val="004E3253"/>
    <w:rsid w:val="004E326C"/>
    <w:rsid w:val="004E35BF"/>
    <w:rsid w:val="004E38B2"/>
    <w:rsid w:val="004E3936"/>
    <w:rsid w:val="004E45B6"/>
    <w:rsid w:val="004E4AD8"/>
    <w:rsid w:val="004E4E4F"/>
    <w:rsid w:val="004E5760"/>
    <w:rsid w:val="004E57F7"/>
    <w:rsid w:val="004E58E4"/>
    <w:rsid w:val="004E5926"/>
    <w:rsid w:val="004E5D9C"/>
    <w:rsid w:val="004E6B8E"/>
    <w:rsid w:val="004E6E2E"/>
    <w:rsid w:val="004E7388"/>
    <w:rsid w:val="004E7E87"/>
    <w:rsid w:val="004F031D"/>
    <w:rsid w:val="004F0543"/>
    <w:rsid w:val="004F0DDD"/>
    <w:rsid w:val="004F104E"/>
    <w:rsid w:val="004F114F"/>
    <w:rsid w:val="004F1E2E"/>
    <w:rsid w:val="004F1F62"/>
    <w:rsid w:val="004F243E"/>
    <w:rsid w:val="004F25B7"/>
    <w:rsid w:val="004F2F11"/>
    <w:rsid w:val="004F4435"/>
    <w:rsid w:val="004F48D9"/>
    <w:rsid w:val="004F4ACD"/>
    <w:rsid w:val="004F578B"/>
    <w:rsid w:val="004F63F8"/>
    <w:rsid w:val="004F713A"/>
    <w:rsid w:val="004F72AD"/>
    <w:rsid w:val="004F7408"/>
    <w:rsid w:val="004F7BA5"/>
    <w:rsid w:val="00500035"/>
    <w:rsid w:val="0050023A"/>
    <w:rsid w:val="0050088F"/>
    <w:rsid w:val="00500BDE"/>
    <w:rsid w:val="00500E97"/>
    <w:rsid w:val="00500F7A"/>
    <w:rsid w:val="005011A4"/>
    <w:rsid w:val="005012AD"/>
    <w:rsid w:val="00501F97"/>
    <w:rsid w:val="005020EF"/>
    <w:rsid w:val="00502122"/>
    <w:rsid w:val="0050241C"/>
    <w:rsid w:val="005027BB"/>
    <w:rsid w:val="0050319C"/>
    <w:rsid w:val="005037E1"/>
    <w:rsid w:val="00503B5C"/>
    <w:rsid w:val="00503B96"/>
    <w:rsid w:val="0050456A"/>
    <w:rsid w:val="00505054"/>
    <w:rsid w:val="00505563"/>
    <w:rsid w:val="00505E1D"/>
    <w:rsid w:val="005068E1"/>
    <w:rsid w:val="00506CE0"/>
    <w:rsid w:val="005070EA"/>
    <w:rsid w:val="0050760D"/>
    <w:rsid w:val="005076E3"/>
    <w:rsid w:val="005077C5"/>
    <w:rsid w:val="00507A65"/>
    <w:rsid w:val="00510870"/>
    <w:rsid w:val="005110BA"/>
    <w:rsid w:val="0051168A"/>
    <w:rsid w:val="00512085"/>
    <w:rsid w:val="005122F4"/>
    <w:rsid w:val="00513007"/>
    <w:rsid w:val="00513BC7"/>
    <w:rsid w:val="00514197"/>
    <w:rsid w:val="005141DA"/>
    <w:rsid w:val="00514DDB"/>
    <w:rsid w:val="00514E36"/>
    <w:rsid w:val="00515172"/>
    <w:rsid w:val="00515316"/>
    <w:rsid w:val="00515422"/>
    <w:rsid w:val="005156A6"/>
    <w:rsid w:val="00515794"/>
    <w:rsid w:val="0051636C"/>
    <w:rsid w:val="00516393"/>
    <w:rsid w:val="005170C9"/>
    <w:rsid w:val="005172DB"/>
    <w:rsid w:val="0052073C"/>
    <w:rsid w:val="00520949"/>
    <w:rsid w:val="00520B4F"/>
    <w:rsid w:val="00521E21"/>
    <w:rsid w:val="0052237A"/>
    <w:rsid w:val="00522423"/>
    <w:rsid w:val="00522DB0"/>
    <w:rsid w:val="00523306"/>
    <w:rsid w:val="00523B66"/>
    <w:rsid w:val="00523EB7"/>
    <w:rsid w:val="00523EF2"/>
    <w:rsid w:val="00523F51"/>
    <w:rsid w:val="00524016"/>
    <w:rsid w:val="005244A4"/>
    <w:rsid w:val="00524AD7"/>
    <w:rsid w:val="00525727"/>
    <w:rsid w:val="0052591E"/>
    <w:rsid w:val="00525B43"/>
    <w:rsid w:val="00525F07"/>
    <w:rsid w:val="0052639A"/>
    <w:rsid w:val="00526477"/>
    <w:rsid w:val="005265B9"/>
    <w:rsid w:val="00526691"/>
    <w:rsid w:val="00526D7E"/>
    <w:rsid w:val="00527AE0"/>
    <w:rsid w:val="0053027E"/>
    <w:rsid w:val="005312E8"/>
    <w:rsid w:val="005313F7"/>
    <w:rsid w:val="00531ACC"/>
    <w:rsid w:val="00531E8D"/>
    <w:rsid w:val="00531F39"/>
    <w:rsid w:val="00532607"/>
    <w:rsid w:val="00532767"/>
    <w:rsid w:val="005328BA"/>
    <w:rsid w:val="00532B70"/>
    <w:rsid w:val="005333EA"/>
    <w:rsid w:val="00533920"/>
    <w:rsid w:val="00533DC4"/>
    <w:rsid w:val="0053480E"/>
    <w:rsid w:val="00534CB2"/>
    <w:rsid w:val="00534ED5"/>
    <w:rsid w:val="00535324"/>
    <w:rsid w:val="0053540E"/>
    <w:rsid w:val="00535488"/>
    <w:rsid w:val="00535521"/>
    <w:rsid w:val="00535969"/>
    <w:rsid w:val="005359D9"/>
    <w:rsid w:val="00535A1B"/>
    <w:rsid w:val="00535D6D"/>
    <w:rsid w:val="00535F4E"/>
    <w:rsid w:val="0053602B"/>
    <w:rsid w:val="005363C4"/>
    <w:rsid w:val="005366F8"/>
    <w:rsid w:val="0053678B"/>
    <w:rsid w:val="00536D31"/>
    <w:rsid w:val="00536DEF"/>
    <w:rsid w:val="005371C4"/>
    <w:rsid w:val="005371D4"/>
    <w:rsid w:val="0053749F"/>
    <w:rsid w:val="005404B0"/>
    <w:rsid w:val="005405E2"/>
    <w:rsid w:val="0054125E"/>
    <w:rsid w:val="005412E1"/>
    <w:rsid w:val="005418B9"/>
    <w:rsid w:val="005419F2"/>
    <w:rsid w:val="00541A05"/>
    <w:rsid w:val="00541C30"/>
    <w:rsid w:val="0054209B"/>
    <w:rsid w:val="0054216F"/>
    <w:rsid w:val="005422EB"/>
    <w:rsid w:val="0054294B"/>
    <w:rsid w:val="00542969"/>
    <w:rsid w:val="00542993"/>
    <w:rsid w:val="00542D37"/>
    <w:rsid w:val="00542F18"/>
    <w:rsid w:val="00543397"/>
    <w:rsid w:val="005439A1"/>
    <w:rsid w:val="00543C00"/>
    <w:rsid w:val="00544492"/>
    <w:rsid w:val="005446D3"/>
    <w:rsid w:val="00544824"/>
    <w:rsid w:val="00544853"/>
    <w:rsid w:val="00544984"/>
    <w:rsid w:val="00544B83"/>
    <w:rsid w:val="00544FA5"/>
    <w:rsid w:val="005450E2"/>
    <w:rsid w:val="005452E2"/>
    <w:rsid w:val="005453A0"/>
    <w:rsid w:val="005456F8"/>
    <w:rsid w:val="0054576E"/>
    <w:rsid w:val="00545F3B"/>
    <w:rsid w:val="0054750F"/>
    <w:rsid w:val="00547A40"/>
    <w:rsid w:val="00547AC8"/>
    <w:rsid w:val="00547E4C"/>
    <w:rsid w:val="0055001C"/>
    <w:rsid w:val="005500B1"/>
    <w:rsid w:val="0055086B"/>
    <w:rsid w:val="005508E3"/>
    <w:rsid w:val="00550D43"/>
    <w:rsid w:val="00550DD7"/>
    <w:rsid w:val="005511E2"/>
    <w:rsid w:val="005512D5"/>
    <w:rsid w:val="0055175A"/>
    <w:rsid w:val="00551B0D"/>
    <w:rsid w:val="00551DEC"/>
    <w:rsid w:val="00552096"/>
    <w:rsid w:val="0055245B"/>
    <w:rsid w:val="0055255F"/>
    <w:rsid w:val="00552717"/>
    <w:rsid w:val="005529FC"/>
    <w:rsid w:val="00553371"/>
    <w:rsid w:val="00553918"/>
    <w:rsid w:val="00553D54"/>
    <w:rsid w:val="00553F9F"/>
    <w:rsid w:val="005546BF"/>
    <w:rsid w:val="00554CB6"/>
    <w:rsid w:val="00554D3D"/>
    <w:rsid w:val="00554FC3"/>
    <w:rsid w:val="00555523"/>
    <w:rsid w:val="00555E0D"/>
    <w:rsid w:val="00556BF7"/>
    <w:rsid w:val="00556E02"/>
    <w:rsid w:val="00556F4A"/>
    <w:rsid w:val="0055764E"/>
    <w:rsid w:val="0055783F"/>
    <w:rsid w:val="00557CF4"/>
    <w:rsid w:val="00557D04"/>
    <w:rsid w:val="00560528"/>
    <w:rsid w:val="00560A5E"/>
    <w:rsid w:val="00560CD3"/>
    <w:rsid w:val="00560D92"/>
    <w:rsid w:val="005615E3"/>
    <w:rsid w:val="00561923"/>
    <w:rsid w:val="00561D24"/>
    <w:rsid w:val="0056295E"/>
    <w:rsid w:val="00562ED2"/>
    <w:rsid w:val="0056310A"/>
    <w:rsid w:val="00563475"/>
    <w:rsid w:val="00563B00"/>
    <w:rsid w:val="00563C49"/>
    <w:rsid w:val="0056592B"/>
    <w:rsid w:val="00565AC1"/>
    <w:rsid w:val="00565B0F"/>
    <w:rsid w:val="00565D0D"/>
    <w:rsid w:val="00566286"/>
    <w:rsid w:val="005668DF"/>
    <w:rsid w:val="00566920"/>
    <w:rsid w:val="00567223"/>
    <w:rsid w:val="00567A04"/>
    <w:rsid w:val="00567F76"/>
    <w:rsid w:val="00570215"/>
    <w:rsid w:val="00570239"/>
    <w:rsid w:val="005704CB"/>
    <w:rsid w:val="00570D7F"/>
    <w:rsid w:val="005710A9"/>
    <w:rsid w:val="005711C5"/>
    <w:rsid w:val="00571718"/>
    <w:rsid w:val="0057178D"/>
    <w:rsid w:val="00571D59"/>
    <w:rsid w:val="00571DED"/>
    <w:rsid w:val="00571F91"/>
    <w:rsid w:val="005725C5"/>
    <w:rsid w:val="00572CF9"/>
    <w:rsid w:val="00572E3E"/>
    <w:rsid w:val="00573335"/>
    <w:rsid w:val="00573345"/>
    <w:rsid w:val="00573619"/>
    <w:rsid w:val="005737F5"/>
    <w:rsid w:val="005741C2"/>
    <w:rsid w:val="00574209"/>
    <w:rsid w:val="0057420B"/>
    <w:rsid w:val="0057434B"/>
    <w:rsid w:val="005756E7"/>
    <w:rsid w:val="0057571E"/>
    <w:rsid w:val="00575951"/>
    <w:rsid w:val="00576330"/>
    <w:rsid w:val="0057657F"/>
    <w:rsid w:val="00577E70"/>
    <w:rsid w:val="00577E77"/>
    <w:rsid w:val="00580280"/>
    <w:rsid w:val="0058031C"/>
    <w:rsid w:val="005806CF"/>
    <w:rsid w:val="0058107A"/>
    <w:rsid w:val="0058135A"/>
    <w:rsid w:val="005815FE"/>
    <w:rsid w:val="005827AE"/>
    <w:rsid w:val="0058298F"/>
    <w:rsid w:val="00582C36"/>
    <w:rsid w:val="00583AB1"/>
    <w:rsid w:val="00583B4D"/>
    <w:rsid w:val="00583FDC"/>
    <w:rsid w:val="00584058"/>
    <w:rsid w:val="005847E2"/>
    <w:rsid w:val="00584E0C"/>
    <w:rsid w:val="00585571"/>
    <w:rsid w:val="005855F8"/>
    <w:rsid w:val="00585991"/>
    <w:rsid w:val="00585B91"/>
    <w:rsid w:val="005869CA"/>
    <w:rsid w:val="00586BF1"/>
    <w:rsid w:val="00586EB2"/>
    <w:rsid w:val="005872CC"/>
    <w:rsid w:val="0058745C"/>
    <w:rsid w:val="00587AE1"/>
    <w:rsid w:val="0059039A"/>
    <w:rsid w:val="005903E4"/>
    <w:rsid w:val="00590565"/>
    <w:rsid w:val="00590954"/>
    <w:rsid w:val="00591256"/>
    <w:rsid w:val="005917DF"/>
    <w:rsid w:val="00592899"/>
    <w:rsid w:val="00593386"/>
    <w:rsid w:val="00593C6E"/>
    <w:rsid w:val="00593F3D"/>
    <w:rsid w:val="0059424C"/>
    <w:rsid w:val="005943AE"/>
    <w:rsid w:val="0059442B"/>
    <w:rsid w:val="005946CA"/>
    <w:rsid w:val="00594826"/>
    <w:rsid w:val="0059494C"/>
    <w:rsid w:val="005950D6"/>
    <w:rsid w:val="00595486"/>
    <w:rsid w:val="005958D0"/>
    <w:rsid w:val="005962B6"/>
    <w:rsid w:val="005966B3"/>
    <w:rsid w:val="00596ED3"/>
    <w:rsid w:val="0059751C"/>
    <w:rsid w:val="00597827"/>
    <w:rsid w:val="0059786C"/>
    <w:rsid w:val="00597919"/>
    <w:rsid w:val="005A0000"/>
    <w:rsid w:val="005A03A2"/>
    <w:rsid w:val="005A0506"/>
    <w:rsid w:val="005A08FB"/>
    <w:rsid w:val="005A0B9F"/>
    <w:rsid w:val="005A0C48"/>
    <w:rsid w:val="005A0D08"/>
    <w:rsid w:val="005A0D31"/>
    <w:rsid w:val="005A1625"/>
    <w:rsid w:val="005A187C"/>
    <w:rsid w:val="005A2D88"/>
    <w:rsid w:val="005A2FCE"/>
    <w:rsid w:val="005A3095"/>
    <w:rsid w:val="005A3ACA"/>
    <w:rsid w:val="005A3B1B"/>
    <w:rsid w:val="005A42FD"/>
    <w:rsid w:val="005A4385"/>
    <w:rsid w:val="005A4707"/>
    <w:rsid w:val="005A47E3"/>
    <w:rsid w:val="005A496B"/>
    <w:rsid w:val="005A4CEF"/>
    <w:rsid w:val="005A5171"/>
    <w:rsid w:val="005A5815"/>
    <w:rsid w:val="005A5D1A"/>
    <w:rsid w:val="005A6089"/>
    <w:rsid w:val="005A63D8"/>
    <w:rsid w:val="005A73D7"/>
    <w:rsid w:val="005A7467"/>
    <w:rsid w:val="005A7527"/>
    <w:rsid w:val="005A7DBE"/>
    <w:rsid w:val="005A7E63"/>
    <w:rsid w:val="005B04DF"/>
    <w:rsid w:val="005B075B"/>
    <w:rsid w:val="005B1082"/>
    <w:rsid w:val="005B152A"/>
    <w:rsid w:val="005B1EB5"/>
    <w:rsid w:val="005B21E6"/>
    <w:rsid w:val="005B2378"/>
    <w:rsid w:val="005B270C"/>
    <w:rsid w:val="005B2C3A"/>
    <w:rsid w:val="005B32CE"/>
    <w:rsid w:val="005B33DC"/>
    <w:rsid w:val="005B3479"/>
    <w:rsid w:val="005B34EE"/>
    <w:rsid w:val="005B3568"/>
    <w:rsid w:val="005B3606"/>
    <w:rsid w:val="005B374A"/>
    <w:rsid w:val="005B3972"/>
    <w:rsid w:val="005B3ED7"/>
    <w:rsid w:val="005B446E"/>
    <w:rsid w:val="005B49B6"/>
    <w:rsid w:val="005B4A45"/>
    <w:rsid w:val="005B4D55"/>
    <w:rsid w:val="005B54AB"/>
    <w:rsid w:val="005B5D5E"/>
    <w:rsid w:val="005B5FDA"/>
    <w:rsid w:val="005B68A7"/>
    <w:rsid w:val="005B6986"/>
    <w:rsid w:val="005B6AD2"/>
    <w:rsid w:val="005B6E36"/>
    <w:rsid w:val="005B74C5"/>
    <w:rsid w:val="005B7733"/>
    <w:rsid w:val="005B7A22"/>
    <w:rsid w:val="005C00C1"/>
    <w:rsid w:val="005C047D"/>
    <w:rsid w:val="005C04C8"/>
    <w:rsid w:val="005C0602"/>
    <w:rsid w:val="005C1820"/>
    <w:rsid w:val="005C19A8"/>
    <w:rsid w:val="005C1D01"/>
    <w:rsid w:val="005C2114"/>
    <w:rsid w:val="005C2362"/>
    <w:rsid w:val="005C25DD"/>
    <w:rsid w:val="005C2B3C"/>
    <w:rsid w:val="005C2E28"/>
    <w:rsid w:val="005C3015"/>
    <w:rsid w:val="005C3069"/>
    <w:rsid w:val="005C343C"/>
    <w:rsid w:val="005C37F5"/>
    <w:rsid w:val="005C3C22"/>
    <w:rsid w:val="005C3DB2"/>
    <w:rsid w:val="005C3ECE"/>
    <w:rsid w:val="005C3F10"/>
    <w:rsid w:val="005C40C7"/>
    <w:rsid w:val="005C42B0"/>
    <w:rsid w:val="005C430E"/>
    <w:rsid w:val="005C438F"/>
    <w:rsid w:val="005C4A96"/>
    <w:rsid w:val="005C4C7F"/>
    <w:rsid w:val="005C4CC6"/>
    <w:rsid w:val="005C5042"/>
    <w:rsid w:val="005C5B37"/>
    <w:rsid w:val="005C63FA"/>
    <w:rsid w:val="005C75D1"/>
    <w:rsid w:val="005C773A"/>
    <w:rsid w:val="005C7C28"/>
    <w:rsid w:val="005C7DD7"/>
    <w:rsid w:val="005D00CC"/>
    <w:rsid w:val="005D0512"/>
    <w:rsid w:val="005D058E"/>
    <w:rsid w:val="005D082B"/>
    <w:rsid w:val="005D0976"/>
    <w:rsid w:val="005D097F"/>
    <w:rsid w:val="005D0E7C"/>
    <w:rsid w:val="005D0E9B"/>
    <w:rsid w:val="005D1576"/>
    <w:rsid w:val="005D1762"/>
    <w:rsid w:val="005D1D9F"/>
    <w:rsid w:val="005D2217"/>
    <w:rsid w:val="005D2507"/>
    <w:rsid w:val="005D2667"/>
    <w:rsid w:val="005D3E22"/>
    <w:rsid w:val="005D3EBB"/>
    <w:rsid w:val="005D3ED4"/>
    <w:rsid w:val="005D42B4"/>
    <w:rsid w:val="005D4AFC"/>
    <w:rsid w:val="005D4CF7"/>
    <w:rsid w:val="005D51D9"/>
    <w:rsid w:val="005D52FB"/>
    <w:rsid w:val="005D5347"/>
    <w:rsid w:val="005D570F"/>
    <w:rsid w:val="005D5CC5"/>
    <w:rsid w:val="005D5E85"/>
    <w:rsid w:val="005D6732"/>
    <w:rsid w:val="005D69FE"/>
    <w:rsid w:val="005D787B"/>
    <w:rsid w:val="005D7E93"/>
    <w:rsid w:val="005E0949"/>
    <w:rsid w:val="005E0E20"/>
    <w:rsid w:val="005E0F03"/>
    <w:rsid w:val="005E12BE"/>
    <w:rsid w:val="005E1374"/>
    <w:rsid w:val="005E1467"/>
    <w:rsid w:val="005E3DF8"/>
    <w:rsid w:val="005E4569"/>
    <w:rsid w:val="005E4660"/>
    <w:rsid w:val="005E4976"/>
    <w:rsid w:val="005E49F5"/>
    <w:rsid w:val="005E4B27"/>
    <w:rsid w:val="005E515C"/>
    <w:rsid w:val="005E6499"/>
    <w:rsid w:val="005E6505"/>
    <w:rsid w:val="005E6FD7"/>
    <w:rsid w:val="005E75E3"/>
    <w:rsid w:val="005E7BE6"/>
    <w:rsid w:val="005E7ECD"/>
    <w:rsid w:val="005E7F37"/>
    <w:rsid w:val="005F01E5"/>
    <w:rsid w:val="005F0215"/>
    <w:rsid w:val="005F0EF5"/>
    <w:rsid w:val="005F1267"/>
    <w:rsid w:val="005F1A0D"/>
    <w:rsid w:val="005F1D43"/>
    <w:rsid w:val="005F2132"/>
    <w:rsid w:val="005F2A12"/>
    <w:rsid w:val="005F2E4C"/>
    <w:rsid w:val="005F2EA8"/>
    <w:rsid w:val="005F322F"/>
    <w:rsid w:val="005F3322"/>
    <w:rsid w:val="005F3751"/>
    <w:rsid w:val="005F3EC3"/>
    <w:rsid w:val="005F4136"/>
    <w:rsid w:val="005F446D"/>
    <w:rsid w:val="005F4713"/>
    <w:rsid w:val="005F48D6"/>
    <w:rsid w:val="005F584B"/>
    <w:rsid w:val="005F637A"/>
    <w:rsid w:val="005F64C6"/>
    <w:rsid w:val="005F6B1A"/>
    <w:rsid w:val="005F6E55"/>
    <w:rsid w:val="005F6F87"/>
    <w:rsid w:val="005F76FB"/>
    <w:rsid w:val="005F784D"/>
    <w:rsid w:val="005F7A0B"/>
    <w:rsid w:val="00600089"/>
    <w:rsid w:val="00600677"/>
    <w:rsid w:val="0060081A"/>
    <w:rsid w:val="006008F1"/>
    <w:rsid w:val="00600C01"/>
    <w:rsid w:val="006014DB"/>
    <w:rsid w:val="00601735"/>
    <w:rsid w:val="006018B5"/>
    <w:rsid w:val="00601BE4"/>
    <w:rsid w:val="006022E0"/>
    <w:rsid w:val="006025F2"/>
    <w:rsid w:val="00602AC4"/>
    <w:rsid w:val="00602B46"/>
    <w:rsid w:val="00602BD2"/>
    <w:rsid w:val="00603480"/>
    <w:rsid w:val="006039B8"/>
    <w:rsid w:val="00603A79"/>
    <w:rsid w:val="00603D7A"/>
    <w:rsid w:val="00604174"/>
    <w:rsid w:val="00604356"/>
    <w:rsid w:val="00604B87"/>
    <w:rsid w:val="00605275"/>
    <w:rsid w:val="00605529"/>
    <w:rsid w:val="006059DB"/>
    <w:rsid w:val="00605A3E"/>
    <w:rsid w:val="00605CAB"/>
    <w:rsid w:val="00605DAE"/>
    <w:rsid w:val="00605DB9"/>
    <w:rsid w:val="0060650E"/>
    <w:rsid w:val="006065CF"/>
    <w:rsid w:val="00606604"/>
    <w:rsid w:val="00606A48"/>
    <w:rsid w:val="00606E5D"/>
    <w:rsid w:val="0060725E"/>
    <w:rsid w:val="006076EF"/>
    <w:rsid w:val="006079C8"/>
    <w:rsid w:val="0061066F"/>
    <w:rsid w:val="00610CBA"/>
    <w:rsid w:val="00610F39"/>
    <w:rsid w:val="00611DEF"/>
    <w:rsid w:val="00611F28"/>
    <w:rsid w:val="00612E59"/>
    <w:rsid w:val="00612FC4"/>
    <w:rsid w:val="0061315B"/>
    <w:rsid w:val="006132CC"/>
    <w:rsid w:val="0061352F"/>
    <w:rsid w:val="0061375F"/>
    <w:rsid w:val="00613A56"/>
    <w:rsid w:val="00613C12"/>
    <w:rsid w:val="00613C47"/>
    <w:rsid w:val="00614071"/>
    <w:rsid w:val="00614292"/>
    <w:rsid w:val="006148AC"/>
    <w:rsid w:val="006153E5"/>
    <w:rsid w:val="00615525"/>
    <w:rsid w:val="00615544"/>
    <w:rsid w:val="00615651"/>
    <w:rsid w:val="00615654"/>
    <w:rsid w:val="00615901"/>
    <w:rsid w:val="00616201"/>
    <w:rsid w:val="00616225"/>
    <w:rsid w:val="00616C1C"/>
    <w:rsid w:val="00616D5E"/>
    <w:rsid w:val="00616EEC"/>
    <w:rsid w:val="00617270"/>
    <w:rsid w:val="00617A8B"/>
    <w:rsid w:val="00617C23"/>
    <w:rsid w:val="006200B8"/>
    <w:rsid w:val="0062040C"/>
    <w:rsid w:val="00620422"/>
    <w:rsid w:val="00620552"/>
    <w:rsid w:val="006208F9"/>
    <w:rsid w:val="00620A9B"/>
    <w:rsid w:val="00620CE4"/>
    <w:rsid w:val="006219A0"/>
    <w:rsid w:val="00621F46"/>
    <w:rsid w:val="0062224C"/>
    <w:rsid w:val="006223C7"/>
    <w:rsid w:val="006227FA"/>
    <w:rsid w:val="00622FEA"/>
    <w:rsid w:val="0062349B"/>
    <w:rsid w:val="006239E8"/>
    <w:rsid w:val="00623B67"/>
    <w:rsid w:val="00623CDF"/>
    <w:rsid w:val="00623DB1"/>
    <w:rsid w:val="00623FC2"/>
    <w:rsid w:val="006241D2"/>
    <w:rsid w:val="006245F3"/>
    <w:rsid w:val="006246AF"/>
    <w:rsid w:val="00624B63"/>
    <w:rsid w:val="00624E6F"/>
    <w:rsid w:val="006252E6"/>
    <w:rsid w:val="0062552F"/>
    <w:rsid w:val="00625966"/>
    <w:rsid w:val="00625B47"/>
    <w:rsid w:val="00625D54"/>
    <w:rsid w:val="00625FC9"/>
    <w:rsid w:val="00626A11"/>
    <w:rsid w:val="00626BE7"/>
    <w:rsid w:val="0062726B"/>
    <w:rsid w:val="00627ED6"/>
    <w:rsid w:val="006304D2"/>
    <w:rsid w:val="00630C76"/>
    <w:rsid w:val="006319CA"/>
    <w:rsid w:val="00633107"/>
    <w:rsid w:val="00633A3C"/>
    <w:rsid w:val="00634498"/>
    <w:rsid w:val="00634932"/>
    <w:rsid w:val="00634EC0"/>
    <w:rsid w:val="00635D83"/>
    <w:rsid w:val="0063627F"/>
    <w:rsid w:val="006362FE"/>
    <w:rsid w:val="006364D6"/>
    <w:rsid w:val="00636C26"/>
    <w:rsid w:val="006370A6"/>
    <w:rsid w:val="00637785"/>
    <w:rsid w:val="00637988"/>
    <w:rsid w:val="00637A76"/>
    <w:rsid w:val="00637EE5"/>
    <w:rsid w:val="00640F42"/>
    <w:rsid w:val="006411E4"/>
    <w:rsid w:val="0064140B"/>
    <w:rsid w:val="00641868"/>
    <w:rsid w:val="006419A2"/>
    <w:rsid w:val="00641EFC"/>
    <w:rsid w:val="00641F02"/>
    <w:rsid w:val="0064266A"/>
    <w:rsid w:val="00642ADE"/>
    <w:rsid w:val="00642B24"/>
    <w:rsid w:val="00642D72"/>
    <w:rsid w:val="006431BC"/>
    <w:rsid w:val="00643671"/>
    <w:rsid w:val="00643819"/>
    <w:rsid w:val="00643B4C"/>
    <w:rsid w:val="00643C2F"/>
    <w:rsid w:val="00643F85"/>
    <w:rsid w:val="006443CB"/>
    <w:rsid w:val="00644A19"/>
    <w:rsid w:val="00644F80"/>
    <w:rsid w:val="00645874"/>
    <w:rsid w:val="006479E0"/>
    <w:rsid w:val="00647A43"/>
    <w:rsid w:val="00647B53"/>
    <w:rsid w:val="00647D78"/>
    <w:rsid w:val="00647F7B"/>
    <w:rsid w:val="0065074A"/>
    <w:rsid w:val="00650DD0"/>
    <w:rsid w:val="00650E7A"/>
    <w:rsid w:val="00650EE4"/>
    <w:rsid w:val="0065124B"/>
    <w:rsid w:val="00651382"/>
    <w:rsid w:val="006517DD"/>
    <w:rsid w:val="00651E96"/>
    <w:rsid w:val="00652AB2"/>
    <w:rsid w:val="00652CCD"/>
    <w:rsid w:val="006530C9"/>
    <w:rsid w:val="006533F3"/>
    <w:rsid w:val="00653579"/>
    <w:rsid w:val="00653622"/>
    <w:rsid w:val="00653FE6"/>
    <w:rsid w:val="0065446A"/>
    <w:rsid w:val="00654767"/>
    <w:rsid w:val="00654C11"/>
    <w:rsid w:val="00654EB9"/>
    <w:rsid w:val="006551F6"/>
    <w:rsid w:val="0065552B"/>
    <w:rsid w:val="006558F8"/>
    <w:rsid w:val="006564DF"/>
    <w:rsid w:val="006566ED"/>
    <w:rsid w:val="00656B4B"/>
    <w:rsid w:val="006577CC"/>
    <w:rsid w:val="006578D7"/>
    <w:rsid w:val="00660024"/>
    <w:rsid w:val="00660B46"/>
    <w:rsid w:val="00660F6F"/>
    <w:rsid w:val="00661283"/>
    <w:rsid w:val="0066129E"/>
    <w:rsid w:val="00661918"/>
    <w:rsid w:val="00661F08"/>
    <w:rsid w:val="00662130"/>
    <w:rsid w:val="0066226E"/>
    <w:rsid w:val="00662A5A"/>
    <w:rsid w:val="00662B31"/>
    <w:rsid w:val="00662B7E"/>
    <w:rsid w:val="00662F7D"/>
    <w:rsid w:val="0066318E"/>
    <w:rsid w:val="006641C4"/>
    <w:rsid w:val="00664875"/>
    <w:rsid w:val="006653D7"/>
    <w:rsid w:val="006654F3"/>
    <w:rsid w:val="00665F5E"/>
    <w:rsid w:val="00666129"/>
    <w:rsid w:val="006665BA"/>
    <w:rsid w:val="006665FE"/>
    <w:rsid w:val="00666A4F"/>
    <w:rsid w:val="00667106"/>
    <w:rsid w:val="00667111"/>
    <w:rsid w:val="0066720F"/>
    <w:rsid w:val="00667328"/>
    <w:rsid w:val="00667662"/>
    <w:rsid w:val="006703AA"/>
    <w:rsid w:val="006703CD"/>
    <w:rsid w:val="006703D9"/>
    <w:rsid w:val="006704B8"/>
    <w:rsid w:val="006704F6"/>
    <w:rsid w:val="006708EA"/>
    <w:rsid w:val="00671091"/>
    <w:rsid w:val="00671AC7"/>
    <w:rsid w:val="00672154"/>
    <w:rsid w:val="00672B6A"/>
    <w:rsid w:val="00672D8D"/>
    <w:rsid w:val="0067426D"/>
    <w:rsid w:val="006745EC"/>
    <w:rsid w:val="00674713"/>
    <w:rsid w:val="0067545E"/>
    <w:rsid w:val="006758D1"/>
    <w:rsid w:val="0067599E"/>
    <w:rsid w:val="0067650C"/>
    <w:rsid w:val="00676E43"/>
    <w:rsid w:val="00677435"/>
    <w:rsid w:val="00677C33"/>
    <w:rsid w:val="00680102"/>
    <w:rsid w:val="006803B4"/>
    <w:rsid w:val="00680936"/>
    <w:rsid w:val="00680D8C"/>
    <w:rsid w:val="00681236"/>
    <w:rsid w:val="0068165C"/>
    <w:rsid w:val="006818B4"/>
    <w:rsid w:val="00681C66"/>
    <w:rsid w:val="006820E0"/>
    <w:rsid w:val="00682221"/>
    <w:rsid w:val="006826B4"/>
    <w:rsid w:val="00682725"/>
    <w:rsid w:val="006828DF"/>
    <w:rsid w:val="00682AED"/>
    <w:rsid w:val="00682D87"/>
    <w:rsid w:val="00683158"/>
    <w:rsid w:val="00683502"/>
    <w:rsid w:val="006836B2"/>
    <w:rsid w:val="00683A1C"/>
    <w:rsid w:val="00683A1E"/>
    <w:rsid w:val="0068413E"/>
    <w:rsid w:val="00684387"/>
    <w:rsid w:val="006845A2"/>
    <w:rsid w:val="00684834"/>
    <w:rsid w:val="006853A4"/>
    <w:rsid w:val="0068558F"/>
    <w:rsid w:val="006856C0"/>
    <w:rsid w:val="006862B9"/>
    <w:rsid w:val="006864E1"/>
    <w:rsid w:val="00686546"/>
    <w:rsid w:val="006865F1"/>
    <w:rsid w:val="00686871"/>
    <w:rsid w:val="00686948"/>
    <w:rsid w:val="006876CE"/>
    <w:rsid w:val="006877FF"/>
    <w:rsid w:val="0068793A"/>
    <w:rsid w:val="00687B34"/>
    <w:rsid w:val="00690781"/>
    <w:rsid w:val="006907A1"/>
    <w:rsid w:val="00690B17"/>
    <w:rsid w:val="00690CD7"/>
    <w:rsid w:val="0069128F"/>
    <w:rsid w:val="00691404"/>
    <w:rsid w:val="00691580"/>
    <w:rsid w:val="006920A6"/>
    <w:rsid w:val="00692582"/>
    <w:rsid w:val="006926E2"/>
    <w:rsid w:val="006929D9"/>
    <w:rsid w:val="00692FF6"/>
    <w:rsid w:val="00692FFA"/>
    <w:rsid w:val="0069350A"/>
    <w:rsid w:val="00693652"/>
    <w:rsid w:val="0069369F"/>
    <w:rsid w:val="0069376C"/>
    <w:rsid w:val="006939E7"/>
    <w:rsid w:val="00693D3E"/>
    <w:rsid w:val="006942F7"/>
    <w:rsid w:val="0069438B"/>
    <w:rsid w:val="00695396"/>
    <w:rsid w:val="006954A0"/>
    <w:rsid w:val="00695620"/>
    <w:rsid w:val="00695659"/>
    <w:rsid w:val="0069582C"/>
    <w:rsid w:val="00695D76"/>
    <w:rsid w:val="00696A0F"/>
    <w:rsid w:val="006971D2"/>
    <w:rsid w:val="00697413"/>
    <w:rsid w:val="00697669"/>
    <w:rsid w:val="00697AE8"/>
    <w:rsid w:val="00697F01"/>
    <w:rsid w:val="006A15BA"/>
    <w:rsid w:val="006A1AAE"/>
    <w:rsid w:val="006A1EEA"/>
    <w:rsid w:val="006A2150"/>
    <w:rsid w:val="006A241D"/>
    <w:rsid w:val="006A24EA"/>
    <w:rsid w:val="006A2B0C"/>
    <w:rsid w:val="006A2C61"/>
    <w:rsid w:val="006A2D13"/>
    <w:rsid w:val="006A3288"/>
    <w:rsid w:val="006A35A2"/>
    <w:rsid w:val="006A3C54"/>
    <w:rsid w:val="006A3DE6"/>
    <w:rsid w:val="006A3E6B"/>
    <w:rsid w:val="006A43E6"/>
    <w:rsid w:val="006A45B1"/>
    <w:rsid w:val="006A4A1E"/>
    <w:rsid w:val="006A50C7"/>
    <w:rsid w:val="006A5741"/>
    <w:rsid w:val="006A5CD5"/>
    <w:rsid w:val="006A5D9B"/>
    <w:rsid w:val="006A5E28"/>
    <w:rsid w:val="006A5E65"/>
    <w:rsid w:val="006A5EF5"/>
    <w:rsid w:val="006A67BC"/>
    <w:rsid w:val="006A6A3A"/>
    <w:rsid w:val="006A70BE"/>
    <w:rsid w:val="006A7662"/>
    <w:rsid w:val="006A7ACA"/>
    <w:rsid w:val="006A7F39"/>
    <w:rsid w:val="006A7FD0"/>
    <w:rsid w:val="006B0121"/>
    <w:rsid w:val="006B0128"/>
    <w:rsid w:val="006B0260"/>
    <w:rsid w:val="006B0334"/>
    <w:rsid w:val="006B059F"/>
    <w:rsid w:val="006B0C6D"/>
    <w:rsid w:val="006B1011"/>
    <w:rsid w:val="006B134D"/>
    <w:rsid w:val="006B1A20"/>
    <w:rsid w:val="006B1C7C"/>
    <w:rsid w:val="006B1EC8"/>
    <w:rsid w:val="006B2136"/>
    <w:rsid w:val="006B2B64"/>
    <w:rsid w:val="006B2BD2"/>
    <w:rsid w:val="006B3063"/>
    <w:rsid w:val="006B3086"/>
    <w:rsid w:val="006B3568"/>
    <w:rsid w:val="006B3D99"/>
    <w:rsid w:val="006B4547"/>
    <w:rsid w:val="006B5752"/>
    <w:rsid w:val="006B5BF9"/>
    <w:rsid w:val="006B63D8"/>
    <w:rsid w:val="006B6BD0"/>
    <w:rsid w:val="006B6F32"/>
    <w:rsid w:val="006B7130"/>
    <w:rsid w:val="006B7D4A"/>
    <w:rsid w:val="006B7E8A"/>
    <w:rsid w:val="006B7EF5"/>
    <w:rsid w:val="006C0D76"/>
    <w:rsid w:val="006C1401"/>
    <w:rsid w:val="006C201C"/>
    <w:rsid w:val="006C211C"/>
    <w:rsid w:val="006C397B"/>
    <w:rsid w:val="006C408A"/>
    <w:rsid w:val="006C4150"/>
    <w:rsid w:val="006C4728"/>
    <w:rsid w:val="006C507B"/>
    <w:rsid w:val="006C5186"/>
    <w:rsid w:val="006C5189"/>
    <w:rsid w:val="006C51DA"/>
    <w:rsid w:val="006C5214"/>
    <w:rsid w:val="006C5683"/>
    <w:rsid w:val="006C5E33"/>
    <w:rsid w:val="006C5E48"/>
    <w:rsid w:val="006C6295"/>
    <w:rsid w:val="006C6434"/>
    <w:rsid w:val="006C6552"/>
    <w:rsid w:val="006C65CC"/>
    <w:rsid w:val="006C6B08"/>
    <w:rsid w:val="006C6CD8"/>
    <w:rsid w:val="006C6CF4"/>
    <w:rsid w:val="006C7FD4"/>
    <w:rsid w:val="006D013F"/>
    <w:rsid w:val="006D017F"/>
    <w:rsid w:val="006D032D"/>
    <w:rsid w:val="006D0696"/>
    <w:rsid w:val="006D08DF"/>
    <w:rsid w:val="006D0A14"/>
    <w:rsid w:val="006D0A45"/>
    <w:rsid w:val="006D10BF"/>
    <w:rsid w:val="006D11E1"/>
    <w:rsid w:val="006D17B1"/>
    <w:rsid w:val="006D1836"/>
    <w:rsid w:val="006D1D3F"/>
    <w:rsid w:val="006D20B4"/>
    <w:rsid w:val="006D211A"/>
    <w:rsid w:val="006D253B"/>
    <w:rsid w:val="006D2CCC"/>
    <w:rsid w:val="006D3C1D"/>
    <w:rsid w:val="006D3C4F"/>
    <w:rsid w:val="006D44D0"/>
    <w:rsid w:val="006D471A"/>
    <w:rsid w:val="006D4C56"/>
    <w:rsid w:val="006D4F07"/>
    <w:rsid w:val="006D5625"/>
    <w:rsid w:val="006D57CB"/>
    <w:rsid w:val="006D5A82"/>
    <w:rsid w:val="006D5D92"/>
    <w:rsid w:val="006D60EE"/>
    <w:rsid w:val="006D6CDD"/>
    <w:rsid w:val="006D719D"/>
    <w:rsid w:val="006D7444"/>
    <w:rsid w:val="006E044C"/>
    <w:rsid w:val="006E0A61"/>
    <w:rsid w:val="006E1999"/>
    <w:rsid w:val="006E2251"/>
    <w:rsid w:val="006E2812"/>
    <w:rsid w:val="006E3587"/>
    <w:rsid w:val="006E36D4"/>
    <w:rsid w:val="006E3711"/>
    <w:rsid w:val="006E3992"/>
    <w:rsid w:val="006E3AAD"/>
    <w:rsid w:val="006E4118"/>
    <w:rsid w:val="006E4238"/>
    <w:rsid w:val="006E447A"/>
    <w:rsid w:val="006E4560"/>
    <w:rsid w:val="006E48D2"/>
    <w:rsid w:val="006E4F8C"/>
    <w:rsid w:val="006E50C3"/>
    <w:rsid w:val="006E5BA6"/>
    <w:rsid w:val="006E665F"/>
    <w:rsid w:val="006E68AD"/>
    <w:rsid w:val="006E6948"/>
    <w:rsid w:val="006E6EAA"/>
    <w:rsid w:val="006E720E"/>
    <w:rsid w:val="006E7A57"/>
    <w:rsid w:val="006E7B97"/>
    <w:rsid w:val="006E7C1C"/>
    <w:rsid w:val="006E7D02"/>
    <w:rsid w:val="006E7D23"/>
    <w:rsid w:val="006F05FD"/>
    <w:rsid w:val="006F063E"/>
    <w:rsid w:val="006F0B83"/>
    <w:rsid w:val="006F15F3"/>
    <w:rsid w:val="006F1BBB"/>
    <w:rsid w:val="006F1D39"/>
    <w:rsid w:val="006F2173"/>
    <w:rsid w:val="006F2235"/>
    <w:rsid w:val="006F2294"/>
    <w:rsid w:val="006F2318"/>
    <w:rsid w:val="006F2550"/>
    <w:rsid w:val="006F27C0"/>
    <w:rsid w:val="006F2CA3"/>
    <w:rsid w:val="006F3B10"/>
    <w:rsid w:val="006F3EA8"/>
    <w:rsid w:val="006F41E7"/>
    <w:rsid w:val="006F4740"/>
    <w:rsid w:val="006F49A7"/>
    <w:rsid w:val="006F4A47"/>
    <w:rsid w:val="006F568F"/>
    <w:rsid w:val="006F56EB"/>
    <w:rsid w:val="006F5862"/>
    <w:rsid w:val="006F58F8"/>
    <w:rsid w:val="006F5E56"/>
    <w:rsid w:val="006F62F2"/>
    <w:rsid w:val="006F6798"/>
    <w:rsid w:val="006F6D4C"/>
    <w:rsid w:val="006F6E67"/>
    <w:rsid w:val="006F7157"/>
    <w:rsid w:val="006F786E"/>
    <w:rsid w:val="006F78E0"/>
    <w:rsid w:val="006F7FE0"/>
    <w:rsid w:val="0070032D"/>
    <w:rsid w:val="00701590"/>
    <w:rsid w:val="0070176D"/>
    <w:rsid w:val="00701CF4"/>
    <w:rsid w:val="00702150"/>
    <w:rsid w:val="00702468"/>
    <w:rsid w:val="00702B1B"/>
    <w:rsid w:val="00702C43"/>
    <w:rsid w:val="00702CFE"/>
    <w:rsid w:val="00702EFE"/>
    <w:rsid w:val="0070395E"/>
    <w:rsid w:val="00703C76"/>
    <w:rsid w:val="00704164"/>
    <w:rsid w:val="00704473"/>
    <w:rsid w:val="00704E3D"/>
    <w:rsid w:val="00705031"/>
    <w:rsid w:val="00705134"/>
    <w:rsid w:val="007053D4"/>
    <w:rsid w:val="00705FFB"/>
    <w:rsid w:val="00706277"/>
    <w:rsid w:val="00706A58"/>
    <w:rsid w:val="00706CAF"/>
    <w:rsid w:val="00706D75"/>
    <w:rsid w:val="00707670"/>
    <w:rsid w:val="00707EC8"/>
    <w:rsid w:val="007101A0"/>
    <w:rsid w:val="007110E1"/>
    <w:rsid w:val="0071113D"/>
    <w:rsid w:val="00711CFE"/>
    <w:rsid w:val="0071204E"/>
    <w:rsid w:val="007126A8"/>
    <w:rsid w:val="007127F4"/>
    <w:rsid w:val="00712AF8"/>
    <w:rsid w:val="00712C30"/>
    <w:rsid w:val="007135B0"/>
    <w:rsid w:val="00713662"/>
    <w:rsid w:val="00713753"/>
    <w:rsid w:val="007139C3"/>
    <w:rsid w:val="00713ADE"/>
    <w:rsid w:val="00713CE8"/>
    <w:rsid w:val="00714394"/>
    <w:rsid w:val="007143BC"/>
    <w:rsid w:val="007150B9"/>
    <w:rsid w:val="00715AAC"/>
    <w:rsid w:val="007163F8"/>
    <w:rsid w:val="00716B9D"/>
    <w:rsid w:val="00716C46"/>
    <w:rsid w:val="00716D40"/>
    <w:rsid w:val="00716D64"/>
    <w:rsid w:val="0071729C"/>
    <w:rsid w:val="0072057C"/>
    <w:rsid w:val="00720A60"/>
    <w:rsid w:val="00720E0B"/>
    <w:rsid w:val="00720E0F"/>
    <w:rsid w:val="007210F5"/>
    <w:rsid w:val="00721282"/>
    <w:rsid w:val="00721946"/>
    <w:rsid w:val="00721D10"/>
    <w:rsid w:val="00721F54"/>
    <w:rsid w:val="00721F7E"/>
    <w:rsid w:val="0072238C"/>
    <w:rsid w:val="007225B1"/>
    <w:rsid w:val="00722E29"/>
    <w:rsid w:val="007238C5"/>
    <w:rsid w:val="00723F67"/>
    <w:rsid w:val="00724507"/>
    <w:rsid w:val="00724606"/>
    <w:rsid w:val="00724B92"/>
    <w:rsid w:val="00724E85"/>
    <w:rsid w:val="00725318"/>
    <w:rsid w:val="00725346"/>
    <w:rsid w:val="00725860"/>
    <w:rsid w:val="00725FAE"/>
    <w:rsid w:val="007266DD"/>
    <w:rsid w:val="00726815"/>
    <w:rsid w:val="00726B00"/>
    <w:rsid w:val="00726D0F"/>
    <w:rsid w:val="00726DA7"/>
    <w:rsid w:val="00727583"/>
    <w:rsid w:val="00727806"/>
    <w:rsid w:val="00727DDC"/>
    <w:rsid w:val="00730073"/>
    <w:rsid w:val="007304C9"/>
    <w:rsid w:val="007305BB"/>
    <w:rsid w:val="007306E5"/>
    <w:rsid w:val="00730839"/>
    <w:rsid w:val="00730DAF"/>
    <w:rsid w:val="00730F89"/>
    <w:rsid w:val="00731296"/>
    <w:rsid w:val="00731542"/>
    <w:rsid w:val="00731923"/>
    <w:rsid w:val="00731FC8"/>
    <w:rsid w:val="00732170"/>
    <w:rsid w:val="00732B28"/>
    <w:rsid w:val="00732E20"/>
    <w:rsid w:val="00733025"/>
    <w:rsid w:val="00733094"/>
    <w:rsid w:val="0073320D"/>
    <w:rsid w:val="007334DC"/>
    <w:rsid w:val="00733996"/>
    <w:rsid w:val="00733B19"/>
    <w:rsid w:val="007343AA"/>
    <w:rsid w:val="00734858"/>
    <w:rsid w:val="00734887"/>
    <w:rsid w:val="00734994"/>
    <w:rsid w:val="00734A44"/>
    <w:rsid w:val="00734D06"/>
    <w:rsid w:val="0073642E"/>
    <w:rsid w:val="007365B6"/>
    <w:rsid w:val="00736B84"/>
    <w:rsid w:val="00737E64"/>
    <w:rsid w:val="00737EBD"/>
    <w:rsid w:val="007401E2"/>
    <w:rsid w:val="0074077D"/>
    <w:rsid w:val="00740780"/>
    <w:rsid w:val="0074081A"/>
    <w:rsid w:val="00740B49"/>
    <w:rsid w:val="00740E33"/>
    <w:rsid w:val="007411E5"/>
    <w:rsid w:val="00742233"/>
    <w:rsid w:val="007424A6"/>
    <w:rsid w:val="007424CF"/>
    <w:rsid w:val="00742D57"/>
    <w:rsid w:val="00742F8A"/>
    <w:rsid w:val="007431CD"/>
    <w:rsid w:val="007443C2"/>
    <w:rsid w:val="007447A4"/>
    <w:rsid w:val="00744FA3"/>
    <w:rsid w:val="00745ED9"/>
    <w:rsid w:val="00746755"/>
    <w:rsid w:val="00746951"/>
    <w:rsid w:val="0074722C"/>
    <w:rsid w:val="0074791E"/>
    <w:rsid w:val="0075001A"/>
    <w:rsid w:val="00750376"/>
    <w:rsid w:val="00750904"/>
    <w:rsid w:val="00750A08"/>
    <w:rsid w:val="00750A66"/>
    <w:rsid w:val="00750B28"/>
    <w:rsid w:val="00750D0C"/>
    <w:rsid w:val="00750D30"/>
    <w:rsid w:val="0075115D"/>
    <w:rsid w:val="007524D7"/>
    <w:rsid w:val="007525FF"/>
    <w:rsid w:val="0075283C"/>
    <w:rsid w:val="00752BB7"/>
    <w:rsid w:val="00753069"/>
    <w:rsid w:val="007532A7"/>
    <w:rsid w:val="00753890"/>
    <w:rsid w:val="007538F6"/>
    <w:rsid w:val="00753B7D"/>
    <w:rsid w:val="00753E5A"/>
    <w:rsid w:val="00754464"/>
    <w:rsid w:val="00754EEC"/>
    <w:rsid w:val="00754FEC"/>
    <w:rsid w:val="0075500C"/>
    <w:rsid w:val="0075501A"/>
    <w:rsid w:val="007555DF"/>
    <w:rsid w:val="00755818"/>
    <w:rsid w:val="00755B12"/>
    <w:rsid w:val="00755D21"/>
    <w:rsid w:val="00755E75"/>
    <w:rsid w:val="007565B5"/>
    <w:rsid w:val="0075720A"/>
    <w:rsid w:val="007573A5"/>
    <w:rsid w:val="007577CB"/>
    <w:rsid w:val="0076032C"/>
    <w:rsid w:val="00760C40"/>
    <w:rsid w:val="00761434"/>
    <w:rsid w:val="00761721"/>
    <w:rsid w:val="007618EF"/>
    <w:rsid w:val="00761FD5"/>
    <w:rsid w:val="00762065"/>
    <w:rsid w:val="007624BB"/>
    <w:rsid w:val="00762BCF"/>
    <w:rsid w:val="00763027"/>
    <w:rsid w:val="00763072"/>
    <w:rsid w:val="00763D30"/>
    <w:rsid w:val="00763D3A"/>
    <w:rsid w:val="00763D4B"/>
    <w:rsid w:val="00763DB6"/>
    <w:rsid w:val="00763EE6"/>
    <w:rsid w:val="0076460E"/>
    <w:rsid w:val="00764668"/>
    <w:rsid w:val="007647B8"/>
    <w:rsid w:val="00764B49"/>
    <w:rsid w:val="00764CBE"/>
    <w:rsid w:val="00764DBD"/>
    <w:rsid w:val="00764E4E"/>
    <w:rsid w:val="00764F70"/>
    <w:rsid w:val="00765CC3"/>
    <w:rsid w:val="00765DD8"/>
    <w:rsid w:val="007666DD"/>
    <w:rsid w:val="007669D3"/>
    <w:rsid w:val="00766D36"/>
    <w:rsid w:val="00766EB1"/>
    <w:rsid w:val="007673C6"/>
    <w:rsid w:val="00767607"/>
    <w:rsid w:val="00767A1C"/>
    <w:rsid w:val="00767E47"/>
    <w:rsid w:val="0077067D"/>
    <w:rsid w:val="007709CB"/>
    <w:rsid w:val="00771587"/>
    <w:rsid w:val="0077158D"/>
    <w:rsid w:val="0077165F"/>
    <w:rsid w:val="00771972"/>
    <w:rsid w:val="0077228D"/>
    <w:rsid w:val="00772FA4"/>
    <w:rsid w:val="0077314F"/>
    <w:rsid w:val="007735C4"/>
    <w:rsid w:val="007736BA"/>
    <w:rsid w:val="00773874"/>
    <w:rsid w:val="00773B7E"/>
    <w:rsid w:val="00773C0D"/>
    <w:rsid w:val="0077477A"/>
    <w:rsid w:val="00774FDC"/>
    <w:rsid w:val="00775048"/>
    <w:rsid w:val="00775273"/>
    <w:rsid w:val="00775861"/>
    <w:rsid w:val="0077589B"/>
    <w:rsid w:val="00775952"/>
    <w:rsid w:val="00775B52"/>
    <w:rsid w:val="00775EED"/>
    <w:rsid w:val="007762DB"/>
    <w:rsid w:val="007765DF"/>
    <w:rsid w:val="007766D8"/>
    <w:rsid w:val="00776AD1"/>
    <w:rsid w:val="007770B9"/>
    <w:rsid w:val="007770E1"/>
    <w:rsid w:val="007778D4"/>
    <w:rsid w:val="00777BA4"/>
    <w:rsid w:val="007803F2"/>
    <w:rsid w:val="00780661"/>
    <w:rsid w:val="00780A4F"/>
    <w:rsid w:val="00780D88"/>
    <w:rsid w:val="00780F42"/>
    <w:rsid w:val="0078126C"/>
    <w:rsid w:val="007813B4"/>
    <w:rsid w:val="00781AD1"/>
    <w:rsid w:val="00781FAF"/>
    <w:rsid w:val="007833C7"/>
    <w:rsid w:val="00783B85"/>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87EB5"/>
    <w:rsid w:val="00790739"/>
    <w:rsid w:val="00790DFB"/>
    <w:rsid w:val="00791098"/>
    <w:rsid w:val="007910EB"/>
    <w:rsid w:val="00791B10"/>
    <w:rsid w:val="0079218E"/>
    <w:rsid w:val="00792447"/>
    <w:rsid w:val="00792659"/>
    <w:rsid w:val="00792679"/>
    <w:rsid w:val="0079270E"/>
    <w:rsid w:val="00792855"/>
    <w:rsid w:val="007937CB"/>
    <w:rsid w:val="0079385A"/>
    <w:rsid w:val="007943DF"/>
    <w:rsid w:val="00794A05"/>
    <w:rsid w:val="00794A3A"/>
    <w:rsid w:val="00795B64"/>
    <w:rsid w:val="00795F96"/>
    <w:rsid w:val="0079694C"/>
    <w:rsid w:val="00796DBD"/>
    <w:rsid w:val="00797450"/>
    <w:rsid w:val="0079773A"/>
    <w:rsid w:val="00797FAD"/>
    <w:rsid w:val="007A0AF5"/>
    <w:rsid w:val="007A2AEF"/>
    <w:rsid w:val="007A354D"/>
    <w:rsid w:val="007A38D8"/>
    <w:rsid w:val="007A452F"/>
    <w:rsid w:val="007A4C77"/>
    <w:rsid w:val="007A4E17"/>
    <w:rsid w:val="007A520F"/>
    <w:rsid w:val="007A56E3"/>
    <w:rsid w:val="007A5704"/>
    <w:rsid w:val="007A5AF4"/>
    <w:rsid w:val="007A62EC"/>
    <w:rsid w:val="007A641B"/>
    <w:rsid w:val="007A660D"/>
    <w:rsid w:val="007A68DC"/>
    <w:rsid w:val="007A6D0D"/>
    <w:rsid w:val="007A79D8"/>
    <w:rsid w:val="007A7F6D"/>
    <w:rsid w:val="007B01C5"/>
    <w:rsid w:val="007B058B"/>
    <w:rsid w:val="007B0FBD"/>
    <w:rsid w:val="007B172E"/>
    <w:rsid w:val="007B1BAF"/>
    <w:rsid w:val="007B1C65"/>
    <w:rsid w:val="007B1E34"/>
    <w:rsid w:val="007B2245"/>
    <w:rsid w:val="007B2331"/>
    <w:rsid w:val="007B2896"/>
    <w:rsid w:val="007B2CDD"/>
    <w:rsid w:val="007B3154"/>
    <w:rsid w:val="007B35F7"/>
    <w:rsid w:val="007B3948"/>
    <w:rsid w:val="007B396F"/>
    <w:rsid w:val="007B3B4C"/>
    <w:rsid w:val="007B41D6"/>
    <w:rsid w:val="007B461D"/>
    <w:rsid w:val="007B4F47"/>
    <w:rsid w:val="007B4F72"/>
    <w:rsid w:val="007B5192"/>
    <w:rsid w:val="007B5445"/>
    <w:rsid w:val="007B5C63"/>
    <w:rsid w:val="007B65CA"/>
    <w:rsid w:val="007B67FC"/>
    <w:rsid w:val="007B6896"/>
    <w:rsid w:val="007B698D"/>
    <w:rsid w:val="007B6D9F"/>
    <w:rsid w:val="007B757D"/>
    <w:rsid w:val="007B75F6"/>
    <w:rsid w:val="007B7764"/>
    <w:rsid w:val="007B7942"/>
    <w:rsid w:val="007B79F5"/>
    <w:rsid w:val="007B7BE9"/>
    <w:rsid w:val="007C0A01"/>
    <w:rsid w:val="007C0E04"/>
    <w:rsid w:val="007C123B"/>
    <w:rsid w:val="007C13DF"/>
    <w:rsid w:val="007C21F1"/>
    <w:rsid w:val="007C2827"/>
    <w:rsid w:val="007C2B1F"/>
    <w:rsid w:val="007C3224"/>
    <w:rsid w:val="007C344C"/>
    <w:rsid w:val="007C3813"/>
    <w:rsid w:val="007C3858"/>
    <w:rsid w:val="007C3A26"/>
    <w:rsid w:val="007C3A80"/>
    <w:rsid w:val="007C40BB"/>
    <w:rsid w:val="007C41F0"/>
    <w:rsid w:val="007C42C0"/>
    <w:rsid w:val="007C4CB1"/>
    <w:rsid w:val="007C5029"/>
    <w:rsid w:val="007C527A"/>
    <w:rsid w:val="007C543F"/>
    <w:rsid w:val="007C6A0A"/>
    <w:rsid w:val="007C6DD2"/>
    <w:rsid w:val="007C6E85"/>
    <w:rsid w:val="007C6EA8"/>
    <w:rsid w:val="007C6F36"/>
    <w:rsid w:val="007C70A7"/>
    <w:rsid w:val="007C73B0"/>
    <w:rsid w:val="007C74E5"/>
    <w:rsid w:val="007C76FB"/>
    <w:rsid w:val="007D060B"/>
    <w:rsid w:val="007D0698"/>
    <w:rsid w:val="007D0E43"/>
    <w:rsid w:val="007D0FFB"/>
    <w:rsid w:val="007D13E7"/>
    <w:rsid w:val="007D1991"/>
    <w:rsid w:val="007D1E37"/>
    <w:rsid w:val="007D2037"/>
    <w:rsid w:val="007D227D"/>
    <w:rsid w:val="007D232F"/>
    <w:rsid w:val="007D2385"/>
    <w:rsid w:val="007D2E2D"/>
    <w:rsid w:val="007D3D9D"/>
    <w:rsid w:val="007D3F52"/>
    <w:rsid w:val="007D45F8"/>
    <w:rsid w:val="007D48B3"/>
    <w:rsid w:val="007D4DCF"/>
    <w:rsid w:val="007D52CA"/>
    <w:rsid w:val="007D563E"/>
    <w:rsid w:val="007D577F"/>
    <w:rsid w:val="007D5B51"/>
    <w:rsid w:val="007D5BA5"/>
    <w:rsid w:val="007D5F71"/>
    <w:rsid w:val="007D5FC1"/>
    <w:rsid w:val="007D6485"/>
    <w:rsid w:val="007D6940"/>
    <w:rsid w:val="007D6C3F"/>
    <w:rsid w:val="007D715A"/>
    <w:rsid w:val="007D733A"/>
    <w:rsid w:val="007D740C"/>
    <w:rsid w:val="007E0153"/>
    <w:rsid w:val="007E0A3F"/>
    <w:rsid w:val="007E0E9E"/>
    <w:rsid w:val="007E10A9"/>
    <w:rsid w:val="007E1199"/>
    <w:rsid w:val="007E17B3"/>
    <w:rsid w:val="007E19DC"/>
    <w:rsid w:val="007E1CEA"/>
    <w:rsid w:val="007E21FB"/>
    <w:rsid w:val="007E2347"/>
    <w:rsid w:val="007E26A8"/>
    <w:rsid w:val="007E2E3F"/>
    <w:rsid w:val="007E329D"/>
    <w:rsid w:val="007E3474"/>
    <w:rsid w:val="007E35DC"/>
    <w:rsid w:val="007E39E7"/>
    <w:rsid w:val="007E420B"/>
    <w:rsid w:val="007E47D2"/>
    <w:rsid w:val="007E4932"/>
    <w:rsid w:val="007E49D4"/>
    <w:rsid w:val="007E502C"/>
    <w:rsid w:val="007E598A"/>
    <w:rsid w:val="007E5A74"/>
    <w:rsid w:val="007E5BD7"/>
    <w:rsid w:val="007E6023"/>
    <w:rsid w:val="007E659E"/>
    <w:rsid w:val="007E69C0"/>
    <w:rsid w:val="007E75F0"/>
    <w:rsid w:val="007E7968"/>
    <w:rsid w:val="007E7E7A"/>
    <w:rsid w:val="007F013A"/>
    <w:rsid w:val="007F067A"/>
    <w:rsid w:val="007F0691"/>
    <w:rsid w:val="007F088F"/>
    <w:rsid w:val="007F1890"/>
    <w:rsid w:val="007F193D"/>
    <w:rsid w:val="007F1CE5"/>
    <w:rsid w:val="007F1FB0"/>
    <w:rsid w:val="007F2857"/>
    <w:rsid w:val="007F2D90"/>
    <w:rsid w:val="007F3EFD"/>
    <w:rsid w:val="007F4211"/>
    <w:rsid w:val="007F4F82"/>
    <w:rsid w:val="007F53A5"/>
    <w:rsid w:val="007F54DB"/>
    <w:rsid w:val="007F5DE4"/>
    <w:rsid w:val="007F67D0"/>
    <w:rsid w:val="007F6A9A"/>
    <w:rsid w:val="007F6B93"/>
    <w:rsid w:val="007F6B9F"/>
    <w:rsid w:val="007F709F"/>
    <w:rsid w:val="007F73DA"/>
    <w:rsid w:val="007F78FA"/>
    <w:rsid w:val="0080042A"/>
    <w:rsid w:val="008008F3"/>
    <w:rsid w:val="008013D6"/>
    <w:rsid w:val="008014FC"/>
    <w:rsid w:val="008018AD"/>
    <w:rsid w:val="00801CA0"/>
    <w:rsid w:val="00801EEA"/>
    <w:rsid w:val="00802493"/>
    <w:rsid w:val="00802785"/>
    <w:rsid w:val="00802D6D"/>
    <w:rsid w:val="008039FE"/>
    <w:rsid w:val="00804653"/>
    <w:rsid w:val="00804A2E"/>
    <w:rsid w:val="00805D36"/>
    <w:rsid w:val="00806336"/>
    <w:rsid w:val="00806579"/>
    <w:rsid w:val="008066F8"/>
    <w:rsid w:val="00806A84"/>
    <w:rsid w:val="00806F66"/>
    <w:rsid w:val="008073D2"/>
    <w:rsid w:val="0080750E"/>
    <w:rsid w:val="00807C6C"/>
    <w:rsid w:val="00807F4C"/>
    <w:rsid w:val="0081138B"/>
    <w:rsid w:val="00811F8C"/>
    <w:rsid w:val="0081243E"/>
    <w:rsid w:val="00812687"/>
    <w:rsid w:val="00812B10"/>
    <w:rsid w:val="00813278"/>
    <w:rsid w:val="00813385"/>
    <w:rsid w:val="0081340B"/>
    <w:rsid w:val="00813D52"/>
    <w:rsid w:val="00813DA5"/>
    <w:rsid w:val="00813E59"/>
    <w:rsid w:val="0081628A"/>
    <w:rsid w:val="00816304"/>
    <w:rsid w:val="00816703"/>
    <w:rsid w:val="00816BD8"/>
    <w:rsid w:val="00816C39"/>
    <w:rsid w:val="00816E37"/>
    <w:rsid w:val="00817A98"/>
    <w:rsid w:val="00817BB4"/>
    <w:rsid w:val="00817DFE"/>
    <w:rsid w:val="00817E89"/>
    <w:rsid w:val="00817E9F"/>
    <w:rsid w:val="00820BE8"/>
    <w:rsid w:val="00821021"/>
    <w:rsid w:val="008214BB"/>
    <w:rsid w:val="00821609"/>
    <w:rsid w:val="00821B58"/>
    <w:rsid w:val="0082202C"/>
    <w:rsid w:val="00822117"/>
    <w:rsid w:val="0082211D"/>
    <w:rsid w:val="008225E3"/>
    <w:rsid w:val="00822922"/>
    <w:rsid w:val="00822D06"/>
    <w:rsid w:val="00822D4E"/>
    <w:rsid w:val="00822DC0"/>
    <w:rsid w:val="00823329"/>
    <w:rsid w:val="00823487"/>
    <w:rsid w:val="00823B4E"/>
    <w:rsid w:val="00823CEC"/>
    <w:rsid w:val="00824594"/>
    <w:rsid w:val="0082460C"/>
    <w:rsid w:val="008249B0"/>
    <w:rsid w:val="00824A07"/>
    <w:rsid w:val="00824E60"/>
    <w:rsid w:val="0082529F"/>
    <w:rsid w:val="00825661"/>
    <w:rsid w:val="00825BF1"/>
    <w:rsid w:val="008268A1"/>
    <w:rsid w:val="00826AC0"/>
    <w:rsid w:val="00826CD4"/>
    <w:rsid w:val="00826D8D"/>
    <w:rsid w:val="00826F17"/>
    <w:rsid w:val="00826F4C"/>
    <w:rsid w:val="00827183"/>
    <w:rsid w:val="0082722A"/>
    <w:rsid w:val="00827797"/>
    <w:rsid w:val="00827B01"/>
    <w:rsid w:val="008302F0"/>
    <w:rsid w:val="008309A3"/>
    <w:rsid w:val="0083135D"/>
    <w:rsid w:val="00832524"/>
    <w:rsid w:val="008329DB"/>
    <w:rsid w:val="00833014"/>
    <w:rsid w:val="008330FB"/>
    <w:rsid w:val="00833970"/>
    <w:rsid w:val="00833F66"/>
    <w:rsid w:val="00833FBB"/>
    <w:rsid w:val="00834846"/>
    <w:rsid w:val="00834A99"/>
    <w:rsid w:val="00834BCA"/>
    <w:rsid w:val="00834F10"/>
    <w:rsid w:val="008350BD"/>
    <w:rsid w:val="00835237"/>
    <w:rsid w:val="0083544C"/>
    <w:rsid w:val="00835503"/>
    <w:rsid w:val="008356E1"/>
    <w:rsid w:val="00835EEB"/>
    <w:rsid w:val="00836193"/>
    <w:rsid w:val="00836A4D"/>
    <w:rsid w:val="00836F94"/>
    <w:rsid w:val="0083737F"/>
    <w:rsid w:val="00837699"/>
    <w:rsid w:val="008377DA"/>
    <w:rsid w:val="00837B93"/>
    <w:rsid w:val="00837DF6"/>
    <w:rsid w:val="00837FEE"/>
    <w:rsid w:val="008409B9"/>
    <w:rsid w:val="00840AEB"/>
    <w:rsid w:val="00840AFF"/>
    <w:rsid w:val="00840E57"/>
    <w:rsid w:val="008417B3"/>
    <w:rsid w:val="008425DD"/>
    <w:rsid w:val="008428DE"/>
    <w:rsid w:val="00842A25"/>
    <w:rsid w:val="00843122"/>
    <w:rsid w:val="00843427"/>
    <w:rsid w:val="00843842"/>
    <w:rsid w:val="00844002"/>
    <w:rsid w:val="0084439F"/>
    <w:rsid w:val="0084459B"/>
    <w:rsid w:val="008448DD"/>
    <w:rsid w:val="00844D06"/>
    <w:rsid w:val="00844EC9"/>
    <w:rsid w:val="00845811"/>
    <w:rsid w:val="00845A15"/>
    <w:rsid w:val="00845ED5"/>
    <w:rsid w:val="0084632F"/>
    <w:rsid w:val="0084708B"/>
    <w:rsid w:val="00847121"/>
    <w:rsid w:val="00847309"/>
    <w:rsid w:val="008475A9"/>
    <w:rsid w:val="0084765F"/>
    <w:rsid w:val="00847C0D"/>
    <w:rsid w:val="00847C2B"/>
    <w:rsid w:val="00847DA7"/>
    <w:rsid w:val="00850C0F"/>
    <w:rsid w:val="00850EF7"/>
    <w:rsid w:val="0085106A"/>
    <w:rsid w:val="008523F6"/>
    <w:rsid w:val="00852945"/>
    <w:rsid w:val="00852A1F"/>
    <w:rsid w:val="00853195"/>
    <w:rsid w:val="0085381C"/>
    <w:rsid w:val="00853C37"/>
    <w:rsid w:val="00853F10"/>
    <w:rsid w:val="00853F6C"/>
    <w:rsid w:val="008541E3"/>
    <w:rsid w:val="0085468B"/>
    <w:rsid w:val="00854D3D"/>
    <w:rsid w:val="00854EA0"/>
    <w:rsid w:val="008552FC"/>
    <w:rsid w:val="00855423"/>
    <w:rsid w:val="008556A6"/>
    <w:rsid w:val="008556B3"/>
    <w:rsid w:val="00855B06"/>
    <w:rsid w:val="008561BB"/>
    <w:rsid w:val="008565AA"/>
    <w:rsid w:val="008575F9"/>
    <w:rsid w:val="00857641"/>
    <w:rsid w:val="00857D29"/>
    <w:rsid w:val="00857E25"/>
    <w:rsid w:val="00860071"/>
    <w:rsid w:val="00860A30"/>
    <w:rsid w:val="00861DC6"/>
    <w:rsid w:val="00862095"/>
    <w:rsid w:val="0086214C"/>
    <w:rsid w:val="008629A8"/>
    <w:rsid w:val="00862E46"/>
    <w:rsid w:val="00863089"/>
    <w:rsid w:val="00863198"/>
    <w:rsid w:val="008633A9"/>
    <w:rsid w:val="00863544"/>
    <w:rsid w:val="00863B3D"/>
    <w:rsid w:val="00863C98"/>
    <w:rsid w:val="00863E32"/>
    <w:rsid w:val="008640B5"/>
    <w:rsid w:val="00864C32"/>
    <w:rsid w:val="00864C9F"/>
    <w:rsid w:val="00864D55"/>
    <w:rsid w:val="00865199"/>
    <w:rsid w:val="00865426"/>
    <w:rsid w:val="008655BA"/>
    <w:rsid w:val="00865F44"/>
    <w:rsid w:val="0086605D"/>
    <w:rsid w:val="00866572"/>
    <w:rsid w:val="008667FD"/>
    <w:rsid w:val="008679DC"/>
    <w:rsid w:val="00870272"/>
    <w:rsid w:val="008706AE"/>
    <w:rsid w:val="00870CB6"/>
    <w:rsid w:val="00870D76"/>
    <w:rsid w:val="00871421"/>
    <w:rsid w:val="00871499"/>
    <w:rsid w:val="0087163B"/>
    <w:rsid w:val="0087270F"/>
    <w:rsid w:val="00872828"/>
    <w:rsid w:val="00872882"/>
    <w:rsid w:val="00872C79"/>
    <w:rsid w:val="00873D3D"/>
    <w:rsid w:val="00873FEA"/>
    <w:rsid w:val="0087419B"/>
    <w:rsid w:val="008743DF"/>
    <w:rsid w:val="00874592"/>
    <w:rsid w:val="0087475F"/>
    <w:rsid w:val="00874E59"/>
    <w:rsid w:val="00874F9A"/>
    <w:rsid w:val="0087516A"/>
    <w:rsid w:val="00875679"/>
    <w:rsid w:val="00875ADE"/>
    <w:rsid w:val="00875E1F"/>
    <w:rsid w:val="00875E91"/>
    <w:rsid w:val="008762F2"/>
    <w:rsid w:val="0087655C"/>
    <w:rsid w:val="00876F84"/>
    <w:rsid w:val="00876FF9"/>
    <w:rsid w:val="00877741"/>
    <w:rsid w:val="008777A6"/>
    <w:rsid w:val="008778FD"/>
    <w:rsid w:val="00877DF5"/>
    <w:rsid w:val="00877E5C"/>
    <w:rsid w:val="0088028E"/>
    <w:rsid w:val="008807EE"/>
    <w:rsid w:val="00880A96"/>
    <w:rsid w:val="008814F2"/>
    <w:rsid w:val="008818F6"/>
    <w:rsid w:val="00881FFE"/>
    <w:rsid w:val="00882056"/>
    <w:rsid w:val="00882EC4"/>
    <w:rsid w:val="00882F6D"/>
    <w:rsid w:val="00883059"/>
    <w:rsid w:val="0088398E"/>
    <w:rsid w:val="008844D7"/>
    <w:rsid w:val="00884B9F"/>
    <w:rsid w:val="00885BEA"/>
    <w:rsid w:val="008862AF"/>
    <w:rsid w:val="008864AD"/>
    <w:rsid w:val="00886AC5"/>
    <w:rsid w:val="008871C1"/>
    <w:rsid w:val="00887705"/>
    <w:rsid w:val="00887887"/>
    <w:rsid w:val="00887AA0"/>
    <w:rsid w:val="00887C2D"/>
    <w:rsid w:val="00887E02"/>
    <w:rsid w:val="00890237"/>
    <w:rsid w:val="00890535"/>
    <w:rsid w:val="008909F3"/>
    <w:rsid w:val="00890B0F"/>
    <w:rsid w:val="00890CA8"/>
    <w:rsid w:val="00890D7C"/>
    <w:rsid w:val="00890F2E"/>
    <w:rsid w:val="00891E92"/>
    <w:rsid w:val="00892580"/>
    <w:rsid w:val="008929A4"/>
    <w:rsid w:val="00892ADF"/>
    <w:rsid w:val="0089305C"/>
    <w:rsid w:val="008933A7"/>
    <w:rsid w:val="00893447"/>
    <w:rsid w:val="00893479"/>
    <w:rsid w:val="00894121"/>
    <w:rsid w:val="00894A90"/>
    <w:rsid w:val="00894CC7"/>
    <w:rsid w:val="00894EAA"/>
    <w:rsid w:val="00894FC1"/>
    <w:rsid w:val="00895433"/>
    <w:rsid w:val="00895C1C"/>
    <w:rsid w:val="00896ADB"/>
    <w:rsid w:val="008977CD"/>
    <w:rsid w:val="00897A3D"/>
    <w:rsid w:val="00897E03"/>
    <w:rsid w:val="00897F77"/>
    <w:rsid w:val="008A0547"/>
    <w:rsid w:val="008A05E0"/>
    <w:rsid w:val="008A072C"/>
    <w:rsid w:val="008A0FB6"/>
    <w:rsid w:val="008A1517"/>
    <w:rsid w:val="008A1C47"/>
    <w:rsid w:val="008A2400"/>
    <w:rsid w:val="008A28A5"/>
    <w:rsid w:val="008A3084"/>
    <w:rsid w:val="008A34BF"/>
    <w:rsid w:val="008A35AB"/>
    <w:rsid w:val="008A35E7"/>
    <w:rsid w:val="008A465B"/>
    <w:rsid w:val="008A48FF"/>
    <w:rsid w:val="008A4CBF"/>
    <w:rsid w:val="008A4E38"/>
    <w:rsid w:val="008A5290"/>
    <w:rsid w:val="008A5549"/>
    <w:rsid w:val="008A5684"/>
    <w:rsid w:val="008A58A2"/>
    <w:rsid w:val="008A593A"/>
    <w:rsid w:val="008A5A27"/>
    <w:rsid w:val="008A6C5A"/>
    <w:rsid w:val="008B0061"/>
    <w:rsid w:val="008B0202"/>
    <w:rsid w:val="008B031D"/>
    <w:rsid w:val="008B0EAD"/>
    <w:rsid w:val="008B1718"/>
    <w:rsid w:val="008B190C"/>
    <w:rsid w:val="008B1983"/>
    <w:rsid w:val="008B1CA3"/>
    <w:rsid w:val="008B1E83"/>
    <w:rsid w:val="008B1EF5"/>
    <w:rsid w:val="008B219A"/>
    <w:rsid w:val="008B22CE"/>
    <w:rsid w:val="008B2537"/>
    <w:rsid w:val="008B27A3"/>
    <w:rsid w:val="008B2C9C"/>
    <w:rsid w:val="008B2DF3"/>
    <w:rsid w:val="008B2E4C"/>
    <w:rsid w:val="008B349C"/>
    <w:rsid w:val="008B369E"/>
    <w:rsid w:val="008B376A"/>
    <w:rsid w:val="008B3B97"/>
    <w:rsid w:val="008B3F57"/>
    <w:rsid w:val="008B4969"/>
    <w:rsid w:val="008B5660"/>
    <w:rsid w:val="008B5790"/>
    <w:rsid w:val="008B6576"/>
    <w:rsid w:val="008B69C4"/>
    <w:rsid w:val="008B7220"/>
    <w:rsid w:val="008B75D5"/>
    <w:rsid w:val="008B78D8"/>
    <w:rsid w:val="008B79AB"/>
    <w:rsid w:val="008B7BAA"/>
    <w:rsid w:val="008C00CA"/>
    <w:rsid w:val="008C0246"/>
    <w:rsid w:val="008C031A"/>
    <w:rsid w:val="008C08A5"/>
    <w:rsid w:val="008C1349"/>
    <w:rsid w:val="008C31A3"/>
    <w:rsid w:val="008C3413"/>
    <w:rsid w:val="008C347E"/>
    <w:rsid w:val="008C36B2"/>
    <w:rsid w:val="008C384A"/>
    <w:rsid w:val="008C44D9"/>
    <w:rsid w:val="008C4510"/>
    <w:rsid w:val="008C479C"/>
    <w:rsid w:val="008C47B4"/>
    <w:rsid w:val="008C4AB7"/>
    <w:rsid w:val="008C4D4B"/>
    <w:rsid w:val="008C4E14"/>
    <w:rsid w:val="008C4EDA"/>
    <w:rsid w:val="008C4F75"/>
    <w:rsid w:val="008C543B"/>
    <w:rsid w:val="008C55A4"/>
    <w:rsid w:val="008C57A4"/>
    <w:rsid w:val="008C5C97"/>
    <w:rsid w:val="008C64E3"/>
    <w:rsid w:val="008C6EB6"/>
    <w:rsid w:val="008C725D"/>
    <w:rsid w:val="008C743F"/>
    <w:rsid w:val="008C74C6"/>
    <w:rsid w:val="008C769B"/>
    <w:rsid w:val="008C76BF"/>
    <w:rsid w:val="008C7741"/>
    <w:rsid w:val="008C7868"/>
    <w:rsid w:val="008C7883"/>
    <w:rsid w:val="008C78F9"/>
    <w:rsid w:val="008C7B5C"/>
    <w:rsid w:val="008D044B"/>
    <w:rsid w:val="008D0D1E"/>
    <w:rsid w:val="008D110C"/>
    <w:rsid w:val="008D1E79"/>
    <w:rsid w:val="008D25CD"/>
    <w:rsid w:val="008D29A6"/>
    <w:rsid w:val="008D3103"/>
    <w:rsid w:val="008D3201"/>
    <w:rsid w:val="008D32AF"/>
    <w:rsid w:val="008D33C1"/>
    <w:rsid w:val="008D345F"/>
    <w:rsid w:val="008D3735"/>
    <w:rsid w:val="008D3775"/>
    <w:rsid w:val="008D4677"/>
    <w:rsid w:val="008D49A4"/>
    <w:rsid w:val="008D5693"/>
    <w:rsid w:val="008D58D2"/>
    <w:rsid w:val="008D592A"/>
    <w:rsid w:val="008D59DD"/>
    <w:rsid w:val="008D5BAA"/>
    <w:rsid w:val="008D5D3C"/>
    <w:rsid w:val="008D6993"/>
    <w:rsid w:val="008D776F"/>
    <w:rsid w:val="008D7A19"/>
    <w:rsid w:val="008D7E13"/>
    <w:rsid w:val="008E0D5B"/>
    <w:rsid w:val="008E1068"/>
    <w:rsid w:val="008E18A0"/>
    <w:rsid w:val="008E1CC0"/>
    <w:rsid w:val="008E1E54"/>
    <w:rsid w:val="008E2886"/>
    <w:rsid w:val="008E2AA2"/>
    <w:rsid w:val="008E38CF"/>
    <w:rsid w:val="008E3921"/>
    <w:rsid w:val="008E3958"/>
    <w:rsid w:val="008E3B12"/>
    <w:rsid w:val="008E3B7C"/>
    <w:rsid w:val="008E3C88"/>
    <w:rsid w:val="008E47E0"/>
    <w:rsid w:val="008E4880"/>
    <w:rsid w:val="008E5643"/>
    <w:rsid w:val="008E6810"/>
    <w:rsid w:val="008E7082"/>
    <w:rsid w:val="008E7211"/>
    <w:rsid w:val="008E75CF"/>
    <w:rsid w:val="008E78F2"/>
    <w:rsid w:val="008E792D"/>
    <w:rsid w:val="008E7A90"/>
    <w:rsid w:val="008F0055"/>
    <w:rsid w:val="008F022C"/>
    <w:rsid w:val="008F089A"/>
    <w:rsid w:val="008F0AB5"/>
    <w:rsid w:val="008F0E05"/>
    <w:rsid w:val="008F0E9C"/>
    <w:rsid w:val="008F12B1"/>
    <w:rsid w:val="008F141E"/>
    <w:rsid w:val="008F1521"/>
    <w:rsid w:val="008F1F09"/>
    <w:rsid w:val="008F25A3"/>
    <w:rsid w:val="008F2838"/>
    <w:rsid w:val="008F2A9A"/>
    <w:rsid w:val="008F2CDD"/>
    <w:rsid w:val="008F41ED"/>
    <w:rsid w:val="008F4886"/>
    <w:rsid w:val="008F55DF"/>
    <w:rsid w:val="008F5988"/>
    <w:rsid w:val="008F6667"/>
    <w:rsid w:val="008F677B"/>
    <w:rsid w:val="008F6794"/>
    <w:rsid w:val="008F6E36"/>
    <w:rsid w:val="008F7069"/>
    <w:rsid w:val="008F783D"/>
    <w:rsid w:val="008F7853"/>
    <w:rsid w:val="008F7AA3"/>
    <w:rsid w:val="009000B6"/>
    <w:rsid w:val="009003DE"/>
    <w:rsid w:val="009003EA"/>
    <w:rsid w:val="00900C7B"/>
    <w:rsid w:val="00901569"/>
    <w:rsid w:val="009024F8"/>
    <w:rsid w:val="00902929"/>
    <w:rsid w:val="00902EC7"/>
    <w:rsid w:val="0090318C"/>
    <w:rsid w:val="00903488"/>
    <w:rsid w:val="009040A3"/>
    <w:rsid w:val="00904795"/>
    <w:rsid w:val="009049FD"/>
    <w:rsid w:val="00904AA8"/>
    <w:rsid w:val="00904C26"/>
    <w:rsid w:val="00904F24"/>
    <w:rsid w:val="00904FB5"/>
    <w:rsid w:val="00905021"/>
    <w:rsid w:val="009059E1"/>
    <w:rsid w:val="00905D12"/>
    <w:rsid w:val="00906619"/>
    <w:rsid w:val="00906A71"/>
    <w:rsid w:val="00906F35"/>
    <w:rsid w:val="0090727F"/>
    <w:rsid w:val="009077BA"/>
    <w:rsid w:val="00907955"/>
    <w:rsid w:val="00907957"/>
    <w:rsid w:val="0090799A"/>
    <w:rsid w:val="00907B8B"/>
    <w:rsid w:val="00910D7E"/>
    <w:rsid w:val="00910D90"/>
    <w:rsid w:val="0091140F"/>
    <w:rsid w:val="009115F6"/>
    <w:rsid w:val="0091270C"/>
    <w:rsid w:val="00912DE0"/>
    <w:rsid w:val="00913421"/>
    <w:rsid w:val="0091394B"/>
    <w:rsid w:val="009145E9"/>
    <w:rsid w:val="00914825"/>
    <w:rsid w:val="009148DC"/>
    <w:rsid w:val="00916805"/>
    <w:rsid w:val="00916A15"/>
    <w:rsid w:val="00916E58"/>
    <w:rsid w:val="00916FE3"/>
    <w:rsid w:val="00917380"/>
    <w:rsid w:val="00917887"/>
    <w:rsid w:val="00917E45"/>
    <w:rsid w:val="0092007B"/>
    <w:rsid w:val="009207DB"/>
    <w:rsid w:val="009207E1"/>
    <w:rsid w:val="0092117F"/>
    <w:rsid w:val="00921BCD"/>
    <w:rsid w:val="00922024"/>
    <w:rsid w:val="00922AF6"/>
    <w:rsid w:val="00922DF4"/>
    <w:rsid w:val="00922FE4"/>
    <w:rsid w:val="009244A4"/>
    <w:rsid w:val="009246F6"/>
    <w:rsid w:val="00924B93"/>
    <w:rsid w:val="00924BF3"/>
    <w:rsid w:val="00924E99"/>
    <w:rsid w:val="00925288"/>
    <w:rsid w:val="009254AC"/>
    <w:rsid w:val="00925501"/>
    <w:rsid w:val="009255B5"/>
    <w:rsid w:val="00925C4F"/>
    <w:rsid w:val="00925E17"/>
    <w:rsid w:val="00925E32"/>
    <w:rsid w:val="00926301"/>
    <w:rsid w:val="00926982"/>
    <w:rsid w:val="00926BC8"/>
    <w:rsid w:val="00926BF2"/>
    <w:rsid w:val="00926C8F"/>
    <w:rsid w:val="00926C94"/>
    <w:rsid w:val="009270C4"/>
    <w:rsid w:val="00930542"/>
    <w:rsid w:val="00930AA4"/>
    <w:rsid w:val="00930B54"/>
    <w:rsid w:val="00930DF3"/>
    <w:rsid w:val="00930E8A"/>
    <w:rsid w:val="00930F71"/>
    <w:rsid w:val="00931036"/>
    <w:rsid w:val="00931317"/>
    <w:rsid w:val="00931B25"/>
    <w:rsid w:val="00931C34"/>
    <w:rsid w:val="00931D3F"/>
    <w:rsid w:val="0093200A"/>
    <w:rsid w:val="0093208D"/>
    <w:rsid w:val="00932096"/>
    <w:rsid w:val="00932196"/>
    <w:rsid w:val="009321A3"/>
    <w:rsid w:val="0093226D"/>
    <w:rsid w:val="00932459"/>
    <w:rsid w:val="00932B16"/>
    <w:rsid w:val="00932FE6"/>
    <w:rsid w:val="0093412A"/>
    <w:rsid w:val="0093461F"/>
    <w:rsid w:val="00934FA8"/>
    <w:rsid w:val="009363BC"/>
    <w:rsid w:val="00936535"/>
    <w:rsid w:val="0093740F"/>
    <w:rsid w:val="00937B4A"/>
    <w:rsid w:val="00937C1D"/>
    <w:rsid w:val="009405AC"/>
    <w:rsid w:val="009405DB"/>
    <w:rsid w:val="00940712"/>
    <w:rsid w:val="00940A16"/>
    <w:rsid w:val="00940F58"/>
    <w:rsid w:val="00940FC3"/>
    <w:rsid w:val="0094131D"/>
    <w:rsid w:val="0094185C"/>
    <w:rsid w:val="00941BCB"/>
    <w:rsid w:val="00941C49"/>
    <w:rsid w:val="00941F69"/>
    <w:rsid w:val="00942120"/>
    <w:rsid w:val="00942316"/>
    <w:rsid w:val="009425F7"/>
    <w:rsid w:val="00942A91"/>
    <w:rsid w:val="00942F09"/>
    <w:rsid w:val="00942FE3"/>
    <w:rsid w:val="009437F6"/>
    <w:rsid w:val="00943DD5"/>
    <w:rsid w:val="00943F26"/>
    <w:rsid w:val="00944637"/>
    <w:rsid w:val="00944813"/>
    <w:rsid w:val="00944BC7"/>
    <w:rsid w:val="00944BF0"/>
    <w:rsid w:val="00945072"/>
    <w:rsid w:val="009450E6"/>
    <w:rsid w:val="009458E3"/>
    <w:rsid w:val="00946136"/>
    <w:rsid w:val="00946208"/>
    <w:rsid w:val="00946C1D"/>
    <w:rsid w:val="00947B25"/>
    <w:rsid w:val="00950B62"/>
    <w:rsid w:val="0095124C"/>
    <w:rsid w:val="009512F4"/>
    <w:rsid w:val="00951A3E"/>
    <w:rsid w:val="00951FA8"/>
    <w:rsid w:val="009520CE"/>
    <w:rsid w:val="00952FEE"/>
    <w:rsid w:val="0095348B"/>
    <w:rsid w:val="00953596"/>
    <w:rsid w:val="00953BA0"/>
    <w:rsid w:val="00953BB4"/>
    <w:rsid w:val="00954282"/>
    <w:rsid w:val="009543E5"/>
    <w:rsid w:val="00954427"/>
    <w:rsid w:val="0095467D"/>
    <w:rsid w:val="00954E74"/>
    <w:rsid w:val="00955150"/>
    <w:rsid w:val="009555AB"/>
    <w:rsid w:val="009560A6"/>
    <w:rsid w:val="009562BF"/>
    <w:rsid w:val="00956A2A"/>
    <w:rsid w:val="00956BBB"/>
    <w:rsid w:val="00956DC3"/>
    <w:rsid w:val="00957A1B"/>
    <w:rsid w:val="009607DA"/>
    <w:rsid w:val="00960C03"/>
    <w:rsid w:val="00961505"/>
    <w:rsid w:val="009618F2"/>
    <w:rsid w:val="00961B3E"/>
    <w:rsid w:val="00961C0C"/>
    <w:rsid w:val="0096205F"/>
    <w:rsid w:val="0096323E"/>
    <w:rsid w:val="009633FD"/>
    <w:rsid w:val="00963FAA"/>
    <w:rsid w:val="0096475C"/>
    <w:rsid w:val="00964924"/>
    <w:rsid w:val="00964F4E"/>
    <w:rsid w:val="00965161"/>
    <w:rsid w:val="00965401"/>
    <w:rsid w:val="00965A7A"/>
    <w:rsid w:val="00965E37"/>
    <w:rsid w:val="00965F51"/>
    <w:rsid w:val="00966425"/>
    <w:rsid w:val="0096646C"/>
    <w:rsid w:val="009664D4"/>
    <w:rsid w:val="009666AA"/>
    <w:rsid w:val="00966E16"/>
    <w:rsid w:val="0096797D"/>
    <w:rsid w:val="00967C2F"/>
    <w:rsid w:val="0097030A"/>
    <w:rsid w:val="009710C3"/>
    <w:rsid w:val="00971262"/>
    <w:rsid w:val="009713DD"/>
    <w:rsid w:val="00971A57"/>
    <w:rsid w:val="00971C53"/>
    <w:rsid w:val="009725F2"/>
    <w:rsid w:val="00972DC6"/>
    <w:rsid w:val="00972F2E"/>
    <w:rsid w:val="0097311D"/>
    <w:rsid w:val="00973179"/>
    <w:rsid w:val="00974105"/>
    <w:rsid w:val="00974795"/>
    <w:rsid w:val="00974B4D"/>
    <w:rsid w:val="00975C75"/>
    <w:rsid w:val="009761BB"/>
    <w:rsid w:val="00976390"/>
    <w:rsid w:val="00976582"/>
    <w:rsid w:val="0097766C"/>
    <w:rsid w:val="00977BCA"/>
    <w:rsid w:val="00980114"/>
    <w:rsid w:val="0098054A"/>
    <w:rsid w:val="009806FB"/>
    <w:rsid w:val="009809DE"/>
    <w:rsid w:val="00981000"/>
    <w:rsid w:val="0098177A"/>
    <w:rsid w:val="00981ABB"/>
    <w:rsid w:val="00982997"/>
    <w:rsid w:val="009833A5"/>
    <w:rsid w:val="0098393F"/>
    <w:rsid w:val="00983CE9"/>
    <w:rsid w:val="00983EFD"/>
    <w:rsid w:val="0098422A"/>
    <w:rsid w:val="009845AF"/>
    <w:rsid w:val="009849BB"/>
    <w:rsid w:val="00984A8A"/>
    <w:rsid w:val="009855E7"/>
    <w:rsid w:val="00985855"/>
    <w:rsid w:val="00985D58"/>
    <w:rsid w:val="00985DFA"/>
    <w:rsid w:val="00986257"/>
    <w:rsid w:val="0098643B"/>
    <w:rsid w:val="00986466"/>
    <w:rsid w:val="009864CE"/>
    <w:rsid w:val="009867A7"/>
    <w:rsid w:val="00986861"/>
    <w:rsid w:val="009868C9"/>
    <w:rsid w:val="00986A32"/>
    <w:rsid w:val="009878A0"/>
    <w:rsid w:val="00987BF5"/>
    <w:rsid w:val="00987CBC"/>
    <w:rsid w:val="00987FE7"/>
    <w:rsid w:val="00990519"/>
    <w:rsid w:val="00990609"/>
    <w:rsid w:val="00990904"/>
    <w:rsid w:val="00990AAE"/>
    <w:rsid w:val="00990D2C"/>
    <w:rsid w:val="00990DB9"/>
    <w:rsid w:val="00991706"/>
    <w:rsid w:val="009917E6"/>
    <w:rsid w:val="00992022"/>
    <w:rsid w:val="0099228A"/>
    <w:rsid w:val="009924B9"/>
    <w:rsid w:val="009925AC"/>
    <w:rsid w:val="00992815"/>
    <w:rsid w:val="00992935"/>
    <w:rsid w:val="00992AFB"/>
    <w:rsid w:val="00992E3D"/>
    <w:rsid w:val="0099301E"/>
    <w:rsid w:val="0099337A"/>
    <w:rsid w:val="009936DB"/>
    <w:rsid w:val="0099376E"/>
    <w:rsid w:val="00993F17"/>
    <w:rsid w:val="00993FFC"/>
    <w:rsid w:val="00994268"/>
    <w:rsid w:val="009943CA"/>
    <w:rsid w:val="00994EA1"/>
    <w:rsid w:val="00995141"/>
    <w:rsid w:val="0099589D"/>
    <w:rsid w:val="00995E04"/>
    <w:rsid w:val="009961D6"/>
    <w:rsid w:val="00996326"/>
    <w:rsid w:val="00996349"/>
    <w:rsid w:val="00996415"/>
    <w:rsid w:val="00996546"/>
    <w:rsid w:val="009966A8"/>
    <w:rsid w:val="0099687E"/>
    <w:rsid w:val="00996C6A"/>
    <w:rsid w:val="00996CA3"/>
    <w:rsid w:val="00996E73"/>
    <w:rsid w:val="0099723F"/>
    <w:rsid w:val="009978A9"/>
    <w:rsid w:val="00997F31"/>
    <w:rsid w:val="009A09B4"/>
    <w:rsid w:val="009A10A4"/>
    <w:rsid w:val="009A1411"/>
    <w:rsid w:val="009A1CD8"/>
    <w:rsid w:val="009A1F25"/>
    <w:rsid w:val="009A214E"/>
    <w:rsid w:val="009A2838"/>
    <w:rsid w:val="009A28B2"/>
    <w:rsid w:val="009A2EFF"/>
    <w:rsid w:val="009A2FDF"/>
    <w:rsid w:val="009A327E"/>
    <w:rsid w:val="009A3451"/>
    <w:rsid w:val="009A3567"/>
    <w:rsid w:val="009A44E8"/>
    <w:rsid w:val="009A4654"/>
    <w:rsid w:val="009A4A0D"/>
    <w:rsid w:val="009A4F69"/>
    <w:rsid w:val="009A5B4A"/>
    <w:rsid w:val="009A5F6E"/>
    <w:rsid w:val="009A602D"/>
    <w:rsid w:val="009A61FF"/>
    <w:rsid w:val="009A6BC0"/>
    <w:rsid w:val="009A74CB"/>
    <w:rsid w:val="009A775A"/>
    <w:rsid w:val="009A7A01"/>
    <w:rsid w:val="009A7C99"/>
    <w:rsid w:val="009B09C4"/>
    <w:rsid w:val="009B0FD8"/>
    <w:rsid w:val="009B1D07"/>
    <w:rsid w:val="009B1DA5"/>
    <w:rsid w:val="009B2453"/>
    <w:rsid w:val="009B2861"/>
    <w:rsid w:val="009B28FD"/>
    <w:rsid w:val="009B2AD6"/>
    <w:rsid w:val="009B2B64"/>
    <w:rsid w:val="009B30EA"/>
    <w:rsid w:val="009B34B9"/>
    <w:rsid w:val="009B35D6"/>
    <w:rsid w:val="009B37F0"/>
    <w:rsid w:val="009B3F30"/>
    <w:rsid w:val="009B3FF1"/>
    <w:rsid w:val="009B45AC"/>
    <w:rsid w:val="009B45F0"/>
    <w:rsid w:val="009B4BDC"/>
    <w:rsid w:val="009B4F14"/>
    <w:rsid w:val="009B5594"/>
    <w:rsid w:val="009B568E"/>
    <w:rsid w:val="009B57DF"/>
    <w:rsid w:val="009B5879"/>
    <w:rsid w:val="009B5A37"/>
    <w:rsid w:val="009B6792"/>
    <w:rsid w:val="009B7144"/>
    <w:rsid w:val="009B729E"/>
    <w:rsid w:val="009B738C"/>
    <w:rsid w:val="009B7498"/>
    <w:rsid w:val="009B74A2"/>
    <w:rsid w:val="009B74BB"/>
    <w:rsid w:val="009B758E"/>
    <w:rsid w:val="009B77D9"/>
    <w:rsid w:val="009B7ED4"/>
    <w:rsid w:val="009C067A"/>
    <w:rsid w:val="009C0A9A"/>
    <w:rsid w:val="009C0CB4"/>
    <w:rsid w:val="009C0F5B"/>
    <w:rsid w:val="009C104A"/>
    <w:rsid w:val="009C1083"/>
    <w:rsid w:val="009C169C"/>
    <w:rsid w:val="009C178B"/>
    <w:rsid w:val="009C17E8"/>
    <w:rsid w:val="009C221F"/>
    <w:rsid w:val="009C27F8"/>
    <w:rsid w:val="009C34CB"/>
    <w:rsid w:val="009C3BFC"/>
    <w:rsid w:val="009C3D84"/>
    <w:rsid w:val="009C411A"/>
    <w:rsid w:val="009C4228"/>
    <w:rsid w:val="009C42B4"/>
    <w:rsid w:val="009C443A"/>
    <w:rsid w:val="009C469D"/>
    <w:rsid w:val="009C4701"/>
    <w:rsid w:val="009C4B41"/>
    <w:rsid w:val="009C50B7"/>
    <w:rsid w:val="009C51B3"/>
    <w:rsid w:val="009C5923"/>
    <w:rsid w:val="009C6283"/>
    <w:rsid w:val="009C6981"/>
    <w:rsid w:val="009C6BB4"/>
    <w:rsid w:val="009C7773"/>
    <w:rsid w:val="009C781D"/>
    <w:rsid w:val="009C79FD"/>
    <w:rsid w:val="009C7A50"/>
    <w:rsid w:val="009C7B1D"/>
    <w:rsid w:val="009D03F1"/>
    <w:rsid w:val="009D1844"/>
    <w:rsid w:val="009D19B9"/>
    <w:rsid w:val="009D1C41"/>
    <w:rsid w:val="009D1CF4"/>
    <w:rsid w:val="009D2E19"/>
    <w:rsid w:val="009D2E2B"/>
    <w:rsid w:val="009D3528"/>
    <w:rsid w:val="009D380F"/>
    <w:rsid w:val="009D402B"/>
    <w:rsid w:val="009D49AF"/>
    <w:rsid w:val="009D5001"/>
    <w:rsid w:val="009D57A7"/>
    <w:rsid w:val="009D5A1E"/>
    <w:rsid w:val="009D678C"/>
    <w:rsid w:val="009D77C9"/>
    <w:rsid w:val="009D7D70"/>
    <w:rsid w:val="009E0410"/>
    <w:rsid w:val="009E0B59"/>
    <w:rsid w:val="009E0BFF"/>
    <w:rsid w:val="009E13B0"/>
    <w:rsid w:val="009E13F3"/>
    <w:rsid w:val="009E1607"/>
    <w:rsid w:val="009E2227"/>
    <w:rsid w:val="009E237E"/>
    <w:rsid w:val="009E2D39"/>
    <w:rsid w:val="009E2E06"/>
    <w:rsid w:val="009E2E5A"/>
    <w:rsid w:val="009E33D1"/>
    <w:rsid w:val="009E3FEF"/>
    <w:rsid w:val="009E4CF8"/>
    <w:rsid w:val="009E4D3E"/>
    <w:rsid w:val="009E52D3"/>
    <w:rsid w:val="009E53EC"/>
    <w:rsid w:val="009E6A55"/>
    <w:rsid w:val="009E6DD0"/>
    <w:rsid w:val="009E6F5C"/>
    <w:rsid w:val="009E7562"/>
    <w:rsid w:val="009E7ADC"/>
    <w:rsid w:val="009E7B6B"/>
    <w:rsid w:val="009F0861"/>
    <w:rsid w:val="009F0BD9"/>
    <w:rsid w:val="009F0C30"/>
    <w:rsid w:val="009F1A0A"/>
    <w:rsid w:val="009F1EB9"/>
    <w:rsid w:val="009F21DC"/>
    <w:rsid w:val="009F2803"/>
    <w:rsid w:val="009F293D"/>
    <w:rsid w:val="009F2BA2"/>
    <w:rsid w:val="009F2C42"/>
    <w:rsid w:val="009F31A9"/>
    <w:rsid w:val="009F3332"/>
    <w:rsid w:val="009F33FA"/>
    <w:rsid w:val="009F344F"/>
    <w:rsid w:val="009F3645"/>
    <w:rsid w:val="009F3AC7"/>
    <w:rsid w:val="009F4283"/>
    <w:rsid w:val="009F42F3"/>
    <w:rsid w:val="009F4BCE"/>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0FC7"/>
    <w:rsid w:val="00A00FF1"/>
    <w:rsid w:val="00A01149"/>
    <w:rsid w:val="00A01C1F"/>
    <w:rsid w:val="00A01C86"/>
    <w:rsid w:val="00A01C98"/>
    <w:rsid w:val="00A01D92"/>
    <w:rsid w:val="00A02A9F"/>
    <w:rsid w:val="00A02CE8"/>
    <w:rsid w:val="00A02EE0"/>
    <w:rsid w:val="00A02F54"/>
    <w:rsid w:val="00A035F2"/>
    <w:rsid w:val="00A03C90"/>
    <w:rsid w:val="00A04C41"/>
    <w:rsid w:val="00A051FC"/>
    <w:rsid w:val="00A0521B"/>
    <w:rsid w:val="00A052AE"/>
    <w:rsid w:val="00A05322"/>
    <w:rsid w:val="00A05A92"/>
    <w:rsid w:val="00A05ACF"/>
    <w:rsid w:val="00A05D66"/>
    <w:rsid w:val="00A06A54"/>
    <w:rsid w:val="00A06E0F"/>
    <w:rsid w:val="00A06E22"/>
    <w:rsid w:val="00A06EFA"/>
    <w:rsid w:val="00A0749B"/>
    <w:rsid w:val="00A077FC"/>
    <w:rsid w:val="00A10207"/>
    <w:rsid w:val="00A10423"/>
    <w:rsid w:val="00A1050E"/>
    <w:rsid w:val="00A1061C"/>
    <w:rsid w:val="00A10D02"/>
    <w:rsid w:val="00A11911"/>
    <w:rsid w:val="00A11972"/>
    <w:rsid w:val="00A1238B"/>
    <w:rsid w:val="00A1260D"/>
    <w:rsid w:val="00A129CC"/>
    <w:rsid w:val="00A136C8"/>
    <w:rsid w:val="00A137EE"/>
    <w:rsid w:val="00A13C0F"/>
    <w:rsid w:val="00A13CAB"/>
    <w:rsid w:val="00A14034"/>
    <w:rsid w:val="00A14AA2"/>
    <w:rsid w:val="00A152F6"/>
    <w:rsid w:val="00A1548E"/>
    <w:rsid w:val="00A15A52"/>
    <w:rsid w:val="00A1614F"/>
    <w:rsid w:val="00A162F2"/>
    <w:rsid w:val="00A171E1"/>
    <w:rsid w:val="00A172FD"/>
    <w:rsid w:val="00A179AD"/>
    <w:rsid w:val="00A17AEF"/>
    <w:rsid w:val="00A17CFF"/>
    <w:rsid w:val="00A201CF"/>
    <w:rsid w:val="00A20889"/>
    <w:rsid w:val="00A20A26"/>
    <w:rsid w:val="00A21221"/>
    <w:rsid w:val="00A218FE"/>
    <w:rsid w:val="00A21F85"/>
    <w:rsid w:val="00A22536"/>
    <w:rsid w:val="00A227AB"/>
    <w:rsid w:val="00A2283C"/>
    <w:rsid w:val="00A22A78"/>
    <w:rsid w:val="00A230B1"/>
    <w:rsid w:val="00A2323D"/>
    <w:rsid w:val="00A240AC"/>
    <w:rsid w:val="00A240FF"/>
    <w:rsid w:val="00A2594C"/>
    <w:rsid w:val="00A266C7"/>
    <w:rsid w:val="00A26C96"/>
    <w:rsid w:val="00A2732C"/>
    <w:rsid w:val="00A277C7"/>
    <w:rsid w:val="00A27A71"/>
    <w:rsid w:val="00A27F02"/>
    <w:rsid w:val="00A30047"/>
    <w:rsid w:val="00A301BA"/>
    <w:rsid w:val="00A31055"/>
    <w:rsid w:val="00A310C7"/>
    <w:rsid w:val="00A311A8"/>
    <w:rsid w:val="00A314E5"/>
    <w:rsid w:val="00A31CC5"/>
    <w:rsid w:val="00A31DF9"/>
    <w:rsid w:val="00A32078"/>
    <w:rsid w:val="00A32211"/>
    <w:rsid w:val="00A323FD"/>
    <w:rsid w:val="00A32462"/>
    <w:rsid w:val="00A326EF"/>
    <w:rsid w:val="00A32D14"/>
    <w:rsid w:val="00A33876"/>
    <w:rsid w:val="00A33D3A"/>
    <w:rsid w:val="00A34114"/>
    <w:rsid w:val="00A34B29"/>
    <w:rsid w:val="00A34BEA"/>
    <w:rsid w:val="00A34C81"/>
    <w:rsid w:val="00A34E19"/>
    <w:rsid w:val="00A35040"/>
    <w:rsid w:val="00A353D8"/>
    <w:rsid w:val="00A35615"/>
    <w:rsid w:val="00A35B31"/>
    <w:rsid w:val="00A35F00"/>
    <w:rsid w:val="00A361AE"/>
    <w:rsid w:val="00A3664B"/>
    <w:rsid w:val="00A36B46"/>
    <w:rsid w:val="00A36BD5"/>
    <w:rsid w:val="00A37269"/>
    <w:rsid w:val="00A374B1"/>
    <w:rsid w:val="00A401BF"/>
    <w:rsid w:val="00A40906"/>
    <w:rsid w:val="00A409B8"/>
    <w:rsid w:val="00A40C3D"/>
    <w:rsid w:val="00A40D0C"/>
    <w:rsid w:val="00A41302"/>
    <w:rsid w:val="00A415E2"/>
    <w:rsid w:val="00A41C59"/>
    <w:rsid w:val="00A41C63"/>
    <w:rsid w:val="00A420F4"/>
    <w:rsid w:val="00A42130"/>
    <w:rsid w:val="00A421C0"/>
    <w:rsid w:val="00A4271D"/>
    <w:rsid w:val="00A42B3E"/>
    <w:rsid w:val="00A43021"/>
    <w:rsid w:val="00A43278"/>
    <w:rsid w:val="00A4349B"/>
    <w:rsid w:val="00A434EC"/>
    <w:rsid w:val="00A44F68"/>
    <w:rsid w:val="00A459D9"/>
    <w:rsid w:val="00A463EB"/>
    <w:rsid w:val="00A466BC"/>
    <w:rsid w:val="00A469C6"/>
    <w:rsid w:val="00A47029"/>
    <w:rsid w:val="00A47341"/>
    <w:rsid w:val="00A50299"/>
    <w:rsid w:val="00A503CF"/>
    <w:rsid w:val="00A50F4B"/>
    <w:rsid w:val="00A510C2"/>
    <w:rsid w:val="00A518F3"/>
    <w:rsid w:val="00A51D1A"/>
    <w:rsid w:val="00A51D94"/>
    <w:rsid w:val="00A52100"/>
    <w:rsid w:val="00A525EC"/>
    <w:rsid w:val="00A52885"/>
    <w:rsid w:val="00A52FC1"/>
    <w:rsid w:val="00A53048"/>
    <w:rsid w:val="00A5334A"/>
    <w:rsid w:val="00A536D5"/>
    <w:rsid w:val="00A53FCE"/>
    <w:rsid w:val="00A5425D"/>
    <w:rsid w:val="00A5510E"/>
    <w:rsid w:val="00A554CB"/>
    <w:rsid w:val="00A559F4"/>
    <w:rsid w:val="00A56001"/>
    <w:rsid w:val="00A56547"/>
    <w:rsid w:val="00A56BBE"/>
    <w:rsid w:val="00A56D12"/>
    <w:rsid w:val="00A570AE"/>
    <w:rsid w:val="00A570E0"/>
    <w:rsid w:val="00A57343"/>
    <w:rsid w:val="00A57566"/>
    <w:rsid w:val="00A57593"/>
    <w:rsid w:val="00A57889"/>
    <w:rsid w:val="00A606A0"/>
    <w:rsid w:val="00A60754"/>
    <w:rsid w:val="00A60AEA"/>
    <w:rsid w:val="00A60E0C"/>
    <w:rsid w:val="00A61263"/>
    <w:rsid w:val="00A614AD"/>
    <w:rsid w:val="00A61886"/>
    <w:rsid w:val="00A61C42"/>
    <w:rsid w:val="00A6300B"/>
    <w:rsid w:val="00A63706"/>
    <w:rsid w:val="00A63A0E"/>
    <w:rsid w:val="00A63D89"/>
    <w:rsid w:val="00A64DAD"/>
    <w:rsid w:val="00A650DB"/>
    <w:rsid w:val="00A65406"/>
    <w:rsid w:val="00A6558F"/>
    <w:rsid w:val="00A65E52"/>
    <w:rsid w:val="00A66B3D"/>
    <w:rsid w:val="00A66E04"/>
    <w:rsid w:val="00A671B3"/>
    <w:rsid w:val="00A673BA"/>
    <w:rsid w:val="00A6775B"/>
    <w:rsid w:val="00A67E84"/>
    <w:rsid w:val="00A67F13"/>
    <w:rsid w:val="00A70EE8"/>
    <w:rsid w:val="00A71084"/>
    <w:rsid w:val="00A71181"/>
    <w:rsid w:val="00A71996"/>
    <w:rsid w:val="00A722F7"/>
    <w:rsid w:val="00A726AA"/>
    <w:rsid w:val="00A7290C"/>
    <w:rsid w:val="00A72ADA"/>
    <w:rsid w:val="00A733CD"/>
    <w:rsid w:val="00A73642"/>
    <w:rsid w:val="00A73647"/>
    <w:rsid w:val="00A73915"/>
    <w:rsid w:val="00A740A9"/>
    <w:rsid w:val="00A740DC"/>
    <w:rsid w:val="00A749A2"/>
    <w:rsid w:val="00A74C0B"/>
    <w:rsid w:val="00A74CED"/>
    <w:rsid w:val="00A75085"/>
    <w:rsid w:val="00A753C1"/>
    <w:rsid w:val="00A7588B"/>
    <w:rsid w:val="00A758A0"/>
    <w:rsid w:val="00A75E31"/>
    <w:rsid w:val="00A76063"/>
    <w:rsid w:val="00A7661A"/>
    <w:rsid w:val="00A767A1"/>
    <w:rsid w:val="00A767FD"/>
    <w:rsid w:val="00A76850"/>
    <w:rsid w:val="00A771BF"/>
    <w:rsid w:val="00A77A3F"/>
    <w:rsid w:val="00A801BC"/>
    <w:rsid w:val="00A80822"/>
    <w:rsid w:val="00A80B84"/>
    <w:rsid w:val="00A80D67"/>
    <w:rsid w:val="00A815D0"/>
    <w:rsid w:val="00A81953"/>
    <w:rsid w:val="00A81B82"/>
    <w:rsid w:val="00A81DB2"/>
    <w:rsid w:val="00A82156"/>
    <w:rsid w:val="00A82385"/>
    <w:rsid w:val="00A823AB"/>
    <w:rsid w:val="00A82C6D"/>
    <w:rsid w:val="00A83B5A"/>
    <w:rsid w:val="00A8409E"/>
    <w:rsid w:val="00A84155"/>
    <w:rsid w:val="00A84A64"/>
    <w:rsid w:val="00A84AE2"/>
    <w:rsid w:val="00A84AEB"/>
    <w:rsid w:val="00A861F3"/>
    <w:rsid w:val="00A86A5D"/>
    <w:rsid w:val="00A86F1A"/>
    <w:rsid w:val="00A874F5"/>
    <w:rsid w:val="00A87A3E"/>
    <w:rsid w:val="00A87A52"/>
    <w:rsid w:val="00A87B18"/>
    <w:rsid w:val="00A900ED"/>
    <w:rsid w:val="00A907B1"/>
    <w:rsid w:val="00A90888"/>
    <w:rsid w:val="00A90A43"/>
    <w:rsid w:val="00A90B1F"/>
    <w:rsid w:val="00A90DB1"/>
    <w:rsid w:val="00A90DCE"/>
    <w:rsid w:val="00A910CC"/>
    <w:rsid w:val="00A9147B"/>
    <w:rsid w:val="00A915DC"/>
    <w:rsid w:val="00A9162D"/>
    <w:rsid w:val="00A91BA8"/>
    <w:rsid w:val="00A91DB9"/>
    <w:rsid w:val="00A91EF1"/>
    <w:rsid w:val="00A91EF2"/>
    <w:rsid w:val="00A91EF4"/>
    <w:rsid w:val="00A92331"/>
    <w:rsid w:val="00A92E10"/>
    <w:rsid w:val="00A9325C"/>
    <w:rsid w:val="00A9325E"/>
    <w:rsid w:val="00A9390E"/>
    <w:rsid w:val="00A93B3D"/>
    <w:rsid w:val="00A94171"/>
    <w:rsid w:val="00A947DA"/>
    <w:rsid w:val="00A94AF3"/>
    <w:rsid w:val="00A94FD5"/>
    <w:rsid w:val="00A95227"/>
    <w:rsid w:val="00A95559"/>
    <w:rsid w:val="00A95F9F"/>
    <w:rsid w:val="00A95FC9"/>
    <w:rsid w:val="00A9676C"/>
    <w:rsid w:val="00A96896"/>
    <w:rsid w:val="00A96CAB"/>
    <w:rsid w:val="00A96E85"/>
    <w:rsid w:val="00A96FC6"/>
    <w:rsid w:val="00A97942"/>
    <w:rsid w:val="00A97ACC"/>
    <w:rsid w:val="00A97B61"/>
    <w:rsid w:val="00A97CAF"/>
    <w:rsid w:val="00AA01DA"/>
    <w:rsid w:val="00AA046E"/>
    <w:rsid w:val="00AA06AB"/>
    <w:rsid w:val="00AA0929"/>
    <w:rsid w:val="00AA0C2D"/>
    <w:rsid w:val="00AA0CA2"/>
    <w:rsid w:val="00AA0F42"/>
    <w:rsid w:val="00AA0FDD"/>
    <w:rsid w:val="00AA115C"/>
    <w:rsid w:val="00AA1211"/>
    <w:rsid w:val="00AA1579"/>
    <w:rsid w:val="00AA1ED0"/>
    <w:rsid w:val="00AA2101"/>
    <w:rsid w:val="00AA2774"/>
    <w:rsid w:val="00AA2E76"/>
    <w:rsid w:val="00AA35E5"/>
    <w:rsid w:val="00AA37D3"/>
    <w:rsid w:val="00AA41E9"/>
    <w:rsid w:val="00AA4358"/>
    <w:rsid w:val="00AA4482"/>
    <w:rsid w:val="00AA450C"/>
    <w:rsid w:val="00AA46FE"/>
    <w:rsid w:val="00AA4AE0"/>
    <w:rsid w:val="00AA5139"/>
    <w:rsid w:val="00AA5265"/>
    <w:rsid w:val="00AA560A"/>
    <w:rsid w:val="00AA5AEF"/>
    <w:rsid w:val="00AA5E20"/>
    <w:rsid w:val="00AA5E31"/>
    <w:rsid w:val="00AA6884"/>
    <w:rsid w:val="00AA6E71"/>
    <w:rsid w:val="00AA6EDF"/>
    <w:rsid w:val="00AA70F2"/>
    <w:rsid w:val="00AA7247"/>
    <w:rsid w:val="00AA7437"/>
    <w:rsid w:val="00AA750C"/>
    <w:rsid w:val="00AA7A5E"/>
    <w:rsid w:val="00AB0229"/>
    <w:rsid w:val="00AB07D1"/>
    <w:rsid w:val="00AB07D9"/>
    <w:rsid w:val="00AB0879"/>
    <w:rsid w:val="00AB0966"/>
    <w:rsid w:val="00AB0AA6"/>
    <w:rsid w:val="00AB0E99"/>
    <w:rsid w:val="00AB0F03"/>
    <w:rsid w:val="00AB1287"/>
    <w:rsid w:val="00AB1CE8"/>
    <w:rsid w:val="00AB1FC9"/>
    <w:rsid w:val="00AB25CE"/>
    <w:rsid w:val="00AB2F20"/>
    <w:rsid w:val="00AB3201"/>
    <w:rsid w:val="00AB3F7B"/>
    <w:rsid w:val="00AB4356"/>
    <w:rsid w:val="00AB4419"/>
    <w:rsid w:val="00AB4AD8"/>
    <w:rsid w:val="00AB4E22"/>
    <w:rsid w:val="00AB5597"/>
    <w:rsid w:val="00AB5BAA"/>
    <w:rsid w:val="00AB66AC"/>
    <w:rsid w:val="00AB695B"/>
    <w:rsid w:val="00AB6DFC"/>
    <w:rsid w:val="00AB6EBB"/>
    <w:rsid w:val="00AB6FF1"/>
    <w:rsid w:val="00AB7A79"/>
    <w:rsid w:val="00AC0189"/>
    <w:rsid w:val="00AC09CD"/>
    <w:rsid w:val="00AC1004"/>
    <w:rsid w:val="00AC165A"/>
    <w:rsid w:val="00AC2524"/>
    <w:rsid w:val="00AC2588"/>
    <w:rsid w:val="00AC2832"/>
    <w:rsid w:val="00AC2885"/>
    <w:rsid w:val="00AC332B"/>
    <w:rsid w:val="00AC3739"/>
    <w:rsid w:val="00AC37AF"/>
    <w:rsid w:val="00AC3DB7"/>
    <w:rsid w:val="00AC400E"/>
    <w:rsid w:val="00AC4293"/>
    <w:rsid w:val="00AC438A"/>
    <w:rsid w:val="00AC4E38"/>
    <w:rsid w:val="00AC5606"/>
    <w:rsid w:val="00AC561A"/>
    <w:rsid w:val="00AC570E"/>
    <w:rsid w:val="00AC57D2"/>
    <w:rsid w:val="00AC5FFC"/>
    <w:rsid w:val="00AC658F"/>
    <w:rsid w:val="00AC6954"/>
    <w:rsid w:val="00AC7899"/>
    <w:rsid w:val="00AC7F42"/>
    <w:rsid w:val="00AC7F95"/>
    <w:rsid w:val="00AD0B96"/>
    <w:rsid w:val="00AD1A5F"/>
    <w:rsid w:val="00AD1A60"/>
    <w:rsid w:val="00AD2762"/>
    <w:rsid w:val="00AD27FC"/>
    <w:rsid w:val="00AD2ACE"/>
    <w:rsid w:val="00AD378E"/>
    <w:rsid w:val="00AD3FA7"/>
    <w:rsid w:val="00AD4029"/>
    <w:rsid w:val="00AD44C7"/>
    <w:rsid w:val="00AD4532"/>
    <w:rsid w:val="00AD49F3"/>
    <w:rsid w:val="00AD4B09"/>
    <w:rsid w:val="00AD4EF7"/>
    <w:rsid w:val="00AD4F1C"/>
    <w:rsid w:val="00AD4FA3"/>
    <w:rsid w:val="00AD50AD"/>
    <w:rsid w:val="00AD514D"/>
    <w:rsid w:val="00AD516C"/>
    <w:rsid w:val="00AD5DEF"/>
    <w:rsid w:val="00AD5FD1"/>
    <w:rsid w:val="00AD6407"/>
    <w:rsid w:val="00AD6E95"/>
    <w:rsid w:val="00AD724E"/>
    <w:rsid w:val="00AD752F"/>
    <w:rsid w:val="00AD79BB"/>
    <w:rsid w:val="00AD7D7F"/>
    <w:rsid w:val="00AE00CA"/>
    <w:rsid w:val="00AE0C89"/>
    <w:rsid w:val="00AE10C4"/>
    <w:rsid w:val="00AE1197"/>
    <w:rsid w:val="00AE1524"/>
    <w:rsid w:val="00AE1AE1"/>
    <w:rsid w:val="00AE254F"/>
    <w:rsid w:val="00AE260E"/>
    <w:rsid w:val="00AE2C77"/>
    <w:rsid w:val="00AE2D01"/>
    <w:rsid w:val="00AE2EE6"/>
    <w:rsid w:val="00AE33A7"/>
    <w:rsid w:val="00AE3C7F"/>
    <w:rsid w:val="00AE415F"/>
    <w:rsid w:val="00AE4AB0"/>
    <w:rsid w:val="00AE4C8E"/>
    <w:rsid w:val="00AE4E21"/>
    <w:rsid w:val="00AE4F15"/>
    <w:rsid w:val="00AE5430"/>
    <w:rsid w:val="00AE55BC"/>
    <w:rsid w:val="00AE57D2"/>
    <w:rsid w:val="00AE638D"/>
    <w:rsid w:val="00AE686D"/>
    <w:rsid w:val="00AE6B19"/>
    <w:rsid w:val="00AE6B27"/>
    <w:rsid w:val="00AE6D6A"/>
    <w:rsid w:val="00AE6F0F"/>
    <w:rsid w:val="00AE7656"/>
    <w:rsid w:val="00AE7663"/>
    <w:rsid w:val="00AF00D2"/>
    <w:rsid w:val="00AF083D"/>
    <w:rsid w:val="00AF0B16"/>
    <w:rsid w:val="00AF0F96"/>
    <w:rsid w:val="00AF1021"/>
    <w:rsid w:val="00AF21D7"/>
    <w:rsid w:val="00AF222F"/>
    <w:rsid w:val="00AF2893"/>
    <w:rsid w:val="00AF28EB"/>
    <w:rsid w:val="00AF2ED6"/>
    <w:rsid w:val="00AF3178"/>
    <w:rsid w:val="00AF36B6"/>
    <w:rsid w:val="00AF36BA"/>
    <w:rsid w:val="00AF3A61"/>
    <w:rsid w:val="00AF3C6C"/>
    <w:rsid w:val="00AF49AE"/>
    <w:rsid w:val="00AF4AB5"/>
    <w:rsid w:val="00AF4E1B"/>
    <w:rsid w:val="00AF527E"/>
    <w:rsid w:val="00AF5407"/>
    <w:rsid w:val="00AF5AC5"/>
    <w:rsid w:val="00AF5D56"/>
    <w:rsid w:val="00AF6595"/>
    <w:rsid w:val="00AF6E19"/>
    <w:rsid w:val="00AF7444"/>
    <w:rsid w:val="00AF782D"/>
    <w:rsid w:val="00AF7E50"/>
    <w:rsid w:val="00B00936"/>
    <w:rsid w:val="00B00A57"/>
    <w:rsid w:val="00B00D08"/>
    <w:rsid w:val="00B00ED5"/>
    <w:rsid w:val="00B017AB"/>
    <w:rsid w:val="00B017EA"/>
    <w:rsid w:val="00B01B8C"/>
    <w:rsid w:val="00B01F2E"/>
    <w:rsid w:val="00B022CF"/>
    <w:rsid w:val="00B02808"/>
    <w:rsid w:val="00B028B0"/>
    <w:rsid w:val="00B028BC"/>
    <w:rsid w:val="00B02BF0"/>
    <w:rsid w:val="00B02C08"/>
    <w:rsid w:val="00B02EEE"/>
    <w:rsid w:val="00B037DC"/>
    <w:rsid w:val="00B038A2"/>
    <w:rsid w:val="00B03920"/>
    <w:rsid w:val="00B03AB4"/>
    <w:rsid w:val="00B03ABD"/>
    <w:rsid w:val="00B043EB"/>
    <w:rsid w:val="00B04580"/>
    <w:rsid w:val="00B0459A"/>
    <w:rsid w:val="00B04830"/>
    <w:rsid w:val="00B04972"/>
    <w:rsid w:val="00B04A5D"/>
    <w:rsid w:val="00B04BED"/>
    <w:rsid w:val="00B05384"/>
    <w:rsid w:val="00B05B34"/>
    <w:rsid w:val="00B05B91"/>
    <w:rsid w:val="00B05C65"/>
    <w:rsid w:val="00B05F77"/>
    <w:rsid w:val="00B05FAD"/>
    <w:rsid w:val="00B05FE5"/>
    <w:rsid w:val="00B0613A"/>
    <w:rsid w:val="00B062A6"/>
    <w:rsid w:val="00B0689A"/>
    <w:rsid w:val="00B069BA"/>
    <w:rsid w:val="00B06DD5"/>
    <w:rsid w:val="00B07297"/>
    <w:rsid w:val="00B077CC"/>
    <w:rsid w:val="00B07CD8"/>
    <w:rsid w:val="00B07F33"/>
    <w:rsid w:val="00B10346"/>
    <w:rsid w:val="00B10762"/>
    <w:rsid w:val="00B10AE6"/>
    <w:rsid w:val="00B10B90"/>
    <w:rsid w:val="00B1114A"/>
    <w:rsid w:val="00B11197"/>
    <w:rsid w:val="00B119A6"/>
    <w:rsid w:val="00B11D78"/>
    <w:rsid w:val="00B11E88"/>
    <w:rsid w:val="00B11F38"/>
    <w:rsid w:val="00B11FEA"/>
    <w:rsid w:val="00B12FD0"/>
    <w:rsid w:val="00B13088"/>
    <w:rsid w:val="00B1325A"/>
    <w:rsid w:val="00B1355A"/>
    <w:rsid w:val="00B13933"/>
    <w:rsid w:val="00B13F7C"/>
    <w:rsid w:val="00B1401B"/>
    <w:rsid w:val="00B1482F"/>
    <w:rsid w:val="00B14E03"/>
    <w:rsid w:val="00B1524E"/>
    <w:rsid w:val="00B152C6"/>
    <w:rsid w:val="00B1551C"/>
    <w:rsid w:val="00B1597B"/>
    <w:rsid w:val="00B15BB2"/>
    <w:rsid w:val="00B16611"/>
    <w:rsid w:val="00B169C8"/>
    <w:rsid w:val="00B17016"/>
    <w:rsid w:val="00B20AF2"/>
    <w:rsid w:val="00B214DD"/>
    <w:rsid w:val="00B216F9"/>
    <w:rsid w:val="00B229BE"/>
    <w:rsid w:val="00B22C92"/>
    <w:rsid w:val="00B22D02"/>
    <w:rsid w:val="00B23157"/>
    <w:rsid w:val="00B23821"/>
    <w:rsid w:val="00B23C29"/>
    <w:rsid w:val="00B241E3"/>
    <w:rsid w:val="00B24E14"/>
    <w:rsid w:val="00B2511B"/>
    <w:rsid w:val="00B25549"/>
    <w:rsid w:val="00B258F7"/>
    <w:rsid w:val="00B25C72"/>
    <w:rsid w:val="00B25E6F"/>
    <w:rsid w:val="00B269C1"/>
    <w:rsid w:val="00B27083"/>
    <w:rsid w:val="00B27220"/>
    <w:rsid w:val="00B27A6D"/>
    <w:rsid w:val="00B27CC0"/>
    <w:rsid w:val="00B308F8"/>
    <w:rsid w:val="00B3098F"/>
    <w:rsid w:val="00B30A2A"/>
    <w:rsid w:val="00B30B07"/>
    <w:rsid w:val="00B30BCF"/>
    <w:rsid w:val="00B30D67"/>
    <w:rsid w:val="00B314D0"/>
    <w:rsid w:val="00B31F6E"/>
    <w:rsid w:val="00B324B7"/>
    <w:rsid w:val="00B3254C"/>
    <w:rsid w:val="00B325BF"/>
    <w:rsid w:val="00B329FF"/>
    <w:rsid w:val="00B32C0C"/>
    <w:rsid w:val="00B32E23"/>
    <w:rsid w:val="00B32F2D"/>
    <w:rsid w:val="00B33321"/>
    <w:rsid w:val="00B3370B"/>
    <w:rsid w:val="00B33ACE"/>
    <w:rsid w:val="00B34296"/>
    <w:rsid w:val="00B344C2"/>
    <w:rsid w:val="00B34C4E"/>
    <w:rsid w:val="00B3517D"/>
    <w:rsid w:val="00B35221"/>
    <w:rsid w:val="00B3547E"/>
    <w:rsid w:val="00B35514"/>
    <w:rsid w:val="00B35520"/>
    <w:rsid w:val="00B3621F"/>
    <w:rsid w:val="00B3690C"/>
    <w:rsid w:val="00B370C8"/>
    <w:rsid w:val="00B371AD"/>
    <w:rsid w:val="00B37B57"/>
    <w:rsid w:val="00B40330"/>
    <w:rsid w:val="00B406E5"/>
    <w:rsid w:val="00B4180D"/>
    <w:rsid w:val="00B41B90"/>
    <w:rsid w:val="00B4283B"/>
    <w:rsid w:val="00B42868"/>
    <w:rsid w:val="00B4299A"/>
    <w:rsid w:val="00B42A94"/>
    <w:rsid w:val="00B42C20"/>
    <w:rsid w:val="00B42D9A"/>
    <w:rsid w:val="00B42F20"/>
    <w:rsid w:val="00B434EA"/>
    <w:rsid w:val="00B43697"/>
    <w:rsid w:val="00B43CED"/>
    <w:rsid w:val="00B444DD"/>
    <w:rsid w:val="00B44D47"/>
    <w:rsid w:val="00B44D96"/>
    <w:rsid w:val="00B4521F"/>
    <w:rsid w:val="00B45928"/>
    <w:rsid w:val="00B4592B"/>
    <w:rsid w:val="00B45977"/>
    <w:rsid w:val="00B45E16"/>
    <w:rsid w:val="00B45E8C"/>
    <w:rsid w:val="00B46B3C"/>
    <w:rsid w:val="00B46F19"/>
    <w:rsid w:val="00B470FE"/>
    <w:rsid w:val="00B47148"/>
    <w:rsid w:val="00B479D1"/>
    <w:rsid w:val="00B47E90"/>
    <w:rsid w:val="00B47ED4"/>
    <w:rsid w:val="00B47FE8"/>
    <w:rsid w:val="00B50036"/>
    <w:rsid w:val="00B50B5A"/>
    <w:rsid w:val="00B50F51"/>
    <w:rsid w:val="00B50F82"/>
    <w:rsid w:val="00B51403"/>
    <w:rsid w:val="00B51A2F"/>
    <w:rsid w:val="00B51B5B"/>
    <w:rsid w:val="00B51D30"/>
    <w:rsid w:val="00B52111"/>
    <w:rsid w:val="00B528D0"/>
    <w:rsid w:val="00B52F30"/>
    <w:rsid w:val="00B52FAF"/>
    <w:rsid w:val="00B5323F"/>
    <w:rsid w:val="00B539EB"/>
    <w:rsid w:val="00B54550"/>
    <w:rsid w:val="00B5495B"/>
    <w:rsid w:val="00B54A5A"/>
    <w:rsid w:val="00B54FEB"/>
    <w:rsid w:val="00B55695"/>
    <w:rsid w:val="00B562E6"/>
    <w:rsid w:val="00B5639B"/>
    <w:rsid w:val="00B5660B"/>
    <w:rsid w:val="00B57638"/>
    <w:rsid w:val="00B576C3"/>
    <w:rsid w:val="00B576E1"/>
    <w:rsid w:val="00B6004E"/>
    <w:rsid w:val="00B60477"/>
    <w:rsid w:val="00B60722"/>
    <w:rsid w:val="00B6072A"/>
    <w:rsid w:val="00B608F1"/>
    <w:rsid w:val="00B60E97"/>
    <w:rsid w:val="00B60F79"/>
    <w:rsid w:val="00B61337"/>
    <w:rsid w:val="00B6166D"/>
    <w:rsid w:val="00B61B49"/>
    <w:rsid w:val="00B6254F"/>
    <w:rsid w:val="00B62EE3"/>
    <w:rsid w:val="00B6317C"/>
    <w:rsid w:val="00B63591"/>
    <w:rsid w:val="00B635C6"/>
    <w:rsid w:val="00B63704"/>
    <w:rsid w:val="00B63742"/>
    <w:rsid w:val="00B637D9"/>
    <w:rsid w:val="00B63B4A"/>
    <w:rsid w:val="00B64496"/>
    <w:rsid w:val="00B64498"/>
    <w:rsid w:val="00B6604C"/>
    <w:rsid w:val="00B664B0"/>
    <w:rsid w:val="00B667A5"/>
    <w:rsid w:val="00B66853"/>
    <w:rsid w:val="00B67120"/>
    <w:rsid w:val="00B673CA"/>
    <w:rsid w:val="00B6753E"/>
    <w:rsid w:val="00B67550"/>
    <w:rsid w:val="00B676CA"/>
    <w:rsid w:val="00B679F5"/>
    <w:rsid w:val="00B70D3E"/>
    <w:rsid w:val="00B7112A"/>
    <w:rsid w:val="00B7117A"/>
    <w:rsid w:val="00B71203"/>
    <w:rsid w:val="00B715E1"/>
    <w:rsid w:val="00B72053"/>
    <w:rsid w:val="00B7234F"/>
    <w:rsid w:val="00B72537"/>
    <w:rsid w:val="00B73B57"/>
    <w:rsid w:val="00B746D5"/>
    <w:rsid w:val="00B74753"/>
    <w:rsid w:val="00B74BDA"/>
    <w:rsid w:val="00B75037"/>
    <w:rsid w:val="00B75159"/>
    <w:rsid w:val="00B751C0"/>
    <w:rsid w:val="00B7573D"/>
    <w:rsid w:val="00B759D6"/>
    <w:rsid w:val="00B75AAD"/>
    <w:rsid w:val="00B75D3F"/>
    <w:rsid w:val="00B7745A"/>
    <w:rsid w:val="00B77723"/>
    <w:rsid w:val="00B77ABB"/>
    <w:rsid w:val="00B77CA5"/>
    <w:rsid w:val="00B77E12"/>
    <w:rsid w:val="00B802CA"/>
    <w:rsid w:val="00B80B08"/>
    <w:rsid w:val="00B8154C"/>
    <w:rsid w:val="00B815D3"/>
    <w:rsid w:val="00B818D4"/>
    <w:rsid w:val="00B81DB8"/>
    <w:rsid w:val="00B82DE1"/>
    <w:rsid w:val="00B83476"/>
    <w:rsid w:val="00B835D2"/>
    <w:rsid w:val="00B836B0"/>
    <w:rsid w:val="00B842EE"/>
    <w:rsid w:val="00B8438E"/>
    <w:rsid w:val="00B843A1"/>
    <w:rsid w:val="00B8487D"/>
    <w:rsid w:val="00B848BE"/>
    <w:rsid w:val="00B84978"/>
    <w:rsid w:val="00B84C9C"/>
    <w:rsid w:val="00B84D0C"/>
    <w:rsid w:val="00B84FF8"/>
    <w:rsid w:val="00B8573A"/>
    <w:rsid w:val="00B85861"/>
    <w:rsid w:val="00B85AE3"/>
    <w:rsid w:val="00B85CEA"/>
    <w:rsid w:val="00B86071"/>
    <w:rsid w:val="00B861A7"/>
    <w:rsid w:val="00B870B0"/>
    <w:rsid w:val="00B8748B"/>
    <w:rsid w:val="00B8792C"/>
    <w:rsid w:val="00B87BC1"/>
    <w:rsid w:val="00B87F56"/>
    <w:rsid w:val="00B9103E"/>
    <w:rsid w:val="00B911CB"/>
    <w:rsid w:val="00B913F2"/>
    <w:rsid w:val="00B91818"/>
    <w:rsid w:val="00B919AB"/>
    <w:rsid w:val="00B91E1C"/>
    <w:rsid w:val="00B9258B"/>
    <w:rsid w:val="00B927B0"/>
    <w:rsid w:val="00B92F7A"/>
    <w:rsid w:val="00B93597"/>
    <w:rsid w:val="00B9389D"/>
    <w:rsid w:val="00B94798"/>
    <w:rsid w:val="00B947FD"/>
    <w:rsid w:val="00B94BE5"/>
    <w:rsid w:val="00B96011"/>
    <w:rsid w:val="00B965AF"/>
    <w:rsid w:val="00B97182"/>
    <w:rsid w:val="00B97459"/>
    <w:rsid w:val="00B977A2"/>
    <w:rsid w:val="00B977C7"/>
    <w:rsid w:val="00B97927"/>
    <w:rsid w:val="00B97DBD"/>
    <w:rsid w:val="00BA0255"/>
    <w:rsid w:val="00BA02A6"/>
    <w:rsid w:val="00BA064A"/>
    <w:rsid w:val="00BA06D4"/>
    <w:rsid w:val="00BA075F"/>
    <w:rsid w:val="00BA0827"/>
    <w:rsid w:val="00BA0933"/>
    <w:rsid w:val="00BA0A76"/>
    <w:rsid w:val="00BA0D2A"/>
    <w:rsid w:val="00BA0FA7"/>
    <w:rsid w:val="00BA1218"/>
    <w:rsid w:val="00BA17BF"/>
    <w:rsid w:val="00BA1B48"/>
    <w:rsid w:val="00BA1D32"/>
    <w:rsid w:val="00BA256B"/>
    <w:rsid w:val="00BA3A2C"/>
    <w:rsid w:val="00BA3B8C"/>
    <w:rsid w:val="00BA3DFA"/>
    <w:rsid w:val="00BA4246"/>
    <w:rsid w:val="00BA4671"/>
    <w:rsid w:val="00BA4D83"/>
    <w:rsid w:val="00BA4E59"/>
    <w:rsid w:val="00BA52C1"/>
    <w:rsid w:val="00BA52DB"/>
    <w:rsid w:val="00BA58C0"/>
    <w:rsid w:val="00BA6166"/>
    <w:rsid w:val="00BA683A"/>
    <w:rsid w:val="00BA739B"/>
    <w:rsid w:val="00BA76B1"/>
    <w:rsid w:val="00BA7CCB"/>
    <w:rsid w:val="00BB0142"/>
    <w:rsid w:val="00BB0423"/>
    <w:rsid w:val="00BB0463"/>
    <w:rsid w:val="00BB090B"/>
    <w:rsid w:val="00BB0C7A"/>
    <w:rsid w:val="00BB1CBD"/>
    <w:rsid w:val="00BB1EA8"/>
    <w:rsid w:val="00BB2573"/>
    <w:rsid w:val="00BB2B1F"/>
    <w:rsid w:val="00BB2F0B"/>
    <w:rsid w:val="00BB36C5"/>
    <w:rsid w:val="00BB4AB6"/>
    <w:rsid w:val="00BB4C56"/>
    <w:rsid w:val="00BB4F9A"/>
    <w:rsid w:val="00BB5F6C"/>
    <w:rsid w:val="00BB60C3"/>
    <w:rsid w:val="00BB613F"/>
    <w:rsid w:val="00BB61B4"/>
    <w:rsid w:val="00BB6480"/>
    <w:rsid w:val="00BB6796"/>
    <w:rsid w:val="00BB690D"/>
    <w:rsid w:val="00BB69B6"/>
    <w:rsid w:val="00BB6A4C"/>
    <w:rsid w:val="00BB6C88"/>
    <w:rsid w:val="00BB6ECF"/>
    <w:rsid w:val="00BB74B3"/>
    <w:rsid w:val="00BB76A1"/>
    <w:rsid w:val="00BB777A"/>
    <w:rsid w:val="00BB7C25"/>
    <w:rsid w:val="00BC0B9D"/>
    <w:rsid w:val="00BC0C2F"/>
    <w:rsid w:val="00BC11CE"/>
    <w:rsid w:val="00BC1286"/>
    <w:rsid w:val="00BC137D"/>
    <w:rsid w:val="00BC1424"/>
    <w:rsid w:val="00BC1765"/>
    <w:rsid w:val="00BC1B29"/>
    <w:rsid w:val="00BC1CC3"/>
    <w:rsid w:val="00BC1DFC"/>
    <w:rsid w:val="00BC2243"/>
    <w:rsid w:val="00BC23E1"/>
    <w:rsid w:val="00BC28A7"/>
    <w:rsid w:val="00BC2CA6"/>
    <w:rsid w:val="00BC2E93"/>
    <w:rsid w:val="00BC3668"/>
    <w:rsid w:val="00BC37F6"/>
    <w:rsid w:val="00BC3A87"/>
    <w:rsid w:val="00BC475C"/>
    <w:rsid w:val="00BC47D8"/>
    <w:rsid w:val="00BC51FA"/>
    <w:rsid w:val="00BC5454"/>
    <w:rsid w:val="00BC5961"/>
    <w:rsid w:val="00BC5C7A"/>
    <w:rsid w:val="00BC6288"/>
    <w:rsid w:val="00BC693E"/>
    <w:rsid w:val="00BC7DE9"/>
    <w:rsid w:val="00BD0152"/>
    <w:rsid w:val="00BD028F"/>
    <w:rsid w:val="00BD03C9"/>
    <w:rsid w:val="00BD07F4"/>
    <w:rsid w:val="00BD137C"/>
    <w:rsid w:val="00BD1693"/>
    <w:rsid w:val="00BD16D1"/>
    <w:rsid w:val="00BD1D0B"/>
    <w:rsid w:val="00BD1DEE"/>
    <w:rsid w:val="00BD219A"/>
    <w:rsid w:val="00BD2539"/>
    <w:rsid w:val="00BD26D8"/>
    <w:rsid w:val="00BD2C2C"/>
    <w:rsid w:val="00BD2C42"/>
    <w:rsid w:val="00BD2F2C"/>
    <w:rsid w:val="00BD307A"/>
    <w:rsid w:val="00BD3698"/>
    <w:rsid w:val="00BD4119"/>
    <w:rsid w:val="00BD44A4"/>
    <w:rsid w:val="00BD4655"/>
    <w:rsid w:val="00BD4D35"/>
    <w:rsid w:val="00BD50A8"/>
    <w:rsid w:val="00BD55C0"/>
    <w:rsid w:val="00BD58F5"/>
    <w:rsid w:val="00BD5908"/>
    <w:rsid w:val="00BD65E1"/>
    <w:rsid w:val="00BD6A70"/>
    <w:rsid w:val="00BD6BF2"/>
    <w:rsid w:val="00BD6EF9"/>
    <w:rsid w:val="00BD6F1C"/>
    <w:rsid w:val="00BD754C"/>
    <w:rsid w:val="00BD7568"/>
    <w:rsid w:val="00BD772A"/>
    <w:rsid w:val="00BD7970"/>
    <w:rsid w:val="00BD7E1A"/>
    <w:rsid w:val="00BE02E5"/>
    <w:rsid w:val="00BE1590"/>
    <w:rsid w:val="00BE194D"/>
    <w:rsid w:val="00BE1C76"/>
    <w:rsid w:val="00BE1EB6"/>
    <w:rsid w:val="00BE235C"/>
    <w:rsid w:val="00BE290E"/>
    <w:rsid w:val="00BE29DD"/>
    <w:rsid w:val="00BE2AB1"/>
    <w:rsid w:val="00BE35C9"/>
    <w:rsid w:val="00BE3A79"/>
    <w:rsid w:val="00BE3B80"/>
    <w:rsid w:val="00BE3F85"/>
    <w:rsid w:val="00BE418C"/>
    <w:rsid w:val="00BE4C3A"/>
    <w:rsid w:val="00BE56CF"/>
    <w:rsid w:val="00BE576A"/>
    <w:rsid w:val="00BE5B3E"/>
    <w:rsid w:val="00BE648B"/>
    <w:rsid w:val="00BE71AE"/>
    <w:rsid w:val="00BE72FD"/>
    <w:rsid w:val="00BE74D1"/>
    <w:rsid w:val="00BE786F"/>
    <w:rsid w:val="00BF0217"/>
    <w:rsid w:val="00BF07C0"/>
    <w:rsid w:val="00BF08F1"/>
    <w:rsid w:val="00BF0993"/>
    <w:rsid w:val="00BF0C38"/>
    <w:rsid w:val="00BF1292"/>
    <w:rsid w:val="00BF139F"/>
    <w:rsid w:val="00BF1728"/>
    <w:rsid w:val="00BF1EF8"/>
    <w:rsid w:val="00BF2674"/>
    <w:rsid w:val="00BF288E"/>
    <w:rsid w:val="00BF2DE5"/>
    <w:rsid w:val="00BF3C29"/>
    <w:rsid w:val="00BF42A3"/>
    <w:rsid w:val="00BF4339"/>
    <w:rsid w:val="00BF44FF"/>
    <w:rsid w:val="00BF4AD7"/>
    <w:rsid w:val="00BF4C49"/>
    <w:rsid w:val="00BF5DA2"/>
    <w:rsid w:val="00BF6338"/>
    <w:rsid w:val="00BF63D1"/>
    <w:rsid w:val="00BF6536"/>
    <w:rsid w:val="00BF6679"/>
    <w:rsid w:val="00BF6D56"/>
    <w:rsid w:val="00BF7325"/>
    <w:rsid w:val="00BF7DFA"/>
    <w:rsid w:val="00C003F5"/>
    <w:rsid w:val="00C0079D"/>
    <w:rsid w:val="00C00B99"/>
    <w:rsid w:val="00C00D03"/>
    <w:rsid w:val="00C00DB1"/>
    <w:rsid w:val="00C01151"/>
    <w:rsid w:val="00C017B2"/>
    <w:rsid w:val="00C01C7E"/>
    <w:rsid w:val="00C01DD3"/>
    <w:rsid w:val="00C01DFC"/>
    <w:rsid w:val="00C02205"/>
    <w:rsid w:val="00C0268F"/>
    <w:rsid w:val="00C0282B"/>
    <w:rsid w:val="00C029A0"/>
    <w:rsid w:val="00C02CA7"/>
    <w:rsid w:val="00C02E62"/>
    <w:rsid w:val="00C03D01"/>
    <w:rsid w:val="00C04382"/>
    <w:rsid w:val="00C04ABC"/>
    <w:rsid w:val="00C04F22"/>
    <w:rsid w:val="00C05343"/>
    <w:rsid w:val="00C05381"/>
    <w:rsid w:val="00C06076"/>
    <w:rsid w:val="00C067E0"/>
    <w:rsid w:val="00C06EF0"/>
    <w:rsid w:val="00C074B8"/>
    <w:rsid w:val="00C075D0"/>
    <w:rsid w:val="00C1025D"/>
    <w:rsid w:val="00C103AB"/>
    <w:rsid w:val="00C10466"/>
    <w:rsid w:val="00C11821"/>
    <w:rsid w:val="00C11E30"/>
    <w:rsid w:val="00C12656"/>
    <w:rsid w:val="00C12999"/>
    <w:rsid w:val="00C12D93"/>
    <w:rsid w:val="00C12EE2"/>
    <w:rsid w:val="00C12F7B"/>
    <w:rsid w:val="00C13419"/>
    <w:rsid w:val="00C139DE"/>
    <w:rsid w:val="00C13B55"/>
    <w:rsid w:val="00C13C3F"/>
    <w:rsid w:val="00C13CBD"/>
    <w:rsid w:val="00C13DB6"/>
    <w:rsid w:val="00C13E07"/>
    <w:rsid w:val="00C142BD"/>
    <w:rsid w:val="00C143D5"/>
    <w:rsid w:val="00C148E5"/>
    <w:rsid w:val="00C14B4C"/>
    <w:rsid w:val="00C14B57"/>
    <w:rsid w:val="00C159C1"/>
    <w:rsid w:val="00C15D34"/>
    <w:rsid w:val="00C16489"/>
    <w:rsid w:val="00C16848"/>
    <w:rsid w:val="00C168C0"/>
    <w:rsid w:val="00C16BF9"/>
    <w:rsid w:val="00C1711E"/>
    <w:rsid w:val="00C1746D"/>
    <w:rsid w:val="00C174C6"/>
    <w:rsid w:val="00C17E6E"/>
    <w:rsid w:val="00C2001A"/>
    <w:rsid w:val="00C20915"/>
    <w:rsid w:val="00C20DB7"/>
    <w:rsid w:val="00C21A06"/>
    <w:rsid w:val="00C221D0"/>
    <w:rsid w:val="00C22309"/>
    <w:rsid w:val="00C23513"/>
    <w:rsid w:val="00C23520"/>
    <w:rsid w:val="00C2366E"/>
    <w:rsid w:val="00C23E35"/>
    <w:rsid w:val="00C23FA9"/>
    <w:rsid w:val="00C24097"/>
    <w:rsid w:val="00C24568"/>
    <w:rsid w:val="00C246D7"/>
    <w:rsid w:val="00C24DA9"/>
    <w:rsid w:val="00C24DC0"/>
    <w:rsid w:val="00C24F12"/>
    <w:rsid w:val="00C24F98"/>
    <w:rsid w:val="00C25082"/>
    <w:rsid w:val="00C25277"/>
    <w:rsid w:val="00C252E0"/>
    <w:rsid w:val="00C25E6A"/>
    <w:rsid w:val="00C25E7D"/>
    <w:rsid w:val="00C25F06"/>
    <w:rsid w:val="00C265D4"/>
    <w:rsid w:val="00C26A80"/>
    <w:rsid w:val="00C26FCA"/>
    <w:rsid w:val="00C273AE"/>
    <w:rsid w:val="00C27589"/>
    <w:rsid w:val="00C275FC"/>
    <w:rsid w:val="00C27D57"/>
    <w:rsid w:val="00C27D69"/>
    <w:rsid w:val="00C27E01"/>
    <w:rsid w:val="00C30D84"/>
    <w:rsid w:val="00C30FD6"/>
    <w:rsid w:val="00C31196"/>
    <w:rsid w:val="00C3145E"/>
    <w:rsid w:val="00C3152A"/>
    <w:rsid w:val="00C315AE"/>
    <w:rsid w:val="00C315D3"/>
    <w:rsid w:val="00C3160C"/>
    <w:rsid w:val="00C317A7"/>
    <w:rsid w:val="00C31EE1"/>
    <w:rsid w:val="00C32310"/>
    <w:rsid w:val="00C32B52"/>
    <w:rsid w:val="00C33431"/>
    <w:rsid w:val="00C33670"/>
    <w:rsid w:val="00C337A9"/>
    <w:rsid w:val="00C33953"/>
    <w:rsid w:val="00C33AEC"/>
    <w:rsid w:val="00C341FB"/>
    <w:rsid w:val="00C34536"/>
    <w:rsid w:val="00C34CDD"/>
    <w:rsid w:val="00C35CC6"/>
    <w:rsid w:val="00C35DE8"/>
    <w:rsid w:val="00C3608B"/>
    <w:rsid w:val="00C36203"/>
    <w:rsid w:val="00C365EB"/>
    <w:rsid w:val="00C36B2D"/>
    <w:rsid w:val="00C36E09"/>
    <w:rsid w:val="00C37532"/>
    <w:rsid w:val="00C37A82"/>
    <w:rsid w:val="00C37CDE"/>
    <w:rsid w:val="00C37E36"/>
    <w:rsid w:val="00C40C58"/>
    <w:rsid w:val="00C410D2"/>
    <w:rsid w:val="00C416C7"/>
    <w:rsid w:val="00C417CD"/>
    <w:rsid w:val="00C41AFB"/>
    <w:rsid w:val="00C41C08"/>
    <w:rsid w:val="00C4253E"/>
    <w:rsid w:val="00C42580"/>
    <w:rsid w:val="00C42A78"/>
    <w:rsid w:val="00C42FB2"/>
    <w:rsid w:val="00C433BA"/>
    <w:rsid w:val="00C435C8"/>
    <w:rsid w:val="00C437D6"/>
    <w:rsid w:val="00C43C3F"/>
    <w:rsid w:val="00C4426C"/>
    <w:rsid w:val="00C4471A"/>
    <w:rsid w:val="00C449E2"/>
    <w:rsid w:val="00C44CC9"/>
    <w:rsid w:val="00C44E13"/>
    <w:rsid w:val="00C44FD9"/>
    <w:rsid w:val="00C45350"/>
    <w:rsid w:val="00C4555D"/>
    <w:rsid w:val="00C45AA6"/>
    <w:rsid w:val="00C45DD1"/>
    <w:rsid w:val="00C45F6D"/>
    <w:rsid w:val="00C45FDE"/>
    <w:rsid w:val="00C4601D"/>
    <w:rsid w:val="00C4698B"/>
    <w:rsid w:val="00C46D3E"/>
    <w:rsid w:val="00C46FE3"/>
    <w:rsid w:val="00C473E7"/>
    <w:rsid w:val="00C47435"/>
    <w:rsid w:val="00C47478"/>
    <w:rsid w:val="00C47BD2"/>
    <w:rsid w:val="00C47EBB"/>
    <w:rsid w:val="00C50B75"/>
    <w:rsid w:val="00C50DFC"/>
    <w:rsid w:val="00C5135F"/>
    <w:rsid w:val="00C51880"/>
    <w:rsid w:val="00C51FA8"/>
    <w:rsid w:val="00C51FF0"/>
    <w:rsid w:val="00C5259A"/>
    <w:rsid w:val="00C52782"/>
    <w:rsid w:val="00C52D4E"/>
    <w:rsid w:val="00C5300F"/>
    <w:rsid w:val="00C53027"/>
    <w:rsid w:val="00C5304D"/>
    <w:rsid w:val="00C53721"/>
    <w:rsid w:val="00C53EE2"/>
    <w:rsid w:val="00C54182"/>
    <w:rsid w:val="00C54473"/>
    <w:rsid w:val="00C55002"/>
    <w:rsid w:val="00C5521D"/>
    <w:rsid w:val="00C55D94"/>
    <w:rsid w:val="00C5609B"/>
    <w:rsid w:val="00C56850"/>
    <w:rsid w:val="00C572AC"/>
    <w:rsid w:val="00C57567"/>
    <w:rsid w:val="00C57582"/>
    <w:rsid w:val="00C579CF"/>
    <w:rsid w:val="00C6017A"/>
    <w:rsid w:val="00C602E6"/>
    <w:rsid w:val="00C6087E"/>
    <w:rsid w:val="00C608EF"/>
    <w:rsid w:val="00C60FC1"/>
    <w:rsid w:val="00C60FF0"/>
    <w:rsid w:val="00C612BB"/>
    <w:rsid w:val="00C612BF"/>
    <w:rsid w:val="00C619EE"/>
    <w:rsid w:val="00C6207E"/>
    <w:rsid w:val="00C625C7"/>
    <w:rsid w:val="00C628D3"/>
    <w:rsid w:val="00C630A6"/>
    <w:rsid w:val="00C6339B"/>
    <w:rsid w:val="00C63770"/>
    <w:rsid w:val="00C64682"/>
    <w:rsid w:val="00C64784"/>
    <w:rsid w:val="00C64AD8"/>
    <w:rsid w:val="00C64FAE"/>
    <w:rsid w:val="00C65320"/>
    <w:rsid w:val="00C65CEF"/>
    <w:rsid w:val="00C66344"/>
    <w:rsid w:val="00C663EE"/>
    <w:rsid w:val="00C66679"/>
    <w:rsid w:val="00C66D4A"/>
    <w:rsid w:val="00C66E0E"/>
    <w:rsid w:val="00C674F7"/>
    <w:rsid w:val="00C67584"/>
    <w:rsid w:val="00C67955"/>
    <w:rsid w:val="00C70074"/>
    <w:rsid w:val="00C70110"/>
    <w:rsid w:val="00C70244"/>
    <w:rsid w:val="00C70341"/>
    <w:rsid w:val="00C70438"/>
    <w:rsid w:val="00C7089C"/>
    <w:rsid w:val="00C70918"/>
    <w:rsid w:val="00C70E3F"/>
    <w:rsid w:val="00C70EE7"/>
    <w:rsid w:val="00C716CF"/>
    <w:rsid w:val="00C717CD"/>
    <w:rsid w:val="00C71AC2"/>
    <w:rsid w:val="00C722EE"/>
    <w:rsid w:val="00C725B9"/>
    <w:rsid w:val="00C726B3"/>
    <w:rsid w:val="00C72AE3"/>
    <w:rsid w:val="00C72B7C"/>
    <w:rsid w:val="00C73402"/>
    <w:rsid w:val="00C7362E"/>
    <w:rsid w:val="00C7364B"/>
    <w:rsid w:val="00C74283"/>
    <w:rsid w:val="00C745D7"/>
    <w:rsid w:val="00C74865"/>
    <w:rsid w:val="00C74EE5"/>
    <w:rsid w:val="00C750BE"/>
    <w:rsid w:val="00C755C8"/>
    <w:rsid w:val="00C7584E"/>
    <w:rsid w:val="00C758E0"/>
    <w:rsid w:val="00C75A25"/>
    <w:rsid w:val="00C76C64"/>
    <w:rsid w:val="00C76DBB"/>
    <w:rsid w:val="00C7702A"/>
    <w:rsid w:val="00C773C8"/>
    <w:rsid w:val="00C77404"/>
    <w:rsid w:val="00C7746B"/>
    <w:rsid w:val="00C77524"/>
    <w:rsid w:val="00C77707"/>
    <w:rsid w:val="00C807B9"/>
    <w:rsid w:val="00C80827"/>
    <w:rsid w:val="00C80A25"/>
    <w:rsid w:val="00C80BF1"/>
    <w:rsid w:val="00C817D1"/>
    <w:rsid w:val="00C81DB4"/>
    <w:rsid w:val="00C81DF7"/>
    <w:rsid w:val="00C8242E"/>
    <w:rsid w:val="00C82930"/>
    <w:rsid w:val="00C82B7F"/>
    <w:rsid w:val="00C82D33"/>
    <w:rsid w:val="00C8301A"/>
    <w:rsid w:val="00C834B3"/>
    <w:rsid w:val="00C835A1"/>
    <w:rsid w:val="00C83C43"/>
    <w:rsid w:val="00C83E34"/>
    <w:rsid w:val="00C84D4F"/>
    <w:rsid w:val="00C8531E"/>
    <w:rsid w:val="00C853A9"/>
    <w:rsid w:val="00C85644"/>
    <w:rsid w:val="00C8572E"/>
    <w:rsid w:val="00C85B6C"/>
    <w:rsid w:val="00C85E1F"/>
    <w:rsid w:val="00C86BFE"/>
    <w:rsid w:val="00C86D8A"/>
    <w:rsid w:val="00C873ED"/>
    <w:rsid w:val="00C87F73"/>
    <w:rsid w:val="00C87F8D"/>
    <w:rsid w:val="00C900B0"/>
    <w:rsid w:val="00C90164"/>
    <w:rsid w:val="00C90231"/>
    <w:rsid w:val="00C9080B"/>
    <w:rsid w:val="00C90CF6"/>
    <w:rsid w:val="00C90D8A"/>
    <w:rsid w:val="00C90EF9"/>
    <w:rsid w:val="00C9108F"/>
    <w:rsid w:val="00C91328"/>
    <w:rsid w:val="00C91C5C"/>
    <w:rsid w:val="00C92714"/>
    <w:rsid w:val="00C9286B"/>
    <w:rsid w:val="00C92949"/>
    <w:rsid w:val="00C92B1A"/>
    <w:rsid w:val="00C9312F"/>
    <w:rsid w:val="00C933D8"/>
    <w:rsid w:val="00C9358B"/>
    <w:rsid w:val="00C93DE5"/>
    <w:rsid w:val="00C94AD2"/>
    <w:rsid w:val="00C950CA"/>
    <w:rsid w:val="00C958E9"/>
    <w:rsid w:val="00C95ED6"/>
    <w:rsid w:val="00C95F3F"/>
    <w:rsid w:val="00C95FCC"/>
    <w:rsid w:val="00C9741C"/>
    <w:rsid w:val="00CA001B"/>
    <w:rsid w:val="00CA0057"/>
    <w:rsid w:val="00CA1379"/>
    <w:rsid w:val="00CA1B03"/>
    <w:rsid w:val="00CA1DCF"/>
    <w:rsid w:val="00CA1FB0"/>
    <w:rsid w:val="00CA24D1"/>
    <w:rsid w:val="00CA27A0"/>
    <w:rsid w:val="00CA2E1D"/>
    <w:rsid w:val="00CA30A0"/>
    <w:rsid w:val="00CA324D"/>
    <w:rsid w:val="00CA379C"/>
    <w:rsid w:val="00CA39CC"/>
    <w:rsid w:val="00CA4743"/>
    <w:rsid w:val="00CA48B2"/>
    <w:rsid w:val="00CA52FB"/>
    <w:rsid w:val="00CA6014"/>
    <w:rsid w:val="00CA6568"/>
    <w:rsid w:val="00CA65FC"/>
    <w:rsid w:val="00CA6B6A"/>
    <w:rsid w:val="00CA735E"/>
    <w:rsid w:val="00CA73DD"/>
    <w:rsid w:val="00CA7931"/>
    <w:rsid w:val="00CA7D8A"/>
    <w:rsid w:val="00CB10A6"/>
    <w:rsid w:val="00CB1162"/>
    <w:rsid w:val="00CB138F"/>
    <w:rsid w:val="00CB13E0"/>
    <w:rsid w:val="00CB1640"/>
    <w:rsid w:val="00CB1B42"/>
    <w:rsid w:val="00CB1DCD"/>
    <w:rsid w:val="00CB1F74"/>
    <w:rsid w:val="00CB2197"/>
    <w:rsid w:val="00CB22C2"/>
    <w:rsid w:val="00CB248C"/>
    <w:rsid w:val="00CB254E"/>
    <w:rsid w:val="00CB25B9"/>
    <w:rsid w:val="00CB2E34"/>
    <w:rsid w:val="00CB34D6"/>
    <w:rsid w:val="00CB3934"/>
    <w:rsid w:val="00CB4046"/>
    <w:rsid w:val="00CB43FA"/>
    <w:rsid w:val="00CB4EF9"/>
    <w:rsid w:val="00CB5A89"/>
    <w:rsid w:val="00CB5B31"/>
    <w:rsid w:val="00CB5BE7"/>
    <w:rsid w:val="00CB712E"/>
    <w:rsid w:val="00CB7234"/>
    <w:rsid w:val="00CB76B8"/>
    <w:rsid w:val="00CB7703"/>
    <w:rsid w:val="00CB783B"/>
    <w:rsid w:val="00CB7F84"/>
    <w:rsid w:val="00CB7FBA"/>
    <w:rsid w:val="00CC1189"/>
    <w:rsid w:val="00CC19C4"/>
    <w:rsid w:val="00CC1E2E"/>
    <w:rsid w:val="00CC1F79"/>
    <w:rsid w:val="00CC203E"/>
    <w:rsid w:val="00CC23C6"/>
    <w:rsid w:val="00CC26B8"/>
    <w:rsid w:val="00CC2803"/>
    <w:rsid w:val="00CC32F3"/>
    <w:rsid w:val="00CC3489"/>
    <w:rsid w:val="00CC3A68"/>
    <w:rsid w:val="00CC3E3F"/>
    <w:rsid w:val="00CC40A0"/>
    <w:rsid w:val="00CC468B"/>
    <w:rsid w:val="00CC4B5B"/>
    <w:rsid w:val="00CC56AF"/>
    <w:rsid w:val="00CC56C9"/>
    <w:rsid w:val="00CC6423"/>
    <w:rsid w:val="00CC657C"/>
    <w:rsid w:val="00CC68D6"/>
    <w:rsid w:val="00CC707F"/>
    <w:rsid w:val="00CC79CD"/>
    <w:rsid w:val="00CC7CC8"/>
    <w:rsid w:val="00CD0332"/>
    <w:rsid w:val="00CD0761"/>
    <w:rsid w:val="00CD0CEE"/>
    <w:rsid w:val="00CD0E1F"/>
    <w:rsid w:val="00CD1841"/>
    <w:rsid w:val="00CD1BA2"/>
    <w:rsid w:val="00CD1BF1"/>
    <w:rsid w:val="00CD2A3E"/>
    <w:rsid w:val="00CD31C1"/>
    <w:rsid w:val="00CD35E8"/>
    <w:rsid w:val="00CD35F1"/>
    <w:rsid w:val="00CD3EA4"/>
    <w:rsid w:val="00CD4704"/>
    <w:rsid w:val="00CD4AE1"/>
    <w:rsid w:val="00CD4B3B"/>
    <w:rsid w:val="00CD4C9C"/>
    <w:rsid w:val="00CD5401"/>
    <w:rsid w:val="00CD5716"/>
    <w:rsid w:val="00CD5927"/>
    <w:rsid w:val="00CD64BF"/>
    <w:rsid w:val="00CD6524"/>
    <w:rsid w:val="00CD68DD"/>
    <w:rsid w:val="00CD6C24"/>
    <w:rsid w:val="00CD6C94"/>
    <w:rsid w:val="00CD7649"/>
    <w:rsid w:val="00CD7760"/>
    <w:rsid w:val="00CD794A"/>
    <w:rsid w:val="00CD7B0E"/>
    <w:rsid w:val="00CD7B8B"/>
    <w:rsid w:val="00CD7D8E"/>
    <w:rsid w:val="00CE0513"/>
    <w:rsid w:val="00CE073C"/>
    <w:rsid w:val="00CE08C7"/>
    <w:rsid w:val="00CE0AAE"/>
    <w:rsid w:val="00CE1374"/>
    <w:rsid w:val="00CE1D18"/>
    <w:rsid w:val="00CE23D8"/>
    <w:rsid w:val="00CE24CB"/>
    <w:rsid w:val="00CE2B04"/>
    <w:rsid w:val="00CE3F20"/>
    <w:rsid w:val="00CE4565"/>
    <w:rsid w:val="00CE4E5D"/>
    <w:rsid w:val="00CE4F18"/>
    <w:rsid w:val="00CE50E8"/>
    <w:rsid w:val="00CE5298"/>
    <w:rsid w:val="00CE5841"/>
    <w:rsid w:val="00CE58EB"/>
    <w:rsid w:val="00CE596B"/>
    <w:rsid w:val="00CE5F0A"/>
    <w:rsid w:val="00CE6261"/>
    <w:rsid w:val="00CE643F"/>
    <w:rsid w:val="00CE681D"/>
    <w:rsid w:val="00CE6A32"/>
    <w:rsid w:val="00CE78C9"/>
    <w:rsid w:val="00CF0507"/>
    <w:rsid w:val="00CF091E"/>
    <w:rsid w:val="00CF0A69"/>
    <w:rsid w:val="00CF0C1D"/>
    <w:rsid w:val="00CF10F6"/>
    <w:rsid w:val="00CF12EC"/>
    <w:rsid w:val="00CF1331"/>
    <w:rsid w:val="00CF15E2"/>
    <w:rsid w:val="00CF184F"/>
    <w:rsid w:val="00CF1A09"/>
    <w:rsid w:val="00CF1E7E"/>
    <w:rsid w:val="00CF26A8"/>
    <w:rsid w:val="00CF2ACC"/>
    <w:rsid w:val="00CF3547"/>
    <w:rsid w:val="00CF35A2"/>
    <w:rsid w:val="00CF35B2"/>
    <w:rsid w:val="00CF38D4"/>
    <w:rsid w:val="00CF3AB9"/>
    <w:rsid w:val="00CF3BE7"/>
    <w:rsid w:val="00CF3F0D"/>
    <w:rsid w:val="00CF472E"/>
    <w:rsid w:val="00CF5056"/>
    <w:rsid w:val="00CF50F7"/>
    <w:rsid w:val="00CF5593"/>
    <w:rsid w:val="00CF5672"/>
    <w:rsid w:val="00CF5C9C"/>
    <w:rsid w:val="00CF5DB7"/>
    <w:rsid w:val="00CF60B2"/>
    <w:rsid w:val="00CF6874"/>
    <w:rsid w:val="00CF6BB9"/>
    <w:rsid w:val="00CF6DD6"/>
    <w:rsid w:val="00D00061"/>
    <w:rsid w:val="00D00798"/>
    <w:rsid w:val="00D00FDE"/>
    <w:rsid w:val="00D0121F"/>
    <w:rsid w:val="00D022D6"/>
    <w:rsid w:val="00D0244F"/>
    <w:rsid w:val="00D026EE"/>
    <w:rsid w:val="00D02876"/>
    <w:rsid w:val="00D0316E"/>
    <w:rsid w:val="00D03342"/>
    <w:rsid w:val="00D03563"/>
    <w:rsid w:val="00D03A13"/>
    <w:rsid w:val="00D03F31"/>
    <w:rsid w:val="00D041BF"/>
    <w:rsid w:val="00D04451"/>
    <w:rsid w:val="00D04454"/>
    <w:rsid w:val="00D045FD"/>
    <w:rsid w:val="00D05061"/>
    <w:rsid w:val="00D0586B"/>
    <w:rsid w:val="00D06BF3"/>
    <w:rsid w:val="00D0774F"/>
    <w:rsid w:val="00D10303"/>
    <w:rsid w:val="00D103E0"/>
    <w:rsid w:val="00D1060F"/>
    <w:rsid w:val="00D10E2C"/>
    <w:rsid w:val="00D1140B"/>
    <w:rsid w:val="00D11823"/>
    <w:rsid w:val="00D118F2"/>
    <w:rsid w:val="00D11D06"/>
    <w:rsid w:val="00D11E06"/>
    <w:rsid w:val="00D12105"/>
    <w:rsid w:val="00D12207"/>
    <w:rsid w:val="00D12D32"/>
    <w:rsid w:val="00D12D86"/>
    <w:rsid w:val="00D12E0E"/>
    <w:rsid w:val="00D12F07"/>
    <w:rsid w:val="00D12FCB"/>
    <w:rsid w:val="00D130F7"/>
    <w:rsid w:val="00D132C3"/>
    <w:rsid w:val="00D13444"/>
    <w:rsid w:val="00D13887"/>
    <w:rsid w:val="00D140EF"/>
    <w:rsid w:val="00D1452D"/>
    <w:rsid w:val="00D148D1"/>
    <w:rsid w:val="00D149AD"/>
    <w:rsid w:val="00D14CD4"/>
    <w:rsid w:val="00D15416"/>
    <w:rsid w:val="00D159F8"/>
    <w:rsid w:val="00D1637D"/>
    <w:rsid w:val="00D16650"/>
    <w:rsid w:val="00D16C47"/>
    <w:rsid w:val="00D16C61"/>
    <w:rsid w:val="00D16CC4"/>
    <w:rsid w:val="00D1713A"/>
    <w:rsid w:val="00D171C8"/>
    <w:rsid w:val="00D17AFC"/>
    <w:rsid w:val="00D17CFB"/>
    <w:rsid w:val="00D17D1E"/>
    <w:rsid w:val="00D2009D"/>
    <w:rsid w:val="00D20744"/>
    <w:rsid w:val="00D20822"/>
    <w:rsid w:val="00D2110E"/>
    <w:rsid w:val="00D22287"/>
    <w:rsid w:val="00D22567"/>
    <w:rsid w:val="00D226A1"/>
    <w:rsid w:val="00D226B9"/>
    <w:rsid w:val="00D22D14"/>
    <w:rsid w:val="00D23437"/>
    <w:rsid w:val="00D234D2"/>
    <w:rsid w:val="00D2373E"/>
    <w:rsid w:val="00D2381C"/>
    <w:rsid w:val="00D23842"/>
    <w:rsid w:val="00D23A94"/>
    <w:rsid w:val="00D23F38"/>
    <w:rsid w:val="00D240BA"/>
    <w:rsid w:val="00D24346"/>
    <w:rsid w:val="00D244E1"/>
    <w:rsid w:val="00D2459A"/>
    <w:rsid w:val="00D24672"/>
    <w:rsid w:val="00D248D9"/>
    <w:rsid w:val="00D24A5C"/>
    <w:rsid w:val="00D24B50"/>
    <w:rsid w:val="00D24CD7"/>
    <w:rsid w:val="00D24D7B"/>
    <w:rsid w:val="00D2502F"/>
    <w:rsid w:val="00D25100"/>
    <w:rsid w:val="00D25450"/>
    <w:rsid w:val="00D255E8"/>
    <w:rsid w:val="00D25A2B"/>
    <w:rsid w:val="00D25F3E"/>
    <w:rsid w:val="00D2628C"/>
    <w:rsid w:val="00D26C87"/>
    <w:rsid w:val="00D26D27"/>
    <w:rsid w:val="00D26D53"/>
    <w:rsid w:val="00D26EF3"/>
    <w:rsid w:val="00D27131"/>
    <w:rsid w:val="00D301AC"/>
    <w:rsid w:val="00D30336"/>
    <w:rsid w:val="00D30815"/>
    <w:rsid w:val="00D30B75"/>
    <w:rsid w:val="00D30C28"/>
    <w:rsid w:val="00D30F3A"/>
    <w:rsid w:val="00D31BBD"/>
    <w:rsid w:val="00D31BEC"/>
    <w:rsid w:val="00D32104"/>
    <w:rsid w:val="00D329A0"/>
    <w:rsid w:val="00D32B44"/>
    <w:rsid w:val="00D32CE1"/>
    <w:rsid w:val="00D32E58"/>
    <w:rsid w:val="00D33010"/>
    <w:rsid w:val="00D33362"/>
    <w:rsid w:val="00D334CD"/>
    <w:rsid w:val="00D3395C"/>
    <w:rsid w:val="00D33980"/>
    <w:rsid w:val="00D34017"/>
    <w:rsid w:val="00D34412"/>
    <w:rsid w:val="00D34D6B"/>
    <w:rsid w:val="00D354AD"/>
    <w:rsid w:val="00D3557B"/>
    <w:rsid w:val="00D35628"/>
    <w:rsid w:val="00D35BAA"/>
    <w:rsid w:val="00D36072"/>
    <w:rsid w:val="00D36122"/>
    <w:rsid w:val="00D36D3C"/>
    <w:rsid w:val="00D36ED8"/>
    <w:rsid w:val="00D3756A"/>
    <w:rsid w:val="00D375DA"/>
    <w:rsid w:val="00D377AE"/>
    <w:rsid w:val="00D400D8"/>
    <w:rsid w:val="00D40342"/>
    <w:rsid w:val="00D404B1"/>
    <w:rsid w:val="00D4113F"/>
    <w:rsid w:val="00D4119C"/>
    <w:rsid w:val="00D412B3"/>
    <w:rsid w:val="00D41378"/>
    <w:rsid w:val="00D41616"/>
    <w:rsid w:val="00D418D3"/>
    <w:rsid w:val="00D42B1F"/>
    <w:rsid w:val="00D42CD9"/>
    <w:rsid w:val="00D43988"/>
    <w:rsid w:val="00D43AC4"/>
    <w:rsid w:val="00D43DBF"/>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22D"/>
    <w:rsid w:val="00D47867"/>
    <w:rsid w:val="00D4788F"/>
    <w:rsid w:val="00D47D6E"/>
    <w:rsid w:val="00D47E2C"/>
    <w:rsid w:val="00D47EAF"/>
    <w:rsid w:val="00D504F6"/>
    <w:rsid w:val="00D50C02"/>
    <w:rsid w:val="00D50E4B"/>
    <w:rsid w:val="00D50E7A"/>
    <w:rsid w:val="00D50EF0"/>
    <w:rsid w:val="00D512EA"/>
    <w:rsid w:val="00D51552"/>
    <w:rsid w:val="00D51B27"/>
    <w:rsid w:val="00D52013"/>
    <w:rsid w:val="00D5227E"/>
    <w:rsid w:val="00D5242C"/>
    <w:rsid w:val="00D52583"/>
    <w:rsid w:val="00D52D7F"/>
    <w:rsid w:val="00D52F8D"/>
    <w:rsid w:val="00D53034"/>
    <w:rsid w:val="00D532F5"/>
    <w:rsid w:val="00D5331B"/>
    <w:rsid w:val="00D538FE"/>
    <w:rsid w:val="00D54373"/>
    <w:rsid w:val="00D545E9"/>
    <w:rsid w:val="00D54785"/>
    <w:rsid w:val="00D547BC"/>
    <w:rsid w:val="00D54BC4"/>
    <w:rsid w:val="00D54E43"/>
    <w:rsid w:val="00D54F28"/>
    <w:rsid w:val="00D555E4"/>
    <w:rsid w:val="00D559DA"/>
    <w:rsid w:val="00D55A05"/>
    <w:rsid w:val="00D55E57"/>
    <w:rsid w:val="00D56202"/>
    <w:rsid w:val="00D564EF"/>
    <w:rsid w:val="00D5676E"/>
    <w:rsid w:val="00D56DB7"/>
    <w:rsid w:val="00D570FB"/>
    <w:rsid w:val="00D57447"/>
    <w:rsid w:val="00D60111"/>
    <w:rsid w:val="00D60231"/>
    <w:rsid w:val="00D60E3C"/>
    <w:rsid w:val="00D60FC5"/>
    <w:rsid w:val="00D60FE9"/>
    <w:rsid w:val="00D613B2"/>
    <w:rsid w:val="00D61A8C"/>
    <w:rsid w:val="00D61A9F"/>
    <w:rsid w:val="00D61EDD"/>
    <w:rsid w:val="00D621D0"/>
    <w:rsid w:val="00D628AF"/>
    <w:rsid w:val="00D6294B"/>
    <w:rsid w:val="00D62AF3"/>
    <w:rsid w:val="00D630BA"/>
    <w:rsid w:val="00D63413"/>
    <w:rsid w:val="00D63446"/>
    <w:rsid w:val="00D6353D"/>
    <w:rsid w:val="00D640B2"/>
    <w:rsid w:val="00D6429C"/>
    <w:rsid w:val="00D642D7"/>
    <w:rsid w:val="00D64490"/>
    <w:rsid w:val="00D64A3D"/>
    <w:rsid w:val="00D65D91"/>
    <w:rsid w:val="00D662EE"/>
    <w:rsid w:val="00D66331"/>
    <w:rsid w:val="00D66697"/>
    <w:rsid w:val="00D66EDC"/>
    <w:rsid w:val="00D6704C"/>
    <w:rsid w:val="00D670B7"/>
    <w:rsid w:val="00D6750E"/>
    <w:rsid w:val="00D67684"/>
    <w:rsid w:val="00D67ACA"/>
    <w:rsid w:val="00D67EA8"/>
    <w:rsid w:val="00D67F69"/>
    <w:rsid w:val="00D70737"/>
    <w:rsid w:val="00D70E58"/>
    <w:rsid w:val="00D71103"/>
    <w:rsid w:val="00D722B4"/>
    <w:rsid w:val="00D723EC"/>
    <w:rsid w:val="00D72420"/>
    <w:rsid w:val="00D72551"/>
    <w:rsid w:val="00D7255F"/>
    <w:rsid w:val="00D725C6"/>
    <w:rsid w:val="00D726EB"/>
    <w:rsid w:val="00D72DF4"/>
    <w:rsid w:val="00D72E06"/>
    <w:rsid w:val="00D731EC"/>
    <w:rsid w:val="00D73302"/>
    <w:rsid w:val="00D73ADE"/>
    <w:rsid w:val="00D73AF1"/>
    <w:rsid w:val="00D74504"/>
    <w:rsid w:val="00D74639"/>
    <w:rsid w:val="00D74DAF"/>
    <w:rsid w:val="00D74F04"/>
    <w:rsid w:val="00D75E74"/>
    <w:rsid w:val="00D762C4"/>
    <w:rsid w:val="00D76DDA"/>
    <w:rsid w:val="00D77EF0"/>
    <w:rsid w:val="00D77F35"/>
    <w:rsid w:val="00D80341"/>
    <w:rsid w:val="00D8093F"/>
    <w:rsid w:val="00D809B7"/>
    <w:rsid w:val="00D8101C"/>
    <w:rsid w:val="00D810C4"/>
    <w:rsid w:val="00D813B0"/>
    <w:rsid w:val="00D81A57"/>
    <w:rsid w:val="00D81FFC"/>
    <w:rsid w:val="00D82A4C"/>
    <w:rsid w:val="00D82E01"/>
    <w:rsid w:val="00D837B4"/>
    <w:rsid w:val="00D83A8B"/>
    <w:rsid w:val="00D84061"/>
    <w:rsid w:val="00D844E7"/>
    <w:rsid w:val="00D8483A"/>
    <w:rsid w:val="00D8551D"/>
    <w:rsid w:val="00D85683"/>
    <w:rsid w:val="00D8682D"/>
    <w:rsid w:val="00D8687A"/>
    <w:rsid w:val="00D86B88"/>
    <w:rsid w:val="00D87125"/>
    <w:rsid w:val="00D87145"/>
    <w:rsid w:val="00D874FB"/>
    <w:rsid w:val="00D87776"/>
    <w:rsid w:val="00D87FDB"/>
    <w:rsid w:val="00D90EC1"/>
    <w:rsid w:val="00D90F8A"/>
    <w:rsid w:val="00D91621"/>
    <w:rsid w:val="00D918C7"/>
    <w:rsid w:val="00D91B8F"/>
    <w:rsid w:val="00D924A0"/>
    <w:rsid w:val="00D92CF0"/>
    <w:rsid w:val="00D930F2"/>
    <w:rsid w:val="00D9310A"/>
    <w:rsid w:val="00D93342"/>
    <w:rsid w:val="00D93415"/>
    <w:rsid w:val="00D9450C"/>
    <w:rsid w:val="00D94D4B"/>
    <w:rsid w:val="00D94E0E"/>
    <w:rsid w:val="00D94F54"/>
    <w:rsid w:val="00D950AF"/>
    <w:rsid w:val="00D9545B"/>
    <w:rsid w:val="00D9553A"/>
    <w:rsid w:val="00D957EB"/>
    <w:rsid w:val="00D95BCF"/>
    <w:rsid w:val="00D95FC2"/>
    <w:rsid w:val="00D961EE"/>
    <w:rsid w:val="00D96952"/>
    <w:rsid w:val="00D97077"/>
    <w:rsid w:val="00D971AA"/>
    <w:rsid w:val="00D97308"/>
    <w:rsid w:val="00D9740F"/>
    <w:rsid w:val="00D97A89"/>
    <w:rsid w:val="00D97BA1"/>
    <w:rsid w:val="00D97D8B"/>
    <w:rsid w:val="00DA01BF"/>
    <w:rsid w:val="00DA02AD"/>
    <w:rsid w:val="00DA09FC"/>
    <w:rsid w:val="00DA0CD3"/>
    <w:rsid w:val="00DA0E8F"/>
    <w:rsid w:val="00DA1779"/>
    <w:rsid w:val="00DA1EE5"/>
    <w:rsid w:val="00DA263F"/>
    <w:rsid w:val="00DA2A54"/>
    <w:rsid w:val="00DA2CDD"/>
    <w:rsid w:val="00DA324E"/>
    <w:rsid w:val="00DA3D5A"/>
    <w:rsid w:val="00DA3D60"/>
    <w:rsid w:val="00DA44CF"/>
    <w:rsid w:val="00DA47B9"/>
    <w:rsid w:val="00DA51F4"/>
    <w:rsid w:val="00DA59D2"/>
    <w:rsid w:val="00DA60CB"/>
    <w:rsid w:val="00DA669D"/>
    <w:rsid w:val="00DA691E"/>
    <w:rsid w:val="00DA6DAA"/>
    <w:rsid w:val="00DA776F"/>
    <w:rsid w:val="00DA7B84"/>
    <w:rsid w:val="00DB1749"/>
    <w:rsid w:val="00DB1D0E"/>
    <w:rsid w:val="00DB1FEA"/>
    <w:rsid w:val="00DB2948"/>
    <w:rsid w:val="00DB2B7E"/>
    <w:rsid w:val="00DB328A"/>
    <w:rsid w:val="00DB33D2"/>
    <w:rsid w:val="00DB36D2"/>
    <w:rsid w:val="00DB42F9"/>
    <w:rsid w:val="00DB452C"/>
    <w:rsid w:val="00DB476D"/>
    <w:rsid w:val="00DB47C5"/>
    <w:rsid w:val="00DB49EF"/>
    <w:rsid w:val="00DB527B"/>
    <w:rsid w:val="00DB5719"/>
    <w:rsid w:val="00DB5D19"/>
    <w:rsid w:val="00DB5E4A"/>
    <w:rsid w:val="00DB6042"/>
    <w:rsid w:val="00DB624E"/>
    <w:rsid w:val="00DB6888"/>
    <w:rsid w:val="00DB68E8"/>
    <w:rsid w:val="00DB70A2"/>
    <w:rsid w:val="00DB7A4B"/>
    <w:rsid w:val="00DC02EA"/>
    <w:rsid w:val="00DC0A52"/>
    <w:rsid w:val="00DC0BD5"/>
    <w:rsid w:val="00DC0BDC"/>
    <w:rsid w:val="00DC0E65"/>
    <w:rsid w:val="00DC0F49"/>
    <w:rsid w:val="00DC1103"/>
    <w:rsid w:val="00DC1117"/>
    <w:rsid w:val="00DC1228"/>
    <w:rsid w:val="00DC13E6"/>
    <w:rsid w:val="00DC1CA6"/>
    <w:rsid w:val="00DC20CF"/>
    <w:rsid w:val="00DC224D"/>
    <w:rsid w:val="00DC2259"/>
    <w:rsid w:val="00DC2623"/>
    <w:rsid w:val="00DC30AE"/>
    <w:rsid w:val="00DC31CC"/>
    <w:rsid w:val="00DC37FD"/>
    <w:rsid w:val="00DC3A8D"/>
    <w:rsid w:val="00DC6407"/>
    <w:rsid w:val="00DC72B8"/>
    <w:rsid w:val="00DC76C3"/>
    <w:rsid w:val="00DC77BF"/>
    <w:rsid w:val="00DC7A5D"/>
    <w:rsid w:val="00DC7BDA"/>
    <w:rsid w:val="00DC7E69"/>
    <w:rsid w:val="00DD02C0"/>
    <w:rsid w:val="00DD122C"/>
    <w:rsid w:val="00DD1B83"/>
    <w:rsid w:val="00DD1EC6"/>
    <w:rsid w:val="00DD2821"/>
    <w:rsid w:val="00DD2843"/>
    <w:rsid w:val="00DD2BAF"/>
    <w:rsid w:val="00DD2C41"/>
    <w:rsid w:val="00DD2CAD"/>
    <w:rsid w:val="00DD2E32"/>
    <w:rsid w:val="00DD3145"/>
    <w:rsid w:val="00DD3308"/>
    <w:rsid w:val="00DD3316"/>
    <w:rsid w:val="00DD38FE"/>
    <w:rsid w:val="00DD40D7"/>
    <w:rsid w:val="00DD42D8"/>
    <w:rsid w:val="00DD460E"/>
    <w:rsid w:val="00DD4F5E"/>
    <w:rsid w:val="00DD5ADD"/>
    <w:rsid w:val="00DD5C82"/>
    <w:rsid w:val="00DD5E57"/>
    <w:rsid w:val="00DD6DFD"/>
    <w:rsid w:val="00DD6E32"/>
    <w:rsid w:val="00DD70A2"/>
    <w:rsid w:val="00DD7695"/>
    <w:rsid w:val="00DE02BE"/>
    <w:rsid w:val="00DE1255"/>
    <w:rsid w:val="00DE146E"/>
    <w:rsid w:val="00DE1B0C"/>
    <w:rsid w:val="00DE2B78"/>
    <w:rsid w:val="00DE317C"/>
    <w:rsid w:val="00DE3385"/>
    <w:rsid w:val="00DE3554"/>
    <w:rsid w:val="00DE38A1"/>
    <w:rsid w:val="00DE3995"/>
    <w:rsid w:val="00DE4051"/>
    <w:rsid w:val="00DE4502"/>
    <w:rsid w:val="00DE4638"/>
    <w:rsid w:val="00DE4651"/>
    <w:rsid w:val="00DE4983"/>
    <w:rsid w:val="00DE6569"/>
    <w:rsid w:val="00DE66D7"/>
    <w:rsid w:val="00DE6A04"/>
    <w:rsid w:val="00DE6AAE"/>
    <w:rsid w:val="00DE70A2"/>
    <w:rsid w:val="00DE7265"/>
    <w:rsid w:val="00DE7525"/>
    <w:rsid w:val="00DE7579"/>
    <w:rsid w:val="00DE7623"/>
    <w:rsid w:val="00DE7758"/>
    <w:rsid w:val="00DE7BDC"/>
    <w:rsid w:val="00DF048D"/>
    <w:rsid w:val="00DF1251"/>
    <w:rsid w:val="00DF1298"/>
    <w:rsid w:val="00DF1352"/>
    <w:rsid w:val="00DF16EB"/>
    <w:rsid w:val="00DF1791"/>
    <w:rsid w:val="00DF1AD3"/>
    <w:rsid w:val="00DF2353"/>
    <w:rsid w:val="00DF27FC"/>
    <w:rsid w:val="00DF2C54"/>
    <w:rsid w:val="00DF3724"/>
    <w:rsid w:val="00DF3837"/>
    <w:rsid w:val="00DF3A26"/>
    <w:rsid w:val="00DF3AB2"/>
    <w:rsid w:val="00DF6677"/>
    <w:rsid w:val="00DF6A09"/>
    <w:rsid w:val="00DF6FBC"/>
    <w:rsid w:val="00DF75D9"/>
    <w:rsid w:val="00DF78B2"/>
    <w:rsid w:val="00DF7DD5"/>
    <w:rsid w:val="00DF7ED4"/>
    <w:rsid w:val="00E004C6"/>
    <w:rsid w:val="00E0054D"/>
    <w:rsid w:val="00E00684"/>
    <w:rsid w:val="00E0074B"/>
    <w:rsid w:val="00E00898"/>
    <w:rsid w:val="00E01CB2"/>
    <w:rsid w:val="00E01DD2"/>
    <w:rsid w:val="00E020A9"/>
    <w:rsid w:val="00E02546"/>
    <w:rsid w:val="00E0272B"/>
    <w:rsid w:val="00E02CFF"/>
    <w:rsid w:val="00E02E2F"/>
    <w:rsid w:val="00E03938"/>
    <w:rsid w:val="00E03BB8"/>
    <w:rsid w:val="00E03CBD"/>
    <w:rsid w:val="00E03E83"/>
    <w:rsid w:val="00E042DE"/>
    <w:rsid w:val="00E044DD"/>
    <w:rsid w:val="00E04877"/>
    <w:rsid w:val="00E04C45"/>
    <w:rsid w:val="00E04D1C"/>
    <w:rsid w:val="00E05681"/>
    <w:rsid w:val="00E0576B"/>
    <w:rsid w:val="00E0588C"/>
    <w:rsid w:val="00E058EB"/>
    <w:rsid w:val="00E05A89"/>
    <w:rsid w:val="00E05FA9"/>
    <w:rsid w:val="00E06062"/>
    <w:rsid w:val="00E0628E"/>
    <w:rsid w:val="00E06460"/>
    <w:rsid w:val="00E06826"/>
    <w:rsid w:val="00E0689E"/>
    <w:rsid w:val="00E0730E"/>
    <w:rsid w:val="00E073CF"/>
    <w:rsid w:val="00E07BA5"/>
    <w:rsid w:val="00E07F31"/>
    <w:rsid w:val="00E10C42"/>
    <w:rsid w:val="00E11C13"/>
    <w:rsid w:val="00E11F04"/>
    <w:rsid w:val="00E12535"/>
    <w:rsid w:val="00E12D89"/>
    <w:rsid w:val="00E13167"/>
    <w:rsid w:val="00E1340B"/>
    <w:rsid w:val="00E13602"/>
    <w:rsid w:val="00E13999"/>
    <w:rsid w:val="00E13F45"/>
    <w:rsid w:val="00E14108"/>
    <w:rsid w:val="00E1493B"/>
    <w:rsid w:val="00E149D3"/>
    <w:rsid w:val="00E14EE9"/>
    <w:rsid w:val="00E15082"/>
    <w:rsid w:val="00E15217"/>
    <w:rsid w:val="00E15282"/>
    <w:rsid w:val="00E1557E"/>
    <w:rsid w:val="00E15F3D"/>
    <w:rsid w:val="00E161AD"/>
    <w:rsid w:val="00E16931"/>
    <w:rsid w:val="00E16D18"/>
    <w:rsid w:val="00E16E3C"/>
    <w:rsid w:val="00E17050"/>
    <w:rsid w:val="00E17F53"/>
    <w:rsid w:val="00E2040B"/>
    <w:rsid w:val="00E211FF"/>
    <w:rsid w:val="00E21463"/>
    <w:rsid w:val="00E21479"/>
    <w:rsid w:val="00E21BA1"/>
    <w:rsid w:val="00E21DB7"/>
    <w:rsid w:val="00E2256E"/>
    <w:rsid w:val="00E24195"/>
    <w:rsid w:val="00E24567"/>
    <w:rsid w:val="00E246BF"/>
    <w:rsid w:val="00E249D9"/>
    <w:rsid w:val="00E25124"/>
    <w:rsid w:val="00E25239"/>
    <w:rsid w:val="00E25814"/>
    <w:rsid w:val="00E25A4F"/>
    <w:rsid w:val="00E25AA4"/>
    <w:rsid w:val="00E261F8"/>
    <w:rsid w:val="00E2624E"/>
    <w:rsid w:val="00E2664B"/>
    <w:rsid w:val="00E268EB"/>
    <w:rsid w:val="00E26973"/>
    <w:rsid w:val="00E26E57"/>
    <w:rsid w:val="00E27354"/>
    <w:rsid w:val="00E27467"/>
    <w:rsid w:val="00E278A8"/>
    <w:rsid w:val="00E27BEA"/>
    <w:rsid w:val="00E302E2"/>
    <w:rsid w:val="00E303A9"/>
    <w:rsid w:val="00E3043D"/>
    <w:rsid w:val="00E30628"/>
    <w:rsid w:val="00E30883"/>
    <w:rsid w:val="00E31251"/>
    <w:rsid w:val="00E32231"/>
    <w:rsid w:val="00E324AD"/>
    <w:rsid w:val="00E32E0C"/>
    <w:rsid w:val="00E32F9A"/>
    <w:rsid w:val="00E3336A"/>
    <w:rsid w:val="00E333FB"/>
    <w:rsid w:val="00E3342D"/>
    <w:rsid w:val="00E33683"/>
    <w:rsid w:val="00E33734"/>
    <w:rsid w:val="00E33C47"/>
    <w:rsid w:val="00E33C7F"/>
    <w:rsid w:val="00E33EE3"/>
    <w:rsid w:val="00E3440F"/>
    <w:rsid w:val="00E347F0"/>
    <w:rsid w:val="00E35085"/>
    <w:rsid w:val="00E35094"/>
    <w:rsid w:val="00E3527B"/>
    <w:rsid w:val="00E35693"/>
    <w:rsid w:val="00E356FF"/>
    <w:rsid w:val="00E36783"/>
    <w:rsid w:val="00E36A55"/>
    <w:rsid w:val="00E36CFA"/>
    <w:rsid w:val="00E36EB2"/>
    <w:rsid w:val="00E36F56"/>
    <w:rsid w:val="00E377A0"/>
    <w:rsid w:val="00E37D7C"/>
    <w:rsid w:val="00E37E51"/>
    <w:rsid w:val="00E4060A"/>
    <w:rsid w:val="00E4083B"/>
    <w:rsid w:val="00E40AEB"/>
    <w:rsid w:val="00E40F9D"/>
    <w:rsid w:val="00E4122C"/>
    <w:rsid w:val="00E417D0"/>
    <w:rsid w:val="00E422C4"/>
    <w:rsid w:val="00E428CA"/>
    <w:rsid w:val="00E429EC"/>
    <w:rsid w:val="00E43330"/>
    <w:rsid w:val="00E4335B"/>
    <w:rsid w:val="00E4341C"/>
    <w:rsid w:val="00E4380E"/>
    <w:rsid w:val="00E439F8"/>
    <w:rsid w:val="00E43AD8"/>
    <w:rsid w:val="00E43DC4"/>
    <w:rsid w:val="00E43DF0"/>
    <w:rsid w:val="00E44199"/>
    <w:rsid w:val="00E4431C"/>
    <w:rsid w:val="00E44A0D"/>
    <w:rsid w:val="00E44CD4"/>
    <w:rsid w:val="00E450A6"/>
    <w:rsid w:val="00E455AB"/>
    <w:rsid w:val="00E459A0"/>
    <w:rsid w:val="00E45B91"/>
    <w:rsid w:val="00E46B50"/>
    <w:rsid w:val="00E46B92"/>
    <w:rsid w:val="00E46C57"/>
    <w:rsid w:val="00E46D9B"/>
    <w:rsid w:val="00E47385"/>
    <w:rsid w:val="00E50533"/>
    <w:rsid w:val="00E508F6"/>
    <w:rsid w:val="00E50D34"/>
    <w:rsid w:val="00E50F7B"/>
    <w:rsid w:val="00E51467"/>
    <w:rsid w:val="00E5176B"/>
    <w:rsid w:val="00E517B2"/>
    <w:rsid w:val="00E51B5D"/>
    <w:rsid w:val="00E51CB9"/>
    <w:rsid w:val="00E527FE"/>
    <w:rsid w:val="00E528BA"/>
    <w:rsid w:val="00E53671"/>
    <w:rsid w:val="00E539CD"/>
    <w:rsid w:val="00E53CAB"/>
    <w:rsid w:val="00E53D6A"/>
    <w:rsid w:val="00E540EA"/>
    <w:rsid w:val="00E55339"/>
    <w:rsid w:val="00E55538"/>
    <w:rsid w:val="00E55ADF"/>
    <w:rsid w:val="00E565C2"/>
    <w:rsid w:val="00E56E95"/>
    <w:rsid w:val="00E56ECC"/>
    <w:rsid w:val="00E5731F"/>
    <w:rsid w:val="00E57F05"/>
    <w:rsid w:val="00E57F9B"/>
    <w:rsid w:val="00E60269"/>
    <w:rsid w:val="00E60358"/>
    <w:rsid w:val="00E60586"/>
    <w:rsid w:val="00E6073C"/>
    <w:rsid w:val="00E60B4F"/>
    <w:rsid w:val="00E60C32"/>
    <w:rsid w:val="00E616A2"/>
    <w:rsid w:val="00E6202B"/>
    <w:rsid w:val="00E625DE"/>
    <w:rsid w:val="00E627F6"/>
    <w:rsid w:val="00E62838"/>
    <w:rsid w:val="00E632C3"/>
    <w:rsid w:val="00E639E4"/>
    <w:rsid w:val="00E63AA2"/>
    <w:rsid w:val="00E63E8A"/>
    <w:rsid w:val="00E63F1D"/>
    <w:rsid w:val="00E63FD4"/>
    <w:rsid w:val="00E646D5"/>
    <w:rsid w:val="00E64A75"/>
    <w:rsid w:val="00E64B1B"/>
    <w:rsid w:val="00E650B6"/>
    <w:rsid w:val="00E65779"/>
    <w:rsid w:val="00E6602D"/>
    <w:rsid w:val="00E6603D"/>
    <w:rsid w:val="00E66275"/>
    <w:rsid w:val="00E67336"/>
    <w:rsid w:val="00E67343"/>
    <w:rsid w:val="00E67E86"/>
    <w:rsid w:val="00E7009F"/>
    <w:rsid w:val="00E70752"/>
    <w:rsid w:val="00E7153E"/>
    <w:rsid w:val="00E71650"/>
    <w:rsid w:val="00E71A76"/>
    <w:rsid w:val="00E729A3"/>
    <w:rsid w:val="00E72A7F"/>
    <w:rsid w:val="00E72E6E"/>
    <w:rsid w:val="00E72EC2"/>
    <w:rsid w:val="00E73199"/>
    <w:rsid w:val="00E73243"/>
    <w:rsid w:val="00E7372A"/>
    <w:rsid w:val="00E7391E"/>
    <w:rsid w:val="00E73F08"/>
    <w:rsid w:val="00E7483A"/>
    <w:rsid w:val="00E74926"/>
    <w:rsid w:val="00E751CF"/>
    <w:rsid w:val="00E752A1"/>
    <w:rsid w:val="00E753AA"/>
    <w:rsid w:val="00E75A9D"/>
    <w:rsid w:val="00E75B62"/>
    <w:rsid w:val="00E75E7C"/>
    <w:rsid w:val="00E76210"/>
    <w:rsid w:val="00E76513"/>
    <w:rsid w:val="00E76A32"/>
    <w:rsid w:val="00E76C5E"/>
    <w:rsid w:val="00E77053"/>
    <w:rsid w:val="00E803C3"/>
    <w:rsid w:val="00E80727"/>
    <w:rsid w:val="00E80872"/>
    <w:rsid w:val="00E8098A"/>
    <w:rsid w:val="00E80EFB"/>
    <w:rsid w:val="00E81B34"/>
    <w:rsid w:val="00E81B8E"/>
    <w:rsid w:val="00E81EBF"/>
    <w:rsid w:val="00E81ED7"/>
    <w:rsid w:val="00E8219D"/>
    <w:rsid w:val="00E82941"/>
    <w:rsid w:val="00E83371"/>
    <w:rsid w:val="00E83599"/>
    <w:rsid w:val="00E8376D"/>
    <w:rsid w:val="00E8377F"/>
    <w:rsid w:val="00E83C5F"/>
    <w:rsid w:val="00E84955"/>
    <w:rsid w:val="00E84D64"/>
    <w:rsid w:val="00E8543E"/>
    <w:rsid w:val="00E855CE"/>
    <w:rsid w:val="00E8607A"/>
    <w:rsid w:val="00E8623F"/>
    <w:rsid w:val="00E8704B"/>
    <w:rsid w:val="00E87631"/>
    <w:rsid w:val="00E878BE"/>
    <w:rsid w:val="00E87B69"/>
    <w:rsid w:val="00E87D52"/>
    <w:rsid w:val="00E87F00"/>
    <w:rsid w:val="00E87F4D"/>
    <w:rsid w:val="00E901BF"/>
    <w:rsid w:val="00E90407"/>
    <w:rsid w:val="00E90555"/>
    <w:rsid w:val="00E90607"/>
    <w:rsid w:val="00E907BE"/>
    <w:rsid w:val="00E90BDB"/>
    <w:rsid w:val="00E91249"/>
    <w:rsid w:val="00E9176F"/>
    <w:rsid w:val="00E91942"/>
    <w:rsid w:val="00E91B48"/>
    <w:rsid w:val="00E91FBA"/>
    <w:rsid w:val="00E9222C"/>
    <w:rsid w:val="00E9229E"/>
    <w:rsid w:val="00E925E4"/>
    <w:rsid w:val="00E92F79"/>
    <w:rsid w:val="00E933EB"/>
    <w:rsid w:val="00E937CF"/>
    <w:rsid w:val="00E9427A"/>
    <w:rsid w:val="00E9439E"/>
    <w:rsid w:val="00E9522B"/>
    <w:rsid w:val="00E95277"/>
    <w:rsid w:val="00E9558B"/>
    <w:rsid w:val="00E95D1B"/>
    <w:rsid w:val="00E95E64"/>
    <w:rsid w:val="00E95EDC"/>
    <w:rsid w:val="00E96098"/>
    <w:rsid w:val="00E9623E"/>
    <w:rsid w:val="00E9649D"/>
    <w:rsid w:val="00E969F0"/>
    <w:rsid w:val="00E96FA8"/>
    <w:rsid w:val="00EA0534"/>
    <w:rsid w:val="00EA09FE"/>
    <w:rsid w:val="00EA0A9B"/>
    <w:rsid w:val="00EA0D79"/>
    <w:rsid w:val="00EA0E71"/>
    <w:rsid w:val="00EA175D"/>
    <w:rsid w:val="00EA1AD0"/>
    <w:rsid w:val="00EA2523"/>
    <w:rsid w:val="00EA2EFA"/>
    <w:rsid w:val="00EA32BF"/>
    <w:rsid w:val="00EA3852"/>
    <w:rsid w:val="00EA456E"/>
    <w:rsid w:val="00EA50D6"/>
    <w:rsid w:val="00EA548E"/>
    <w:rsid w:val="00EA5714"/>
    <w:rsid w:val="00EA722D"/>
    <w:rsid w:val="00EA7662"/>
    <w:rsid w:val="00EB016F"/>
    <w:rsid w:val="00EB0635"/>
    <w:rsid w:val="00EB06EB"/>
    <w:rsid w:val="00EB0798"/>
    <w:rsid w:val="00EB0B50"/>
    <w:rsid w:val="00EB13E0"/>
    <w:rsid w:val="00EB222C"/>
    <w:rsid w:val="00EB33F4"/>
    <w:rsid w:val="00EB3B9C"/>
    <w:rsid w:val="00EB3C8F"/>
    <w:rsid w:val="00EB4242"/>
    <w:rsid w:val="00EB4718"/>
    <w:rsid w:val="00EB4C04"/>
    <w:rsid w:val="00EB4CA7"/>
    <w:rsid w:val="00EB50C2"/>
    <w:rsid w:val="00EB5E24"/>
    <w:rsid w:val="00EB5E76"/>
    <w:rsid w:val="00EB5E87"/>
    <w:rsid w:val="00EB62A4"/>
    <w:rsid w:val="00EB649D"/>
    <w:rsid w:val="00EB6C6B"/>
    <w:rsid w:val="00EB6E0D"/>
    <w:rsid w:val="00EB70A4"/>
    <w:rsid w:val="00EB7363"/>
    <w:rsid w:val="00EB7714"/>
    <w:rsid w:val="00EB7A49"/>
    <w:rsid w:val="00EB7B5B"/>
    <w:rsid w:val="00EB7C4B"/>
    <w:rsid w:val="00EC0BAD"/>
    <w:rsid w:val="00EC10FC"/>
    <w:rsid w:val="00EC1320"/>
    <w:rsid w:val="00EC1406"/>
    <w:rsid w:val="00EC1E89"/>
    <w:rsid w:val="00EC217C"/>
    <w:rsid w:val="00EC225B"/>
    <w:rsid w:val="00EC2677"/>
    <w:rsid w:val="00EC2DAB"/>
    <w:rsid w:val="00EC36F2"/>
    <w:rsid w:val="00EC3821"/>
    <w:rsid w:val="00EC39EA"/>
    <w:rsid w:val="00EC3F43"/>
    <w:rsid w:val="00EC40B3"/>
    <w:rsid w:val="00EC419B"/>
    <w:rsid w:val="00EC464A"/>
    <w:rsid w:val="00EC476F"/>
    <w:rsid w:val="00EC486B"/>
    <w:rsid w:val="00EC48D7"/>
    <w:rsid w:val="00EC49B5"/>
    <w:rsid w:val="00EC4B7C"/>
    <w:rsid w:val="00EC4BB6"/>
    <w:rsid w:val="00EC4F33"/>
    <w:rsid w:val="00EC4F7E"/>
    <w:rsid w:val="00EC5507"/>
    <w:rsid w:val="00EC5634"/>
    <w:rsid w:val="00EC5A55"/>
    <w:rsid w:val="00EC5B14"/>
    <w:rsid w:val="00EC64EB"/>
    <w:rsid w:val="00EC7129"/>
    <w:rsid w:val="00EC78CF"/>
    <w:rsid w:val="00EC790A"/>
    <w:rsid w:val="00ED0270"/>
    <w:rsid w:val="00ED0721"/>
    <w:rsid w:val="00ED07A3"/>
    <w:rsid w:val="00ED0F1C"/>
    <w:rsid w:val="00ED11C5"/>
    <w:rsid w:val="00ED1924"/>
    <w:rsid w:val="00ED1DED"/>
    <w:rsid w:val="00ED1E35"/>
    <w:rsid w:val="00ED1EEE"/>
    <w:rsid w:val="00ED2C8F"/>
    <w:rsid w:val="00ED2D4A"/>
    <w:rsid w:val="00ED2DB6"/>
    <w:rsid w:val="00ED304F"/>
    <w:rsid w:val="00ED30DC"/>
    <w:rsid w:val="00ED3D2A"/>
    <w:rsid w:val="00ED400E"/>
    <w:rsid w:val="00ED45FE"/>
    <w:rsid w:val="00ED47C8"/>
    <w:rsid w:val="00ED4BF7"/>
    <w:rsid w:val="00ED4FB2"/>
    <w:rsid w:val="00ED507D"/>
    <w:rsid w:val="00ED5E6A"/>
    <w:rsid w:val="00ED6426"/>
    <w:rsid w:val="00ED6C8B"/>
    <w:rsid w:val="00ED6F17"/>
    <w:rsid w:val="00ED6F48"/>
    <w:rsid w:val="00ED76F1"/>
    <w:rsid w:val="00ED7BC1"/>
    <w:rsid w:val="00EE148A"/>
    <w:rsid w:val="00EE1A2B"/>
    <w:rsid w:val="00EE1C1C"/>
    <w:rsid w:val="00EE2406"/>
    <w:rsid w:val="00EE2431"/>
    <w:rsid w:val="00EE24DB"/>
    <w:rsid w:val="00EE24FB"/>
    <w:rsid w:val="00EE2D3F"/>
    <w:rsid w:val="00EE2FC2"/>
    <w:rsid w:val="00EE3270"/>
    <w:rsid w:val="00EE3367"/>
    <w:rsid w:val="00EE3730"/>
    <w:rsid w:val="00EE375E"/>
    <w:rsid w:val="00EE3DA2"/>
    <w:rsid w:val="00EE43C0"/>
    <w:rsid w:val="00EE4452"/>
    <w:rsid w:val="00EE456D"/>
    <w:rsid w:val="00EE4C7E"/>
    <w:rsid w:val="00EE51DB"/>
    <w:rsid w:val="00EE556D"/>
    <w:rsid w:val="00EE5713"/>
    <w:rsid w:val="00EE5DBE"/>
    <w:rsid w:val="00EE6128"/>
    <w:rsid w:val="00EE6184"/>
    <w:rsid w:val="00EE698F"/>
    <w:rsid w:val="00EE721A"/>
    <w:rsid w:val="00EE7607"/>
    <w:rsid w:val="00EE7A2C"/>
    <w:rsid w:val="00EE7B1B"/>
    <w:rsid w:val="00EE7BEB"/>
    <w:rsid w:val="00EE7F49"/>
    <w:rsid w:val="00EF01EF"/>
    <w:rsid w:val="00EF0209"/>
    <w:rsid w:val="00EF066A"/>
    <w:rsid w:val="00EF09BD"/>
    <w:rsid w:val="00EF0E5D"/>
    <w:rsid w:val="00EF0F3B"/>
    <w:rsid w:val="00EF20F2"/>
    <w:rsid w:val="00EF2141"/>
    <w:rsid w:val="00EF2240"/>
    <w:rsid w:val="00EF3069"/>
    <w:rsid w:val="00EF33CF"/>
    <w:rsid w:val="00EF3482"/>
    <w:rsid w:val="00EF3A6B"/>
    <w:rsid w:val="00EF3D31"/>
    <w:rsid w:val="00EF3DE5"/>
    <w:rsid w:val="00EF440C"/>
    <w:rsid w:val="00EF4C4E"/>
    <w:rsid w:val="00EF51B0"/>
    <w:rsid w:val="00EF5693"/>
    <w:rsid w:val="00EF57A5"/>
    <w:rsid w:val="00EF5811"/>
    <w:rsid w:val="00EF5987"/>
    <w:rsid w:val="00EF6556"/>
    <w:rsid w:val="00EF6F14"/>
    <w:rsid w:val="00EF713B"/>
    <w:rsid w:val="00EF7A1A"/>
    <w:rsid w:val="00EF7D09"/>
    <w:rsid w:val="00EF7E24"/>
    <w:rsid w:val="00F002EF"/>
    <w:rsid w:val="00F012A8"/>
    <w:rsid w:val="00F01733"/>
    <w:rsid w:val="00F01AEA"/>
    <w:rsid w:val="00F020BB"/>
    <w:rsid w:val="00F0319D"/>
    <w:rsid w:val="00F03323"/>
    <w:rsid w:val="00F0385E"/>
    <w:rsid w:val="00F03D27"/>
    <w:rsid w:val="00F04521"/>
    <w:rsid w:val="00F04815"/>
    <w:rsid w:val="00F04BF2"/>
    <w:rsid w:val="00F04E2E"/>
    <w:rsid w:val="00F05C43"/>
    <w:rsid w:val="00F05FD2"/>
    <w:rsid w:val="00F066C8"/>
    <w:rsid w:val="00F06C0B"/>
    <w:rsid w:val="00F07089"/>
    <w:rsid w:val="00F07129"/>
    <w:rsid w:val="00F0743E"/>
    <w:rsid w:val="00F077D2"/>
    <w:rsid w:val="00F07BE2"/>
    <w:rsid w:val="00F07E6E"/>
    <w:rsid w:val="00F07F28"/>
    <w:rsid w:val="00F102EC"/>
    <w:rsid w:val="00F10548"/>
    <w:rsid w:val="00F10557"/>
    <w:rsid w:val="00F105A7"/>
    <w:rsid w:val="00F106F3"/>
    <w:rsid w:val="00F11001"/>
    <w:rsid w:val="00F117A0"/>
    <w:rsid w:val="00F1232F"/>
    <w:rsid w:val="00F12994"/>
    <w:rsid w:val="00F12D86"/>
    <w:rsid w:val="00F12DF2"/>
    <w:rsid w:val="00F13058"/>
    <w:rsid w:val="00F13B05"/>
    <w:rsid w:val="00F13F47"/>
    <w:rsid w:val="00F142D6"/>
    <w:rsid w:val="00F1431E"/>
    <w:rsid w:val="00F14642"/>
    <w:rsid w:val="00F14A46"/>
    <w:rsid w:val="00F14BCA"/>
    <w:rsid w:val="00F154D4"/>
    <w:rsid w:val="00F15AF2"/>
    <w:rsid w:val="00F15F1E"/>
    <w:rsid w:val="00F1643F"/>
    <w:rsid w:val="00F16D54"/>
    <w:rsid w:val="00F16E49"/>
    <w:rsid w:val="00F177C6"/>
    <w:rsid w:val="00F178AB"/>
    <w:rsid w:val="00F17B16"/>
    <w:rsid w:val="00F17F5B"/>
    <w:rsid w:val="00F2034E"/>
    <w:rsid w:val="00F20EA1"/>
    <w:rsid w:val="00F20F16"/>
    <w:rsid w:val="00F21290"/>
    <w:rsid w:val="00F219DB"/>
    <w:rsid w:val="00F21B53"/>
    <w:rsid w:val="00F2214E"/>
    <w:rsid w:val="00F231A1"/>
    <w:rsid w:val="00F235C1"/>
    <w:rsid w:val="00F23DBA"/>
    <w:rsid w:val="00F23E5B"/>
    <w:rsid w:val="00F23F33"/>
    <w:rsid w:val="00F24738"/>
    <w:rsid w:val="00F24A7D"/>
    <w:rsid w:val="00F25334"/>
    <w:rsid w:val="00F25416"/>
    <w:rsid w:val="00F25869"/>
    <w:rsid w:val="00F25EC4"/>
    <w:rsid w:val="00F2606A"/>
    <w:rsid w:val="00F26092"/>
    <w:rsid w:val="00F263DC"/>
    <w:rsid w:val="00F26538"/>
    <w:rsid w:val="00F26808"/>
    <w:rsid w:val="00F268A4"/>
    <w:rsid w:val="00F26EE2"/>
    <w:rsid w:val="00F270CF"/>
    <w:rsid w:val="00F270D4"/>
    <w:rsid w:val="00F273CD"/>
    <w:rsid w:val="00F277DB"/>
    <w:rsid w:val="00F27C71"/>
    <w:rsid w:val="00F27D26"/>
    <w:rsid w:val="00F27E6A"/>
    <w:rsid w:val="00F30251"/>
    <w:rsid w:val="00F30696"/>
    <w:rsid w:val="00F307CC"/>
    <w:rsid w:val="00F30BBA"/>
    <w:rsid w:val="00F31259"/>
    <w:rsid w:val="00F3131A"/>
    <w:rsid w:val="00F31584"/>
    <w:rsid w:val="00F31630"/>
    <w:rsid w:val="00F32532"/>
    <w:rsid w:val="00F3322B"/>
    <w:rsid w:val="00F34A95"/>
    <w:rsid w:val="00F34C99"/>
    <w:rsid w:val="00F34F03"/>
    <w:rsid w:val="00F35084"/>
    <w:rsid w:val="00F353F7"/>
    <w:rsid w:val="00F35CF9"/>
    <w:rsid w:val="00F36007"/>
    <w:rsid w:val="00F36162"/>
    <w:rsid w:val="00F3623B"/>
    <w:rsid w:val="00F367AD"/>
    <w:rsid w:val="00F36816"/>
    <w:rsid w:val="00F36FED"/>
    <w:rsid w:val="00F37072"/>
    <w:rsid w:val="00F400A1"/>
    <w:rsid w:val="00F40CF9"/>
    <w:rsid w:val="00F40F5F"/>
    <w:rsid w:val="00F414E2"/>
    <w:rsid w:val="00F4221B"/>
    <w:rsid w:val="00F4233C"/>
    <w:rsid w:val="00F427D5"/>
    <w:rsid w:val="00F437AD"/>
    <w:rsid w:val="00F43932"/>
    <w:rsid w:val="00F439BB"/>
    <w:rsid w:val="00F43AB0"/>
    <w:rsid w:val="00F43FCA"/>
    <w:rsid w:val="00F440AC"/>
    <w:rsid w:val="00F44640"/>
    <w:rsid w:val="00F446AD"/>
    <w:rsid w:val="00F449D7"/>
    <w:rsid w:val="00F44C0B"/>
    <w:rsid w:val="00F455B8"/>
    <w:rsid w:val="00F4573E"/>
    <w:rsid w:val="00F45F5E"/>
    <w:rsid w:val="00F461AE"/>
    <w:rsid w:val="00F46B1C"/>
    <w:rsid w:val="00F46CA0"/>
    <w:rsid w:val="00F46D8C"/>
    <w:rsid w:val="00F4715C"/>
    <w:rsid w:val="00F47D6C"/>
    <w:rsid w:val="00F47F11"/>
    <w:rsid w:val="00F50FE9"/>
    <w:rsid w:val="00F51106"/>
    <w:rsid w:val="00F517B5"/>
    <w:rsid w:val="00F51A00"/>
    <w:rsid w:val="00F51B88"/>
    <w:rsid w:val="00F52A4C"/>
    <w:rsid w:val="00F534D3"/>
    <w:rsid w:val="00F534ED"/>
    <w:rsid w:val="00F5394F"/>
    <w:rsid w:val="00F53968"/>
    <w:rsid w:val="00F53A7B"/>
    <w:rsid w:val="00F53BAF"/>
    <w:rsid w:val="00F53C00"/>
    <w:rsid w:val="00F5421D"/>
    <w:rsid w:val="00F5435E"/>
    <w:rsid w:val="00F55A8B"/>
    <w:rsid w:val="00F562BE"/>
    <w:rsid w:val="00F566BC"/>
    <w:rsid w:val="00F567A9"/>
    <w:rsid w:val="00F570FA"/>
    <w:rsid w:val="00F6005B"/>
    <w:rsid w:val="00F60458"/>
    <w:rsid w:val="00F60DF3"/>
    <w:rsid w:val="00F61026"/>
    <w:rsid w:val="00F613D5"/>
    <w:rsid w:val="00F61567"/>
    <w:rsid w:val="00F61883"/>
    <w:rsid w:val="00F61C20"/>
    <w:rsid w:val="00F62057"/>
    <w:rsid w:val="00F62582"/>
    <w:rsid w:val="00F64DC6"/>
    <w:rsid w:val="00F64F14"/>
    <w:rsid w:val="00F65084"/>
    <w:rsid w:val="00F658CB"/>
    <w:rsid w:val="00F65BCB"/>
    <w:rsid w:val="00F66466"/>
    <w:rsid w:val="00F66981"/>
    <w:rsid w:val="00F66D31"/>
    <w:rsid w:val="00F67106"/>
    <w:rsid w:val="00F674E0"/>
    <w:rsid w:val="00F67567"/>
    <w:rsid w:val="00F67C01"/>
    <w:rsid w:val="00F67C2B"/>
    <w:rsid w:val="00F709F5"/>
    <w:rsid w:val="00F7114B"/>
    <w:rsid w:val="00F719FF"/>
    <w:rsid w:val="00F71E7A"/>
    <w:rsid w:val="00F721EF"/>
    <w:rsid w:val="00F72203"/>
    <w:rsid w:val="00F72265"/>
    <w:rsid w:val="00F72301"/>
    <w:rsid w:val="00F72599"/>
    <w:rsid w:val="00F72AC2"/>
    <w:rsid w:val="00F72BF8"/>
    <w:rsid w:val="00F72F86"/>
    <w:rsid w:val="00F73ABD"/>
    <w:rsid w:val="00F74168"/>
    <w:rsid w:val="00F742F1"/>
    <w:rsid w:val="00F747FA"/>
    <w:rsid w:val="00F74871"/>
    <w:rsid w:val="00F76037"/>
    <w:rsid w:val="00F773B7"/>
    <w:rsid w:val="00F77724"/>
    <w:rsid w:val="00F7772A"/>
    <w:rsid w:val="00F777F7"/>
    <w:rsid w:val="00F77839"/>
    <w:rsid w:val="00F77995"/>
    <w:rsid w:val="00F77AB9"/>
    <w:rsid w:val="00F8097D"/>
    <w:rsid w:val="00F80A15"/>
    <w:rsid w:val="00F811B9"/>
    <w:rsid w:val="00F814F1"/>
    <w:rsid w:val="00F815CC"/>
    <w:rsid w:val="00F818AC"/>
    <w:rsid w:val="00F81A57"/>
    <w:rsid w:val="00F8246A"/>
    <w:rsid w:val="00F827E8"/>
    <w:rsid w:val="00F8285E"/>
    <w:rsid w:val="00F82FA7"/>
    <w:rsid w:val="00F8336F"/>
    <w:rsid w:val="00F8374F"/>
    <w:rsid w:val="00F83D49"/>
    <w:rsid w:val="00F83ED9"/>
    <w:rsid w:val="00F83F2C"/>
    <w:rsid w:val="00F84796"/>
    <w:rsid w:val="00F84AFC"/>
    <w:rsid w:val="00F85096"/>
    <w:rsid w:val="00F85206"/>
    <w:rsid w:val="00F856ED"/>
    <w:rsid w:val="00F8574D"/>
    <w:rsid w:val="00F85DEC"/>
    <w:rsid w:val="00F85FD9"/>
    <w:rsid w:val="00F8615F"/>
    <w:rsid w:val="00F86637"/>
    <w:rsid w:val="00F86D4E"/>
    <w:rsid w:val="00F86E6F"/>
    <w:rsid w:val="00F87BEF"/>
    <w:rsid w:val="00F902F3"/>
    <w:rsid w:val="00F90C13"/>
    <w:rsid w:val="00F90C94"/>
    <w:rsid w:val="00F90DD7"/>
    <w:rsid w:val="00F91164"/>
    <w:rsid w:val="00F9150F"/>
    <w:rsid w:val="00F91524"/>
    <w:rsid w:val="00F926A3"/>
    <w:rsid w:val="00F9270B"/>
    <w:rsid w:val="00F9275A"/>
    <w:rsid w:val="00F92AB1"/>
    <w:rsid w:val="00F92B0F"/>
    <w:rsid w:val="00F92B46"/>
    <w:rsid w:val="00F92BF6"/>
    <w:rsid w:val="00F92C57"/>
    <w:rsid w:val="00F92F53"/>
    <w:rsid w:val="00F93043"/>
    <w:rsid w:val="00F93D6C"/>
    <w:rsid w:val="00F93FCF"/>
    <w:rsid w:val="00F94068"/>
    <w:rsid w:val="00F9489A"/>
    <w:rsid w:val="00F9536B"/>
    <w:rsid w:val="00F95E59"/>
    <w:rsid w:val="00F95FD2"/>
    <w:rsid w:val="00F963DB"/>
    <w:rsid w:val="00F96489"/>
    <w:rsid w:val="00F9687C"/>
    <w:rsid w:val="00F96A63"/>
    <w:rsid w:val="00F96A71"/>
    <w:rsid w:val="00F96A7E"/>
    <w:rsid w:val="00F96ACA"/>
    <w:rsid w:val="00F96D24"/>
    <w:rsid w:val="00F97491"/>
    <w:rsid w:val="00F97BFD"/>
    <w:rsid w:val="00F97E96"/>
    <w:rsid w:val="00FA02C5"/>
    <w:rsid w:val="00FA1AEC"/>
    <w:rsid w:val="00FA26E3"/>
    <w:rsid w:val="00FA279F"/>
    <w:rsid w:val="00FA44FB"/>
    <w:rsid w:val="00FA4BF8"/>
    <w:rsid w:val="00FA5580"/>
    <w:rsid w:val="00FA56B6"/>
    <w:rsid w:val="00FA5BFC"/>
    <w:rsid w:val="00FA5F42"/>
    <w:rsid w:val="00FA620B"/>
    <w:rsid w:val="00FA6361"/>
    <w:rsid w:val="00FA69C3"/>
    <w:rsid w:val="00FA69E4"/>
    <w:rsid w:val="00FA6AAC"/>
    <w:rsid w:val="00FA6CBC"/>
    <w:rsid w:val="00FA6D48"/>
    <w:rsid w:val="00FA7EC0"/>
    <w:rsid w:val="00FB0966"/>
    <w:rsid w:val="00FB0BB2"/>
    <w:rsid w:val="00FB0CE0"/>
    <w:rsid w:val="00FB1311"/>
    <w:rsid w:val="00FB1582"/>
    <w:rsid w:val="00FB1938"/>
    <w:rsid w:val="00FB1AD3"/>
    <w:rsid w:val="00FB349A"/>
    <w:rsid w:val="00FB3790"/>
    <w:rsid w:val="00FB38BE"/>
    <w:rsid w:val="00FB3E1A"/>
    <w:rsid w:val="00FB448D"/>
    <w:rsid w:val="00FB4C36"/>
    <w:rsid w:val="00FB4E5B"/>
    <w:rsid w:val="00FB4EFB"/>
    <w:rsid w:val="00FB5808"/>
    <w:rsid w:val="00FB5AC0"/>
    <w:rsid w:val="00FB61E0"/>
    <w:rsid w:val="00FB6C88"/>
    <w:rsid w:val="00FB6DEC"/>
    <w:rsid w:val="00FB6DFE"/>
    <w:rsid w:val="00FB6F48"/>
    <w:rsid w:val="00FB73D1"/>
    <w:rsid w:val="00FB77CB"/>
    <w:rsid w:val="00FC072E"/>
    <w:rsid w:val="00FC0921"/>
    <w:rsid w:val="00FC11A9"/>
    <w:rsid w:val="00FC1ADE"/>
    <w:rsid w:val="00FC1C6F"/>
    <w:rsid w:val="00FC1DE2"/>
    <w:rsid w:val="00FC20DE"/>
    <w:rsid w:val="00FC2462"/>
    <w:rsid w:val="00FC25F7"/>
    <w:rsid w:val="00FC266E"/>
    <w:rsid w:val="00FC2921"/>
    <w:rsid w:val="00FC2F18"/>
    <w:rsid w:val="00FC30E2"/>
    <w:rsid w:val="00FC3A30"/>
    <w:rsid w:val="00FC3A4E"/>
    <w:rsid w:val="00FC3B2B"/>
    <w:rsid w:val="00FC3CC4"/>
    <w:rsid w:val="00FC3E24"/>
    <w:rsid w:val="00FC4E66"/>
    <w:rsid w:val="00FC5178"/>
    <w:rsid w:val="00FC5249"/>
    <w:rsid w:val="00FC5445"/>
    <w:rsid w:val="00FC551E"/>
    <w:rsid w:val="00FC5613"/>
    <w:rsid w:val="00FC5790"/>
    <w:rsid w:val="00FC5D6A"/>
    <w:rsid w:val="00FC6969"/>
    <w:rsid w:val="00FC6A12"/>
    <w:rsid w:val="00FC6D98"/>
    <w:rsid w:val="00FC6DD7"/>
    <w:rsid w:val="00FC759D"/>
    <w:rsid w:val="00FC7811"/>
    <w:rsid w:val="00FD039F"/>
    <w:rsid w:val="00FD0721"/>
    <w:rsid w:val="00FD1153"/>
    <w:rsid w:val="00FD13D5"/>
    <w:rsid w:val="00FD1995"/>
    <w:rsid w:val="00FD1FF6"/>
    <w:rsid w:val="00FD25E1"/>
    <w:rsid w:val="00FD2D75"/>
    <w:rsid w:val="00FD32CB"/>
    <w:rsid w:val="00FD37BD"/>
    <w:rsid w:val="00FD3C86"/>
    <w:rsid w:val="00FD3CAB"/>
    <w:rsid w:val="00FD40FF"/>
    <w:rsid w:val="00FD4A49"/>
    <w:rsid w:val="00FD4B8A"/>
    <w:rsid w:val="00FD56F2"/>
    <w:rsid w:val="00FD5E1C"/>
    <w:rsid w:val="00FD62AF"/>
    <w:rsid w:val="00FD62EB"/>
    <w:rsid w:val="00FD6327"/>
    <w:rsid w:val="00FD63DF"/>
    <w:rsid w:val="00FD7339"/>
    <w:rsid w:val="00FD7945"/>
    <w:rsid w:val="00FD7B9D"/>
    <w:rsid w:val="00FE01AC"/>
    <w:rsid w:val="00FE02C1"/>
    <w:rsid w:val="00FE0B54"/>
    <w:rsid w:val="00FE0B5C"/>
    <w:rsid w:val="00FE1880"/>
    <w:rsid w:val="00FE1C18"/>
    <w:rsid w:val="00FE1EB0"/>
    <w:rsid w:val="00FE2075"/>
    <w:rsid w:val="00FE23B0"/>
    <w:rsid w:val="00FE3E44"/>
    <w:rsid w:val="00FE3F8E"/>
    <w:rsid w:val="00FE47ED"/>
    <w:rsid w:val="00FE4AAD"/>
    <w:rsid w:val="00FE522B"/>
    <w:rsid w:val="00FE5330"/>
    <w:rsid w:val="00FE56BF"/>
    <w:rsid w:val="00FE61DC"/>
    <w:rsid w:val="00FE6537"/>
    <w:rsid w:val="00FE67D0"/>
    <w:rsid w:val="00FE6D54"/>
    <w:rsid w:val="00FE782B"/>
    <w:rsid w:val="00FE7B01"/>
    <w:rsid w:val="00FE7D33"/>
    <w:rsid w:val="00FF00BF"/>
    <w:rsid w:val="00FF081E"/>
    <w:rsid w:val="00FF0D09"/>
    <w:rsid w:val="00FF1187"/>
    <w:rsid w:val="00FF13A1"/>
    <w:rsid w:val="00FF145C"/>
    <w:rsid w:val="00FF1BBA"/>
    <w:rsid w:val="00FF2151"/>
    <w:rsid w:val="00FF2213"/>
    <w:rsid w:val="00FF2318"/>
    <w:rsid w:val="00FF2403"/>
    <w:rsid w:val="00FF26EE"/>
    <w:rsid w:val="00FF2EC1"/>
    <w:rsid w:val="00FF3102"/>
    <w:rsid w:val="00FF3329"/>
    <w:rsid w:val="00FF3BB6"/>
    <w:rsid w:val="00FF41D8"/>
    <w:rsid w:val="00FF47A3"/>
    <w:rsid w:val="00FF4D23"/>
    <w:rsid w:val="00FF602B"/>
    <w:rsid w:val="00FF6353"/>
    <w:rsid w:val="00FF657E"/>
    <w:rsid w:val="00FF65F1"/>
    <w:rsid w:val="00FF704A"/>
    <w:rsid w:val="00FF7065"/>
    <w:rsid w:val="00FF7512"/>
    <w:rsid w:val="00FF7877"/>
    <w:rsid w:val="00FF7FC8"/>
    <w:rsid w:val="010D7DD7"/>
    <w:rsid w:val="01396E1E"/>
    <w:rsid w:val="01457570"/>
    <w:rsid w:val="01C20BC1"/>
    <w:rsid w:val="024F656F"/>
    <w:rsid w:val="03125B78"/>
    <w:rsid w:val="05D9038E"/>
    <w:rsid w:val="060C7796"/>
    <w:rsid w:val="06507E65"/>
    <w:rsid w:val="06B55883"/>
    <w:rsid w:val="0701218C"/>
    <w:rsid w:val="073D2F92"/>
    <w:rsid w:val="07574D9C"/>
    <w:rsid w:val="07DE090C"/>
    <w:rsid w:val="08290F2E"/>
    <w:rsid w:val="085F1E58"/>
    <w:rsid w:val="086207CA"/>
    <w:rsid w:val="08E458C1"/>
    <w:rsid w:val="08E7715F"/>
    <w:rsid w:val="08EE6740"/>
    <w:rsid w:val="0906165B"/>
    <w:rsid w:val="09300E18"/>
    <w:rsid w:val="09647D8F"/>
    <w:rsid w:val="0972111F"/>
    <w:rsid w:val="09DD6867"/>
    <w:rsid w:val="0A026946"/>
    <w:rsid w:val="0A1F007C"/>
    <w:rsid w:val="0A2A7FE0"/>
    <w:rsid w:val="0A410AF1"/>
    <w:rsid w:val="0A777171"/>
    <w:rsid w:val="0A856C30"/>
    <w:rsid w:val="0AF0634E"/>
    <w:rsid w:val="0B6D4760"/>
    <w:rsid w:val="0B8339ED"/>
    <w:rsid w:val="0BDC2E3E"/>
    <w:rsid w:val="0C290BC7"/>
    <w:rsid w:val="0CA737D5"/>
    <w:rsid w:val="0CBB6000"/>
    <w:rsid w:val="0CCE34EE"/>
    <w:rsid w:val="0CE410C9"/>
    <w:rsid w:val="0D1501C9"/>
    <w:rsid w:val="0D4B14D3"/>
    <w:rsid w:val="0E165CA5"/>
    <w:rsid w:val="0E21353B"/>
    <w:rsid w:val="0E4842B3"/>
    <w:rsid w:val="0E5369F5"/>
    <w:rsid w:val="0EA80944"/>
    <w:rsid w:val="0EC20200"/>
    <w:rsid w:val="0F113188"/>
    <w:rsid w:val="0FC1695C"/>
    <w:rsid w:val="0FD06B9F"/>
    <w:rsid w:val="10046336"/>
    <w:rsid w:val="10190EEA"/>
    <w:rsid w:val="1039184C"/>
    <w:rsid w:val="11144CCC"/>
    <w:rsid w:val="11421D1E"/>
    <w:rsid w:val="115832F0"/>
    <w:rsid w:val="12105979"/>
    <w:rsid w:val="12376BEA"/>
    <w:rsid w:val="1238019B"/>
    <w:rsid w:val="125A2CD3"/>
    <w:rsid w:val="12803108"/>
    <w:rsid w:val="13613ABC"/>
    <w:rsid w:val="13655850"/>
    <w:rsid w:val="13857CA0"/>
    <w:rsid w:val="139A265D"/>
    <w:rsid w:val="13B778F0"/>
    <w:rsid w:val="13C466F1"/>
    <w:rsid w:val="13C52DC7"/>
    <w:rsid w:val="14185704"/>
    <w:rsid w:val="14665D24"/>
    <w:rsid w:val="1473228E"/>
    <w:rsid w:val="14C33176"/>
    <w:rsid w:val="14CC7C00"/>
    <w:rsid w:val="14D27A24"/>
    <w:rsid w:val="153951E6"/>
    <w:rsid w:val="15BD7BC5"/>
    <w:rsid w:val="161D2A4D"/>
    <w:rsid w:val="16426A1B"/>
    <w:rsid w:val="16A973E8"/>
    <w:rsid w:val="1717516A"/>
    <w:rsid w:val="172911EC"/>
    <w:rsid w:val="173F6692"/>
    <w:rsid w:val="17E82DB7"/>
    <w:rsid w:val="189F35B2"/>
    <w:rsid w:val="18C92972"/>
    <w:rsid w:val="1A605254"/>
    <w:rsid w:val="1A746368"/>
    <w:rsid w:val="1A9F789A"/>
    <w:rsid w:val="1AA87BD2"/>
    <w:rsid w:val="1C263325"/>
    <w:rsid w:val="1D554B87"/>
    <w:rsid w:val="1E2C09AB"/>
    <w:rsid w:val="1E935967"/>
    <w:rsid w:val="1F5C52A3"/>
    <w:rsid w:val="1F795899"/>
    <w:rsid w:val="1FD40BF1"/>
    <w:rsid w:val="20261070"/>
    <w:rsid w:val="205F23C3"/>
    <w:rsid w:val="20D74DDE"/>
    <w:rsid w:val="20D84460"/>
    <w:rsid w:val="20F55B55"/>
    <w:rsid w:val="21442F49"/>
    <w:rsid w:val="21795C7B"/>
    <w:rsid w:val="218B501C"/>
    <w:rsid w:val="22F34C27"/>
    <w:rsid w:val="242179DA"/>
    <w:rsid w:val="246761DA"/>
    <w:rsid w:val="24EA2059"/>
    <w:rsid w:val="2560231B"/>
    <w:rsid w:val="25B05051"/>
    <w:rsid w:val="26692359"/>
    <w:rsid w:val="270277E7"/>
    <w:rsid w:val="27B16E5E"/>
    <w:rsid w:val="280327F3"/>
    <w:rsid w:val="281335CC"/>
    <w:rsid w:val="28550131"/>
    <w:rsid w:val="288325A9"/>
    <w:rsid w:val="289E3C55"/>
    <w:rsid w:val="289E3CB5"/>
    <w:rsid w:val="292672D4"/>
    <w:rsid w:val="2AF8398E"/>
    <w:rsid w:val="2AFB4FC0"/>
    <w:rsid w:val="2B3050F9"/>
    <w:rsid w:val="2B696A33"/>
    <w:rsid w:val="2C051F5E"/>
    <w:rsid w:val="2C637341"/>
    <w:rsid w:val="2CF84D34"/>
    <w:rsid w:val="2D200796"/>
    <w:rsid w:val="2D6A3F24"/>
    <w:rsid w:val="2D716A26"/>
    <w:rsid w:val="2DC80278"/>
    <w:rsid w:val="2DE83A3A"/>
    <w:rsid w:val="2DFC4DDB"/>
    <w:rsid w:val="2E1F5933"/>
    <w:rsid w:val="2EC767E9"/>
    <w:rsid w:val="2F2B1BEC"/>
    <w:rsid w:val="2FC76FBB"/>
    <w:rsid w:val="30801AC4"/>
    <w:rsid w:val="308A5DD7"/>
    <w:rsid w:val="319B1E4E"/>
    <w:rsid w:val="31D37F49"/>
    <w:rsid w:val="321D6FE5"/>
    <w:rsid w:val="324F174E"/>
    <w:rsid w:val="327318E0"/>
    <w:rsid w:val="32AC6B69"/>
    <w:rsid w:val="33376F4A"/>
    <w:rsid w:val="3345408F"/>
    <w:rsid w:val="34B424E6"/>
    <w:rsid w:val="34CF7D73"/>
    <w:rsid w:val="34E268A9"/>
    <w:rsid w:val="3529272A"/>
    <w:rsid w:val="353E42CE"/>
    <w:rsid w:val="35A563B0"/>
    <w:rsid w:val="36002765"/>
    <w:rsid w:val="3667350A"/>
    <w:rsid w:val="3686688B"/>
    <w:rsid w:val="36EB330F"/>
    <w:rsid w:val="37B502A5"/>
    <w:rsid w:val="37BE0F45"/>
    <w:rsid w:val="380B09E4"/>
    <w:rsid w:val="38C22C79"/>
    <w:rsid w:val="39346C81"/>
    <w:rsid w:val="39BF540B"/>
    <w:rsid w:val="3A4E1641"/>
    <w:rsid w:val="3A5E2E76"/>
    <w:rsid w:val="3A881CA1"/>
    <w:rsid w:val="3A8D5671"/>
    <w:rsid w:val="3A932EBB"/>
    <w:rsid w:val="3C94492D"/>
    <w:rsid w:val="3CE2756C"/>
    <w:rsid w:val="3D0F2205"/>
    <w:rsid w:val="3D5C388A"/>
    <w:rsid w:val="3D842BF3"/>
    <w:rsid w:val="3E1C2E2C"/>
    <w:rsid w:val="3E5A3954"/>
    <w:rsid w:val="3EA15EE7"/>
    <w:rsid w:val="3EA710F9"/>
    <w:rsid w:val="3F0F2990"/>
    <w:rsid w:val="3F227025"/>
    <w:rsid w:val="41173D7E"/>
    <w:rsid w:val="411A5A05"/>
    <w:rsid w:val="413606A8"/>
    <w:rsid w:val="414904A5"/>
    <w:rsid w:val="42B7367B"/>
    <w:rsid w:val="442055BD"/>
    <w:rsid w:val="453666E3"/>
    <w:rsid w:val="45596713"/>
    <w:rsid w:val="45EF7078"/>
    <w:rsid w:val="466B2BA2"/>
    <w:rsid w:val="46A577E4"/>
    <w:rsid w:val="46F55035"/>
    <w:rsid w:val="47501768"/>
    <w:rsid w:val="475950F1"/>
    <w:rsid w:val="47641DC7"/>
    <w:rsid w:val="47651B77"/>
    <w:rsid w:val="478974E3"/>
    <w:rsid w:val="47995DCD"/>
    <w:rsid w:val="47F72214"/>
    <w:rsid w:val="47FB61A8"/>
    <w:rsid w:val="487B4BF3"/>
    <w:rsid w:val="48967C7F"/>
    <w:rsid w:val="48A4054C"/>
    <w:rsid w:val="48B87BF5"/>
    <w:rsid w:val="48DD58AD"/>
    <w:rsid w:val="493D129C"/>
    <w:rsid w:val="49C9591E"/>
    <w:rsid w:val="49E65525"/>
    <w:rsid w:val="4A36138F"/>
    <w:rsid w:val="4A673681"/>
    <w:rsid w:val="4A9D1E36"/>
    <w:rsid w:val="4AB3357B"/>
    <w:rsid w:val="4AF8077D"/>
    <w:rsid w:val="4BCE29F7"/>
    <w:rsid w:val="4BD765E4"/>
    <w:rsid w:val="4D13189E"/>
    <w:rsid w:val="4D3A37DB"/>
    <w:rsid w:val="4DB415C8"/>
    <w:rsid w:val="4E74636C"/>
    <w:rsid w:val="4ED43CAB"/>
    <w:rsid w:val="4F7379C3"/>
    <w:rsid w:val="4FD80B7D"/>
    <w:rsid w:val="500F5A41"/>
    <w:rsid w:val="50642410"/>
    <w:rsid w:val="50B21982"/>
    <w:rsid w:val="51121E6C"/>
    <w:rsid w:val="511E278C"/>
    <w:rsid w:val="528523B0"/>
    <w:rsid w:val="535D0132"/>
    <w:rsid w:val="541303D5"/>
    <w:rsid w:val="541C0E3A"/>
    <w:rsid w:val="54437D45"/>
    <w:rsid w:val="54A15393"/>
    <w:rsid w:val="55540A0D"/>
    <w:rsid w:val="555E7D76"/>
    <w:rsid w:val="55A831A6"/>
    <w:rsid w:val="56020701"/>
    <w:rsid w:val="56113491"/>
    <w:rsid w:val="56474B1D"/>
    <w:rsid w:val="567770A7"/>
    <w:rsid w:val="56903F5F"/>
    <w:rsid w:val="56DE5B42"/>
    <w:rsid w:val="56E821B5"/>
    <w:rsid w:val="57664335"/>
    <w:rsid w:val="582941A3"/>
    <w:rsid w:val="58626CF5"/>
    <w:rsid w:val="586316C4"/>
    <w:rsid w:val="58684954"/>
    <w:rsid w:val="58A0024F"/>
    <w:rsid w:val="58EF2522"/>
    <w:rsid w:val="594159E5"/>
    <w:rsid w:val="5A153E74"/>
    <w:rsid w:val="5ABA3CA0"/>
    <w:rsid w:val="5AC20D8A"/>
    <w:rsid w:val="5AE8674D"/>
    <w:rsid w:val="5B370E4D"/>
    <w:rsid w:val="5BE96B00"/>
    <w:rsid w:val="5BF136F2"/>
    <w:rsid w:val="5C0F231B"/>
    <w:rsid w:val="5C621EFA"/>
    <w:rsid w:val="5D481B17"/>
    <w:rsid w:val="5D621140"/>
    <w:rsid w:val="5D6D2855"/>
    <w:rsid w:val="5D867E6A"/>
    <w:rsid w:val="5DC74F93"/>
    <w:rsid w:val="5DE16A92"/>
    <w:rsid w:val="5DEA73A2"/>
    <w:rsid w:val="5E0E772A"/>
    <w:rsid w:val="5E362F0B"/>
    <w:rsid w:val="5E9D190F"/>
    <w:rsid w:val="5F051C85"/>
    <w:rsid w:val="5FAE0E5F"/>
    <w:rsid w:val="609A5D77"/>
    <w:rsid w:val="60CC2038"/>
    <w:rsid w:val="60ED3B56"/>
    <w:rsid w:val="610F0176"/>
    <w:rsid w:val="61720DAB"/>
    <w:rsid w:val="617D1584"/>
    <w:rsid w:val="61C03E43"/>
    <w:rsid w:val="61CE3B8D"/>
    <w:rsid w:val="629D1EDE"/>
    <w:rsid w:val="62A911C3"/>
    <w:rsid w:val="62B22B7C"/>
    <w:rsid w:val="63251ED3"/>
    <w:rsid w:val="635665E4"/>
    <w:rsid w:val="63927420"/>
    <w:rsid w:val="63BA086D"/>
    <w:rsid w:val="63D336DD"/>
    <w:rsid w:val="643C74D4"/>
    <w:rsid w:val="646C194A"/>
    <w:rsid w:val="646D1D84"/>
    <w:rsid w:val="65D06126"/>
    <w:rsid w:val="661F65EF"/>
    <w:rsid w:val="66301079"/>
    <w:rsid w:val="663366B5"/>
    <w:rsid w:val="663606A0"/>
    <w:rsid w:val="66666A8A"/>
    <w:rsid w:val="66680A54"/>
    <w:rsid w:val="66794A10"/>
    <w:rsid w:val="668F4233"/>
    <w:rsid w:val="67B87541"/>
    <w:rsid w:val="68080E6A"/>
    <w:rsid w:val="680C4CB4"/>
    <w:rsid w:val="686B482C"/>
    <w:rsid w:val="6881195A"/>
    <w:rsid w:val="68D76D7C"/>
    <w:rsid w:val="694E2184"/>
    <w:rsid w:val="69942B10"/>
    <w:rsid w:val="6A46671D"/>
    <w:rsid w:val="6A923CF1"/>
    <w:rsid w:val="6B064398"/>
    <w:rsid w:val="6B105217"/>
    <w:rsid w:val="6B387DCC"/>
    <w:rsid w:val="6B3E6533"/>
    <w:rsid w:val="6BA11F09"/>
    <w:rsid w:val="6C101852"/>
    <w:rsid w:val="6C1E3A57"/>
    <w:rsid w:val="6C946514"/>
    <w:rsid w:val="6CBC6118"/>
    <w:rsid w:val="6CCD080F"/>
    <w:rsid w:val="6CE557BD"/>
    <w:rsid w:val="6D837F22"/>
    <w:rsid w:val="6DDA2238"/>
    <w:rsid w:val="6DE704B1"/>
    <w:rsid w:val="6DEC3D19"/>
    <w:rsid w:val="6E3F653F"/>
    <w:rsid w:val="6E4448A1"/>
    <w:rsid w:val="6EB02F99"/>
    <w:rsid w:val="6EFA2466"/>
    <w:rsid w:val="6F7748A7"/>
    <w:rsid w:val="6F8739CA"/>
    <w:rsid w:val="700A0487"/>
    <w:rsid w:val="706109EE"/>
    <w:rsid w:val="706202C3"/>
    <w:rsid w:val="70B56644"/>
    <w:rsid w:val="70CC1BE0"/>
    <w:rsid w:val="713E4EC0"/>
    <w:rsid w:val="71551BD5"/>
    <w:rsid w:val="71601728"/>
    <w:rsid w:val="717A163C"/>
    <w:rsid w:val="71916451"/>
    <w:rsid w:val="72534E9D"/>
    <w:rsid w:val="731437CB"/>
    <w:rsid w:val="73155BD6"/>
    <w:rsid w:val="73267CCD"/>
    <w:rsid w:val="73AB60DD"/>
    <w:rsid w:val="73DE4104"/>
    <w:rsid w:val="7530273D"/>
    <w:rsid w:val="75471C28"/>
    <w:rsid w:val="75CC7809"/>
    <w:rsid w:val="76036E05"/>
    <w:rsid w:val="76083B2D"/>
    <w:rsid w:val="76BF71EE"/>
    <w:rsid w:val="76F1414E"/>
    <w:rsid w:val="77562203"/>
    <w:rsid w:val="77900C69"/>
    <w:rsid w:val="77D777E8"/>
    <w:rsid w:val="77DA4962"/>
    <w:rsid w:val="780954C8"/>
    <w:rsid w:val="796F65E1"/>
    <w:rsid w:val="798474FC"/>
    <w:rsid w:val="79E157E7"/>
    <w:rsid w:val="7A5C5D83"/>
    <w:rsid w:val="7AEC5F63"/>
    <w:rsid w:val="7C6525CC"/>
    <w:rsid w:val="7C7326A1"/>
    <w:rsid w:val="7CA26617"/>
    <w:rsid w:val="7CEA1D6C"/>
    <w:rsid w:val="7D4F4AFF"/>
    <w:rsid w:val="7D6E474B"/>
    <w:rsid w:val="7DC607F5"/>
    <w:rsid w:val="7DEE13E8"/>
    <w:rsid w:val="7E855693"/>
    <w:rsid w:val="7EA22840"/>
    <w:rsid w:val="7F2063D5"/>
    <w:rsid w:val="7FAB54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ocked="1"/>
    <w:lsdException w:qFormat="1" w:unhideWhenUsed="0" w:uiPriority="99" w:semiHidden="0" w:name="envelope address"/>
    <w:lsdException w:qFormat="1" w:unhideWhenUsed="0" w:uiPriority="99" w:semiHidden="0" w:name="envelope return"/>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ocked="1"/>
    <w:lsdException w:unhideWhenUsed="0" w:uiPriority="0" w:semiHidden="0" w:name="macro" w:locked="1"/>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148"/>
    <w:qFormat/>
    <w:uiPriority w:val="99"/>
    <w:pPr>
      <w:keepNext w:val="0"/>
      <w:keepLines w:val="0"/>
      <w:tabs>
        <w:tab w:val="left" w:pos="426"/>
      </w:tabs>
      <w:spacing w:before="340" w:after="330" w:line="300" w:lineRule="auto"/>
      <w:jc w:val="center"/>
      <w:outlineLvl w:val="0"/>
    </w:pPr>
    <w:rPr>
      <w:rFonts w:eastAsia="黑体"/>
      <w:kern w:val="44"/>
      <w:sz w:val="28"/>
      <w:szCs w:val="28"/>
    </w:rPr>
  </w:style>
  <w:style w:type="paragraph" w:styleId="5">
    <w:name w:val="heading 2"/>
    <w:basedOn w:val="3"/>
    <w:next w:val="4"/>
    <w:link w:val="149"/>
    <w:qFormat/>
    <w:uiPriority w:val="99"/>
    <w:pPr>
      <w:tabs>
        <w:tab w:val="left" w:pos="426"/>
      </w:tabs>
      <w:textAlignment w:val="baseline"/>
      <w:outlineLvl w:val="1"/>
    </w:pPr>
    <w:rPr>
      <w:bCs w:val="0"/>
      <w:kern w:val="0"/>
      <w:szCs w:val="20"/>
    </w:rPr>
  </w:style>
  <w:style w:type="paragraph" w:styleId="3">
    <w:name w:val="heading 3"/>
    <w:basedOn w:val="4"/>
    <w:next w:val="1"/>
    <w:link w:val="150"/>
    <w:qFormat/>
    <w:uiPriority w:val="99"/>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151"/>
    <w:qFormat/>
    <w:uiPriority w:val="99"/>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52"/>
    <w:qFormat/>
    <w:uiPriority w:val="99"/>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7"/>
    <w:link w:val="153"/>
    <w:qFormat/>
    <w:uiPriority w:val="99"/>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7"/>
    <w:link w:val="154"/>
    <w:qFormat/>
    <w:uiPriority w:val="99"/>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7"/>
    <w:link w:val="155"/>
    <w:qFormat/>
    <w:uiPriority w:val="99"/>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7"/>
    <w:link w:val="156"/>
    <w:qFormat/>
    <w:uiPriority w:val="99"/>
    <w:pPr>
      <w:keepNext/>
      <w:keepLines/>
      <w:spacing w:before="240" w:after="64" w:line="320" w:lineRule="auto"/>
      <w:outlineLvl w:val="8"/>
    </w:pPr>
    <w:rPr>
      <w:rFonts w:ascii="Arial" w:hAnsi="Arial" w:eastAsia="黑体" w:cs="Times New Roman"/>
      <w:kern w:val="2"/>
      <w:szCs w:val="20"/>
    </w:rPr>
  </w:style>
  <w:style w:type="character" w:default="1" w:styleId="130">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85"/>
    <w:qFormat/>
    <w:uiPriority w:val="99"/>
    <w:pPr>
      <w:ind w:firstLine="420"/>
    </w:pPr>
    <w:rPr>
      <w:rFonts w:ascii="Times New Roman" w:hAnsi="Times New Roman" w:cs="Times New Roman"/>
      <w:kern w:val="2"/>
      <w:szCs w:val="20"/>
    </w:rPr>
  </w:style>
  <w:style w:type="paragraph" w:styleId="12">
    <w:name w:val="List 3"/>
    <w:basedOn w:val="1"/>
    <w:qFormat/>
    <w:uiPriority w:val="99"/>
    <w:pPr>
      <w:widowControl w:val="0"/>
      <w:shd w:val="clear" w:color="auto" w:fill="auto"/>
      <w:tabs>
        <w:tab w:val="clear" w:pos="426"/>
      </w:tabs>
      <w:adjustRightInd/>
      <w:snapToGrid/>
      <w:spacing w:line="240" w:lineRule="auto"/>
      <w:ind w:left="100" w:leftChars="400" w:hanging="200" w:hangingChars="200"/>
    </w:pPr>
    <w:rPr>
      <w:rFonts w:ascii="Times New Roman" w:hAnsi="Times New Roman" w:cs="Times New Roman"/>
      <w:kern w:val="2"/>
    </w:rPr>
  </w:style>
  <w:style w:type="paragraph" w:styleId="13">
    <w:name w:val="toc 7"/>
    <w:basedOn w:val="1"/>
    <w:next w:val="1"/>
    <w:autoRedefine/>
    <w:semiHidden/>
    <w:qFormat/>
    <w:uiPriority w:val="99"/>
    <w:pPr>
      <w:ind w:left="1260"/>
      <w:jc w:val="left"/>
    </w:pPr>
    <w:rPr>
      <w:szCs w:val="21"/>
    </w:rPr>
  </w:style>
  <w:style w:type="paragraph" w:styleId="14">
    <w:name w:val="List Number 2"/>
    <w:basedOn w:val="1"/>
    <w:qFormat/>
    <w:uiPriority w:val="99"/>
    <w:pPr>
      <w:tabs>
        <w:tab w:val="left" w:pos="820"/>
      </w:tabs>
      <w:spacing w:afterLines="50"/>
      <w:ind w:left="988" w:hanging="420"/>
    </w:pPr>
    <w:rPr>
      <w:sz w:val="24"/>
      <w:szCs w:val="20"/>
    </w:rPr>
  </w:style>
  <w:style w:type="paragraph" w:styleId="15">
    <w:name w:val="Note Heading"/>
    <w:basedOn w:val="1"/>
    <w:next w:val="1"/>
    <w:link w:val="157"/>
    <w:qFormat/>
    <w:uiPriority w:val="99"/>
    <w:pPr>
      <w:widowControl w:val="0"/>
      <w:shd w:val="clear" w:color="auto" w:fill="auto"/>
      <w:tabs>
        <w:tab w:val="clear" w:pos="426"/>
      </w:tabs>
      <w:adjustRightInd/>
      <w:snapToGrid/>
      <w:spacing w:line="240" w:lineRule="auto"/>
      <w:jc w:val="center"/>
    </w:pPr>
    <w:rPr>
      <w:rFonts w:ascii="Times New Roman" w:hAnsi="Times New Roman" w:cs="Times New Roman"/>
      <w:kern w:val="2"/>
    </w:rPr>
  </w:style>
  <w:style w:type="paragraph" w:styleId="16">
    <w:name w:val="List Bullet 4"/>
    <w:basedOn w:val="1"/>
    <w:qFormat/>
    <w:uiPriority w:val="99"/>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17">
    <w:name w:val="index 8"/>
    <w:basedOn w:val="1"/>
    <w:next w:val="1"/>
    <w:autoRedefine/>
    <w:semiHidden/>
    <w:qFormat/>
    <w:uiPriority w:val="99"/>
    <w:pPr>
      <w:widowControl w:val="0"/>
      <w:shd w:val="clear" w:color="auto" w:fill="auto"/>
      <w:tabs>
        <w:tab w:val="clear" w:pos="426"/>
      </w:tabs>
      <w:adjustRightInd/>
      <w:snapToGrid/>
      <w:spacing w:line="240" w:lineRule="auto"/>
      <w:ind w:left="1680" w:hanging="210"/>
      <w:jc w:val="left"/>
    </w:pPr>
    <w:rPr>
      <w:rFonts w:ascii="Times New Roman" w:hAnsi="Times New Roman" w:cs="Times New Roman"/>
      <w:kern w:val="2"/>
      <w:sz w:val="20"/>
      <w:szCs w:val="20"/>
    </w:rPr>
  </w:style>
  <w:style w:type="paragraph" w:styleId="18">
    <w:name w:val="E-mail Signature"/>
    <w:basedOn w:val="1"/>
    <w:link w:val="158"/>
    <w:qFormat/>
    <w:uiPriority w:val="99"/>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19">
    <w:name w:val="List Number"/>
    <w:basedOn w:val="1"/>
    <w:qFormat/>
    <w:uiPriority w:val="99"/>
    <w:pPr>
      <w:widowControl w:val="0"/>
      <w:shd w:val="clear" w:color="auto" w:fill="auto"/>
      <w:tabs>
        <w:tab w:val="left" w:pos="360"/>
        <w:tab w:val="clear" w:pos="426"/>
      </w:tabs>
      <w:adjustRightInd/>
      <w:snapToGrid/>
      <w:spacing w:line="240" w:lineRule="auto"/>
      <w:ind w:left="360" w:hanging="360"/>
    </w:pPr>
    <w:rPr>
      <w:rFonts w:ascii="Times New Roman" w:hAnsi="Times New Roman" w:cs="Times New Roman"/>
      <w:kern w:val="2"/>
    </w:rPr>
  </w:style>
  <w:style w:type="paragraph" w:styleId="20">
    <w:name w:val="caption"/>
    <w:basedOn w:val="1"/>
    <w:next w:val="1"/>
    <w:qFormat/>
    <w:uiPriority w:val="99"/>
    <w:rPr>
      <w:rFonts w:ascii="Arial" w:hAnsi="Arial" w:eastAsia="黑体" w:cs="Arial"/>
      <w:sz w:val="20"/>
      <w:szCs w:val="20"/>
    </w:rPr>
  </w:style>
  <w:style w:type="paragraph" w:styleId="21">
    <w:name w:val="index 5"/>
    <w:basedOn w:val="1"/>
    <w:next w:val="1"/>
    <w:autoRedefine/>
    <w:semiHidden/>
    <w:qFormat/>
    <w:uiPriority w:val="99"/>
    <w:pPr>
      <w:widowControl w:val="0"/>
      <w:shd w:val="clear" w:color="auto" w:fill="auto"/>
      <w:tabs>
        <w:tab w:val="clear" w:pos="426"/>
      </w:tabs>
      <w:adjustRightInd/>
      <w:snapToGrid/>
      <w:spacing w:line="240" w:lineRule="auto"/>
      <w:ind w:left="1050" w:hanging="210"/>
      <w:jc w:val="left"/>
    </w:pPr>
    <w:rPr>
      <w:rFonts w:ascii="Times New Roman" w:hAnsi="Times New Roman" w:cs="Times New Roman"/>
      <w:kern w:val="2"/>
      <w:sz w:val="20"/>
      <w:szCs w:val="20"/>
    </w:rPr>
  </w:style>
  <w:style w:type="paragraph" w:styleId="22">
    <w:name w:val="List Bullet"/>
    <w:basedOn w:val="1"/>
    <w:qFormat/>
    <w:uiPriority w:val="99"/>
    <w:pPr>
      <w:tabs>
        <w:tab w:val="left" w:pos="360"/>
      </w:tabs>
      <w:ind w:left="360" w:hanging="360" w:hangingChars="200"/>
    </w:pPr>
    <w:rPr>
      <w:szCs w:val="20"/>
    </w:rPr>
  </w:style>
  <w:style w:type="paragraph" w:styleId="23">
    <w:name w:val="envelope address"/>
    <w:basedOn w:val="1"/>
    <w:qFormat/>
    <w:uiPriority w:val="99"/>
    <w:pPr>
      <w:framePr w:w="7920" w:h="1980" w:hRule="exact" w:hSpace="180" w:wrap="auto" w:vAnchor="margin" w:hAnchor="page" w:xAlign="center" w:yAlign="bottom"/>
      <w:widowControl w:val="0"/>
      <w:shd w:val="clear" w:color="auto" w:fill="auto"/>
      <w:tabs>
        <w:tab w:val="clear" w:pos="426"/>
      </w:tabs>
      <w:adjustRightInd/>
      <w:spacing w:line="240" w:lineRule="auto"/>
      <w:ind w:left="100" w:leftChars="1400"/>
    </w:pPr>
    <w:rPr>
      <w:rFonts w:ascii="Arial" w:hAnsi="Arial" w:cs="Arial"/>
      <w:kern w:val="2"/>
      <w:sz w:val="24"/>
    </w:rPr>
  </w:style>
  <w:style w:type="paragraph" w:styleId="24">
    <w:name w:val="Document Map"/>
    <w:basedOn w:val="1"/>
    <w:link w:val="159"/>
    <w:semiHidden/>
    <w:qFormat/>
    <w:uiPriority w:val="99"/>
    <w:pPr>
      <w:shd w:val="clear" w:color="auto" w:fill="000080"/>
    </w:pPr>
    <w:rPr>
      <w:rFonts w:ascii="Times New Roman" w:hAnsi="Times New Roman" w:cs="Times New Roman"/>
      <w:kern w:val="2"/>
    </w:rPr>
  </w:style>
  <w:style w:type="paragraph" w:styleId="25">
    <w:name w:val="toa heading"/>
    <w:basedOn w:val="1"/>
    <w:next w:val="1"/>
    <w:semiHidden/>
    <w:qFormat/>
    <w:uiPriority w:val="99"/>
    <w:pPr>
      <w:spacing w:before="120"/>
    </w:pPr>
    <w:rPr>
      <w:rFonts w:ascii="Arial" w:hAnsi="Arial"/>
      <w:sz w:val="24"/>
      <w:szCs w:val="20"/>
    </w:rPr>
  </w:style>
  <w:style w:type="paragraph" w:styleId="26">
    <w:name w:val="annotation text"/>
    <w:basedOn w:val="1"/>
    <w:link w:val="160"/>
    <w:semiHidden/>
    <w:qFormat/>
    <w:uiPriority w:val="99"/>
    <w:pPr>
      <w:autoSpaceDE w:val="0"/>
      <w:autoSpaceDN w:val="0"/>
      <w:jc w:val="left"/>
      <w:textAlignment w:val="baseline"/>
    </w:pPr>
    <w:rPr>
      <w:rFonts w:hAnsi="Times New Roman" w:cs="Times New Roman"/>
      <w:sz w:val="34"/>
      <w:szCs w:val="20"/>
    </w:rPr>
  </w:style>
  <w:style w:type="paragraph" w:styleId="27">
    <w:name w:val="index 6"/>
    <w:basedOn w:val="1"/>
    <w:next w:val="1"/>
    <w:autoRedefine/>
    <w:semiHidden/>
    <w:qFormat/>
    <w:uiPriority w:val="99"/>
    <w:pPr>
      <w:widowControl w:val="0"/>
      <w:shd w:val="clear" w:color="auto" w:fill="auto"/>
      <w:tabs>
        <w:tab w:val="clear" w:pos="426"/>
      </w:tabs>
      <w:adjustRightInd/>
      <w:snapToGrid/>
      <w:spacing w:line="240" w:lineRule="auto"/>
      <w:ind w:left="1260" w:hanging="210"/>
      <w:jc w:val="left"/>
    </w:pPr>
    <w:rPr>
      <w:rFonts w:ascii="Times New Roman" w:hAnsi="Times New Roman" w:cs="Times New Roman"/>
      <w:kern w:val="2"/>
      <w:sz w:val="20"/>
      <w:szCs w:val="20"/>
    </w:rPr>
  </w:style>
  <w:style w:type="paragraph" w:styleId="28">
    <w:name w:val="Salutation"/>
    <w:basedOn w:val="1"/>
    <w:next w:val="1"/>
    <w:link w:val="161"/>
    <w:qFormat/>
    <w:uiPriority w:val="99"/>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29">
    <w:name w:val="Body Text 3"/>
    <w:basedOn w:val="1"/>
    <w:link w:val="162"/>
    <w:qFormat/>
    <w:uiPriority w:val="99"/>
    <w:pPr>
      <w:spacing w:after="120"/>
    </w:pPr>
    <w:rPr>
      <w:rFonts w:ascii="Times New Roman" w:hAnsi="Times New Roman" w:cs="Times New Roman"/>
      <w:kern w:val="2"/>
      <w:sz w:val="16"/>
      <w:szCs w:val="16"/>
    </w:rPr>
  </w:style>
  <w:style w:type="paragraph" w:styleId="30">
    <w:name w:val="Closing"/>
    <w:basedOn w:val="1"/>
    <w:link w:val="163"/>
    <w:qFormat/>
    <w:uiPriority w:val="99"/>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31">
    <w:name w:val="List Bullet 3"/>
    <w:basedOn w:val="1"/>
    <w:qFormat/>
    <w:uiPriority w:val="99"/>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2">
    <w:name w:val="Body Text"/>
    <w:basedOn w:val="1"/>
    <w:link w:val="164"/>
    <w:qFormat/>
    <w:uiPriority w:val="99"/>
    <w:rPr>
      <w:rFonts w:cs="Times New Roman"/>
      <w:b/>
      <w:bCs/>
      <w:sz w:val="24"/>
    </w:rPr>
  </w:style>
  <w:style w:type="paragraph" w:styleId="33">
    <w:name w:val="Body Text Indent"/>
    <w:basedOn w:val="1"/>
    <w:next w:val="34"/>
    <w:link w:val="165"/>
    <w:qFormat/>
    <w:uiPriority w:val="99"/>
    <w:pPr>
      <w:ind w:firstLine="420" w:firstLineChars="200"/>
    </w:pPr>
    <w:rPr>
      <w:rFonts w:ascii="Times New Roman" w:hAnsi="Times New Roman" w:cs="Times New Roman"/>
      <w:kern w:val="2"/>
    </w:rPr>
  </w:style>
  <w:style w:type="paragraph" w:styleId="34">
    <w:name w:val="envelope return"/>
    <w:basedOn w:val="1"/>
    <w:qFormat/>
    <w:uiPriority w:val="99"/>
    <w:pPr>
      <w:widowControl w:val="0"/>
      <w:shd w:val="clear" w:color="auto" w:fill="auto"/>
      <w:tabs>
        <w:tab w:val="clear" w:pos="426"/>
      </w:tabs>
      <w:adjustRightInd/>
      <w:spacing w:line="240" w:lineRule="auto"/>
    </w:pPr>
    <w:rPr>
      <w:rFonts w:ascii="Arial" w:hAnsi="Arial" w:cs="Arial"/>
      <w:kern w:val="2"/>
    </w:rPr>
  </w:style>
  <w:style w:type="paragraph" w:styleId="35">
    <w:name w:val="List Number 3"/>
    <w:basedOn w:val="1"/>
    <w:qFormat/>
    <w:uiPriority w:val="99"/>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6">
    <w:name w:val="List 2"/>
    <w:basedOn w:val="1"/>
    <w:qFormat/>
    <w:uiPriority w:val="99"/>
    <w:pPr>
      <w:widowControl w:val="0"/>
      <w:shd w:val="clear" w:color="auto" w:fill="auto"/>
      <w:tabs>
        <w:tab w:val="clear" w:pos="426"/>
      </w:tabs>
      <w:adjustRightInd/>
      <w:snapToGrid/>
      <w:spacing w:line="240" w:lineRule="auto"/>
      <w:ind w:left="100" w:leftChars="200" w:hanging="200" w:hangingChars="200"/>
    </w:pPr>
    <w:rPr>
      <w:rFonts w:ascii="Times New Roman" w:hAnsi="Times New Roman" w:cs="Times New Roman"/>
      <w:kern w:val="2"/>
    </w:rPr>
  </w:style>
  <w:style w:type="paragraph" w:styleId="37">
    <w:name w:val="List Continue"/>
    <w:basedOn w:val="1"/>
    <w:qFormat/>
    <w:uiPriority w:val="99"/>
    <w:pPr>
      <w:widowControl w:val="0"/>
      <w:shd w:val="clear" w:color="auto" w:fill="auto"/>
      <w:tabs>
        <w:tab w:val="clear" w:pos="426"/>
      </w:tabs>
      <w:adjustRightInd/>
      <w:snapToGrid/>
      <w:spacing w:after="120" w:line="240" w:lineRule="auto"/>
      <w:ind w:left="420" w:leftChars="200"/>
    </w:pPr>
    <w:rPr>
      <w:rFonts w:ascii="Times New Roman" w:hAnsi="Times New Roman" w:cs="Times New Roman"/>
      <w:kern w:val="2"/>
    </w:rPr>
  </w:style>
  <w:style w:type="paragraph" w:styleId="38">
    <w:name w:val="Block Text"/>
    <w:basedOn w:val="1"/>
    <w:qFormat/>
    <w:uiPriority w:val="99"/>
    <w:pPr>
      <w:widowControl w:val="0"/>
      <w:shd w:val="clear" w:color="auto" w:fill="auto"/>
      <w:tabs>
        <w:tab w:val="clear" w:pos="426"/>
      </w:tabs>
      <w:adjustRightInd/>
      <w:snapToGrid/>
      <w:spacing w:after="120" w:line="240" w:lineRule="auto"/>
      <w:ind w:left="1440" w:leftChars="700" w:right="1440" w:rightChars="700"/>
    </w:pPr>
    <w:rPr>
      <w:rFonts w:ascii="Times New Roman" w:hAnsi="Times New Roman" w:cs="Times New Roman"/>
      <w:kern w:val="2"/>
    </w:rPr>
  </w:style>
  <w:style w:type="paragraph" w:styleId="39">
    <w:name w:val="List Bullet 2"/>
    <w:basedOn w:val="1"/>
    <w:qFormat/>
    <w:uiPriority w:val="99"/>
    <w:pPr>
      <w:widowControl w:val="0"/>
      <w:shd w:val="clear" w:color="auto" w:fill="auto"/>
      <w:tabs>
        <w:tab w:val="left" w:pos="780"/>
        <w:tab w:val="clear" w:pos="426"/>
      </w:tabs>
      <w:adjustRightInd/>
      <w:snapToGrid/>
      <w:spacing w:line="240" w:lineRule="auto"/>
      <w:ind w:left="780" w:hanging="360"/>
    </w:pPr>
    <w:rPr>
      <w:rFonts w:ascii="Times New Roman" w:hAnsi="Times New Roman" w:cs="Times New Roman"/>
      <w:kern w:val="2"/>
    </w:rPr>
  </w:style>
  <w:style w:type="paragraph" w:styleId="40">
    <w:name w:val="HTML Address"/>
    <w:basedOn w:val="1"/>
    <w:link w:val="166"/>
    <w:qFormat/>
    <w:uiPriority w:val="99"/>
    <w:pPr>
      <w:widowControl w:val="0"/>
      <w:shd w:val="clear" w:color="auto" w:fill="auto"/>
      <w:tabs>
        <w:tab w:val="clear" w:pos="426"/>
      </w:tabs>
      <w:adjustRightInd/>
      <w:snapToGrid/>
      <w:spacing w:line="240" w:lineRule="auto"/>
    </w:pPr>
    <w:rPr>
      <w:rFonts w:ascii="Times New Roman" w:hAnsi="Times New Roman" w:cs="Times New Roman"/>
      <w:i/>
      <w:iCs/>
      <w:kern w:val="2"/>
    </w:rPr>
  </w:style>
  <w:style w:type="paragraph" w:styleId="41">
    <w:name w:val="index 4"/>
    <w:basedOn w:val="1"/>
    <w:next w:val="1"/>
    <w:autoRedefine/>
    <w:semiHidden/>
    <w:qFormat/>
    <w:uiPriority w:val="99"/>
    <w:pPr>
      <w:widowControl w:val="0"/>
      <w:shd w:val="clear" w:color="auto" w:fill="auto"/>
      <w:tabs>
        <w:tab w:val="clear" w:pos="426"/>
      </w:tabs>
      <w:adjustRightInd/>
      <w:snapToGrid/>
      <w:spacing w:line="240" w:lineRule="auto"/>
      <w:ind w:left="840" w:hanging="210"/>
      <w:jc w:val="left"/>
    </w:pPr>
    <w:rPr>
      <w:rFonts w:ascii="Times New Roman" w:hAnsi="Times New Roman" w:cs="Times New Roman"/>
      <w:kern w:val="2"/>
      <w:sz w:val="20"/>
      <w:szCs w:val="20"/>
    </w:rPr>
  </w:style>
  <w:style w:type="paragraph" w:styleId="42">
    <w:name w:val="toc 5"/>
    <w:basedOn w:val="1"/>
    <w:next w:val="1"/>
    <w:autoRedefine/>
    <w:semiHidden/>
    <w:qFormat/>
    <w:uiPriority w:val="99"/>
    <w:pPr>
      <w:ind w:left="840"/>
      <w:jc w:val="left"/>
    </w:pPr>
    <w:rPr>
      <w:szCs w:val="21"/>
    </w:rPr>
  </w:style>
  <w:style w:type="paragraph" w:styleId="43">
    <w:name w:val="toc 3"/>
    <w:basedOn w:val="1"/>
    <w:next w:val="1"/>
    <w:autoRedefine/>
    <w:semiHidden/>
    <w:qFormat/>
    <w:uiPriority w:val="99"/>
    <w:pPr>
      <w:ind w:left="420"/>
      <w:jc w:val="left"/>
    </w:pPr>
    <w:rPr>
      <w:i/>
      <w:iCs/>
    </w:rPr>
  </w:style>
  <w:style w:type="paragraph" w:styleId="44">
    <w:name w:val="Plain Text"/>
    <w:basedOn w:val="1"/>
    <w:link w:val="167"/>
    <w:qFormat/>
    <w:uiPriority w:val="99"/>
    <w:rPr>
      <w:rFonts w:hAnsi="Courier New" w:cs="Times New Roman"/>
      <w:kern w:val="2"/>
      <w:szCs w:val="20"/>
    </w:rPr>
  </w:style>
  <w:style w:type="paragraph" w:styleId="45">
    <w:name w:val="List Bullet 5"/>
    <w:basedOn w:val="1"/>
    <w:qFormat/>
    <w:uiPriority w:val="99"/>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46">
    <w:name w:val="List Number 4"/>
    <w:basedOn w:val="1"/>
    <w:qFormat/>
    <w:uiPriority w:val="99"/>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47">
    <w:name w:val="toc 8"/>
    <w:basedOn w:val="1"/>
    <w:next w:val="1"/>
    <w:autoRedefine/>
    <w:semiHidden/>
    <w:qFormat/>
    <w:uiPriority w:val="99"/>
    <w:pPr>
      <w:ind w:left="1470"/>
      <w:jc w:val="left"/>
    </w:pPr>
    <w:rPr>
      <w:szCs w:val="21"/>
    </w:rPr>
  </w:style>
  <w:style w:type="paragraph" w:styleId="48">
    <w:name w:val="index 3"/>
    <w:basedOn w:val="1"/>
    <w:next w:val="1"/>
    <w:autoRedefine/>
    <w:semiHidden/>
    <w:qFormat/>
    <w:uiPriority w:val="99"/>
    <w:pPr>
      <w:widowControl w:val="0"/>
      <w:shd w:val="clear" w:color="auto" w:fill="auto"/>
      <w:tabs>
        <w:tab w:val="clear" w:pos="426"/>
      </w:tabs>
      <w:adjustRightInd/>
      <w:snapToGrid/>
      <w:spacing w:line="240" w:lineRule="auto"/>
      <w:ind w:left="630" w:hanging="210"/>
      <w:jc w:val="left"/>
    </w:pPr>
    <w:rPr>
      <w:rFonts w:ascii="Times New Roman" w:hAnsi="Times New Roman" w:cs="Times New Roman"/>
      <w:kern w:val="2"/>
      <w:sz w:val="20"/>
      <w:szCs w:val="20"/>
    </w:rPr>
  </w:style>
  <w:style w:type="paragraph" w:styleId="49">
    <w:name w:val="Date"/>
    <w:basedOn w:val="1"/>
    <w:next w:val="1"/>
    <w:link w:val="168"/>
    <w:qFormat/>
    <w:uiPriority w:val="99"/>
    <w:rPr>
      <w:rFonts w:hAnsi="Courier New" w:cs="Times New Roman"/>
      <w:kern w:val="2"/>
      <w:sz w:val="32"/>
      <w:szCs w:val="20"/>
    </w:rPr>
  </w:style>
  <w:style w:type="paragraph" w:styleId="50">
    <w:name w:val="Body Text Indent 2"/>
    <w:basedOn w:val="1"/>
    <w:link w:val="169"/>
    <w:qFormat/>
    <w:uiPriority w:val="99"/>
    <w:pPr>
      <w:spacing w:beforeLines="50" w:afterLines="50" w:line="120" w:lineRule="auto"/>
      <w:ind w:firstLine="840" w:firstLineChars="400"/>
      <w:jc w:val="left"/>
    </w:pPr>
    <w:rPr>
      <w:rFonts w:cs="Times New Roman"/>
      <w:kern w:val="2"/>
    </w:rPr>
  </w:style>
  <w:style w:type="paragraph" w:styleId="51">
    <w:name w:val="endnote text"/>
    <w:basedOn w:val="1"/>
    <w:link w:val="170"/>
    <w:semiHidden/>
    <w:qFormat/>
    <w:uiPriority w:val="99"/>
    <w:pPr>
      <w:widowControl w:val="0"/>
      <w:shd w:val="clear" w:color="auto" w:fill="auto"/>
      <w:tabs>
        <w:tab w:val="clear" w:pos="426"/>
      </w:tabs>
      <w:adjustRightInd/>
      <w:spacing w:line="240" w:lineRule="auto"/>
      <w:jc w:val="left"/>
    </w:pPr>
    <w:rPr>
      <w:rFonts w:ascii="Times New Roman" w:hAnsi="Times New Roman" w:cs="Times New Roman"/>
      <w:kern w:val="2"/>
    </w:rPr>
  </w:style>
  <w:style w:type="paragraph" w:styleId="52">
    <w:name w:val="List Continue 5"/>
    <w:basedOn w:val="1"/>
    <w:qFormat/>
    <w:uiPriority w:val="99"/>
    <w:pPr>
      <w:widowControl w:val="0"/>
      <w:shd w:val="clear" w:color="auto" w:fill="auto"/>
      <w:tabs>
        <w:tab w:val="clear" w:pos="426"/>
      </w:tabs>
      <w:adjustRightInd/>
      <w:snapToGrid/>
      <w:spacing w:after="120" w:line="240" w:lineRule="auto"/>
      <w:ind w:left="2100" w:leftChars="1000"/>
    </w:pPr>
    <w:rPr>
      <w:rFonts w:ascii="Times New Roman" w:hAnsi="Times New Roman" w:cs="Times New Roman"/>
      <w:kern w:val="2"/>
    </w:rPr>
  </w:style>
  <w:style w:type="paragraph" w:styleId="53">
    <w:name w:val="Balloon Text"/>
    <w:basedOn w:val="1"/>
    <w:link w:val="171"/>
    <w:semiHidden/>
    <w:qFormat/>
    <w:uiPriority w:val="99"/>
    <w:rPr>
      <w:rFonts w:ascii="Times New Roman" w:hAnsi="Times New Roman" w:cs="Times New Roman"/>
      <w:kern w:val="2"/>
      <w:sz w:val="18"/>
      <w:szCs w:val="18"/>
    </w:rPr>
  </w:style>
  <w:style w:type="paragraph" w:styleId="54">
    <w:name w:val="footer"/>
    <w:basedOn w:val="1"/>
    <w:link w:val="172"/>
    <w:qFormat/>
    <w:uiPriority w:val="99"/>
    <w:pPr>
      <w:tabs>
        <w:tab w:val="center" w:pos="4153"/>
        <w:tab w:val="right" w:pos="8306"/>
      </w:tabs>
      <w:jc w:val="left"/>
    </w:pPr>
    <w:rPr>
      <w:rFonts w:ascii="Times New Roman" w:hAnsi="Times New Roman" w:cs="Times New Roman"/>
      <w:kern w:val="2"/>
      <w:sz w:val="18"/>
      <w:szCs w:val="18"/>
    </w:rPr>
  </w:style>
  <w:style w:type="paragraph" w:styleId="55">
    <w:name w:val="header"/>
    <w:basedOn w:val="1"/>
    <w:link w:val="173"/>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56">
    <w:name w:val="Signature"/>
    <w:basedOn w:val="1"/>
    <w:link w:val="174"/>
    <w:qFormat/>
    <w:uiPriority w:val="99"/>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57">
    <w:name w:val="toc 1"/>
    <w:basedOn w:val="1"/>
    <w:next w:val="1"/>
    <w:autoRedefine/>
    <w:semiHidden/>
    <w:qFormat/>
    <w:uiPriority w:val="99"/>
    <w:pPr>
      <w:tabs>
        <w:tab w:val="right" w:leader="dot" w:pos="8789"/>
      </w:tabs>
      <w:adjustRightInd/>
      <w:snapToGrid/>
      <w:spacing w:before="120" w:after="120"/>
      <w:jc w:val="left"/>
    </w:pPr>
    <w:rPr>
      <w:b/>
      <w:bCs/>
      <w:caps/>
      <w:sz w:val="28"/>
    </w:rPr>
  </w:style>
  <w:style w:type="paragraph" w:styleId="58">
    <w:name w:val="List Continue 4"/>
    <w:basedOn w:val="1"/>
    <w:qFormat/>
    <w:uiPriority w:val="99"/>
    <w:pPr>
      <w:widowControl w:val="0"/>
      <w:shd w:val="clear" w:color="auto" w:fill="auto"/>
      <w:tabs>
        <w:tab w:val="clear" w:pos="426"/>
      </w:tabs>
      <w:adjustRightInd/>
      <w:snapToGrid/>
      <w:spacing w:after="120" w:line="240" w:lineRule="auto"/>
      <w:ind w:left="1680" w:leftChars="800"/>
    </w:pPr>
    <w:rPr>
      <w:rFonts w:ascii="Times New Roman" w:hAnsi="Times New Roman" w:cs="Times New Roman"/>
      <w:kern w:val="2"/>
    </w:rPr>
  </w:style>
  <w:style w:type="paragraph" w:styleId="59">
    <w:name w:val="toc 4"/>
    <w:basedOn w:val="1"/>
    <w:next w:val="1"/>
    <w:autoRedefine/>
    <w:semiHidden/>
    <w:qFormat/>
    <w:uiPriority w:val="99"/>
    <w:pPr>
      <w:ind w:left="630"/>
      <w:jc w:val="left"/>
    </w:pPr>
    <w:rPr>
      <w:szCs w:val="21"/>
    </w:rPr>
  </w:style>
  <w:style w:type="paragraph" w:styleId="60">
    <w:name w:val="index heading"/>
    <w:basedOn w:val="1"/>
    <w:next w:val="61"/>
    <w:semiHidden/>
    <w:qFormat/>
    <w:uiPriority w:val="99"/>
    <w:pPr>
      <w:widowControl w:val="0"/>
      <w:shd w:val="clear" w:color="auto" w:fill="auto"/>
      <w:tabs>
        <w:tab w:val="clear" w:pos="426"/>
      </w:tabs>
      <w:adjustRightInd/>
      <w:snapToGrid/>
      <w:spacing w:before="120" w:after="120" w:line="240" w:lineRule="auto"/>
      <w:jc w:val="left"/>
    </w:pPr>
    <w:rPr>
      <w:rFonts w:ascii="Times New Roman" w:hAnsi="Times New Roman" w:cs="Times New Roman"/>
      <w:b/>
      <w:bCs/>
      <w:i/>
      <w:iCs/>
      <w:kern w:val="2"/>
      <w:sz w:val="20"/>
      <w:szCs w:val="20"/>
    </w:rPr>
  </w:style>
  <w:style w:type="paragraph" w:styleId="61">
    <w:name w:val="index 1"/>
    <w:basedOn w:val="1"/>
    <w:next w:val="1"/>
    <w:autoRedefine/>
    <w:semiHidden/>
    <w:qFormat/>
    <w:uiPriority w:val="99"/>
    <w:rPr>
      <w:b/>
      <w:color w:val="0000FF"/>
      <w:sz w:val="24"/>
    </w:rPr>
  </w:style>
  <w:style w:type="paragraph" w:styleId="62">
    <w:name w:val="Subtitle"/>
    <w:basedOn w:val="1"/>
    <w:next w:val="1"/>
    <w:link w:val="175"/>
    <w:qFormat/>
    <w:uiPriority w:val="99"/>
    <w:pPr>
      <w:tabs>
        <w:tab w:val="clear" w:pos="426"/>
      </w:tabs>
      <w:spacing w:before="240" w:after="60" w:line="312" w:lineRule="auto"/>
      <w:jc w:val="center"/>
      <w:outlineLvl w:val="1"/>
    </w:pPr>
    <w:rPr>
      <w:rFonts w:ascii="Cambria" w:hAnsi="Cambria" w:cs="Times New Roman"/>
      <w:b/>
      <w:bCs/>
      <w:kern w:val="28"/>
      <w:sz w:val="28"/>
      <w:szCs w:val="32"/>
    </w:rPr>
  </w:style>
  <w:style w:type="paragraph" w:styleId="63">
    <w:name w:val="List Number 5"/>
    <w:basedOn w:val="1"/>
    <w:qFormat/>
    <w:uiPriority w:val="99"/>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64">
    <w:name w:val="List"/>
    <w:basedOn w:val="1"/>
    <w:qFormat/>
    <w:uiPriority w:val="99"/>
    <w:pPr>
      <w:widowControl w:val="0"/>
      <w:shd w:val="clear" w:color="auto" w:fill="auto"/>
      <w:tabs>
        <w:tab w:val="clear" w:pos="426"/>
      </w:tabs>
      <w:adjustRightInd/>
      <w:snapToGrid/>
      <w:spacing w:line="240" w:lineRule="auto"/>
      <w:ind w:left="200" w:hanging="200" w:hangingChars="200"/>
    </w:pPr>
    <w:rPr>
      <w:rFonts w:ascii="Times New Roman" w:hAnsi="Times New Roman" w:cs="Times New Roman"/>
      <w:kern w:val="2"/>
    </w:rPr>
  </w:style>
  <w:style w:type="paragraph" w:styleId="65">
    <w:name w:val="footnote text"/>
    <w:basedOn w:val="1"/>
    <w:link w:val="176"/>
    <w:semiHidden/>
    <w:qFormat/>
    <w:uiPriority w:val="99"/>
    <w:pPr>
      <w:widowControl w:val="0"/>
      <w:shd w:val="clear" w:color="auto" w:fill="auto"/>
      <w:tabs>
        <w:tab w:val="clear" w:pos="426"/>
      </w:tabs>
      <w:adjustRightInd/>
      <w:spacing w:line="240" w:lineRule="auto"/>
      <w:jc w:val="left"/>
    </w:pPr>
    <w:rPr>
      <w:rFonts w:ascii="Times New Roman" w:hAnsi="Times New Roman" w:cs="Times New Roman"/>
      <w:kern w:val="2"/>
      <w:sz w:val="18"/>
    </w:rPr>
  </w:style>
  <w:style w:type="paragraph" w:styleId="66">
    <w:name w:val="toc 6"/>
    <w:basedOn w:val="1"/>
    <w:next w:val="1"/>
    <w:autoRedefine/>
    <w:semiHidden/>
    <w:qFormat/>
    <w:uiPriority w:val="99"/>
    <w:pPr>
      <w:ind w:left="1050"/>
      <w:jc w:val="left"/>
    </w:pPr>
    <w:rPr>
      <w:szCs w:val="21"/>
    </w:rPr>
  </w:style>
  <w:style w:type="paragraph" w:styleId="67">
    <w:name w:val="List 5"/>
    <w:basedOn w:val="1"/>
    <w:qFormat/>
    <w:uiPriority w:val="99"/>
    <w:pPr>
      <w:widowControl w:val="0"/>
      <w:shd w:val="clear" w:color="auto" w:fill="auto"/>
      <w:tabs>
        <w:tab w:val="clear" w:pos="426"/>
      </w:tabs>
      <w:adjustRightInd/>
      <w:snapToGrid/>
      <w:spacing w:line="240" w:lineRule="auto"/>
      <w:ind w:left="100" w:leftChars="800" w:hanging="200" w:hangingChars="200"/>
    </w:pPr>
    <w:rPr>
      <w:rFonts w:ascii="Times New Roman" w:hAnsi="Times New Roman" w:cs="Times New Roman"/>
      <w:kern w:val="2"/>
    </w:rPr>
  </w:style>
  <w:style w:type="paragraph" w:styleId="68">
    <w:name w:val="Body Text Indent 3"/>
    <w:basedOn w:val="1"/>
    <w:link w:val="177"/>
    <w:qFormat/>
    <w:uiPriority w:val="99"/>
    <w:pPr>
      <w:ind w:firstLine="482" w:firstLineChars="200"/>
    </w:pPr>
    <w:rPr>
      <w:rFonts w:hAnsi="Times New Roman" w:cs="Times New Roman"/>
      <w:b/>
      <w:bCs/>
      <w:kern w:val="2"/>
      <w:sz w:val="24"/>
    </w:rPr>
  </w:style>
  <w:style w:type="paragraph" w:styleId="69">
    <w:name w:val="index 7"/>
    <w:basedOn w:val="1"/>
    <w:next w:val="1"/>
    <w:autoRedefine/>
    <w:semiHidden/>
    <w:qFormat/>
    <w:uiPriority w:val="99"/>
    <w:pPr>
      <w:widowControl w:val="0"/>
      <w:shd w:val="clear" w:color="auto" w:fill="auto"/>
      <w:tabs>
        <w:tab w:val="clear" w:pos="426"/>
      </w:tabs>
      <w:adjustRightInd/>
      <w:snapToGrid/>
      <w:spacing w:line="240" w:lineRule="auto"/>
      <w:ind w:left="1470" w:hanging="210"/>
      <w:jc w:val="left"/>
    </w:pPr>
    <w:rPr>
      <w:rFonts w:ascii="Times New Roman" w:hAnsi="Times New Roman" w:cs="Times New Roman"/>
      <w:kern w:val="2"/>
      <w:sz w:val="20"/>
      <w:szCs w:val="20"/>
    </w:rPr>
  </w:style>
  <w:style w:type="paragraph" w:styleId="70">
    <w:name w:val="index 9"/>
    <w:basedOn w:val="1"/>
    <w:next w:val="1"/>
    <w:autoRedefine/>
    <w:semiHidden/>
    <w:qFormat/>
    <w:uiPriority w:val="99"/>
    <w:pPr>
      <w:widowControl w:val="0"/>
      <w:shd w:val="clear" w:color="auto" w:fill="auto"/>
      <w:tabs>
        <w:tab w:val="clear" w:pos="426"/>
      </w:tabs>
      <w:adjustRightInd/>
      <w:snapToGrid/>
      <w:spacing w:line="240" w:lineRule="auto"/>
      <w:ind w:left="1890" w:hanging="210"/>
      <w:jc w:val="left"/>
    </w:pPr>
    <w:rPr>
      <w:rFonts w:ascii="Times New Roman" w:hAnsi="Times New Roman" w:cs="Times New Roman"/>
      <w:kern w:val="2"/>
      <w:sz w:val="20"/>
      <w:szCs w:val="20"/>
    </w:rPr>
  </w:style>
  <w:style w:type="paragraph" w:styleId="71">
    <w:name w:val="toc 2"/>
    <w:basedOn w:val="1"/>
    <w:next w:val="1"/>
    <w:autoRedefine/>
    <w:semiHidden/>
    <w:qFormat/>
    <w:uiPriority w:val="99"/>
    <w:pPr>
      <w:tabs>
        <w:tab w:val="right" w:leader="dot" w:pos="8789"/>
        <w:tab w:val="clear" w:pos="426"/>
      </w:tabs>
      <w:adjustRightInd/>
      <w:snapToGrid/>
      <w:spacing w:line="300" w:lineRule="auto"/>
      <w:ind w:left="50" w:leftChars="50"/>
    </w:pPr>
    <w:rPr>
      <w:smallCaps/>
      <w:sz w:val="28"/>
    </w:rPr>
  </w:style>
  <w:style w:type="paragraph" w:styleId="72">
    <w:name w:val="toc 9"/>
    <w:basedOn w:val="1"/>
    <w:next w:val="1"/>
    <w:autoRedefine/>
    <w:semiHidden/>
    <w:qFormat/>
    <w:uiPriority w:val="99"/>
    <w:pPr>
      <w:ind w:left="1680"/>
      <w:jc w:val="left"/>
    </w:pPr>
    <w:rPr>
      <w:szCs w:val="21"/>
    </w:rPr>
  </w:style>
  <w:style w:type="paragraph" w:styleId="73">
    <w:name w:val="Body Text 2"/>
    <w:basedOn w:val="1"/>
    <w:link w:val="178"/>
    <w:qFormat/>
    <w:uiPriority w:val="99"/>
    <w:rPr>
      <w:rFonts w:ascii="Times New Roman" w:hAnsi="Times New Roman" w:cs="Times New Roman"/>
      <w:kern w:val="2"/>
      <w:sz w:val="24"/>
    </w:rPr>
  </w:style>
  <w:style w:type="paragraph" w:styleId="74">
    <w:name w:val="List 4"/>
    <w:basedOn w:val="1"/>
    <w:qFormat/>
    <w:uiPriority w:val="99"/>
    <w:pPr>
      <w:widowControl w:val="0"/>
      <w:shd w:val="clear" w:color="auto" w:fill="auto"/>
      <w:tabs>
        <w:tab w:val="clear" w:pos="426"/>
      </w:tabs>
      <w:adjustRightInd/>
      <w:snapToGrid/>
      <w:spacing w:line="240" w:lineRule="auto"/>
      <w:ind w:left="100" w:leftChars="600" w:hanging="200" w:hangingChars="200"/>
    </w:pPr>
    <w:rPr>
      <w:rFonts w:ascii="Times New Roman" w:hAnsi="Times New Roman" w:cs="Times New Roman"/>
      <w:kern w:val="2"/>
    </w:rPr>
  </w:style>
  <w:style w:type="paragraph" w:styleId="75">
    <w:name w:val="List Continue 2"/>
    <w:basedOn w:val="1"/>
    <w:qFormat/>
    <w:uiPriority w:val="99"/>
    <w:pPr>
      <w:widowControl w:val="0"/>
      <w:shd w:val="clear" w:color="auto" w:fill="auto"/>
      <w:tabs>
        <w:tab w:val="clear" w:pos="426"/>
      </w:tabs>
      <w:adjustRightInd/>
      <w:snapToGrid/>
      <w:spacing w:after="120" w:line="240" w:lineRule="auto"/>
      <w:ind w:left="840" w:leftChars="400"/>
    </w:pPr>
    <w:rPr>
      <w:rFonts w:ascii="Times New Roman" w:hAnsi="Times New Roman" w:cs="Times New Roman"/>
      <w:kern w:val="2"/>
    </w:rPr>
  </w:style>
  <w:style w:type="paragraph" w:styleId="76">
    <w:name w:val="Message Header"/>
    <w:basedOn w:val="1"/>
    <w:link w:val="179"/>
    <w:qFormat/>
    <w:uiPriority w:val="99"/>
    <w:pPr>
      <w:widowControl w:val="0"/>
      <w:pBdr>
        <w:top w:val="single" w:color="auto" w:sz="6" w:space="1"/>
        <w:left w:val="single" w:color="auto" w:sz="6" w:space="1"/>
        <w:bottom w:val="single" w:color="auto" w:sz="6" w:space="1"/>
        <w:right w:val="single" w:color="auto" w:sz="6" w:space="1"/>
      </w:pBdr>
      <w:shd w:val="pct20" w:color="auto" w:fill="auto"/>
      <w:tabs>
        <w:tab w:val="clear" w:pos="426"/>
      </w:tabs>
      <w:adjustRightInd/>
      <w:snapToGrid/>
      <w:spacing w:line="240" w:lineRule="auto"/>
      <w:ind w:left="1080" w:leftChars="500" w:hanging="1080" w:hangingChars="500"/>
    </w:pPr>
    <w:rPr>
      <w:rFonts w:ascii="Arial" w:hAnsi="Arial" w:cs="Times New Roman"/>
      <w:kern w:val="2"/>
      <w:sz w:val="24"/>
    </w:rPr>
  </w:style>
  <w:style w:type="paragraph" w:styleId="77">
    <w:name w:val="HTML Preformatted"/>
    <w:basedOn w:val="1"/>
    <w:link w:val="18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Times New Roman"/>
      <w:color w:val="000000"/>
      <w:sz w:val="20"/>
      <w:szCs w:val="20"/>
    </w:rPr>
  </w:style>
  <w:style w:type="paragraph" w:styleId="78">
    <w:name w:val="Normal (Web)"/>
    <w:basedOn w:val="1"/>
    <w:qFormat/>
    <w:uiPriority w:val="99"/>
    <w:rPr>
      <w:sz w:val="24"/>
    </w:rPr>
  </w:style>
  <w:style w:type="paragraph" w:styleId="79">
    <w:name w:val="List Continue 3"/>
    <w:basedOn w:val="1"/>
    <w:qFormat/>
    <w:uiPriority w:val="99"/>
    <w:pPr>
      <w:widowControl w:val="0"/>
      <w:shd w:val="clear" w:color="auto" w:fill="auto"/>
      <w:tabs>
        <w:tab w:val="clear" w:pos="426"/>
      </w:tabs>
      <w:adjustRightInd/>
      <w:snapToGrid/>
      <w:spacing w:after="120" w:line="240" w:lineRule="auto"/>
      <w:ind w:left="1260" w:leftChars="600"/>
    </w:pPr>
    <w:rPr>
      <w:rFonts w:ascii="Times New Roman" w:hAnsi="Times New Roman" w:cs="Times New Roman"/>
      <w:kern w:val="2"/>
    </w:rPr>
  </w:style>
  <w:style w:type="paragraph" w:styleId="80">
    <w:name w:val="index 2"/>
    <w:basedOn w:val="1"/>
    <w:next w:val="1"/>
    <w:autoRedefine/>
    <w:semiHidden/>
    <w:qFormat/>
    <w:uiPriority w:val="99"/>
    <w:pPr>
      <w:widowControl w:val="0"/>
      <w:shd w:val="clear" w:color="auto" w:fill="auto"/>
      <w:tabs>
        <w:tab w:val="clear" w:pos="426"/>
      </w:tabs>
      <w:adjustRightInd/>
      <w:snapToGrid/>
      <w:spacing w:line="240" w:lineRule="auto"/>
      <w:ind w:left="420" w:hanging="210"/>
      <w:jc w:val="left"/>
    </w:pPr>
    <w:rPr>
      <w:rFonts w:ascii="Times New Roman" w:hAnsi="Times New Roman" w:cs="Times New Roman"/>
      <w:kern w:val="2"/>
      <w:sz w:val="20"/>
      <w:szCs w:val="20"/>
    </w:rPr>
  </w:style>
  <w:style w:type="paragraph" w:styleId="81">
    <w:name w:val="Title"/>
    <w:basedOn w:val="1"/>
    <w:link w:val="181"/>
    <w:qFormat/>
    <w:uiPriority w:val="99"/>
    <w:pPr>
      <w:spacing w:before="240" w:after="60"/>
      <w:jc w:val="center"/>
      <w:outlineLvl w:val="0"/>
    </w:pPr>
    <w:rPr>
      <w:rFonts w:ascii="Arial" w:hAnsi="Arial" w:cs="Times New Roman"/>
      <w:b/>
      <w:bCs/>
      <w:kern w:val="2"/>
      <w:sz w:val="36"/>
      <w:szCs w:val="32"/>
    </w:rPr>
  </w:style>
  <w:style w:type="paragraph" w:styleId="82">
    <w:name w:val="annotation subject"/>
    <w:basedOn w:val="26"/>
    <w:next w:val="26"/>
    <w:link w:val="182"/>
    <w:semiHidden/>
    <w:qFormat/>
    <w:uiPriority w:val="99"/>
    <w:pPr>
      <w:autoSpaceDE/>
      <w:autoSpaceDN/>
      <w:adjustRightInd/>
      <w:textAlignment w:val="auto"/>
    </w:pPr>
    <w:rPr>
      <w:rFonts w:ascii="Times New Roman"/>
      <w:b/>
      <w:bCs/>
      <w:kern w:val="2"/>
      <w:sz w:val="21"/>
      <w:szCs w:val="24"/>
    </w:rPr>
  </w:style>
  <w:style w:type="paragraph" w:styleId="83">
    <w:name w:val="Body Text First Indent"/>
    <w:basedOn w:val="32"/>
    <w:link w:val="183"/>
    <w:qFormat/>
    <w:uiPriority w:val="99"/>
    <w:pPr>
      <w:widowControl w:val="0"/>
      <w:shd w:val="clear" w:color="auto" w:fill="auto"/>
      <w:adjustRightInd/>
      <w:snapToGrid/>
      <w:spacing w:after="120" w:line="240" w:lineRule="auto"/>
      <w:ind w:firstLine="420" w:firstLineChars="100"/>
    </w:pPr>
    <w:rPr>
      <w:kern w:val="2"/>
      <w:sz w:val="21"/>
    </w:rPr>
  </w:style>
  <w:style w:type="paragraph" w:styleId="84">
    <w:name w:val="Body Text First Indent 2"/>
    <w:basedOn w:val="33"/>
    <w:link w:val="184"/>
    <w:qFormat/>
    <w:uiPriority w:val="99"/>
    <w:pPr>
      <w:widowControl w:val="0"/>
      <w:shd w:val="clear" w:color="auto" w:fill="auto"/>
      <w:adjustRightInd/>
      <w:snapToGrid/>
      <w:spacing w:after="120" w:line="240" w:lineRule="auto"/>
      <w:ind w:left="420" w:leftChars="200"/>
    </w:pPr>
  </w:style>
  <w:style w:type="table" w:styleId="86">
    <w:name w:val="Table Grid"/>
    <w:basedOn w:val="8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7">
    <w:name w:val="Table Theme"/>
    <w:basedOn w:val="8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Colorful 1"/>
    <w:basedOn w:val="85"/>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9">
    <w:name w:val="Table Colorful 2"/>
    <w:basedOn w:val="85"/>
    <w:qFormat/>
    <w:uiPriority w:val="99"/>
    <w:pPr>
      <w:widowControl w:val="0"/>
      <w:jc w:val="both"/>
    </w:pPr>
    <w:tblPr>
      <w:tblBorders>
        <w:bottom w:val="single" w:color="000000" w:sz="12" w:space="0"/>
      </w:tblBorders>
    </w:tblPr>
    <w:tcPr>
      <w:shd w:val="pct20" w:color="FFFF00" w:fill="FFFFFF"/>
    </w:tcPr>
    <w:tblStylePr w:type="firstRow">
      <w:rPr>
        <w:rFonts w:cs="Times New Roman"/>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90">
    <w:name w:val="Table Colorful 3"/>
    <w:basedOn w:val="85"/>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Elegant"/>
    <w:basedOn w:val="8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92">
    <w:name w:val="Table Classic 1"/>
    <w:basedOn w:val="85"/>
    <w:qFormat/>
    <w:uiPriority w:val="99"/>
    <w:pPr>
      <w:widowControl w:val="0"/>
      <w:jc w:val="both"/>
    </w:pPr>
    <w:tblPr>
      <w:tblBorders>
        <w:top w:val="single" w:color="000000" w:sz="12" w:space="0"/>
        <w:bottom w:val="single" w:color="000000" w:sz="12" w:space="0"/>
      </w:tblBorders>
    </w:tblPr>
    <w:tblStylePr w:type="firstRow">
      <w:rPr>
        <w:rFonts w:cs="Times New Roman"/>
        <w:i/>
        <w:i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Classic 2"/>
    <w:basedOn w:val="85"/>
    <w:qFormat/>
    <w:uiPriority w:val="99"/>
    <w:pPr>
      <w:widowControl w:val="0"/>
      <w:jc w:val="both"/>
    </w:pPr>
    <w:tblPr>
      <w:tblBorders>
        <w:top w:val="single" w:color="000000" w:sz="12" w:space="0"/>
        <w:bottom w:val="single" w:color="000000" w:sz="12" w:space="0"/>
      </w:tblBorders>
    </w:tblPr>
    <w:tblStylePr w:type="firstRow">
      <w:rPr>
        <w:rFonts w:cs="Times New Roman"/>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4">
    <w:name w:val="Table Classic 3"/>
    <w:basedOn w:val="85"/>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95">
    <w:name w:val="Table Classic 4"/>
    <w:basedOn w:val="85"/>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6">
    <w:name w:val="Table Simple 1"/>
    <w:basedOn w:val="85"/>
    <w:qFormat/>
    <w:uiPriority w:val="99"/>
    <w:pPr>
      <w:widowControl w:val="0"/>
      <w:jc w:val="both"/>
    </w:pPr>
    <w:tblPr>
      <w:tblBorders>
        <w:top w:val="single" w:color="008000" w:sz="12" w:space="0"/>
        <w:bottom w:val="single" w:color="008000" w:sz="12" w:space="0"/>
      </w:tblBorders>
    </w:tblPr>
    <w:tblStylePr w:type="firstRow">
      <w:rPr>
        <w:rFonts w:cs="Times New Roman"/>
      </w:rPr>
      <w:tblPr/>
      <w:tcPr>
        <w:tcBorders>
          <w:top w:val="nil"/>
          <w:left w:val="nil"/>
          <w:bottom w:val="single" w:color="008000" w:sz="6" w:space="0"/>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97">
    <w:name w:val="Table Simple 2"/>
    <w:basedOn w:val="85"/>
    <w:qFormat/>
    <w:uiPriority w:val="99"/>
    <w:pPr>
      <w:widowControl w:val="0"/>
      <w:jc w:val="both"/>
    </w:pPr>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single" w:color="000000" w:sz="6" w:space="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8">
    <w:name w:val="Table Simple 3"/>
    <w:basedOn w:val="85"/>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9">
    <w:name w:val="Table Subtle 1"/>
    <w:basedOn w:val="85"/>
    <w:qFormat/>
    <w:uiPriority w:val="99"/>
    <w:pPr>
      <w:widowControl w:val="0"/>
      <w:jc w:val="both"/>
    </w:pPr>
    <w:tblPr>
      <w:tblStyleRowBandSize w:val="1"/>
    </w:tblPr>
    <w:tblStylePr w:type="firstRow">
      <w:rPr>
        <w:rFonts w:cs="Times New Roman"/>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single" w:color="000000" w:sz="12" w:space="0"/>
          <w:bottom w:val="nil"/>
          <w:right w:val="nil"/>
          <w:insideH w:val="nil"/>
          <w:insideV w:val="nil"/>
          <w:tl2br w:val="nil"/>
          <w:tr2bl w:val="nil"/>
        </w:tcBorders>
      </w:tcPr>
    </w:tblStylePr>
    <w:tblStylePr w:type="band1Horz">
      <w:rPr>
        <w:rFonts w:cs="Times New Roman"/>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0">
    <w:name w:val="Table Subtle 2"/>
    <w:basedOn w:val="85"/>
    <w:qFormat/>
    <w:uiPriority w:val="99"/>
    <w:pPr>
      <w:widowControl w:val="0"/>
      <w:jc w:val="both"/>
    </w:pPr>
    <w:tblPr>
      <w:tblBorders>
        <w:left w:val="single" w:color="000000" w:sz="6" w:space="0"/>
        <w:right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1">
    <w:name w:val="Table 3D effects 1"/>
    <w:basedOn w:val="85"/>
    <w:qFormat/>
    <w:uiPriority w:val="99"/>
    <w:pPr>
      <w:widowControl w:val="0"/>
      <w:jc w:val="both"/>
    </w:pPr>
    <w:tblPr/>
    <w:tcPr>
      <w:shd w:val="solid" w:color="C0C0C0" w:fill="FFFFFF"/>
    </w:tcPr>
    <w:tblStylePr w:type="firstRow">
      <w:rPr>
        <w:rFonts w:cs="Times New Roman"/>
        <w:b/>
        <w:bCs/>
        <w:color w:val="800080"/>
      </w:rPr>
      <w:tblPr/>
      <w:tcPr>
        <w:tcBorders>
          <w:top w:val="nil"/>
          <w:left w:val="nil"/>
          <w:bottom w:val="single" w:color="808080" w:sz="6" w:space="0"/>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single" w:color="FFFFFF" w:sz="6" w:space="0"/>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02">
    <w:name w:val="Table 3D effects 2"/>
    <w:basedOn w:val="85"/>
    <w:qFormat/>
    <w:uiPriority w:val="99"/>
    <w:pPr>
      <w:widowControl w:val="0"/>
      <w:jc w:val="both"/>
    </w:pPr>
    <w:tblPr>
      <w:tblStyleRowBandSize w:val="1"/>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3">
    <w:name w:val="Table 3D effects 3"/>
    <w:basedOn w:val="85"/>
    <w:qFormat/>
    <w:uiPriority w:val="99"/>
    <w:pPr>
      <w:widowControl w:val="0"/>
      <w:jc w:val="both"/>
    </w:pPr>
    <w:tblPr>
      <w:tblStyleRowBandSize w:val="1"/>
      <w:tblStyleColBandSize w:val="1"/>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List 1"/>
    <w:basedOn w:val="85"/>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List 2"/>
    <w:basedOn w:val="85"/>
    <w:qFormat/>
    <w:uiPriority w:val="99"/>
    <w:pPr>
      <w:widowControl w:val="0"/>
      <w:jc w:val="both"/>
    </w:pPr>
    <w:tblPr>
      <w:tblBorders>
        <w:bottom w:val="single" w:color="808080" w:sz="12" w:space="0"/>
      </w:tblBorders>
    </w:tblPr>
    <w:tblStylePr w:type="firstRow">
      <w:rPr>
        <w:rFonts w:cs="Times New Roman"/>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6">
    <w:name w:val="Table List 3"/>
    <w:basedOn w:val="85"/>
    <w:qFormat/>
    <w:uiPriority w:val="99"/>
    <w:pPr>
      <w:widowControl w:val="0"/>
      <w:jc w:val="both"/>
    </w:p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5"/>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5"/>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109">
    <w:name w:val="Table List 6"/>
    <w:basedOn w:val="85"/>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0">
    <w:name w:val="Table List 7"/>
    <w:basedOn w:val="85"/>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5"/>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5"/>
    <w:qFormat/>
    <w:uiPriority w:val="99"/>
    <w:pPr>
      <w:widowControl w:val="0"/>
      <w:jc w:val="both"/>
    </w:pPr>
    <w:tblPr>
      <w:tblBorders>
        <w:insideH w:val="single" w:color="FFFFFF" w:sz="18" w:space="0"/>
        <w:insideV w:val="single" w:color="FFFFFF" w:sz="18"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5"/>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14">
    <w:name w:val="Table Columns 2"/>
    <w:basedOn w:val="85"/>
    <w:qFormat/>
    <w:uiPriority w:val="99"/>
    <w:pPr>
      <w:widowControl w:val="0"/>
      <w:jc w:val="both"/>
    </w:pPr>
    <w:rPr>
      <w:b/>
      <w:bCs/>
    </w:r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15">
    <w:name w:val="Table Columns 3"/>
    <w:basedOn w:val="85"/>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16">
    <w:name w:val="Table Columns 4"/>
    <w:basedOn w:val="85"/>
    <w:qFormat/>
    <w:uiPriority w:val="99"/>
    <w:pPr>
      <w:widowControl w:val="0"/>
      <w:jc w:val="both"/>
    </w:pPr>
    <w:tblPr>
      <w:tblStyleColBandSize w:val="1"/>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17">
    <w:name w:val="Table Columns 5"/>
    <w:basedOn w:val="85"/>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top w:val="nil"/>
          <w:left w:val="nil"/>
          <w:bottom w:val="single" w:color="808080" w:sz="6" w:space="0"/>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8">
    <w:name w:val="Table Grid 1"/>
    <w:basedOn w:val="85"/>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9">
    <w:name w:val="Table Grid 2"/>
    <w:basedOn w:val="85"/>
    <w:qFormat/>
    <w:uiPriority w:val="99"/>
    <w:pPr>
      <w:widowControl w:val="0"/>
      <w:jc w:val="both"/>
    </w:pPr>
    <w:tblPr>
      <w:tblBorders>
        <w:insideH w:val="single" w:color="000000" w:sz="6" w:space="0"/>
        <w:insideV w:val="single" w:color="000000" w:sz="6" w:space="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20">
    <w:name w:val="Table Grid 3"/>
    <w:basedOn w:val="85"/>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1">
    <w:name w:val="Table Grid 4"/>
    <w:basedOn w:val="85"/>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22">
    <w:name w:val="Table Grid 5"/>
    <w:basedOn w:val="85"/>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3">
    <w:name w:val="Table Grid 6"/>
    <w:basedOn w:val="85"/>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4">
    <w:name w:val="Table Grid 7"/>
    <w:basedOn w:val="85"/>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25">
    <w:name w:val="Table Grid 8"/>
    <w:basedOn w:val="85"/>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26">
    <w:name w:val="Table Web 1"/>
    <w:basedOn w:val="85"/>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27">
    <w:name w:val="Table Web 2"/>
    <w:basedOn w:val="85"/>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28">
    <w:name w:val="Table Web 3"/>
    <w:basedOn w:val="85"/>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29">
    <w:name w:val="Table Professional"/>
    <w:basedOn w:val="85"/>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1">
    <w:name w:val="Strong"/>
    <w:basedOn w:val="130"/>
    <w:qFormat/>
    <w:uiPriority w:val="99"/>
    <w:rPr>
      <w:rFonts w:cs="Times New Roman"/>
      <w:b/>
    </w:rPr>
  </w:style>
  <w:style w:type="character" w:styleId="132">
    <w:name w:val="endnote reference"/>
    <w:basedOn w:val="130"/>
    <w:semiHidden/>
    <w:qFormat/>
    <w:uiPriority w:val="99"/>
    <w:rPr>
      <w:rFonts w:cs="Times New Roman"/>
      <w:vertAlign w:val="superscript"/>
    </w:rPr>
  </w:style>
  <w:style w:type="character" w:styleId="133">
    <w:name w:val="page number"/>
    <w:basedOn w:val="130"/>
    <w:qFormat/>
    <w:uiPriority w:val="99"/>
    <w:rPr>
      <w:rFonts w:cs="Times New Roman"/>
    </w:rPr>
  </w:style>
  <w:style w:type="character" w:styleId="134">
    <w:name w:val="FollowedHyperlink"/>
    <w:basedOn w:val="130"/>
    <w:qFormat/>
    <w:uiPriority w:val="99"/>
    <w:rPr>
      <w:rFonts w:cs="Times New Roman"/>
      <w:color w:val="800080"/>
      <w:u w:val="single"/>
    </w:rPr>
  </w:style>
  <w:style w:type="character" w:styleId="135">
    <w:name w:val="Emphasis"/>
    <w:basedOn w:val="130"/>
    <w:qFormat/>
    <w:uiPriority w:val="99"/>
    <w:rPr>
      <w:rFonts w:cs="Times New Roman"/>
      <w:i/>
    </w:rPr>
  </w:style>
  <w:style w:type="character" w:styleId="136">
    <w:name w:val="line number"/>
    <w:basedOn w:val="130"/>
    <w:qFormat/>
    <w:uiPriority w:val="99"/>
    <w:rPr>
      <w:rFonts w:cs="Times New Roman"/>
    </w:rPr>
  </w:style>
  <w:style w:type="character" w:styleId="137">
    <w:name w:val="HTML Definition"/>
    <w:basedOn w:val="130"/>
    <w:qFormat/>
    <w:uiPriority w:val="99"/>
    <w:rPr>
      <w:rFonts w:cs="Times New Roman"/>
      <w:i/>
    </w:rPr>
  </w:style>
  <w:style w:type="character" w:styleId="138">
    <w:name w:val="HTML Typewriter"/>
    <w:basedOn w:val="130"/>
    <w:qFormat/>
    <w:uiPriority w:val="99"/>
    <w:rPr>
      <w:rFonts w:ascii="Courier New" w:hAnsi="Courier New" w:cs="Times New Roman"/>
      <w:sz w:val="20"/>
    </w:rPr>
  </w:style>
  <w:style w:type="character" w:styleId="139">
    <w:name w:val="HTML Acronym"/>
    <w:basedOn w:val="130"/>
    <w:qFormat/>
    <w:uiPriority w:val="99"/>
    <w:rPr>
      <w:rFonts w:cs="Times New Roman"/>
    </w:rPr>
  </w:style>
  <w:style w:type="character" w:styleId="140">
    <w:name w:val="HTML Variable"/>
    <w:basedOn w:val="130"/>
    <w:qFormat/>
    <w:uiPriority w:val="99"/>
    <w:rPr>
      <w:rFonts w:cs="Times New Roman"/>
      <w:i/>
    </w:rPr>
  </w:style>
  <w:style w:type="character" w:styleId="141">
    <w:name w:val="Hyperlink"/>
    <w:basedOn w:val="130"/>
    <w:qFormat/>
    <w:uiPriority w:val="99"/>
    <w:rPr>
      <w:rFonts w:cs="Times New Roman"/>
      <w:color w:val="0000FF"/>
      <w:u w:val="single"/>
    </w:rPr>
  </w:style>
  <w:style w:type="character" w:styleId="142">
    <w:name w:val="HTML Code"/>
    <w:basedOn w:val="130"/>
    <w:qFormat/>
    <w:uiPriority w:val="99"/>
    <w:rPr>
      <w:rFonts w:ascii="Courier New" w:hAnsi="Courier New" w:cs="Times New Roman"/>
      <w:sz w:val="20"/>
    </w:rPr>
  </w:style>
  <w:style w:type="character" w:styleId="143">
    <w:name w:val="annotation reference"/>
    <w:basedOn w:val="130"/>
    <w:semiHidden/>
    <w:qFormat/>
    <w:uiPriority w:val="99"/>
    <w:rPr>
      <w:rFonts w:cs="Times New Roman"/>
      <w:sz w:val="21"/>
    </w:rPr>
  </w:style>
  <w:style w:type="character" w:styleId="144">
    <w:name w:val="HTML Cite"/>
    <w:basedOn w:val="130"/>
    <w:qFormat/>
    <w:uiPriority w:val="99"/>
    <w:rPr>
      <w:rFonts w:cs="Times New Roman"/>
      <w:i/>
    </w:rPr>
  </w:style>
  <w:style w:type="character" w:styleId="145">
    <w:name w:val="footnote reference"/>
    <w:basedOn w:val="130"/>
    <w:semiHidden/>
    <w:qFormat/>
    <w:uiPriority w:val="99"/>
    <w:rPr>
      <w:rFonts w:cs="Times New Roman"/>
      <w:vertAlign w:val="superscript"/>
    </w:rPr>
  </w:style>
  <w:style w:type="character" w:styleId="146">
    <w:name w:val="HTML Keyboard"/>
    <w:basedOn w:val="130"/>
    <w:qFormat/>
    <w:uiPriority w:val="99"/>
    <w:rPr>
      <w:rFonts w:ascii="Courier New" w:hAnsi="Courier New" w:cs="Times New Roman"/>
      <w:sz w:val="20"/>
    </w:rPr>
  </w:style>
  <w:style w:type="character" w:styleId="147">
    <w:name w:val="HTML Sample"/>
    <w:basedOn w:val="130"/>
    <w:qFormat/>
    <w:uiPriority w:val="99"/>
    <w:rPr>
      <w:rFonts w:ascii="Courier New" w:hAnsi="Courier New" w:cs="Times New Roman"/>
    </w:rPr>
  </w:style>
  <w:style w:type="character" w:customStyle="1" w:styleId="148">
    <w:name w:val="标题 1 字符"/>
    <w:basedOn w:val="130"/>
    <w:link w:val="2"/>
    <w:qFormat/>
    <w:locked/>
    <w:uiPriority w:val="99"/>
    <w:rPr>
      <w:rFonts w:ascii="宋体" w:hAnsi="宋体" w:eastAsia="黑体" w:cs="Times New Roman"/>
      <w:b/>
      <w:kern w:val="44"/>
      <w:sz w:val="28"/>
      <w:lang w:val="en-US" w:eastAsia="zh-CN"/>
    </w:rPr>
  </w:style>
  <w:style w:type="character" w:customStyle="1" w:styleId="149">
    <w:name w:val="标题 2 字符"/>
    <w:basedOn w:val="130"/>
    <w:link w:val="5"/>
    <w:qFormat/>
    <w:locked/>
    <w:uiPriority w:val="99"/>
    <w:rPr>
      <w:rFonts w:ascii="宋体" w:eastAsia="宋体" w:cs="Times New Roman"/>
      <w:b/>
      <w:sz w:val="24"/>
      <w:shd w:val="clear" w:color="auto" w:fill="FFFFFF"/>
    </w:rPr>
  </w:style>
  <w:style w:type="character" w:customStyle="1" w:styleId="150">
    <w:name w:val="标题 3 字符"/>
    <w:basedOn w:val="130"/>
    <w:link w:val="3"/>
    <w:qFormat/>
    <w:locked/>
    <w:uiPriority w:val="99"/>
    <w:rPr>
      <w:rFonts w:ascii="宋体" w:eastAsia="宋体" w:cs="Times New Roman"/>
      <w:b/>
      <w:kern w:val="2"/>
      <w:sz w:val="32"/>
      <w:shd w:val="clear" w:color="auto" w:fill="FFFFFF"/>
    </w:rPr>
  </w:style>
  <w:style w:type="character" w:customStyle="1" w:styleId="151">
    <w:name w:val="标题 4 字符"/>
    <w:basedOn w:val="130"/>
    <w:link w:val="4"/>
    <w:qFormat/>
    <w:locked/>
    <w:uiPriority w:val="99"/>
    <w:rPr>
      <w:rFonts w:ascii="Arial" w:hAnsi="Arial" w:eastAsia="黑体" w:cs="Times New Roman"/>
      <w:b/>
      <w:kern w:val="2"/>
      <w:sz w:val="28"/>
      <w:lang w:val="en-US" w:eastAsia="zh-CN"/>
    </w:rPr>
  </w:style>
  <w:style w:type="character" w:customStyle="1" w:styleId="152">
    <w:name w:val="标题 5 字符"/>
    <w:basedOn w:val="130"/>
    <w:link w:val="6"/>
    <w:qFormat/>
    <w:locked/>
    <w:uiPriority w:val="99"/>
    <w:rPr>
      <w:rFonts w:cs="Times New Roman"/>
      <w:b/>
      <w:kern w:val="2"/>
      <w:sz w:val="24"/>
    </w:rPr>
  </w:style>
  <w:style w:type="character" w:customStyle="1" w:styleId="153">
    <w:name w:val="标题 6 字符"/>
    <w:basedOn w:val="130"/>
    <w:link w:val="8"/>
    <w:qFormat/>
    <w:locked/>
    <w:uiPriority w:val="99"/>
    <w:rPr>
      <w:rFonts w:ascii="Arial" w:hAnsi="Arial" w:eastAsia="黑体" w:cs="Times New Roman"/>
      <w:b/>
      <w:kern w:val="2"/>
      <w:sz w:val="24"/>
    </w:rPr>
  </w:style>
  <w:style w:type="character" w:customStyle="1" w:styleId="154">
    <w:name w:val="标题 7 字符"/>
    <w:basedOn w:val="130"/>
    <w:link w:val="9"/>
    <w:qFormat/>
    <w:locked/>
    <w:uiPriority w:val="99"/>
    <w:rPr>
      <w:rFonts w:cs="Times New Roman"/>
      <w:b/>
      <w:kern w:val="2"/>
      <w:sz w:val="24"/>
    </w:rPr>
  </w:style>
  <w:style w:type="character" w:customStyle="1" w:styleId="155">
    <w:name w:val="标题 8 字符"/>
    <w:basedOn w:val="130"/>
    <w:link w:val="10"/>
    <w:qFormat/>
    <w:locked/>
    <w:uiPriority w:val="99"/>
    <w:rPr>
      <w:rFonts w:ascii="Arial" w:hAnsi="Arial" w:eastAsia="黑体" w:cs="Times New Roman"/>
      <w:kern w:val="2"/>
      <w:sz w:val="24"/>
    </w:rPr>
  </w:style>
  <w:style w:type="character" w:customStyle="1" w:styleId="156">
    <w:name w:val="标题 9 字符"/>
    <w:basedOn w:val="130"/>
    <w:link w:val="11"/>
    <w:qFormat/>
    <w:locked/>
    <w:uiPriority w:val="99"/>
    <w:rPr>
      <w:rFonts w:ascii="Arial" w:hAnsi="Arial" w:eastAsia="黑体" w:cs="Times New Roman"/>
      <w:kern w:val="2"/>
      <w:sz w:val="21"/>
    </w:rPr>
  </w:style>
  <w:style w:type="character" w:customStyle="1" w:styleId="157">
    <w:name w:val="注释标题 字符"/>
    <w:basedOn w:val="130"/>
    <w:link w:val="15"/>
    <w:qFormat/>
    <w:locked/>
    <w:uiPriority w:val="99"/>
    <w:rPr>
      <w:rFonts w:cs="Times New Roman"/>
      <w:kern w:val="2"/>
      <w:sz w:val="24"/>
    </w:rPr>
  </w:style>
  <w:style w:type="character" w:customStyle="1" w:styleId="158">
    <w:name w:val="电子邮件签名 字符"/>
    <w:basedOn w:val="130"/>
    <w:link w:val="18"/>
    <w:qFormat/>
    <w:locked/>
    <w:uiPriority w:val="99"/>
    <w:rPr>
      <w:rFonts w:cs="Times New Roman"/>
      <w:kern w:val="2"/>
      <w:sz w:val="24"/>
    </w:rPr>
  </w:style>
  <w:style w:type="character" w:customStyle="1" w:styleId="159">
    <w:name w:val="文档结构图 字符"/>
    <w:basedOn w:val="130"/>
    <w:link w:val="24"/>
    <w:qFormat/>
    <w:locked/>
    <w:uiPriority w:val="99"/>
    <w:rPr>
      <w:rFonts w:cs="Times New Roman"/>
      <w:kern w:val="2"/>
      <w:sz w:val="24"/>
      <w:shd w:val="clear" w:color="auto" w:fill="000080"/>
    </w:rPr>
  </w:style>
  <w:style w:type="character" w:customStyle="1" w:styleId="160">
    <w:name w:val="批注文字 字符"/>
    <w:basedOn w:val="130"/>
    <w:link w:val="26"/>
    <w:qFormat/>
    <w:locked/>
    <w:uiPriority w:val="99"/>
    <w:rPr>
      <w:rFonts w:ascii="宋体" w:cs="Times New Roman"/>
      <w:sz w:val="34"/>
      <w:shd w:val="clear" w:color="auto" w:fill="FFFFFF"/>
    </w:rPr>
  </w:style>
  <w:style w:type="character" w:customStyle="1" w:styleId="161">
    <w:name w:val="称呼 字符"/>
    <w:basedOn w:val="130"/>
    <w:link w:val="28"/>
    <w:qFormat/>
    <w:locked/>
    <w:uiPriority w:val="99"/>
    <w:rPr>
      <w:rFonts w:cs="Times New Roman"/>
      <w:kern w:val="2"/>
      <w:sz w:val="24"/>
    </w:rPr>
  </w:style>
  <w:style w:type="character" w:customStyle="1" w:styleId="162">
    <w:name w:val="正文文本 3 字符"/>
    <w:basedOn w:val="130"/>
    <w:link w:val="29"/>
    <w:qFormat/>
    <w:locked/>
    <w:uiPriority w:val="99"/>
    <w:rPr>
      <w:rFonts w:cs="Times New Roman"/>
      <w:kern w:val="2"/>
      <w:sz w:val="16"/>
    </w:rPr>
  </w:style>
  <w:style w:type="character" w:customStyle="1" w:styleId="163">
    <w:name w:val="结束语 字符"/>
    <w:basedOn w:val="130"/>
    <w:link w:val="30"/>
    <w:qFormat/>
    <w:locked/>
    <w:uiPriority w:val="99"/>
    <w:rPr>
      <w:rFonts w:cs="Times New Roman"/>
      <w:kern w:val="2"/>
      <w:sz w:val="24"/>
    </w:rPr>
  </w:style>
  <w:style w:type="character" w:customStyle="1" w:styleId="164">
    <w:name w:val="正文文本 字符"/>
    <w:basedOn w:val="130"/>
    <w:link w:val="32"/>
    <w:qFormat/>
    <w:locked/>
    <w:uiPriority w:val="99"/>
    <w:rPr>
      <w:rFonts w:ascii="宋体" w:eastAsia="宋体" w:cs="Times New Roman"/>
      <w:b/>
      <w:sz w:val="24"/>
      <w:shd w:val="clear" w:color="auto" w:fill="FFFFFF"/>
    </w:rPr>
  </w:style>
  <w:style w:type="character" w:customStyle="1" w:styleId="165">
    <w:name w:val="正文文本缩进 字符"/>
    <w:basedOn w:val="130"/>
    <w:link w:val="33"/>
    <w:qFormat/>
    <w:locked/>
    <w:uiPriority w:val="99"/>
    <w:rPr>
      <w:rFonts w:cs="Times New Roman"/>
      <w:kern w:val="2"/>
      <w:sz w:val="24"/>
    </w:rPr>
  </w:style>
  <w:style w:type="character" w:customStyle="1" w:styleId="166">
    <w:name w:val="HTML 地址 字符"/>
    <w:basedOn w:val="130"/>
    <w:link w:val="40"/>
    <w:qFormat/>
    <w:locked/>
    <w:uiPriority w:val="99"/>
    <w:rPr>
      <w:rFonts w:cs="Times New Roman"/>
      <w:i/>
      <w:kern w:val="2"/>
      <w:sz w:val="24"/>
    </w:rPr>
  </w:style>
  <w:style w:type="character" w:customStyle="1" w:styleId="167">
    <w:name w:val="纯文本 字符"/>
    <w:basedOn w:val="130"/>
    <w:link w:val="44"/>
    <w:qFormat/>
    <w:locked/>
    <w:uiPriority w:val="99"/>
    <w:rPr>
      <w:rFonts w:ascii="宋体" w:hAnsi="Courier New" w:cs="Times New Roman"/>
      <w:kern w:val="2"/>
      <w:sz w:val="21"/>
      <w:shd w:val="clear" w:color="auto" w:fill="FFFFFF"/>
    </w:rPr>
  </w:style>
  <w:style w:type="character" w:customStyle="1" w:styleId="168">
    <w:name w:val="日期 字符"/>
    <w:basedOn w:val="130"/>
    <w:link w:val="49"/>
    <w:qFormat/>
    <w:locked/>
    <w:uiPriority w:val="99"/>
    <w:rPr>
      <w:rFonts w:ascii="宋体" w:hAnsi="Courier New" w:cs="Times New Roman"/>
      <w:kern w:val="2"/>
      <w:sz w:val="32"/>
    </w:rPr>
  </w:style>
  <w:style w:type="character" w:customStyle="1" w:styleId="169">
    <w:name w:val="正文文本缩进 2 字符"/>
    <w:basedOn w:val="130"/>
    <w:link w:val="50"/>
    <w:qFormat/>
    <w:locked/>
    <w:uiPriority w:val="99"/>
    <w:rPr>
      <w:rFonts w:ascii="宋体" w:eastAsia="宋体" w:cs="Times New Roman"/>
      <w:kern w:val="2"/>
      <w:sz w:val="24"/>
    </w:rPr>
  </w:style>
  <w:style w:type="character" w:customStyle="1" w:styleId="170">
    <w:name w:val="尾注文本 字符"/>
    <w:basedOn w:val="130"/>
    <w:link w:val="51"/>
    <w:qFormat/>
    <w:locked/>
    <w:uiPriority w:val="99"/>
    <w:rPr>
      <w:rFonts w:cs="Times New Roman"/>
      <w:kern w:val="2"/>
      <w:sz w:val="24"/>
    </w:rPr>
  </w:style>
  <w:style w:type="character" w:customStyle="1" w:styleId="171">
    <w:name w:val="批注框文本 字符"/>
    <w:basedOn w:val="130"/>
    <w:link w:val="53"/>
    <w:qFormat/>
    <w:locked/>
    <w:uiPriority w:val="99"/>
    <w:rPr>
      <w:rFonts w:cs="Times New Roman"/>
      <w:kern w:val="2"/>
      <w:sz w:val="18"/>
    </w:rPr>
  </w:style>
  <w:style w:type="character" w:customStyle="1" w:styleId="172">
    <w:name w:val="页脚 字符"/>
    <w:basedOn w:val="130"/>
    <w:link w:val="54"/>
    <w:qFormat/>
    <w:locked/>
    <w:uiPriority w:val="99"/>
    <w:rPr>
      <w:rFonts w:cs="Times New Roman"/>
      <w:kern w:val="2"/>
      <w:sz w:val="18"/>
    </w:rPr>
  </w:style>
  <w:style w:type="character" w:customStyle="1" w:styleId="173">
    <w:name w:val="页眉 字符"/>
    <w:basedOn w:val="130"/>
    <w:link w:val="55"/>
    <w:qFormat/>
    <w:locked/>
    <w:uiPriority w:val="99"/>
    <w:rPr>
      <w:rFonts w:cs="Times New Roman"/>
      <w:kern w:val="2"/>
      <w:sz w:val="18"/>
    </w:rPr>
  </w:style>
  <w:style w:type="character" w:customStyle="1" w:styleId="174">
    <w:name w:val="签名 字符"/>
    <w:basedOn w:val="130"/>
    <w:link w:val="56"/>
    <w:qFormat/>
    <w:locked/>
    <w:uiPriority w:val="99"/>
    <w:rPr>
      <w:rFonts w:cs="Times New Roman"/>
      <w:kern w:val="2"/>
      <w:sz w:val="24"/>
    </w:rPr>
  </w:style>
  <w:style w:type="character" w:customStyle="1" w:styleId="175">
    <w:name w:val="副标题 字符"/>
    <w:basedOn w:val="130"/>
    <w:link w:val="62"/>
    <w:qFormat/>
    <w:locked/>
    <w:uiPriority w:val="99"/>
    <w:rPr>
      <w:rFonts w:ascii="Cambria" w:hAnsi="Cambria" w:cs="Times New Roman"/>
      <w:b/>
      <w:kern w:val="28"/>
      <w:sz w:val="32"/>
      <w:shd w:val="clear" w:color="auto" w:fill="FFFFFF"/>
    </w:rPr>
  </w:style>
  <w:style w:type="character" w:customStyle="1" w:styleId="176">
    <w:name w:val="脚注文本 字符"/>
    <w:basedOn w:val="130"/>
    <w:link w:val="65"/>
    <w:qFormat/>
    <w:locked/>
    <w:uiPriority w:val="99"/>
    <w:rPr>
      <w:rFonts w:cs="Times New Roman"/>
      <w:kern w:val="2"/>
      <w:sz w:val="24"/>
    </w:rPr>
  </w:style>
  <w:style w:type="character" w:customStyle="1" w:styleId="177">
    <w:name w:val="正文文本缩进 3 字符"/>
    <w:basedOn w:val="130"/>
    <w:link w:val="68"/>
    <w:qFormat/>
    <w:locked/>
    <w:uiPriority w:val="99"/>
    <w:rPr>
      <w:rFonts w:ascii="宋体" w:cs="Times New Roman"/>
      <w:b/>
      <w:kern w:val="2"/>
      <w:sz w:val="24"/>
    </w:rPr>
  </w:style>
  <w:style w:type="character" w:customStyle="1" w:styleId="178">
    <w:name w:val="正文文本 2 字符"/>
    <w:basedOn w:val="130"/>
    <w:link w:val="73"/>
    <w:qFormat/>
    <w:locked/>
    <w:uiPriority w:val="99"/>
    <w:rPr>
      <w:rFonts w:cs="Times New Roman"/>
      <w:kern w:val="2"/>
      <w:sz w:val="24"/>
    </w:rPr>
  </w:style>
  <w:style w:type="character" w:customStyle="1" w:styleId="179">
    <w:name w:val="信息标题 字符"/>
    <w:basedOn w:val="130"/>
    <w:link w:val="76"/>
    <w:qFormat/>
    <w:locked/>
    <w:uiPriority w:val="99"/>
    <w:rPr>
      <w:rFonts w:ascii="Arial" w:hAnsi="Arial" w:cs="Times New Roman"/>
      <w:kern w:val="2"/>
      <w:sz w:val="24"/>
      <w:shd w:val="pct20" w:color="auto" w:fill="auto"/>
    </w:rPr>
  </w:style>
  <w:style w:type="character" w:customStyle="1" w:styleId="180">
    <w:name w:val="HTML 预设格式 字符"/>
    <w:basedOn w:val="130"/>
    <w:link w:val="77"/>
    <w:qFormat/>
    <w:locked/>
    <w:uiPriority w:val="99"/>
    <w:rPr>
      <w:rFonts w:ascii="Arial Unicode MS" w:hAnsi="Arial Unicode MS" w:cs="Times New Roman"/>
      <w:color w:val="000000"/>
    </w:rPr>
  </w:style>
  <w:style w:type="character" w:customStyle="1" w:styleId="181">
    <w:name w:val="标题 字符"/>
    <w:basedOn w:val="130"/>
    <w:link w:val="81"/>
    <w:qFormat/>
    <w:locked/>
    <w:uiPriority w:val="99"/>
    <w:rPr>
      <w:rFonts w:ascii="Arial" w:hAnsi="Arial" w:cs="Times New Roman"/>
      <w:b/>
      <w:kern w:val="2"/>
      <w:sz w:val="32"/>
    </w:rPr>
  </w:style>
  <w:style w:type="character" w:customStyle="1" w:styleId="182">
    <w:name w:val="批注主题 字符"/>
    <w:basedOn w:val="160"/>
    <w:link w:val="82"/>
    <w:qFormat/>
    <w:locked/>
    <w:uiPriority w:val="99"/>
    <w:rPr>
      <w:rFonts w:ascii="宋体" w:cs="Times New Roman"/>
      <w:b/>
      <w:kern w:val="2"/>
      <w:sz w:val="24"/>
      <w:shd w:val="clear" w:color="auto" w:fill="FFFFFF"/>
    </w:rPr>
  </w:style>
  <w:style w:type="character" w:customStyle="1" w:styleId="183">
    <w:name w:val="正文文本首行缩进 字符"/>
    <w:basedOn w:val="164"/>
    <w:link w:val="83"/>
    <w:qFormat/>
    <w:locked/>
    <w:uiPriority w:val="99"/>
    <w:rPr>
      <w:rFonts w:ascii="宋体" w:eastAsia="宋体" w:cs="Times New Roman"/>
      <w:kern w:val="2"/>
      <w:sz w:val="24"/>
      <w:shd w:val="clear" w:color="auto" w:fill="FFFFFF"/>
    </w:rPr>
  </w:style>
  <w:style w:type="character" w:customStyle="1" w:styleId="184">
    <w:name w:val="正文文本首行缩进 2 字符"/>
    <w:basedOn w:val="165"/>
    <w:link w:val="84"/>
    <w:qFormat/>
    <w:locked/>
    <w:uiPriority w:val="99"/>
    <w:rPr>
      <w:rFonts w:cs="Times New Roman"/>
      <w:kern w:val="2"/>
      <w:sz w:val="24"/>
    </w:rPr>
  </w:style>
  <w:style w:type="character" w:customStyle="1" w:styleId="185">
    <w:name w:val="正文缩进 字符"/>
    <w:link w:val="7"/>
    <w:qFormat/>
    <w:locked/>
    <w:uiPriority w:val="99"/>
    <w:rPr>
      <w:rFonts w:eastAsia="宋体"/>
      <w:kern w:val="2"/>
      <w:sz w:val="21"/>
      <w:lang w:val="en-US" w:eastAsia="zh-CN"/>
    </w:rPr>
  </w:style>
  <w:style w:type="character" w:customStyle="1" w:styleId="186">
    <w:name w:val="pan Char"/>
    <w:link w:val="187"/>
    <w:qFormat/>
    <w:locked/>
    <w:uiPriority w:val="99"/>
    <w:rPr>
      <w:rFonts w:ascii="黑体" w:hAnsi="黑体" w:eastAsia="黑体"/>
      <w:kern w:val="2"/>
      <w:sz w:val="32"/>
      <w:shd w:val="clear" w:color="auto" w:fill="FFFFFF"/>
    </w:rPr>
  </w:style>
  <w:style w:type="paragraph" w:customStyle="1" w:styleId="187">
    <w:name w:val="pan"/>
    <w:basedOn w:val="188"/>
    <w:link w:val="186"/>
    <w:qFormat/>
    <w:uiPriority w:val="99"/>
    <w:pPr>
      <w:tabs>
        <w:tab w:val="left" w:pos="426"/>
        <w:tab w:val="left" w:pos="840"/>
      </w:tabs>
      <w:ind w:left="840" w:hanging="420" w:firstLineChars="0"/>
      <w:outlineLvl w:val="0"/>
    </w:pPr>
    <w:rPr>
      <w:rFonts w:ascii="黑体" w:hAnsi="黑体" w:eastAsia="黑体"/>
      <w:sz w:val="32"/>
    </w:rPr>
  </w:style>
  <w:style w:type="paragraph" w:customStyle="1" w:styleId="188">
    <w:name w:val="列出段落1"/>
    <w:basedOn w:val="1"/>
    <w:link w:val="189"/>
    <w:qFormat/>
    <w:uiPriority w:val="99"/>
    <w:pPr>
      <w:ind w:firstLine="420" w:firstLineChars="200"/>
    </w:pPr>
    <w:rPr>
      <w:rFonts w:ascii="Times New Roman" w:hAnsi="Times New Roman" w:cs="Times New Roman"/>
      <w:kern w:val="2"/>
      <w:sz w:val="24"/>
      <w:szCs w:val="20"/>
    </w:rPr>
  </w:style>
  <w:style w:type="character" w:customStyle="1" w:styleId="189">
    <w:name w:val="列出段落 Char"/>
    <w:link w:val="188"/>
    <w:qFormat/>
    <w:locked/>
    <w:uiPriority w:val="99"/>
    <w:rPr>
      <w:kern w:val="2"/>
      <w:sz w:val="24"/>
    </w:rPr>
  </w:style>
  <w:style w:type="character" w:customStyle="1" w:styleId="190">
    <w:name w:val="图片注释 Char"/>
    <w:link w:val="191"/>
    <w:qFormat/>
    <w:locked/>
    <w:uiPriority w:val="99"/>
    <w:rPr>
      <w:rFonts w:ascii="宋体" w:eastAsia="宋体"/>
      <w:kern w:val="2"/>
      <w:sz w:val="24"/>
      <w:u w:val="single"/>
    </w:rPr>
  </w:style>
  <w:style w:type="paragraph" w:customStyle="1" w:styleId="191">
    <w:name w:val="图片注释"/>
    <w:basedOn w:val="1"/>
    <w:link w:val="190"/>
    <w:qFormat/>
    <w:uiPriority w:val="99"/>
    <w:pPr>
      <w:spacing w:afterLines="25"/>
      <w:ind w:firstLine="200" w:firstLineChars="200"/>
      <w:jc w:val="center"/>
    </w:pPr>
    <w:rPr>
      <w:rFonts w:hAnsi="Times New Roman" w:cs="Times New Roman"/>
      <w:kern w:val="2"/>
      <w:sz w:val="24"/>
      <w:szCs w:val="20"/>
      <w:u w:val="single"/>
    </w:rPr>
  </w:style>
  <w:style w:type="character" w:customStyle="1" w:styleId="192">
    <w:name w:val="段内层标 Char"/>
    <w:link w:val="193"/>
    <w:qFormat/>
    <w:locked/>
    <w:uiPriority w:val="99"/>
    <w:rPr>
      <w:rFonts w:ascii="宋体" w:eastAsia="宋体"/>
      <w:b/>
      <w:kern w:val="2"/>
      <w:sz w:val="28"/>
      <w:shd w:val="clear" w:color="auto" w:fill="FFFFFF"/>
    </w:rPr>
  </w:style>
  <w:style w:type="paragraph" w:customStyle="1" w:styleId="193">
    <w:name w:val="段内层标"/>
    <w:basedOn w:val="194"/>
    <w:link w:val="192"/>
    <w:qFormat/>
    <w:uiPriority w:val="99"/>
    <w:pPr>
      <w:tabs>
        <w:tab w:val="left" w:pos="426"/>
      </w:tabs>
      <w:spacing w:beforeLines="25" w:afterLines="25"/>
      <w:ind w:left="620" w:firstLine="200" w:firstLineChars="200"/>
    </w:pPr>
    <w:rPr>
      <w:rFonts w:ascii="宋体"/>
      <w:b/>
      <w:kern w:val="2"/>
      <w:sz w:val="28"/>
    </w:rPr>
  </w:style>
  <w:style w:type="paragraph" w:customStyle="1" w:styleId="194">
    <w:name w:val="正文内容"/>
    <w:basedOn w:val="1"/>
    <w:next w:val="24"/>
    <w:link w:val="195"/>
    <w:qFormat/>
    <w:uiPriority w:val="99"/>
    <w:rPr>
      <w:rFonts w:ascii="Times New Roman" w:hAnsi="Times New Roman" w:cs="Times New Roman"/>
      <w:sz w:val="24"/>
      <w:szCs w:val="20"/>
    </w:rPr>
  </w:style>
  <w:style w:type="character" w:customStyle="1" w:styleId="195">
    <w:name w:val="正文内容 Char"/>
    <w:link w:val="194"/>
    <w:qFormat/>
    <w:locked/>
    <w:uiPriority w:val="99"/>
    <w:rPr>
      <w:sz w:val="24"/>
    </w:rPr>
  </w:style>
  <w:style w:type="character" w:customStyle="1" w:styleId="196">
    <w:name w:val="标题3 Char"/>
    <w:link w:val="197"/>
    <w:qFormat/>
    <w:locked/>
    <w:uiPriority w:val="99"/>
    <w:rPr>
      <w:rFonts w:ascii="黑体" w:hAnsi="黑体" w:eastAsia="黑体"/>
      <w:kern w:val="2"/>
      <w:sz w:val="28"/>
      <w:shd w:val="clear" w:color="auto" w:fill="FFFFFF"/>
    </w:rPr>
  </w:style>
  <w:style w:type="paragraph" w:customStyle="1" w:styleId="197">
    <w:name w:val="标题3"/>
    <w:basedOn w:val="188"/>
    <w:link w:val="196"/>
    <w:qFormat/>
    <w:uiPriority w:val="99"/>
    <w:pPr>
      <w:ind w:left="1822" w:firstLine="0" w:firstLineChars="0"/>
      <w:outlineLvl w:val="2"/>
    </w:pPr>
    <w:rPr>
      <w:rFonts w:ascii="黑体" w:hAnsi="黑体" w:eastAsia="黑体"/>
      <w:sz w:val="28"/>
    </w:rPr>
  </w:style>
  <w:style w:type="character" w:customStyle="1" w:styleId="198">
    <w:name w:val="Char Char4"/>
    <w:qFormat/>
    <w:uiPriority w:val="99"/>
    <w:rPr>
      <w:rFonts w:eastAsia="宋体"/>
      <w:b/>
      <w:kern w:val="2"/>
      <w:sz w:val="24"/>
      <w:lang w:val="en-US" w:eastAsia="zh-CN"/>
    </w:rPr>
  </w:style>
  <w:style w:type="character" w:customStyle="1" w:styleId="199">
    <w:name w:val="书籍标题1"/>
    <w:qFormat/>
    <w:uiPriority w:val="99"/>
    <w:rPr>
      <w:b/>
      <w:smallCaps/>
      <w:spacing w:val="5"/>
    </w:rPr>
  </w:style>
  <w:style w:type="character" w:customStyle="1" w:styleId="200">
    <w:name w:val="正文文本缩进 2 Char"/>
    <w:qFormat/>
    <w:uiPriority w:val="99"/>
    <w:rPr>
      <w:rFonts w:ascii="宋体" w:eastAsia="宋体"/>
      <w:kern w:val="2"/>
      <w:sz w:val="24"/>
      <w:shd w:val="clear" w:color="auto" w:fill="FFFFFF"/>
    </w:rPr>
  </w:style>
  <w:style w:type="character" w:customStyle="1" w:styleId="201">
    <w:name w:val="正文文本 Char"/>
    <w:qFormat/>
    <w:uiPriority w:val="99"/>
    <w:rPr>
      <w:rFonts w:ascii="宋体"/>
      <w:kern w:val="10"/>
      <w:sz w:val="21"/>
    </w:rPr>
  </w:style>
  <w:style w:type="character" w:customStyle="1" w:styleId="202">
    <w:name w:val="批注主题 Char"/>
    <w:qFormat/>
    <w:uiPriority w:val="99"/>
    <w:rPr>
      <w:rFonts w:ascii="宋体" w:eastAsia="宋体"/>
      <w:b/>
      <w:kern w:val="2"/>
      <w:sz w:val="24"/>
      <w:shd w:val="clear" w:color="auto" w:fill="FFFFFF"/>
    </w:rPr>
  </w:style>
  <w:style w:type="character" w:customStyle="1" w:styleId="203">
    <w:name w:val="style3"/>
    <w:qFormat/>
    <w:uiPriority w:val="99"/>
  </w:style>
  <w:style w:type="character" w:customStyle="1" w:styleId="204">
    <w:name w:val="font10pt"/>
    <w:qFormat/>
    <w:uiPriority w:val="99"/>
  </w:style>
  <w:style w:type="character" w:customStyle="1" w:styleId="205">
    <w:name w:val="文档结构图 Char"/>
    <w:semiHidden/>
    <w:qFormat/>
    <w:uiPriority w:val="99"/>
    <w:rPr>
      <w:kern w:val="2"/>
      <w:sz w:val="24"/>
      <w:shd w:val="clear" w:color="auto" w:fill="000080"/>
    </w:rPr>
  </w:style>
  <w:style w:type="character" w:customStyle="1" w:styleId="206">
    <w:name w:val="翟 正文 Char"/>
    <w:link w:val="207"/>
    <w:qFormat/>
    <w:locked/>
    <w:uiPriority w:val="99"/>
    <w:rPr>
      <w:rFonts w:ascii="宋体" w:hAnsi="仿宋"/>
      <w:color w:val="000000"/>
      <w:sz w:val="28"/>
      <w:u w:color="000000"/>
    </w:rPr>
  </w:style>
  <w:style w:type="paragraph" w:customStyle="1" w:styleId="207">
    <w:name w:val="翟 正文"/>
    <w:basedOn w:val="1"/>
    <w:link w:val="206"/>
    <w:qFormat/>
    <w:uiPriority w:val="99"/>
    <w:pPr>
      <w:widowControl w:val="0"/>
      <w:shd w:val="clear" w:color="auto" w:fill="auto"/>
      <w:tabs>
        <w:tab w:val="clear" w:pos="426"/>
      </w:tabs>
      <w:adjustRightInd/>
      <w:snapToGrid/>
      <w:spacing w:line="480" w:lineRule="exact"/>
      <w:ind w:firstLine="560" w:firstLineChars="200"/>
    </w:pPr>
    <w:rPr>
      <w:rFonts w:hAnsi="仿宋" w:cs="Times New Roman"/>
      <w:color w:val="000000"/>
      <w:sz w:val="28"/>
      <w:szCs w:val="20"/>
      <w:u w:color="000000"/>
    </w:rPr>
  </w:style>
  <w:style w:type="character" w:customStyle="1" w:styleId="208">
    <w:name w:val="日期 Char1"/>
    <w:semiHidden/>
    <w:qFormat/>
    <w:uiPriority w:val="99"/>
    <w:rPr>
      <w:kern w:val="2"/>
      <w:sz w:val="24"/>
    </w:rPr>
  </w:style>
  <w:style w:type="character" w:customStyle="1" w:styleId="209">
    <w:name w:val="段内主题 Char"/>
    <w:link w:val="210"/>
    <w:qFormat/>
    <w:locked/>
    <w:uiPriority w:val="99"/>
    <w:rPr>
      <w:rFonts w:ascii="宋体" w:eastAsia="宋体"/>
      <w:b/>
      <w:kern w:val="2"/>
      <w:sz w:val="24"/>
      <w:shd w:val="clear" w:color="auto" w:fill="FFFFFF"/>
    </w:rPr>
  </w:style>
  <w:style w:type="paragraph" w:customStyle="1" w:styleId="210">
    <w:name w:val="段内主题"/>
    <w:basedOn w:val="1"/>
    <w:link w:val="209"/>
    <w:qFormat/>
    <w:uiPriority w:val="99"/>
    <w:pPr>
      <w:ind w:left="840"/>
    </w:pPr>
    <w:rPr>
      <w:rFonts w:hAnsi="Times New Roman" w:cs="Times New Roman"/>
      <w:b/>
      <w:kern w:val="2"/>
      <w:sz w:val="24"/>
      <w:szCs w:val="20"/>
    </w:rPr>
  </w:style>
  <w:style w:type="character" w:customStyle="1" w:styleId="211">
    <w:name w:val="1 Char"/>
    <w:link w:val="212"/>
    <w:qFormat/>
    <w:locked/>
    <w:uiPriority w:val="99"/>
    <w:rPr>
      <w:rFonts w:ascii="宋体" w:eastAsia="宋体"/>
      <w:b/>
      <w:sz w:val="24"/>
      <w:shd w:val="clear" w:color="auto" w:fill="FFFFFF"/>
    </w:rPr>
  </w:style>
  <w:style w:type="paragraph" w:customStyle="1" w:styleId="212">
    <w:name w:val="1"/>
    <w:basedOn w:val="1"/>
    <w:link w:val="211"/>
    <w:qFormat/>
    <w:uiPriority w:val="99"/>
    <w:pPr>
      <w:tabs>
        <w:tab w:val="clear" w:pos="426"/>
      </w:tabs>
      <w:adjustRightInd/>
      <w:snapToGrid/>
      <w:spacing w:before="280" w:after="290" w:line="377" w:lineRule="auto"/>
      <w:ind w:left="420" w:hanging="420"/>
      <w:jc w:val="left"/>
      <w:outlineLvl w:val="2"/>
    </w:pPr>
    <w:rPr>
      <w:rFonts w:hAnsi="Times New Roman" w:cs="Times New Roman"/>
      <w:b/>
      <w:sz w:val="24"/>
      <w:szCs w:val="20"/>
    </w:rPr>
  </w:style>
  <w:style w:type="character" w:customStyle="1" w:styleId="213">
    <w:name w:val="图片 Char"/>
    <w:link w:val="214"/>
    <w:qFormat/>
    <w:locked/>
    <w:uiPriority w:val="99"/>
    <w:rPr>
      <w:rFonts w:ascii="宋体" w:eastAsia="宋体"/>
      <w:kern w:val="2"/>
      <w:sz w:val="24"/>
    </w:rPr>
  </w:style>
  <w:style w:type="paragraph" w:customStyle="1" w:styleId="214">
    <w:name w:val="图片"/>
    <w:basedOn w:val="1"/>
    <w:link w:val="213"/>
    <w:qFormat/>
    <w:uiPriority w:val="99"/>
    <w:pPr>
      <w:ind w:firstLine="200" w:firstLineChars="200"/>
      <w:jc w:val="center"/>
    </w:pPr>
    <w:rPr>
      <w:rFonts w:hAnsi="Times New Roman" w:cs="Times New Roman"/>
      <w:kern w:val="2"/>
      <w:sz w:val="24"/>
      <w:szCs w:val="20"/>
    </w:rPr>
  </w:style>
  <w:style w:type="character" w:customStyle="1" w:styleId="215">
    <w:name w:val="页脚 Char1"/>
    <w:semiHidden/>
    <w:qFormat/>
    <w:uiPriority w:val="99"/>
    <w:rPr>
      <w:kern w:val="2"/>
      <w:sz w:val="18"/>
    </w:rPr>
  </w:style>
  <w:style w:type="character" w:customStyle="1" w:styleId="216">
    <w:name w:val="四级标题 Char"/>
    <w:link w:val="217"/>
    <w:qFormat/>
    <w:locked/>
    <w:uiPriority w:val="99"/>
    <w:rPr>
      <w:rFonts w:ascii="黑体" w:hAnsi="黑体" w:eastAsia="黑体"/>
      <w:kern w:val="2"/>
      <w:sz w:val="30"/>
      <w:shd w:val="clear" w:color="auto" w:fill="FFFFFF"/>
    </w:rPr>
  </w:style>
  <w:style w:type="paragraph" w:customStyle="1" w:styleId="217">
    <w:name w:val="四级标题"/>
    <w:basedOn w:val="188"/>
    <w:link w:val="216"/>
    <w:qFormat/>
    <w:uiPriority w:val="99"/>
    <w:pPr>
      <w:spacing w:line="720" w:lineRule="auto"/>
      <w:ind w:firstLine="0" w:firstLineChars="0"/>
      <w:outlineLvl w:val="3"/>
    </w:pPr>
    <w:rPr>
      <w:rFonts w:ascii="黑体" w:hAnsi="黑体" w:eastAsia="黑体"/>
      <w:sz w:val="30"/>
    </w:rPr>
  </w:style>
  <w:style w:type="character" w:customStyle="1" w:styleId="218">
    <w:name w:val="标题 5 Char"/>
    <w:qFormat/>
    <w:uiPriority w:val="99"/>
    <w:rPr>
      <w:b/>
      <w:kern w:val="2"/>
      <w:sz w:val="24"/>
      <w:shd w:val="clear" w:color="auto" w:fill="FFFFFF"/>
    </w:rPr>
  </w:style>
  <w:style w:type="character" w:customStyle="1" w:styleId="219">
    <w:name w:val="标准正文 Char"/>
    <w:link w:val="220"/>
    <w:qFormat/>
    <w:locked/>
    <w:uiPriority w:val="99"/>
    <w:rPr>
      <w:rFonts w:ascii="宋体" w:eastAsia="宋体"/>
      <w:sz w:val="24"/>
    </w:rPr>
  </w:style>
  <w:style w:type="paragraph" w:customStyle="1" w:styleId="220">
    <w:name w:val="标准正文"/>
    <w:basedOn w:val="33"/>
    <w:link w:val="219"/>
    <w:qFormat/>
    <w:uiPriority w:val="99"/>
    <w:pPr>
      <w:spacing w:before="60" w:after="60"/>
      <w:ind w:firstLine="482" w:firstLineChars="0"/>
      <w:jc w:val="left"/>
    </w:pPr>
    <w:rPr>
      <w:rFonts w:ascii="宋体"/>
      <w:kern w:val="0"/>
      <w:sz w:val="24"/>
      <w:szCs w:val="20"/>
    </w:rPr>
  </w:style>
  <w:style w:type="character" w:customStyle="1" w:styleId="221">
    <w:name w:val="标题 2 Char"/>
    <w:qFormat/>
    <w:uiPriority w:val="99"/>
    <w:rPr>
      <w:rFonts w:ascii="宋体" w:eastAsia="宋体"/>
      <w:b/>
      <w:sz w:val="24"/>
      <w:shd w:val="clear" w:color="auto" w:fill="FFFFFF"/>
    </w:rPr>
  </w:style>
  <w:style w:type="character" w:customStyle="1" w:styleId="222">
    <w:name w:val="正文（缩进） Char"/>
    <w:link w:val="223"/>
    <w:qFormat/>
    <w:locked/>
    <w:uiPriority w:val="99"/>
    <w:rPr>
      <w:sz w:val="24"/>
    </w:rPr>
  </w:style>
  <w:style w:type="paragraph" w:customStyle="1" w:styleId="223">
    <w:name w:val="正文（缩进）"/>
    <w:basedOn w:val="1"/>
    <w:link w:val="222"/>
    <w:qFormat/>
    <w:uiPriority w:val="99"/>
    <w:pPr>
      <w:spacing w:beforeLines="50" w:afterLines="50"/>
      <w:ind w:firstLine="480" w:firstLineChars="200"/>
    </w:pPr>
    <w:rPr>
      <w:rFonts w:ascii="Times New Roman" w:hAnsi="Times New Roman" w:cs="Times New Roman"/>
      <w:sz w:val="24"/>
      <w:szCs w:val="20"/>
    </w:rPr>
  </w:style>
  <w:style w:type="character" w:customStyle="1" w:styleId="224">
    <w:name w:val="ss1"/>
    <w:semiHidden/>
    <w:qFormat/>
    <w:uiPriority w:val="99"/>
    <w:rPr>
      <w:rFonts w:ascii="??" w:hAnsi="??"/>
      <w:color w:val="000000"/>
      <w:sz w:val="18"/>
      <w:u w:val="none"/>
    </w:rPr>
  </w:style>
  <w:style w:type="character" w:customStyle="1" w:styleId="225">
    <w:name w:val="二级标题 Char"/>
    <w:link w:val="226"/>
    <w:qFormat/>
    <w:locked/>
    <w:uiPriority w:val="99"/>
    <w:rPr>
      <w:rFonts w:ascii="黑体" w:hAnsi="黑体" w:eastAsia="黑体"/>
      <w:kern w:val="2"/>
      <w:sz w:val="36"/>
      <w:shd w:val="clear" w:color="auto" w:fill="FFFFFF"/>
    </w:rPr>
  </w:style>
  <w:style w:type="paragraph" w:customStyle="1" w:styleId="226">
    <w:name w:val="二级标题"/>
    <w:basedOn w:val="188"/>
    <w:link w:val="225"/>
    <w:qFormat/>
    <w:uiPriority w:val="99"/>
    <w:pPr>
      <w:spacing w:line="720" w:lineRule="auto"/>
      <w:ind w:firstLine="0" w:firstLineChars="0"/>
      <w:outlineLvl w:val="1"/>
    </w:pPr>
    <w:rPr>
      <w:rFonts w:ascii="黑体" w:hAnsi="黑体" w:eastAsia="黑体"/>
      <w:sz w:val="36"/>
    </w:rPr>
  </w:style>
  <w:style w:type="character" w:customStyle="1" w:styleId="227">
    <w:name w:val="标题 6 Char"/>
    <w:qFormat/>
    <w:uiPriority w:val="99"/>
    <w:rPr>
      <w:rFonts w:ascii="Arial" w:hAnsi="Arial" w:eastAsia="黑体"/>
      <w:b/>
      <w:kern w:val="2"/>
      <w:sz w:val="24"/>
      <w:shd w:val="clear" w:color="auto" w:fill="FFFFFF"/>
    </w:rPr>
  </w:style>
  <w:style w:type="character" w:customStyle="1" w:styleId="228">
    <w:name w:val="层标 Char"/>
    <w:link w:val="229"/>
    <w:qFormat/>
    <w:locked/>
    <w:uiPriority w:val="99"/>
    <w:rPr>
      <w:rFonts w:ascii="宋体" w:eastAsia="宋体"/>
      <w:b/>
      <w:kern w:val="2"/>
      <w:sz w:val="28"/>
      <w:shd w:val="clear" w:color="auto" w:fill="FFFFFF"/>
    </w:rPr>
  </w:style>
  <w:style w:type="paragraph" w:customStyle="1" w:styleId="229">
    <w:name w:val="层标"/>
    <w:basedOn w:val="194"/>
    <w:link w:val="228"/>
    <w:qFormat/>
    <w:uiPriority w:val="99"/>
    <w:pPr>
      <w:spacing w:beforeLines="25" w:afterLines="25"/>
      <w:ind w:left="980"/>
    </w:pPr>
    <w:rPr>
      <w:rFonts w:ascii="宋体"/>
      <w:b/>
      <w:kern w:val="2"/>
      <w:sz w:val="28"/>
    </w:rPr>
  </w:style>
  <w:style w:type="character" w:customStyle="1" w:styleId="230">
    <w:name w:val="正文文本缩进 Char1"/>
    <w:semiHidden/>
    <w:qFormat/>
    <w:uiPriority w:val="99"/>
    <w:rPr>
      <w:kern w:val="2"/>
      <w:sz w:val="24"/>
    </w:rPr>
  </w:style>
  <w:style w:type="character" w:customStyle="1" w:styleId="231">
    <w:name w:val="五级标题 Char"/>
    <w:link w:val="232"/>
    <w:qFormat/>
    <w:locked/>
    <w:uiPriority w:val="99"/>
    <w:rPr>
      <w:rFonts w:ascii="黑体" w:hAnsi="黑体" w:eastAsia="黑体"/>
      <w:kern w:val="2"/>
      <w:sz w:val="28"/>
      <w:shd w:val="clear" w:color="auto" w:fill="FFFFFF"/>
    </w:rPr>
  </w:style>
  <w:style w:type="paragraph" w:customStyle="1" w:styleId="232">
    <w:name w:val="五级标题"/>
    <w:basedOn w:val="188"/>
    <w:link w:val="231"/>
    <w:qFormat/>
    <w:uiPriority w:val="99"/>
    <w:pPr>
      <w:spacing w:line="720" w:lineRule="auto"/>
      <w:ind w:firstLine="0" w:firstLineChars="0"/>
      <w:outlineLvl w:val="4"/>
    </w:pPr>
    <w:rPr>
      <w:rFonts w:ascii="黑体" w:hAnsi="黑体" w:eastAsia="黑体"/>
      <w:sz w:val="28"/>
    </w:rPr>
  </w:style>
  <w:style w:type="character" w:customStyle="1" w:styleId="233">
    <w:name w:val="￥正文 Char"/>
    <w:link w:val="234"/>
    <w:qFormat/>
    <w:locked/>
    <w:uiPriority w:val="99"/>
    <w:rPr>
      <w:rFonts w:ascii="Calibri" w:hAnsi="Calibri"/>
      <w:kern w:val="2"/>
      <w:sz w:val="24"/>
    </w:rPr>
  </w:style>
  <w:style w:type="paragraph" w:customStyle="1" w:styleId="234">
    <w:name w:val="￥正文"/>
    <w:basedOn w:val="1"/>
    <w:link w:val="233"/>
    <w:qFormat/>
    <w:uiPriority w:val="99"/>
    <w:pPr>
      <w:ind w:firstLine="200" w:firstLineChars="200"/>
    </w:pPr>
    <w:rPr>
      <w:rFonts w:ascii="Calibri" w:hAnsi="Calibri" w:cs="Times New Roman"/>
      <w:kern w:val="2"/>
      <w:sz w:val="24"/>
      <w:szCs w:val="20"/>
    </w:rPr>
  </w:style>
  <w:style w:type="character" w:customStyle="1" w:styleId="235">
    <w:name w:val="文档结构图 Char1"/>
    <w:semiHidden/>
    <w:qFormat/>
    <w:uiPriority w:val="99"/>
    <w:rPr>
      <w:rFonts w:ascii="宋体"/>
      <w:kern w:val="2"/>
      <w:sz w:val="18"/>
    </w:rPr>
  </w:style>
  <w:style w:type="character" w:customStyle="1" w:styleId="236">
    <w:name w:val="ggwenhao"/>
    <w:semiHidden/>
    <w:qFormat/>
    <w:uiPriority w:val="99"/>
  </w:style>
  <w:style w:type="character" w:customStyle="1" w:styleId="237">
    <w:name w:val="未处理的提及1"/>
    <w:qFormat/>
    <w:uiPriority w:val="99"/>
    <w:rPr>
      <w:color w:val="auto"/>
      <w:shd w:val="clear" w:color="auto" w:fill="auto"/>
    </w:rPr>
  </w:style>
  <w:style w:type="character" w:customStyle="1" w:styleId="238">
    <w:name w:val="一级标题 Char"/>
    <w:link w:val="239"/>
    <w:qFormat/>
    <w:locked/>
    <w:uiPriority w:val="99"/>
    <w:rPr>
      <w:rFonts w:ascii="黑体" w:hAnsi="黑体" w:eastAsia="黑体"/>
      <w:kern w:val="2"/>
      <w:sz w:val="44"/>
      <w:shd w:val="clear" w:color="auto" w:fill="FFFFFF"/>
    </w:rPr>
  </w:style>
  <w:style w:type="paragraph" w:customStyle="1" w:styleId="239">
    <w:name w:val="一级标题"/>
    <w:basedOn w:val="188"/>
    <w:link w:val="238"/>
    <w:qFormat/>
    <w:uiPriority w:val="99"/>
    <w:pPr>
      <w:tabs>
        <w:tab w:val="left" w:pos="340"/>
      </w:tabs>
      <w:spacing w:line="720" w:lineRule="auto"/>
      <w:ind w:firstLine="0" w:firstLineChars="0"/>
      <w:jc w:val="center"/>
      <w:outlineLvl w:val="0"/>
    </w:pPr>
    <w:rPr>
      <w:rFonts w:ascii="黑体" w:hAnsi="黑体" w:eastAsia="黑体"/>
      <w:sz w:val="44"/>
    </w:rPr>
  </w:style>
  <w:style w:type="character" w:customStyle="1" w:styleId="240">
    <w:name w:val="标题 7 Char"/>
    <w:qFormat/>
    <w:uiPriority w:val="99"/>
    <w:rPr>
      <w:b/>
      <w:kern w:val="2"/>
      <w:sz w:val="24"/>
      <w:shd w:val="clear" w:color="auto" w:fill="FFFFFF"/>
    </w:rPr>
  </w:style>
  <w:style w:type="character" w:customStyle="1" w:styleId="241">
    <w:name w:val="段落强调 Char"/>
    <w:link w:val="242"/>
    <w:qFormat/>
    <w:locked/>
    <w:uiPriority w:val="99"/>
    <w:rPr>
      <w:b/>
      <w:kern w:val="2"/>
      <w:sz w:val="24"/>
      <w:shd w:val="clear" w:color="auto" w:fill="FFFFFF"/>
    </w:rPr>
  </w:style>
  <w:style w:type="paragraph" w:customStyle="1" w:styleId="242">
    <w:name w:val="段落强调"/>
    <w:basedOn w:val="1"/>
    <w:link w:val="241"/>
    <w:qFormat/>
    <w:uiPriority w:val="99"/>
    <w:pPr>
      <w:ind w:firstLine="420"/>
    </w:pPr>
    <w:rPr>
      <w:rFonts w:ascii="Times New Roman" w:hAnsi="Times New Roman" w:cs="Times New Roman"/>
      <w:b/>
      <w:kern w:val="2"/>
      <w:sz w:val="24"/>
      <w:szCs w:val="20"/>
    </w:rPr>
  </w:style>
  <w:style w:type="character" w:customStyle="1" w:styleId="243">
    <w:name w:val="pan2 Char"/>
    <w:link w:val="244"/>
    <w:qFormat/>
    <w:locked/>
    <w:uiPriority w:val="99"/>
    <w:rPr>
      <w:rFonts w:ascii="黑体" w:hAnsi="黑体" w:eastAsia="黑体"/>
      <w:kern w:val="2"/>
      <w:sz w:val="30"/>
      <w:shd w:val="clear" w:color="auto" w:fill="FFFFFF"/>
    </w:rPr>
  </w:style>
  <w:style w:type="paragraph" w:customStyle="1" w:styleId="244">
    <w:name w:val="pan2"/>
    <w:basedOn w:val="188"/>
    <w:link w:val="243"/>
    <w:qFormat/>
    <w:uiPriority w:val="99"/>
    <w:pPr>
      <w:tabs>
        <w:tab w:val="left" w:pos="840"/>
      </w:tabs>
      <w:ind w:left="840" w:hanging="420" w:firstLineChars="0"/>
      <w:outlineLvl w:val="1"/>
    </w:pPr>
    <w:rPr>
      <w:rFonts w:ascii="黑体" w:hAnsi="黑体" w:eastAsia="黑体"/>
      <w:sz w:val="30"/>
    </w:rPr>
  </w:style>
  <w:style w:type="character" w:customStyle="1" w:styleId="245">
    <w:name w:val="明显参考1"/>
    <w:qFormat/>
    <w:uiPriority w:val="99"/>
    <w:rPr>
      <w:rFonts w:eastAsia="宋体"/>
      <w:smallCaps/>
      <w:color w:val="000000"/>
      <w:spacing w:val="5"/>
      <w:sz w:val="24"/>
      <w:u w:val="single"/>
    </w:rPr>
  </w:style>
  <w:style w:type="character" w:customStyle="1" w:styleId="246">
    <w:name w:val="Quote Char"/>
    <w:qFormat/>
    <w:locked/>
    <w:uiPriority w:val="99"/>
    <w:rPr>
      <w:color w:val="000000"/>
      <w:kern w:val="2"/>
      <w:sz w:val="24"/>
    </w:rPr>
  </w:style>
  <w:style w:type="paragraph" w:styleId="247">
    <w:name w:val="Quote"/>
    <w:basedOn w:val="1"/>
    <w:next w:val="1"/>
    <w:link w:val="248"/>
    <w:qFormat/>
    <w:uiPriority w:val="99"/>
    <w:pPr>
      <w:jc w:val="center"/>
    </w:pPr>
    <w:rPr>
      <w:rFonts w:ascii="Times New Roman" w:hAnsi="Times New Roman" w:cs="Times New Roman"/>
      <w:color w:val="000000"/>
      <w:kern w:val="2"/>
      <w:sz w:val="24"/>
      <w:szCs w:val="20"/>
    </w:rPr>
  </w:style>
  <w:style w:type="character" w:customStyle="1" w:styleId="248">
    <w:name w:val="引用 字符"/>
    <w:basedOn w:val="130"/>
    <w:link w:val="247"/>
    <w:qFormat/>
    <w:locked/>
    <w:uiPriority w:val="99"/>
    <w:rPr>
      <w:rFonts w:ascii="宋体" w:eastAsia="宋体" w:cs="宋体"/>
      <w:i/>
      <w:iCs/>
      <w:color w:val="000000"/>
      <w:kern w:val="0"/>
      <w:sz w:val="24"/>
      <w:szCs w:val="24"/>
      <w:shd w:val="clear" w:color="auto" w:fill="FFFFFF"/>
    </w:rPr>
  </w:style>
  <w:style w:type="character" w:customStyle="1" w:styleId="249">
    <w:name w:val="模板正文 Char"/>
    <w:link w:val="250"/>
    <w:qFormat/>
    <w:locked/>
    <w:uiPriority w:val="99"/>
    <w:rPr>
      <w:rFonts w:eastAsia="仿宋_GB2312"/>
      <w:sz w:val="21"/>
    </w:rPr>
  </w:style>
  <w:style w:type="paragraph" w:customStyle="1" w:styleId="250">
    <w:name w:val="模板正文"/>
    <w:basedOn w:val="1"/>
    <w:link w:val="249"/>
    <w:qFormat/>
    <w:uiPriority w:val="99"/>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Cs w:val="20"/>
    </w:rPr>
  </w:style>
  <w:style w:type="character" w:customStyle="1" w:styleId="251">
    <w:name w:val="三级标题 Char"/>
    <w:link w:val="252"/>
    <w:qFormat/>
    <w:locked/>
    <w:uiPriority w:val="99"/>
    <w:rPr>
      <w:rFonts w:ascii="黑体" w:hAnsi="黑体" w:eastAsia="黑体"/>
      <w:kern w:val="2"/>
      <w:sz w:val="32"/>
      <w:shd w:val="clear" w:color="auto" w:fill="FFFFFF"/>
    </w:rPr>
  </w:style>
  <w:style w:type="paragraph" w:customStyle="1" w:styleId="252">
    <w:name w:val="三级标题"/>
    <w:basedOn w:val="188"/>
    <w:link w:val="251"/>
    <w:qFormat/>
    <w:uiPriority w:val="99"/>
    <w:pPr>
      <w:spacing w:line="720" w:lineRule="auto"/>
      <w:ind w:firstLine="0" w:firstLineChars="0"/>
      <w:outlineLvl w:val="2"/>
    </w:pPr>
    <w:rPr>
      <w:rFonts w:ascii="黑体" w:hAnsi="黑体" w:eastAsia="黑体"/>
      <w:sz w:val="32"/>
    </w:rPr>
  </w:style>
  <w:style w:type="character" w:customStyle="1" w:styleId="253">
    <w:name w:val="正文文本缩进 Char"/>
    <w:qFormat/>
    <w:uiPriority w:val="99"/>
    <w:rPr>
      <w:kern w:val="2"/>
      <w:sz w:val="24"/>
      <w:shd w:val="clear" w:color="auto" w:fill="FFFFFF"/>
    </w:rPr>
  </w:style>
  <w:style w:type="character" w:customStyle="1" w:styleId="254">
    <w:name w:val="页眉 Char"/>
    <w:qFormat/>
    <w:uiPriority w:val="99"/>
    <w:rPr>
      <w:kern w:val="2"/>
      <w:sz w:val="18"/>
      <w:shd w:val="clear" w:color="auto" w:fill="FFFFFF"/>
    </w:rPr>
  </w:style>
  <w:style w:type="character" w:customStyle="1" w:styleId="255">
    <w:name w:val="页脚 Char"/>
    <w:qFormat/>
    <w:uiPriority w:val="99"/>
    <w:rPr>
      <w:kern w:val="2"/>
      <w:sz w:val="18"/>
      <w:shd w:val="clear" w:color="auto" w:fill="FFFFFF"/>
    </w:rPr>
  </w:style>
  <w:style w:type="character" w:customStyle="1" w:styleId="256">
    <w:name w:val="批注文字 Char1"/>
    <w:qFormat/>
    <w:uiPriority w:val="99"/>
    <w:rPr>
      <w:rFonts w:ascii="宋体"/>
      <w:sz w:val="34"/>
      <w:shd w:val="clear" w:color="auto" w:fill="FFFFFF"/>
    </w:rPr>
  </w:style>
  <w:style w:type="character" w:customStyle="1" w:styleId="257">
    <w:name w:val="HTML 预设格式 Char"/>
    <w:qFormat/>
    <w:uiPriority w:val="99"/>
    <w:rPr>
      <w:rFonts w:ascii="Arial Unicode MS" w:hAnsi="Arial Unicode MS"/>
      <w:color w:val="000000"/>
      <w:shd w:val="clear" w:color="auto" w:fill="FFFFFF"/>
    </w:rPr>
  </w:style>
  <w:style w:type="character" w:customStyle="1" w:styleId="258">
    <w:name w:val="标题 1 字符1"/>
    <w:qFormat/>
    <w:uiPriority w:val="99"/>
    <w:rPr>
      <w:rFonts w:ascii="Times New Roman" w:hAnsi="Times New Roman" w:eastAsia="宋体"/>
      <w:b/>
      <w:kern w:val="44"/>
      <w:sz w:val="20"/>
    </w:rPr>
  </w:style>
  <w:style w:type="character" w:customStyle="1" w:styleId="259">
    <w:name w:val="正文标题 Char"/>
    <w:link w:val="260"/>
    <w:qFormat/>
    <w:locked/>
    <w:uiPriority w:val="99"/>
    <w:rPr>
      <w:rFonts w:ascii="Calibri" w:hAnsi="Calibri"/>
      <w:b/>
      <w:kern w:val="2"/>
      <w:sz w:val="28"/>
      <w:shd w:val="clear" w:color="auto" w:fill="FFFFFF"/>
    </w:rPr>
  </w:style>
  <w:style w:type="paragraph" w:customStyle="1" w:styleId="260">
    <w:name w:val="正文标题"/>
    <w:basedOn w:val="1"/>
    <w:link w:val="259"/>
    <w:qFormat/>
    <w:uiPriority w:val="99"/>
    <w:pPr>
      <w:ind w:left="982" w:firstLine="200" w:firstLineChars="200"/>
    </w:pPr>
    <w:rPr>
      <w:rFonts w:ascii="Calibri" w:hAnsi="Calibri" w:cs="Times New Roman"/>
      <w:b/>
      <w:kern w:val="2"/>
      <w:sz w:val="28"/>
      <w:szCs w:val="20"/>
    </w:rPr>
  </w:style>
  <w:style w:type="character" w:customStyle="1" w:styleId="261">
    <w:name w:val="图片注释新 Char"/>
    <w:link w:val="262"/>
    <w:qFormat/>
    <w:locked/>
    <w:uiPriority w:val="99"/>
    <w:rPr>
      <w:rFonts w:ascii="宋体" w:eastAsia="宋体"/>
      <w:kern w:val="2"/>
      <w:sz w:val="24"/>
      <w:u w:val="single"/>
    </w:rPr>
  </w:style>
  <w:style w:type="paragraph" w:customStyle="1" w:styleId="262">
    <w:name w:val="图片注释新"/>
    <w:basedOn w:val="191"/>
    <w:link w:val="261"/>
    <w:qFormat/>
    <w:uiPriority w:val="99"/>
    <w:pPr>
      <w:spacing w:after="81"/>
      <w:ind w:firstLine="0" w:firstLineChars="0"/>
    </w:pPr>
  </w:style>
  <w:style w:type="character" w:customStyle="1" w:styleId="263">
    <w:name w:val="副标题 Char"/>
    <w:qFormat/>
    <w:uiPriority w:val="99"/>
    <w:rPr>
      <w:rFonts w:ascii="Cambria" w:hAnsi="Cambria"/>
      <w:b/>
      <w:kern w:val="28"/>
      <w:sz w:val="32"/>
      <w:shd w:val="clear" w:color="auto" w:fill="FFFFFF"/>
    </w:rPr>
  </w:style>
  <w:style w:type="character" w:customStyle="1" w:styleId="264">
    <w:name w:val="正文文本缩进 3 Char1"/>
    <w:semiHidden/>
    <w:qFormat/>
    <w:uiPriority w:val="99"/>
    <w:rPr>
      <w:kern w:val="2"/>
      <w:sz w:val="16"/>
    </w:rPr>
  </w:style>
  <w:style w:type="character" w:customStyle="1" w:styleId="265">
    <w:name w:val="纯文本 Char"/>
    <w:qFormat/>
    <w:uiPriority w:val="99"/>
    <w:rPr>
      <w:rFonts w:ascii="宋体" w:hAnsi="Courier New"/>
      <w:kern w:val="2"/>
      <w:sz w:val="21"/>
      <w:shd w:val="clear" w:color="auto" w:fill="FFFFFF"/>
    </w:rPr>
  </w:style>
  <w:style w:type="character" w:customStyle="1" w:styleId="266">
    <w:name w:val="标题 4 Char"/>
    <w:qFormat/>
    <w:uiPriority w:val="99"/>
    <w:rPr>
      <w:rFonts w:ascii="Arial" w:hAnsi="Arial" w:eastAsia="黑体"/>
      <w:b/>
      <w:kern w:val="2"/>
      <w:sz w:val="28"/>
      <w:shd w:val="clear" w:color="auto" w:fill="FFFFFF"/>
    </w:rPr>
  </w:style>
  <w:style w:type="character" w:customStyle="1" w:styleId="267">
    <w:name w:val="标题 8 Char"/>
    <w:qFormat/>
    <w:uiPriority w:val="99"/>
    <w:rPr>
      <w:rFonts w:ascii="Arial" w:hAnsi="Arial" w:eastAsia="黑体"/>
      <w:kern w:val="2"/>
      <w:sz w:val="24"/>
      <w:shd w:val="clear" w:color="auto" w:fill="FFFFFF"/>
    </w:rPr>
  </w:style>
  <w:style w:type="character" w:customStyle="1" w:styleId="268">
    <w:name w:val="图标题 Char"/>
    <w:link w:val="269"/>
    <w:qFormat/>
    <w:locked/>
    <w:uiPriority w:val="99"/>
    <w:rPr>
      <w:rFonts w:ascii="宋体" w:eastAsia="宋体"/>
      <w:kern w:val="2"/>
      <w:sz w:val="24"/>
    </w:rPr>
  </w:style>
  <w:style w:type="paragraph" w:customStyle="1" w:styleId="269">
    <w:name w:val="图标题"/>
    <w:basedOn w:val="1"/>
    <w:link w:val="268"/>
    <w:qFormat/>
    <w:uiPriority w:val="99"/>
    <w:pPr>
      <w:jc w:val="center"/>
    </w:pPr>
    <w:rPr>
      <w:rFonts w:hAnsi="Times New Roman" w:cs="Times New Roman"/>
      <w:kern w:val="2"/>
      <w:sz w:val="24"/>
      <w:szCs w:val="20"/>
    </w:rPr>
  </w:style>
  <w:style w:type="character" w:customStyle="1" w:styleId="270">
    <w:name w:val="批注文字 Char"/>
    <w:qFormat/>
    <w:uiPriority w:val="99"/>
    <w:rPr>
      <w:rFonts w:ascii="宋体" w:eastAsia="宋体"/>
      <w:sz w:val="24"/>
      <w:shd w:val="clear" w:color="auto" w:fill="FFFFFF"/>
    </w:rPr>
  </w:style>
  <w:style w:type="character" w:customStyle="1" w:styleId="271">
    <w:name w:val="标题 3 Char1"/>
    <w:qFormat/>
    <w:uiPriority w:val="99"/>
    <w:rPr>
      <w:rFonts w:ascii="宋体" w:eastAsia="宋体"/>
      <w:b/>
      <w:kern w:val="2"/>
      <w:sz w:val="32"/>
      <w:shd w:val="clear" w:color="auto" w:fill="FFFFFF"/>
    </w:rPr>
  </w:style>
  <w:style w:type="character" w:customStyle="1" w:styleId="272">
    <w:name w:val="日期 Char"/>
    <w:qFormat/>
    <w:uiPriority w:val="99"/>
    <w:rPr>
      <w:rFonts w:ascii="宋体" w:hAnsi="Courier New"/>
      <w:kern w:val="2"/>
      <w:sz w:val="32"/>
      <w:shd w:val="clear" w:color="auto" w:fill="FFFFFF"/>
    </w:rPr>
  </w:style>
  <w:style w:type="character" w:customStyle="1" w:styleId="273">
    <w:name w:val="普通文字1 Char Char"/>
    <w:qFormat/>
    <w:uiPriority w:val="99"/>
    <w:rPr>
      <w:rFonts w:ascii="宋体" w:hAnsi="Courier New" w:eastAsia="宋体"/>
      <w:kern w:val="2"/>
      <w:sz w:val="21"/>
      <w:lang w:val="en-US" w:eastAsia="zh-CN"/>
    </w:rPr>
  </w:style>
  <w:style w:type="character" w:customStyle="1" w:styleId="274">
    <w:name w:val="正文文本缩进 3 Char"/>
    <w:qFormat/>
    <w:uiPriority w:val="99"/>
    <w:rPr>
      <w:rFonts w:ascii="宋体"/>
      <w:b/>
      <w:kern w:val="2"/>
      <w:sz w:val="24"/>
      <w:shd w:val="clear" w:color="auto" w:fill="FFFFFF"/>
    </w:rPr>
  </w:style>
  <w:style w:type="character" w:customStyle="1" w:styleId="275">
    <w:name w:val="副标题 Char1"/>
    <w:qFormat/>
    <w:uiPriority w:val="99"/>
    <w:rPr>
      <w:rFonts w:ascii="Cambria" w:hAnsi="Cambria"/>
      <w:b/>
      <w:kern w:val="28"/>
      <w:sz w:val="32"/>
    </w:rPr>
  </w:style>
  <w:style w:type="character" w:customStyle="1" w:styleId="276">
    <w:name w:val="标题 9 Char"/>
    <w:qFormat/>
    <w:uiPriority w:val="99"/>
    <w:rPr>
      <w:rFonts w:ascii="Arial" w:hAnsi="Arial" w:eastAsia="黑体"/>
      <w:kern w:val="2"/>
      <w:sz w:val="21"/>
      <w:shd w:val="clear" w:color="auto" w:fill="FFFFFF"/>
    </w:rPr>
  </w:style>
  <w:style w:type="character" w:customStyle="1" w:styleId="277">
    <w:name w:val="书籍标题11"/>
    <w:qFormat/>
    <w:uiPriority w:val="99"/>
    <w:rPr>
      <w:b/>
      <w:smallCaps/>
      <w:spacing w:val="5"/>
    </w:rPr>
  </w:style>
  <w:style w:type="character" w:customStyle="1" w:styleId="278">
    <w:name w:val="正文文本 2 Char"/>
    <w:qFormat/>
    <w:uiPriority w:val="99"/>
    <w:rPr>
      <w:kern w:val="2"/>
      <w:sz w:val="24"/>
      <w:shd w:val="clear" w:color="auto" w:fill="FFFFFF"/>
    </w:rPr>
  </w:style>
  <w:style w:type="character" w:customStyle="1" w:styleId="279">
    <w:name w:val="标题 Char"/>
    <w:qFormat/>
    <w:uiPriority w:val="99"/>
    <w:rPr>
      <w:rFonts w:ascii="Arial" w:hAnsi="Arial"/>
      <w:b/>
      <w:kern w:val="2"/>
      <w:sz w:val="32"/>
      <w:shd w:val="clear" w:color="auto" w:fill="FFFFFF"/>
    </w:rPr>
  </w:style>
  <w:style w:type="character" w:customStyle="1" w:styleId="280">
    <w:name w:val="apple-converted-space"/>
    <w:qFormat/>
    <w:uiPriority w:val="99"/>
  </w:style>
  <w:style w:type="character" w:customStyle="1" w:styleId="281">
    <w:name w:val="unnamed211"/>
    <w:semiHidden/>
    <w:qFormat/>
    <w:uiPriority w:val="99"/>
    <w:rPr>
      <w:sz w:val="23"/>
    </w:rPr>
  </w:style>
  <w:style w:type="character" w:customStyle="1" w:styleId="282">
    <w:name w:val="pan4 Char"/>
    <w:link w:val="283"/>
    <w:qFormat/>
    <w:locked/>
    <w:uiPriority w:val="99"/>
    <w:rPr>
      <w:rFonts w:ascii="黑体" w:hAnsi="黑体" w:eastAsia="黑体"/>
      <w:kern w:val="2"/>
      <w:sz w:val="28"/>
      <w:shd w:val="clear" w:color="auto" w:fill="FFFFFF"/>
    </w:rPr>
  </w:style>
  <w:style w:type="paragraph" w:customStyle="1" w:styleId="283">
    <w:name w:val="pan4"/>
    <w:basedOn w:val="188"/>
    <w:link w:val="282"/>
    <w:qFormat/>
    <w:uiPriority w:val="99"/>
    <w:pPr>
      <w:tabs>
        <w:tab w:val="left" w:pos="1680"/>
      </w:tabs>
      <w:ind w:left="1680" w:hanging="420" w:firstLineChars="0"/>
      <w:outlineLvl w:val="3"/>
    </w:pPr>
    <w:rPr>
      <w:rFonts w:ascii="黑体" w:hAnsi="黑体" w:eastAsia="黑体"/>
      <w:sz w:val="28"/>
    </w:rPr>
  </w:style>
  <w:style w:type="character" w:customStyle="1" w:styleId="284">
    <w:name w:val="138v1"/>
    <w:qFormat/>
    <w:uiPriority w:val="99"/>
  </w:style>
  <w:style w:type="character" w:customStyle="1" w:styleId="285">
    <w:name w:val="批注框文本 Char"/>
    <w:semiHidden/>
    <w:qFormat/>
    <w:uiPriority w:val="99"/>
    <w:rPr>
      <w:kern w:val="2"/>
      <w:sz w:val="18"/>
      <w:shd w:val="clear" w:color="auto" w:fill="FFFFFF"/>
    </w:rPr>
  </w:style>
  <w:style w:type="character" w:customStyle="1" w:styleId="286">
    <w:name w:val="纯文本 Char1"/>
    <w:qFormat/>
    <w:uiPriority w:val="99"/>
    <w:rPr>
      <w:rFonts w:ascii="宋体" w:hAnsi="Courier New"/>
      <w:kern w:val="2"/>
      <w:sz w:val="21"/>
    </w:rPr>
  </w:style>
  <w:style w:type="character" w:customStyle="1" w:styleId="287">
    <w:name w:val="pan5 Char"/>
    <w:link w:val="288"/>
    <w:qFormat/>
    <w:locked/>
    <w:uiPriority w:val="99"/>
    <w:rPr>
      <w:rFonts w:ascii="黑体" w:hAnsi="黑体" w:eastAsia="黑体"/>
      <w:kern w:val="2"/>
      <w:sz w:val="24"/>
      <w:shd w:val="clear" w:color="auto" w:fill="FFFFFF"/>
    </w:rPr>
  </w:style>
  <w:style w:type="paragraph" w:customStyle="1" w:styleId="288">
    <w:name w:val="pan5"/>
    <w:basedOn w:val="188"/>
    <w:link w:val="287"/>
    <w:qFormat/>
    <w:uiPriority w:val="99"/>
    <w:pPr>
      <w:tabs>
        <w:tab w:val="left" w:pos="1008"/>
      </w:tabs>
      <w:ind w:left="1008" w:hanging="1008" w:firstLineChars="0"/>
      <w:outlineLvl w:val="4"/>
    </w:pPr>
    <w:rPr>
      <w:rFonts w:ascii="黑体" w:hAnsi="黑体" w:eastAsia="黑体"/>
    </w:rPr>
  </w:style>
  <w:style w:type="character" w:customStyle="1" w:styleId="289">
    <w:name w:val="正文文本 3 Char"/>
    <w:qFormat/>
    <w:uiPriority w:val="99"/>
    <w:rPr>
      <w:kern w:val="2"/>
      <w:sz w:val="16"/>
      <w:shd w:val="clear" w:color="auto" w:fill="FFFFFF"/>
    </w:rPr>
  </w:style>
  <w:style w:type="character" w:customStyle="1" w:styleId="290">
    <w:name w:val="引用 Char"/>
    <w:qFormat/>
    <w:uiPriority w:val="99"/>
    <w:rPr>
      <w:color w:val="000000"/>
      <w:kern w:val="2"/>
      <w:sz w:val="24"/>
      <w:shd w:val="clear" w:color="auto" w:fill="FFFFFF"/>
    </w:rPr>
  </w:style>
  <w:style w:type="character" w:customStyle="1" w:styleId="291">
    <w:name w:val="Default Char"/>
    <w:link w:val="292"/>
    <w:qFormat/>
    <w:locked/>
    <w:uiPriority w:val="99"/>
    <w:rPr>
      <w:rFonts w:ascii="宋体" w:hAnsi="Calibri"/>
      <w:color w:val="000000"/>
      <w:sz w:val="24"/>
      <w:lang w:val="en-US" w:eastAsia="zh-CN"/>
    </w:rPr>
  </w:style>
  <w:style w:type="paragraph" w:customStyle="1" w:styleId="292">
    <w:name w:val="Default"/>
    <w:link w:val="291"/>
    <w:qFormat/>
    <w:uiPriority w:val="99"/>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character" w:customStyle="1" w:styleId="293">
    <w:name w:val="tpc_content1"/>
    <w:qFormat/>
    <w:uiPriority w:val="99"/>
    <w:rPr>
      <w:sz w:val="20"/>
    </w:rPr>
  </w:style>
  <w:style w:type="character" w:customStyle="1" w:styleId="294">
    <w:name w:val="f14b1"/>
    <w:semiHidden/>
    <w:qFormat/>
    <w:uiPriority w:val="99"/>
    <w:rPr>
      <w:b/>
      <w:sz w:val="21"/>
    </w:rPr>
  </w:style>
  <w:style w:type="character" w:customStyle="1" w:styleId="295">
    <w:name w:val="f142"/>
    <w:semiHidden/>
    <w:qFormat/>
    <w:uiPriority w:val="99"/>
    <w:rPr>
      <w:sz w:val="21"/>
    </w:rPr>
  </w:style>
  <w:style w:type="character" w:customStyle="1" w:styleId="296">
    <w:name w:val="正文缩进 Char1"/>
    <w:qFormat/>
    <w:uiPriority w:val="99"/>
    <w:rPr>
      <w:kern w:val="2"/>
      <w:sz w:val="21"/>
    </w:rPr>
  </w:style>
  <w:style w:type="character" w:customStyle="1" w:styleId="297">
    <w:name w:val="明显参考2"/>
    <w:qFormat/>
    <w:uiPriority w:val="99"/>
    <w:rPr>
      <w:rFonts w:eastAsia="宋体"/>
      <w:smallCaps/>
      <w:color w:val="000000"/>
      <w:spacing w:val="5"/>
      <w:sz w:val="24"/>
      <w:u w:val="single"/>
    </w:rPr>
  </w:style>
  <w:style w:type="character" w:customStyle="1" w:styleId="298">
    <w:name w:val="pan3 Char"/>
    <w:link w:val="299"/>
    <w:qFormat/>
    <w:locked/>
    <w:uiPriority w:val="99"/>
    <w:rPr>
      <w:rFonts w:ascii="黑体" w:hAnsi="黑体" w:eastAsia="黑体"/>
      <w:kern w:val="2"/>
      <w:sz w:val="28"/>
      <w:shd w:val="clear" w:color="auto" w:fill="FFFFFF"/>
    </w:rPr>
  </w:style>
  <w:style w:type="paragraph" w:customStyle="1" w:styleId="299">
    <w:name w:val="pan3"/>
    <w:basedOn w:val="188"/>
    <w:link w:val="298"/>
    <w:qFormat/>
    <w:uiPriority w:val="99"/>
    <w:pPr>
      <w:tabs>
        <w:tab w:val="left" w:pos="1260"/>
      </w:tabs>
      <w:ind w:left="1260" w:hanging="420" w:firstLineChars="0"/>
      <w:outlineLvl w:val="2"/>
    </w:pPr>
    <w:rPr>
      <w:rFonts w:ascii="黑体" w:hAnsi="黑体" w:eastAsia="黑体"/>
      <w:sz w:val="28"/>
    </w:rPr>
  </w:style>
  <w:style w:type="character" w:customStyle="1" w:styleId="300">
    <w:name w:val="标题 1 Char"/>
    <w:qFormat/>
    <w:uiPriority w:val="99"/>
    <w:rPr>
      <w:rFonts w:ascii="宋体" w:hAnsi="宋体" w:eastAsia="黑体"/>
      <w:b/>
      <w:kern w:val="44"/>
      <w:sz w:val="28"/>
      <w:shd w:val="clear" w:color="auto" w:fill="FFFFFF"/>
    </w:rPr>
  </w:style>
  <w:style w:type="character" w:customStyle="1" w:styleId="301">
    <w:name w:val="方案正文段落 Char"/>
    <w:link w:val="302"/>
    <w:qFormat/>
    <w:locked/>
    <w:uiPriority w:val="99"/>
    <w:rPr>
      <w:kern w:val="2"/>
      <w:sz w:val="21"/>
    </w:rPr>
  </w:style>
  <w:style w:type="paragraph" w:customStyle="1" w:styleId="302">
    <w:name w:val="方案正文段落"/>
    <w:basedOn w:val="1"/>
    <w:link w:val="301"/>
    <w:qFormat/>
    <w:uiPriority w:val="99"/>
    <w:pPr>
      <w:ind w:firstLine="420" w:firstLineChars="200"/>
    </w:pPr>
    <w:rPr>
      <w:rFonts w:ascii="Times New Roman" w:hAnsi="Times New Roman" w:cs="Times New Roman"/>
      <w:kern w:val="2"/>
      <w:szCs w:val="20"/>
    </w:rPr>
  </w:style>
  <w:style w:type="character" w:customStyle="1" w:styleId="303">
    <w:name w:val="text1"/>
    <w:qFormat/>
    <w:uiPriority w:val="99"/>
  </w:style>
  <w:style w:type="character" w:customStyle="1" w:styleId="304">
    <w:name w:val="标题 3 Char"/>
    <w:qFormat/>
    <w:uiPriority w:val="99"/>
    <w:rPr>
      <w:rFonts w:ascii="黑体" w:eastAsia="黑体"/>
      <w:sz w:val="30"/>
    </w:rPr>
  </w:style>
  <w:style w:type="paragraph" w:customStyle="1" w:styleId="305">
    <w:name w:val="Char1 Char Char Char"/>
    <w:basedOn w:val="1"/>
    <w:qFormat/>
    <w:uiPriority w:val="99"/>
    <w:pPr>
      <w:widowControl w:val="0"/>
      <w:shd w:val="clear" w:color="auto" w:fill="auto"/>
      <w:tabs>
        <w:tab w:val="clear" w:pos="426"/>
      </w:tabs>
      <w:adjustRightInd/>
      <w:snapToGrid/>
      <w:spacing w:line="240" w:lineRule="auto"/>
    </w:pPr>
    <w:rPr>
      <w:rFonts w:ascii="Times New Roman" w:hAnsi="Times New Roman" w:eastAsia="仿宋_GB2312" w:cs="Times New Roman"/>
      <w:kern w:val="2"/>
      <w:sz w:val="28"/>
    </w:rPr>
  </w:style>
  <w:style w:type="paragraph" w:customStyle="1" w:styleId="306">
    <w:name w:val="xl106"/>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307">
    <w:name w:val="_Style 38"/>
    <w:basedOn w:val="1"/>
    <w:qFormat/>
    <w:uiPriority w:val="99"/>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customStyle="1" w:styleId="308">
    <w:name w:val="xl232"/>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09">
    <w:name w:val="xl119"/>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10">
    <w:name w:val="方案标题2"/>
    <w:basedOn w:val="81"/>
    <w:qFormat/>
    <w:uiPriority w:val="99"/>
    <w:pPr>
      <w:tabs>
        <w:tab w:val="left" w:pos="720"/>
      </w:tabs>
      <w:spacing w:beforeLines="50" w:afterLines="50"/>
      <w:ind w:firstLine="200" w:firstLineChars="200"/>
      <w:jc w:val="left"/>
      <w:outlineLvl w:val="1"/>
    </w:pPr>
    <w:rPr>
      <w:rFonts w:eastAsia="仿宋_GB2312"/>
      <w:color w:val="000000"/>
      <w:sz w:val="30"/>
      <w:szCs w:val="30"/>
    </w:rPr>
  </w:style>
  <w:style w:type="paragraph" w:customStyle="1" w:styleId="311">
    <w:name w:val="Char"/>
    <w:basedOn w:val="1"/>
    <w:qFormat/>
    <w:uiPriority w:val="99"/>
    <w:pPr>
      <w:spacing w:after="160" w:line="240" w:lineRule="exact"/>
      <w:jc w:val="left"/>
    </w:pPr>
    <w:rPr>
      <w:rFonts w:ascii="Verdana" w:hAnsi="Verdana" w:eastAsia="仿宋_GB2312"/>
      <w:sz w:val="24"/>
      <w:szCs w:val="20"/>
      <w:lang w:eastAsia="en-US"/>
    </w:rPr>
  </w:style>
  <w:style w:type="paragraph" w:customStyle="1" w:styleId="312">
    <w:name w:val="xl225"/>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3">
    <w:name w:val="Char5 Char Char Char Char Char Char"/>
    <w:basedOn w:val="1"/>
    <w:qFormat/>
    <w:uiPriority w:val="99"/>
    <w:pPr>
      <w:spacing w:after="160" w:line="240" w:lineRule="exact"/>
      <w:jc w:val="left"/>
    </w:pPr>
    <w:rPr>
      <w:rFonts w:ascii="Verdana" w:hAnsi="Verdana" w:eastAsia="仿宋_GB2312"/>
      <w:sz w:val="24"/>
      <w:szCs w:val="20"/>
      <w:lang w:eastAsia="en-US"/>
    </w:rPr>
  </w:style>
  <w:style w:type="paragraph" w:customStyle="1" w:styleId="314">
    <w:name w:val="TOC 标题2"/>
    <w:basedOn w:val="2"/>
    <w:next w:val="1"/>
    <w:qFormat/>
    <w:uiPriority w:val="99"/>
    <w:pPr>
      <w:keepNext/>
      <w:keepLines/>
      <w:shd w:val="clear" w:color="auto" w:fill="auto"/>
      <w:adjustRightInd/>
      <w:snapToGrid/>
      <w:spacing w:before="480" w:after="0" w:line="276" w:lineRule="auto"/>
      <w:jc w:val="left"/>
      <w:outlineLvl w:val="9"/>
    </w:pPr>
    <w:rPr>
      <w:rFonts w:ascii="Cambria" w:hAnsi="Cambria" w:eastAsia="宋体"/>
      <w:color w:val="365F91"/>
      <w:kern w:val="0"/>
    </w:rPr>
  </w:style>
  <w:style w:type="paragraph" w:customStyle="1" w:styleId="315">
    <w:name w:val="xl94"/>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styleId="316">
    <w:name w:val="List Paragraph"/>
    <w:basedOn w:val="1"/>
    <w:qFormat/>
    <w:uiPriority w:val="99"/>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317">
    <w:name w:val="xl103"/>
    <w:basedOn w:val="1"/>
    <w:qFormat/>
    <w:uiPriority w:val="99"/>
    <w:pPr>
      <w:spacing w:beforeAutospacing="1" w:afterAutospacing="1"/>
      <w:jc w:val="left"/>
      <w:textAlignment w:val="center"/>
    </w:pPr>
    <w:rPr>
      <w:color w:val="FF0000"/>
      <w:sz w:val="22"/>
      <w:szCs w:val="22"/>
    </w:rPr>
  </w:style>
  <w:style w:type="paragraph" w:customStyle="1" w:styleId="318">
    <w:name w:val="xl81"/>
    <w:basedOn w:val="1"/>
    <w:qFormat/>
    <w:uiPriority w:val="99"/>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19">
    <w:name w:val="xl250"/>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0">
    <w:name w:val="xl265"/>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1">
    <w:name w:val="pa-2"/>
    <w:basedOn w:val="1"/>
    <w:qFormat/>
    <w:uiPriority w:val="99"/>
    <w:pPr>
      <w:spacing w:before="100" w:beforeAutospacing="1" w:after="100" w:afterAutospacing="1"/>
      <w:jc w:val="left"/>
    </w:pPr>
    <w:rPr>
      <w:sz w:val="24"/>
    </w:rPr>
  </w:style>
  <w:style w:type="paragraph" w:customStyle="1" w:styleId="322">
    <w:name w:val="xl227"/>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323">
    <w:name w:val="xl86"/>
    <w:basedOn w:val="1"/>
    <w:qFormat/>
    <w:uiPriority w:val="99"/>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324">
    <w:name w:val="正文样式"/>
    <w:basedOn w:val="33"/>
    <w:qFormat/>
    <w:uiPriority w:val="99"/>
    <w:pPr>
      <w:widowControl w:val="0"/>
      <w:shd w:val="clear" w:color="auto" w:fill="auto"/>
      <w:adjustRightInd/>
      <w:snapToGrid/>
      <w:jc w:val="left"/>
    </w:pPr>
    <w:rPr>
      <w:rFonts w:ascii="宋体" w:cs="宋体"/>
      <w:szCs w:val="20"/>
    </w:rPr>
  </w:style>
  <w:style w:type="paragraph" w:customStyle="1" w:styleId="325">
    <w:name w:val="xl241"/>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326">
    <w:name w:val="xl248"/>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7">
    <w:name w:val="xl127"/>
    <w:basedOn w:val="1"/>
    <w:qFormat/>
    <w:uiPriority w:val="99"/>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328">
    <w:name w:val="正文Land"/>
    <w:basedOn w:val="1"/>
    <w:qFormat/>
    <w:uiPriority w:val="99"/>
    <w:pPr>
      <w:spacing w:beforeLines="20" w:afterLines="50"/>
      <w:ind w:firstLine="200" w:firstLineChars="200"/>
    </w:pPr>
    <w:rPr>
      <w:color w:val="000000"/>
      <w:sz w:val="24"/>
    </w:rPr>
  </w:style>
  <w:style w:type="paragraph" w:customStyle="1" w:styleId="329">
    <w:name w:val="xl244"/>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0">
    <w:name w:val="xl122"/>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31">
    <w:name w:val="xl238"/>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2">
    <w:name w:val="font9"/>
    <w:basedOn w:val="1"/>
    <w:qFormat/>
    <w:uiPriority w:val="99"/>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333">
    <w:name w:val="xl111"/>
    <w:basedOn w:val="1"/>
    <w:qFormat/>
    <w:uiPriority w:val="99"/>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334">
    <w:name w:val="xl257"/>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35">
    <w:name w:val="xl100"/>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336">
    <w:name w:val="样式 (西文) 宋体 行距: 1.5 倍行距"/>
    <w:basedOn w:val="1"/>
    <w:qFormat/>
    <w:uiPriority w:val="99"/>
    <w:pPr>
      <w:widowControl w:val="0"/>
      <w:shd w:val="clear" w:color="auto" w:fill="auto"/>
      <w:tabs>
        <w:tab w:val="clear" w:pos="426"/>
      </w:tabs>
      <w:adjustRightInd/>
      <w:snapToGrid/>
    </w:pPr>
    <w:rPr>
      <w:kern w:val="2"/>
      <w:szCs w:val="20"/>
    </w:rPr>
  </w:style>
  <w:style w:type="paragraph" w:customStyle="1" w:styleId="337">
    <w:name w:val="样式1"/>
    <w:basedOn w:val="1"/>
    <w:qFormat/>
    <w:uiPriority w:val="99"/>
    <w:pPr>
      <w:keepNext/>
      <w:keepLines/>
      <w:spacing w:before="340" w:after="330"/>
      <w:ind w:left="420" w:hanging="420"/>
      <w:outlineLvl w:val="0"/>
    </w:pPr>
    <w:rPr>
      <w:b/>
      <w:kern w:val="44"/>
      <w:sz w:val="44"/>
      <w:szCs w:val="20"/>
    </w:rPr>
  </w:style>
  <w:style w:type="paragraph" w:customStyle="1" w:styleId="338">
    <w:name w:val="xl25"/>
    <w:basedOn w:val="1"/>
    <w:qFormat/>
    <w:uiPriority w:val="99"/>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339">
    <w:name w:val="xl83"/>
    <w:basedOn w:val="1"/>
    <w:qFormat/>
    <w:uiPriority w:val="99"/>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340">
    <w:name w:val="xl236"/>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1">
    <w:name w:val="xl65"/>
    <w:basedOn w:val="1"/>
    <w:qFormat/>
    <w:uiPriority w:val="99"/>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342">
    <w:name w:val="xl110"/>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343">
    <w:name w:val="xl64"/>
    <w:basedOn w:val="1"/>
    <w:qFormat/>
    <w:uiPriority w:val="99"/>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344">
    <w:name w:val="xl104"/>
    <w:basedOn w:val="1"/>
    <w:qFormat/>
    <w:uiPriority w:val="99"/>
    <w:pPr>
      <w:spacing w:beforeAutospacing="1" w:afterAutospacing="1"/>
      <w:jc w:val="center"/>
    </w:pPr>
    <w:rPr>
      <w:sz w:val="24"/>
    </w:rPr>
  </w:style>
  <w:style w:type="paragraph" w:customStyle="1" w:styleId="345">
    <w:name w:val="xl71"/>
    <w:basedOn w:val="1"/>
    <w:qFormat/>
    <w:uiPriority w:val="99"/>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46">
    <w:name w:val="xl97"/>
    <w:basedOn w:val="1"/>
    <w:qFormat/>
    <w:uiPriority w:val="99"/>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347">
    <w:name w:val="xl132"/>
    <w:basedOn w:val="1"/>
    <w:qFormat/>
    <w:uiPriority w:val="99"/>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348">
    <w:name w:val="xl228"/>
    <w:basedOn w:val="1"/>
    <w:qFormat/>
    <w:uiPriority w:val="99"/>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9">
    <w:name w:val="段"/>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50">
    <w:name w:val="xl269"/>
    <w:basedOn w:val="1"/>
    <w:qFormat/>
    <w:uiPriority w:val="99"/>
    <w:pPr>
      <w:pBdr>
        <w:bottom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paragraph" w:customStyle="1" w:styleId="351">
    <w:name w:val="xl251"/>
    <w:basedOn w:val="1"/>
    <w:qFormat/>
    <w:uiPriority w:val="99"/>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52">
    <w:name w:val="附件标题"/>
    <w:basedOn w:val="1"/>
    <w:qFormat/>
    <w:uiPriority w:val="99"/>
    <w:pPr>
      <w:ind w:firstLine="200" w:firstLineChars="200"/>
      <w:jc w:val="center"/>
    </w:pPr>
    <w:rPr>
      <w:rFonts w:ascii="Arial" w:hAnsi="Arial" w:eastAsia="黑体"/>
      <w:sz w:val="24"/>
    </w:rPr>
  </w:style>
  <w:style w:type="paragraph" w:customStyle="1" w:styleId="353">
    <w:name w:val="xl121"/>
    <w:basedOn w:val="1"/>
    <w:qFormat/>
    <w:uiPriority w:val="99"/>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354">
    <w:name w:val="标题5"/>
    <w:basedOn w:val="188"/>
    <w:qFormat/>
    <w:uiPriority w:val="99"/>
    <w:pPr>
      <w:tabs>
        <w:tab w:val="left" w:pos="2038"/>
      </w:tabs>
      <w:ind w:left="2038" w:hanging="420" w:firstLineChars="0"/>
      <w:jc w:val="left"/>
      <w:outlineLvl w:val="4"/>
    </w:pPr>
    <w:rPr>
      <w:rFonts w:ascii="黑体" w:hAnsi="黑体" w:eastAsia="黑体"/>
      <w:sz w:val="28"/>
      <w:szCs w:val="28"/>
    </w:rPr>
  </w:style>
  <w:style w:type="paragraph" w:customStyle="1" w:styleId="355">
    <w:name w:val="xl267"/>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6">
    <w:name w:val="_Style 95"/>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7">
    <w:name w:val="xl253"/>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8">
    <w:name w:val="xl82"/>
    <w:basedOn w:val="1"/>
    <w:qFormat/>
    <w:uiPriority w:val="99"/>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359">
    <w:name w:val="Char Char Char Char"/>
    <w:basedOn w:val="1"/>
    <w:qFormat/>
    <w:uiPriority w:val="99"/>
    <w:pPr>
      <w:spacing w:after="160" w:line="240" w:lineRule="exact"/>
      <w:jc w:val="left"/>
    </w:pPr>
    <w:rPr>
      <w:rFonts w:ascii="Verdana" w:hAnsi="Verdana" w:eastAsia="仿宋_GB2312"/>
      <w:sz w:val="24"/>
      <w:szCs w:val="20"/>
      <w:lang w:eastAsia="en-US"/>
    </w:rPr>
  </w:style>
  <w:style w:type="paragraph" w:customStyle="1" w:styleId="360">
    <w:name w:val="xl98"/>
    <w:basedOn w:val="1"/>
    <w:qFormat/>
    <w:uiPriority w:val="99"/>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361">
    <w:name w:val="--规划正文"/>
    <w:basedOn w:val="1"/>
    <w:qFormat/>
    <w:uiPriority w:val="99"/>
    <w:pPr>
      <w:widowControl w:val="0"/>
      <w:shd w:val="clear" w:color="auto" w:fill="auto"/>
      <w:tabs>
        <w:tab w:val="clear" w:pos="426"/>
      </w:tabs>
      <w:adjustRightInd/>
      <w:snapToGrid/>
      <w:ind w:firstLine="200" w:firstLineChars="200"/>
    </w:pPr>
    <w:rPr>
      <w:rFonts w:ascii="Times New Roman" w:hAnsi="Times New Roman" w:cs="Times New Roman"/>
      <w:kern w:val="2"/>
      <w:szCs w:val="20"/>
    </w:rPr>
  </w:style>
  <w:style w:type="paragraph" w:customStyle="1" w:styleId="362">
    <w:name w:val="xl240"/>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63">
    <w:name w:val="TOC 标题1"/>
    <w:basedOn w:val="2"/>
    <w:next w:val="1"/>
    <w:qFormat/>
    <w:uiPriority w:val="99"/>
    <w:pPr>
      <w:spacing w:before="480" w:after="0" w:line="276" w:lineRule="auto"/>
      <w:jc w:val="left"/>
      <w:outlineLvl w:val="9"/>
    </w:pPr>
    <w:rPr>
      <w:rFonts w:ascii="Cambria" w:hAnsi="Cambria" w:eastAsia="宋体"/>
      <w:color w:val="365F91"/>
      <w:kern w:val="0"/>
    </w:rPr>
  </w:style>
  <w:style w:type="paragraph" w:customStyle="1" w:styleId="364">
    <w:name w:val="xl68"/>
    <w:basedOn w:val="1"/>
    <w:qFormat/>
    <w:uiPriority w:val="99"/>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365">
    <w:name w:val="Char Char Char Char Char Char Char"/>
    <w:basedOn w:val="1"/>
    <w:qFormat/>
    <w:uiPriority w:val="99"/>
    <w:pPr>
      <w:widowControl w:val="0"/>
      <w:shd w:val="clear" w:color="auto" w:fill="auto"/>
      <w:tabs>
        <w:tab w:val="clear" w:pos="426"/>
      </w:tabs>
      <w:adjustRightInd/>
      <w:snapToGrid/>
      <w:spacing w:line="240" w:lineRule="auto"/>
    </w:pPr>
    <w:rPr>
      <w:rFonts w:ascii="仿宋_GB2312" w:hAnsi="Times New Roman" w:eastAsia="仿宋_GB2312" w:cs="Times New Roman"/>
      <w:b/>
      <w:kern w:val="2"/>
      <w:sz w:val="32"/>
      <w:szCs w:val="32"/>
    </w:rPr>
  </w:style>
  <w:style w:type="paragraph" w:customStyle="1" w:styleId="366">
    <w:name w:val="ggbody"/>
    <w:basedOn w:val="1"/>
    <w:semiHidden/>
    <w:qFormat/>
    <w:uiPriority w:val="99"/>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367">
    <w:name w:val="!项目ALT+P"/>
    <w:basedOn w:val="1"/>
    <w:qFormat/>
    <w:uiPriority w:val="99"/>
    <w:pPr>
      <w:tabs>
        <w:tab w:val="left" w:pos="420"/>
        <w:tab w:val="clear" w:pos="426"/>
      </w:tabs>
      <w:spacing w:line="320" w:lineRule="atLeast"/>
      <w:ind w:left="420"/>
      <w:textAlignment w:val="baseline"/>
    </w:pPr>
    <w:rPr>
      <w:szCs w:val="21"/>
    </w:rPr>
  </w:style>
  <w:style w:type="paragraph" w:customStyle="1" w:styleId="368">
    <w:name w:val="xl32"/>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rFonts w:hAnsi="Times New Roman" w:cs="Times New Roman"/>
      <w:sz w:val="24"/>
    </w:rPr>
  </w:style>
  <w:style w:type="paragraph" w:customStyle="1" w:styleId="369">
    <w:name w:val="Char1"/>
    <w:basedOn w:val="1"/>
    <w:qFormat/>
    <w:uiPriority w:val="99"/>
    <w:pPr>
      <w:spacing w:after="160" w:line="240" w:lineRule="exact"/>
      <w:jc w:val="left"/>
    </w:pPr>
    <w:rPr>
      <w:rFonts w:ascii="Verdana" w:hAnsi="Verdana" w:eastAsia="仿宋_GB2312"/>
      <w:sz w:val="24"/>
      <w:szCs w:val="20"/>
      <w:lang w:eastAsia="en-US"/>
    </w:rPr>
  </w:style>
  <w:style w:type="paragraph" w:customStyle="1" w:styleId="370">
    <w:name w:val="xl118"/>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371">
    <w:name w:val="xl113"/>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372">
    <w:name w:val="正文-1级列表-(1)"/>
    <w:basedOn w:val="1"/>
    <w:qFormat/>
    <w:uiPriority w:val="99"/>
    <w:pPr>
      <w:tabs>
        <w:tab w:val="left" w:pos="420"/>
        <w:tab w:val="clear" w:pos="426"/>
      </w:tabs>
      <w:ind w:left="800"/>
    </w:pPr>
    <w:rPr>
      <w:sz w:val="24"/>
      <w:lang w:val="en-GB"/>
    </w:rPr>
  </w:style>
  <w:style w:type="paragraph" w:customStyle="1" w:styleId="373">
    <w:name w:val="xl234"/>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4">
    <w:name w:val="xl67"/>
    <w:basedOn w:val="1"/>
    <w:qFormat/>
    <w:uiPriority w:val="99"/>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375">
    <w:name w:val="font7"/>
    <w:basedOn w:val="1"/>
    <w:qFormat/>
    <w:uiPriority w:val="99"/>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20"/>
      <w:szCs w:val="20"/>
    </w:rPr>
  </w:style>
  <w:style w:type="paragraph" w:customStyle="1" w:styleId="376">
    <w:name w:val="xl226"/>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7">
    <w:name w:val="5"/>
    <w:basedOn w:val="1"/>
    <w:qFormat/>
    <w:uiPriority w:val="99"/>
    <w:pPr>
      <w:ind w:firstLine="200" w:firstLineChars="200"/>
      <w:jc w:val="left"/>
    </w:pPr>
    <w:rPr>
      <w:sz w:val="24"/>
    </w:rPr>
  </w:style>
  <w:style w:type="paragraph" w:customStyle="1" w:styleId="378">
    <w:name w:val="样式 标题 4h4heading 4h41heading 41h42heading 42h411heading ..."/>
    <w:basedOn w:val="4"/>
    <w:qFormat/>
    <w:uiPriority w:val="99"/>
    <w:pPr>
      <w:spacing w:beforeLines="50" w:afterLines="50" w:line="377" w:lineRule="auto"/>
      <w:ind w:left="2240" w:right="220"/>
      <w:jc w:val="left"/>
    </w:pPr>
    <w:rPr>
      <w:rFonts w:ascii="Cambria" w:hAnsi="Cambria" w:eastAsia="宋体" w:cs="宋体"/>
      <w:sz w:val="24"/>
      <w:szCs w:val="20"/>
    </w:rPr>
  </w:style>
  <w:style w:type="paragraph" w:customStyle="1" w:styleId="379">
    <w:name w:val="xl88"/>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380">
    <w:name w:val="缺省文本"/>
    <w:basedOn w:val="1"/>
    <w:qFormat/>
    <w:uiPriority w:val="99"/>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81">
    <w:name w:val="参数内容"/>
    <w:basedOn w:val="188"/>
    <w:qFormat/>
    <w:uiPriority w:val="99"/>
    <w:pPr>
      <w:ind w:left="780" w:firstLine="0" w:firstLineChars="0"/>
    </w:pPr>
    <w:rPr>
      <w:szCs w:val="18"/>
    </w:rPr>
  </w:style>
  <w:style w:type="paragraph" w:customStyle="1" w:styleId="382">
    <w:name w:val="默认段落字体 Para Char Char Char Char Char Char Char Char Char3 Char Char Char Char"/>
    <w:basedOn w:val="24"/>
    <w:qFormat/>
    <w:uiPriority w:val="99"/>
    <w:pPr>
      <w:spacing w:line="436" w:lineRule="exact"/>
      <w:ind w:left="357"/>
      <w:jc w:val="left"/>
      <w:outlineLvl w:val="3"/>
    </w:pPr>
    <w:rPr>
      <w:rFonts w:ascii="Tahoma" w:hAnsi="Tahoma"/>
      <w:b/>
      <w:sz w:val="24"/>
    </w:rPr>
  </w:style>
  <w:style w:type="paragraph" w:customStyle="1" w:styleId="383">
    <w:name w:val="样式5"/>
    <w:basedOn w:val="1"/>
    <w:qFormat/>
    <w:uiPriority w:val="99"/>
    <w:pPr>
      <w:tabs>
        <w:tab w:val="left" w:pos="900"/>
      </w:tabs>
      <w:spacing w:beforeLines="50" w:afterLines="50"/>
      <w:ind w:left="900"/>
    </w:pPr>
    <w:rPr>
      <w:rFonts w:eastAsia="仿宋_GB2312"/>
      <w:color w:val="000000"/>
      <w:sz w:val="24"/>
    </w:rPr>
  </w:style>
  <w:style w:type="paragraph" w:customStyle="1" w:styleId="384">
    <w:name w:val="Char Char10 Char Char"/>
    <w:basedOn w:val="24"/>
    <w:qFormat/>
    <w:uiPriority w:val="99"/>
    <w:rPr>
      <w:rFonts w:ascii="Tahoma" w:hAnsi="Tahoma"/>
      <w:sz w:val="24"/>
    </w:rPr>
  </w:style>
  <w:style w:type="paragraph" w:customStyle="1" w:styleId="385">
    <w:name w:val="表格正文"/>
    <w:basedOn w:val="1"/>
    <w:qFormat/>
    <w:uiPriority w:val="99"/>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386">
    <w:name w:val="文档正文"/>
    <w:basedOn w:val="1"/>
    <w:qFormat/>
    <w:uiPriority w:val="99"/>
    <w:pPr>
      <w:spacing w:line="480" w:lineRule="atLeast"/>
      <w:ind w:firstLine="567" w:firstLineChars="200"/>
      <w:textAlignment w:val="baseline"/>
    </w:pPr>
    <w:rPr>
      <w:rFonts w:ascii="长城仿宋"/>
      <w:szCs w:val="20"/>
    </w:rPr>
  </w:style>
  <w:style w:type="paragraph" w:customStyle="1" w:styleId="387">
    <w:name w:val="xl116"/>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388">
    <w:name w:val="xl114"/>
    <w:basedOn w:val="1"/>
    <w:qFormat/>
    <w:uiPriority w:val="99"/>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389">
    <w:name w:val="xl92"/>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390">
    <w:name w:val="正文1"/>
    <w:qFormat/>
    <w:uiPriority w:val="99"/>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391">
    <w:name w:val="Char Char Char Char1"/>
    <w:basedOn w:val="1"/>
    <w:qFormat/>
    <w:uiPriority w:val="99"/>
    <w:pPr>
      <w:spacing w:after="160" w:line="240" w:lineRule="exact"/>
      <w:jc w:val="left"/>
    </w:pPr>
    <w:rPr>
      <w:rFonts w:ascii="Verdana" w:hAnsi="Verdana" w:eastAsia="仿宋_GB2312"/>
      <w:sz w:val="24"/>
      <w:szCs w:val="20"/>
      <w:lang w:eastAsia="en-US"/>
    </w:rPr>
  </w:style>
  <w:style w:type="paragraph" w:customStyle="1" w:styleId="392">
    <w:name w:val="附件1."/>
    <w:basedOn w:val="2"/>
    <w:qFormat/>
    <w:uiPriority w:val="99"/>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393">
    <w:name w:val="样式 首行缩进:  0 字符"/>
    <w:basedOn w:val="1"/>
    <w:qFormat/>
    <w:uiPriority w:val="99"/>
    <w:pPr>
      <w:ind w:firstLine="200" w:firstLineChars="200"/>
    </w:pPr>
    <w:rPr>
      <w:sz w:val="24"/>
      <w:szCs w:val="20"/>
    </w:rPr>
  </w:style>
  <w:style w:type="paragraph" w:customStyle="1" w:styleId="394">
    <w:name w:val="xl78"/>
    <w:basedOn w:val="1"/>
    <w:qFormat/>
    <w:uiPriority w:val="99"/>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395">
    <w:name w:val="xl105"/>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396">
    <w:name w:val="Default Text"/>
    <w:basedOn w:val="1"/>
    <w:qFormat/>
    <w:uiPriority w:val="99"/>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97">
    <w:name w:val="xl69"/>
    <w:basedOn w:val="1"/>
    <w:qFormat/>
    <w:uiPriority w:val="99"/>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398">
    <w:name w:val="xl79"/>
    <w:basedOn w:val="1"/>
    <w:qFormat/>
    <w:uiPriority w:val="99"/>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99">
    <w:name w:val="xl73"/>
    <w:basedOn w:val="1"/>
    <w:qFormat/>
    <w:uiPriority w:val="99"/>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400">
    <w:name w:val="cqq2"/>
    <w:basedOn w:val="1"/>
    <w:qFormat/>
    <w:uiPriority w:val="99"/>
    <w:pPr>
      <w:widowControl w:val="0"/>
      <w:shd w:val="clear" w:color="auto" w:fill="auto"/>
      <w:tabs>
        <w:tab w:val="clear" w:pos="426"/>
      </w:tabs>
      <w:adjustRightInd/>
      <w:snapToGrid/>
      <w:spacing w:line="520" w:lineRule="exact"/>
    </w:pPr>
    <w:rPr>
      <w:rFonts w:ascii="仿宋_GB2312" w:hAnsi="Times New Roman" w:eastAsia="仿宋_GB2312" w:cs="Times New Roman"/>
      <w:b/>
      <w:kern w:val="2"/>
      <w:sz w:val="28"/>
      <w:szCs w:val="20"/>
    </w:rPr>
  </w:style>
  <w:style w:type="paragraph" w:customStyle="1" w:styleId="401">
    <w:name w:val="MaoC2"/>
    <w:basedOn w:val="1"/>
    <w:qFormat/>
    <w:uiPriority w:val="99"/>
    <w:pPr>
      <w:tabs>
        <w:tab w:val="left" w:pos="510"/>
      </w:tabs>
      <w:spacing w:line="480" w:lineRule="auto"/>
      <w:ind w:left="420" w:hanging="420"/>
      <w:outlineLvl w:val="1"/>
    </w:pPr>
    <w:rPr>
      <w:rFonts w:ascii="黑体" w:eastAsia="黑体"/>
      <w:szCs w:val="20"/>
    </w:rPr>
  </w:style>
  <w:style w:type="paragraph" w:customStyle="1" w:styleId="402">
    <w:name w:val="xl108"/>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403">
    <w:name w:val="xl266"/>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04">
    <w:name w:val="样式 标题 2H2Heading 2 HiddenHeading 2 CCBSheading 22nd levelh...1"/>
    <w:basedOn w:val="5"/>
    <w:qFormat/>
    <w:uiPriority w:val="99"/>
    <w:pPr>
      <w:adjustRightInd/>
      <w:spacing w:before="240" w:after="240"/>
      <w:ind w:left="576" w:hanging="576"/>
      <w:jc w:val="left"/>
      <w:textAlignment w:val="auto"/>
    </w:pPr>
    <w:rPr>
      <w:bCs/>
      <w:kern w:val="2"/>
      <w:sz w:val="28"/>
      <w:szCs w:val="28"/>
    </w:rPr>
  </w:style>
  <w:style w:type="paragraph" w:customStyle="1" w:styleId="405">
    <w:name w:val="样式 Verdana 四号 首行缩进:  2 字符"/>
    <w:basedOn w:val="1"/>
    <w:qFormat/>
    <w:uiPriority w:val="99"/>
    <w:pPr>
      <w:ind w:firstLine="560" w:firstLineChars="200"/>
      <w:jc w:val="left"/>
    </w:pPr>
    <w:rPr>
      <w:rFonts w:ascii="Verdana" w:hAnsi="Verdana"/>
      <w:sz w:val="24"/>
      <w:szCs w:val="20"/>
    </w:rPr>
  </w:style>
  <w:style w:type="paragraph" w:customStyle="1" w:styleId="406">
    <w:name w:val="主题"/>
    <w:basedOn w:val="1"/>
    <w:qFormat/>
    <w:uiPriority w:val="99"/>
  </w:style>
  <w:style w:type="paragraph" w:customStyle="1" w:styleId="407">
    <w:name w:val="ggtitle"/>
    <w:basedOn w:val="1"/>
    <w:semiHidden/>
    <w:qFormat/>
    <w:uiPriority w:val="99"/>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408">
    <w:name w:val="小标题 1"/>
    <w:basedOn w:val="1"/>
    <w:qFormat/>
    <w:uiPriority w:val="99"/>
    <w:pPr>
      <w:autoSpaceDE w:val="0"/>
      <w:autoSpaceDN w:val="0"/>
      <w:spacing w:line="360" w:lineRule="atLeast"/>
    </w:pPr>
    <w:rPr>
      <w:rFonts w:ascii="文鼎粗黑" w:eastAsia="文鼎粗黑"/>
      <w:sz w:val="22"/>
      <w:szCs w:val="20"/>
    </w:rPr>
  </w:style>
  <w:style w:type="paragraph" w:customStyle="1" w:styleId="409">
    <w:name w:val="修订1"/>
    <w:qFormat/>
    <w:uiPriority w:val="99"/>
    <w:rPr>
      <w:rFonts w:ascii="宋体" w:hAnsi="宋体" w:eastAsia="宋体" w:cs="宋体"/>
      <w:sz w:val="21"/>
      <w:szCs w:val="24"/>
      <w:lang w:val="en-US" w:eastAsia="zh-CN" w:bidi="ar-SA"/>
    </w:rPr>
  </w:style>
  <w:style w:type="paragraph" w:customStyle="1" w:styleId="410">
    <w:name w:val="样式 标题 4 + 段前: 0.5 行 段后: 0.5 行"/>
    <w:basedOn w:val="4"/>
    <w:qFormat/>
    <w:uiPriority w:val="99"/>
    <w:pPr>
      <w:spacing w:beforeLines="50" w:afterLines="50" w:line="377" w:lineRule="auto"/>
      <w:ind w:left="2240"/>
      <w:jc w:val="left"/>
    </w:pPr>
    <w:rPr>
      <w:rFonts w:ascii="Cambria" w:hAnsi="Cambria" w:eastAsia="宋体" w:cs="宋体"/>
      <w:sz w:val="24"/>
      <w:szCs w:val="20"/>
    </w:rPr>
  </w:style>
  <w:style w:type="paragraph" w:customStyle="1" w:styleId="411">
    <w:name w:val="xl129"/>
    <w:basedOn w:val="1"/>
    <w:qFormat/>
    <w:uiPriority w:val="99"/>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412">
    <w:name w:val="xl80"/>
    <w:basedOn w:val="1"/>
    <w:qFormat/>
    <w:uiPriority w:val="99"/>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413">
    <w:name w:val="xl77"/>
    <w:basedOn w:val="1"/>
    <w:qFormat/>
    <w:uiPriority w:val="99"/>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414">
    <w:name w:val="样式 标题 2H2Heading 2 HiddenHeading 2 CCBSheading 22nd levelh..."/>
    <w:basedOn w:val="5"/>
    <w:qFormat/>
    <w:uiPriority w:val="99"/>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415">
    <w:name w:val="自定义正文"/>
    <w:basedOn w:val="1"/>
    <w:qFormat/>
    <w:uiPriority w:val="99"/>
    <w:pPr>
      <w:spacing w:afterLines="50"/>
      <w:ind w:left="600" w:leftChars="600"/>
    </w:pPr>
  </w:style>
  <w:style w:type="paragraph" w:customStyle="1" w:styleId="416">
    <w:name w:val="xl72"/>
    <w:basedOn w:val="1"/>
    <w:qFormat/>
    <w:uiPriority w:val="99"/>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417">
    <w:name w:val="Char Char Char Char Char"/>
    <w:basedOn w:val="1"/>
    <w:qFormat/>
    <w:uiPriority w:val="99"/>
    <w:rPr>
      <w:rFonts w:ascii="Tahoma" w:hAnsi="Tahoma"/>
      <w:sz w:val="24"/>
      <w:szCs w:val="20"/>
    </w:rPr>
  </w:style>
  <w:style w:type="paragraph" w:customStyle="1" w:styleId="418">
    <w:name w:val="È¡ÀÊ¡ÎÄ¡À¾"/>
    <w:basedOn w:val="1"/>
    <w:qFormat/>
    <w:uiPriority w:val="99"/>
    <w:pPr>
      <w:overflowPunct w:val="0"/>
      <w:autoSpaceDE w:val="0"/>
      <w:autoSpaceDN w:val="0"/>
      <w:jc w:val="left"/>
      <w:textAlignment w:val="baseline"/>
    </w:pPr>
    <w:rPr>
      <w:sz w:val="24"/>
      <w:szCs w:val="20"/>
    </w:rPr>
  </w:style>
  <w:style w:type="paragraph" w:customStyle="1" w:styleId="419">
    <w:name w:val="xl102"/>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420">
    <w:name w:val="USE 4"/>
    <w:basedOn w:val="1"/>
    <w:qFormat/>
    <w:uiPriority w:val="99"/>
    <w:pPr>
      <w:widowControl w:val="0"/>
      <w:shd w:val="clear" w:color="auto" w:fill="auto"/>
      <w:tabs>
        <w:tab w:val="clear" w:pos="426"/>
      </w:tabs>
      <w:adjustRightInd/>
      <w:snapToGrid/>
      <w:ind w:left="284" w:hanging="227"/>
      <w:jc w:val="left"/>
    </w:pPr>
    <w:rPr>
      <w:rFonts w:cs="Times New Roman"/>
      <w:kern w:val="2"/>
      <w:sz w:val="24"/>
      <w:szCs w:val="20"/>
    </w:rPr>
  </w:style>
  <w:style w:type="paragraph" w:customStyle="1" w:styleId="421">
    <w:name w:val="表1"/>
    <w:basedOn w:val="1"/>
    <w:qFormat/>
    <w:uiPriority w:val="99"/>
    <w:pPr>
      <w:widowControl w:val="0"/>
      <w:shd w:val="clear" w:color="auto" w:fill="auto"/>
      <w:tabs>
        <w:tab w:val="clear" w:pos="426"/>
      </w:tabs>
      <w:adjustRightInd/>
      <w:snapToGrid/>
      <w:spacing w:line="240" w:lineRule="auto"/>
    </w:pPr>
    <w:rPr>
      <w:rFonts w:ascii="Times New Roman" w:cs="Times New Roman"/>
      <w:kern w:val="2"/>
      <w:sz w:val="24"/>
      <w:szCs w:val="20"/>
    </w:rPr>
  </w:style>
  <w:style w:type="paragraph" w:customStyle="1" w:styleId="422">
    <w:name w:val="xl258"/>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3">
    <w:name w:val="Char Char Char1 Char Char Char1 Char Char Char Char Char Char1 Char Char Char1 Char"/>
    <w:basedOn w:val="1"/>
    <w:qFormat/>
    <w:uiPriority w:val="99"/>
    <w:pPr>
      <w:widowControl w:val="0"/>
      <w:shd w:val="clear" w:color="auto" w:fill="auto"/>
      <w:tabs>
        <w:tab w:val="clear" w:pos="426"/>
      </w:tabs>
      <w:adjustRightInd/>
      <w:snapToGrid/>
      <w:spacing w:line="240" w:lineRule="auto"/>
    </w:pPr>
    <w:rPr>
      <w:rFonts w:ascii="Times New Roman" w:hAnsi="Times New Roman" w:cs="Times New Roman"/>
      <w:kern w:val="2"/>
      <w:szCs w:val="20"/>
    </w:rPr>
  </w:style>
  <w:style w:type="paragraph" w:customStyle="1" w:styleId="424">
    <w:name w:val="附件圈"/>
    <w:basedOn w:val="425"/>
    <w:qFormat/>
    <w:uiPriority w:val="99"/>
    <w:pPr>
      <w:tabs>
        <w:tab w:val="left" w:pos="420"/>
        <w:tab w:val="left" w:pos="426"/>
      </w:tabs>
      <w:ind w:left="0" w:firstLine="420"/>
    </w:pPr>
  </w:style>
  <w:style w:type="paragraph" w:customStyle="1" w:styleId="425">
    <w:name w:val="附件(1)"/>
    <w:basedOn w:val="1"/>
    <w:qFormat/>
    <w:uiPriority w:val="99"/>
    <w:pPr>
      <w:ind w:left="900" w:firstLine="200" w:firstLineChars="200"/>
    </w:pPr>
    <w:rPr>
      <w:sz w:val="24"/>
    </w:rPr>
  </w:style>
  <w:style w:type="paragraph" w:customStyle="1" w:styleId="426">
    <w:name w:val="样式 10 磅"/>
    <w:qFormat/>
    <w:uiPriority w:val="99"/>
    <w:pPr>
      <w:shd w:val="clear" w:color="auto" w:fill="FFFFFF"/>
      <w:tabs>
        <w:tab w:val="left" w:pos="426"/>
      </w:tabs>
      <w:adjustRightInd w:val="0"/>
      <w:snapToGrid w:val="0"/>
      <w:jc w:val="center"/>
    </w:pPr>
    <w:rPr>
      <w:rFonts w:ascii="宋体" w:hAnsi="Times New Roman" w:eastAsia="宋体" w:cs="宋体"/>
      <w:sz w:val="21"/>
      <w:szCs w:val="24"/>
      <w:lang w:val="en-US" w:eastAsia="zh-CN" w:bidi="ar-SA"/>
    </w:rPr>
  </w:style>
  <w:style w:type="paragraph" w:customStyle="1" w:styleId="427">
    <w:name w:val="xl256"/>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29">
    <w:name w:val="方案标题1"/>
    <w:basedOn w:val="81"/>
    <w:qFormat/>
    <w:uiPriority w:val="99"/>
    <w:pPr>
      <w:tabs>
        <w:tab w:val="left" w:pos="1440"/>
      </w:tabs>
      <w:spacing w:beforeLines="50" w:afterLines="50"/>
      <w:ind w:firstLine="200" w:firstLineChars="200"/>
      <w:jc w:val="both"/>
    </w:pPr>
    <w:rPr>
      <w:color w:val="000000"/>
    </w:rPr>
  </w:style>
  <w:style w:type="paragraph" w:customStyle="1" w:styleId="430">
    <w:name w:val="xl260"/>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1">
    <w:name w:val="标题1"/>
    <w:basedOn w:val="2"/>
    <w:qFormat/>
    <w:uiPriority w:val="99"/>
    <w:pPr>
      <w:keepNext/>
      <w:keepLines/>
      <w:widowControl w:val="0"/>
      <w:shd w:val="clear" w:color="auto" w:fill="auto"/>
      <w:tabs>
        <w:tab w:val="clear" w:pos="426"/>
      </w:tabs>
      <w:adjustRightInd/>
      <w:snapToGrid/>
      <w:spacing w:before="400" w:after="400" w:line="240" w:lineRule="auto"/>
      <w:ind w:left="284" w:hanging="284"/>
      <w:jc w:val="both"/>
    </w:pPr>
    <w:rPr>
      <w:rFonts w:ascii="Times New Roman" w:hAnsi="Times New Roman" w:cs="宋体"/>
      <w:sz w:val="30"/>
      <w:szCs w:val="24"/>
    </w:rPr>
  </w:style>
  <w:style w:type="paragraph" w:customStyle="1" w:styleId="432">
    <w:name w:val="xl264"/>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3">
    <w:name w:val="表格注释"/>
    <w:basedOn w:val="1"/>
    <w:qFormat/>
    <w:uiPriority w:val="99"/>
    <w:pPr>
      <w:widowControl w:val="0"/>
      <w:shd w:val="clear" w:color="auto" w:fill="auto"/>
      <w:tabs>
        <w:tab w:val="clear" w:pos="426"/>
      </w:tabs>
      <w:adjustRightInd/>
      <w:snapToGrid/>
      <w:spacing w:line="300" w:lineRule="exact"/>
      <w:ind w:firstLine="200" w:firstLineChars="200"/>
      <w:jc w:val="left"/>
    </w:pPr>
    <w:rPr>
      <w:rFonts w:ascii="Times New Roman" w:hAnsi="Times New Roman" w:eastAsia="楷体_GB2312"/>
      <w:szCs w:val="21"/>
    </w:rPr>
  </w:style>
  <w:style w:type="paragraph" w:customStyle="1" w:styleId="434">
    <w:name w:val="xl254"/>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435">
    <w:name w:val="xl90"/>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436">
    <w:name w:val="2册标题2"/>
    <w:basedOn w:val="1"/>
    <w:next w:val="1"/>
    <w:qFormat/>
    <w:uiPriority w:val="99"/>
    <w:pPr>
      <w:shd w:val="clear" w:color="auto" w:fill="auto"/>
      <w:tabs>
        <w:tab w:val="clear" w:pos="426"/>
      </w:tabs>
      <w:adjustRightInd/>
      <w:snapToGrid/>
      <w:spacing w:beforeLines="50" w:afterLines="50" w:line="300" w:lineRule="auto"/>
      <w:jc w:val="left"/>
      <w:outlineLvl w:val="1"/>
    </w:pPr>
    <w:rPr>
      <w:rFonts w:ascii="Arial" w:hAnsi="Arial" w:eastAsia="黑体" w:cs="Times New Roman"/>
      <w:sz w:val="30"/>
      <w:szCs w:val="30"/>
      <w:lang w:eastAsia="en-US"/>
    </w:rPr>
  </w:style>
  <w:style w:type="paragraph" w:customStyle="1" w:styleId="437">
    <w:name w:val="xl76"/>
    <w:basedOn w:val="1"/>
    <w:qFormat/>
    <w:uiPriority w:val="99"/>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438">
    <w:name w:val="CM51"/>
    <w:basedOn w:val="292"/>
    <w:next w:val="292"/>
    <w:qFormat/>
    <w:uiPriority w:val="99"/>
    <w:pPr>
      <w:spacing w:after="103"/>
    </w:pPr>
    <w:rPr>
      <w:rFonts w:ascii="黑体" w:eastAsia="黑体"/>
      <w:color w:val="auto"/>
    </w:rPr>
  </w:style>
  <w:style w:type="paragraph" w:customStyle="1" w:styleId="439">
    <w:name w:val="xl259"/>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40">
    <w:name w:val="样式3"/>
    <w:basedOn w:val="1"/>
    <w:qFormat/>
    <w:uiPriority w:val="99"/>
    <w:pPr>
      <w:ind w:left="1620" w:hanging="420"/>
      <w:outlineLvl w:val="2"/>
    </w:pPr>
    <w:rPr>
      <w:b/>
    </w:rPr>
  </w:style>
  <w:style w:type="paragraph" w:customStyle="1" w:styleId="441">
    <w:name w:val="目录"/>
    <w:basedOn w:val="1"/>
    <w:qFormat/>
    <w:uiPriority w:val="99"/>
    <w:pPr>
      <w:shd w:val="clear" w:color="auto" w:fill="auto"/>
      <w:tabs>
        <w:tab w:val="clear" w:pos="426"/>
      </w:tabs>
      <w:adjustRightInd/>
      <w:snapToGrid/>
      <w:spacing w:line="240" w:lineRule="auto"/>
      <w:jc w:val="center"/>
    </w:pPr>
    <w:rPr>
      <w:rFonts w:hAnsi="Times New Roman" w:cs="Times New Roman"/>
      <w:b/>
      <w:sz w:val="36"/>
      <w:szCs w:val="20"/>
    </w:rPr>
  </w:style>
  <w:style w:type="paragraph" w:customStyle="1" w:styleId="442">
    <w:name w:val="xl233"/>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3">
    <w:name w:val="xl235"/>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4">
    <w:name w:val="font0"/>
    <w:basedOn w:val="1"/>
    <w:qFormat/>
    <w:uiPriority w:val="99"/>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445">
    <w:name w:val="font5"/>
    <w:basedOn w:val="1"/>
    <w:qFormat/>
    <w:uiPriority w:val="99"/>
    <w:pPr>
      <w:spacing w:before="100" w:beforeAutospacing="1" w:after="100" w:afterAutospacing="1"/>
      <w:jc w:val="left"/>
    </w:pPr>
    <w:rPr>
      <w:sz w:val="18"/>
      <w:szCs w:val="18"/>
    </w:rPr>
  </w:style>
  <w:style w:type="paragraph" w:customStyle="1" w:styleId="446">
    <w:name w:val="xl115"/>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447">
    <w:name w:val="xl70"/>
    <w:basedOn w:val="1"/>
    <w:qFormat/>
    <w:uiPriority w:val="99"/>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448">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paragraph" w:customStyle="1" w:styleId="449">
    <w:name w:val="样式 USE 1 + 行距: 单倍行距"/>
    <w:basedOn w:val="1"/>
    <w:qFormat/>
    <w:uiPriority w:val="99"/>
    <w:pPr>
      <w:widowControl w:val="0"/>
      <w:shd w:val="clear" w:color="auto" w:fill="auto"/>
      <w:tabs>
        <w:tab w:val="clear" w:pos="426"/>
      </w:tabs>
      <w:adjustRightInd/>
      <w:snapToGrid/>
      <w:spacing w:line="180" w:lineRule="atLeast"/>
      <w:ind w:left="180"/>
      <w:jc w:val="left"/>
    </w:pPr>
    <w:rPr>
      <w:b/>
      <w:bCs/>
      <w:kern w:val="2"/>
      <w:sz w:val="24"/>
      <w:szCs w:val="20"/>
    </w:rPr>
  </w:style>
  <w:style w:type="paragraph" w:customStyle="1" w:styleId="450">
    <w:name w:val="font8"/>
    <w:basedOn w:val="1"/>
    <w:qFormat/>
    <w:uiPriority w:val="99"/>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18"/>
      <w:szCs w:val="18"/>
    </w:rPr>
  </w:style>
  <w:style w:type="paragraph" w:customStyle="1" w:styleId="451">
    <w:name w:val="xl131"/>
    <w:basedOn w:val="1"/>
    <w:qFormat/>
    <w:uiPriority w:val="99"/>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52">
    <w:name w:val="xl89"/>
    <w:basedOn w:val="1"/>
    <w:qFormat/>
    <w:uiPriority w:val="99"/>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453">
    <w:name w:val="xl268"/>
    <w:basedOn w:val="1"/>
    <w:qFormat/>
    <w:uiPriority w:val="99"/>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54">
    <w:name w:val="正文-1级标题-1"/>
    <w:basedOn w:val="1"/>
    <w:next w:val="1"/>
    <w:qFormat/>
    <w:uiPriority w:val="99"/>
    <w:pPr>
      <w:keepNext/>
      <w:tabs>
        <w:tab w:val="left" w:pos="420"/>
        <w:tab w:val="clear" w:pos="426"/>
      </w:tabs>
      <w:spacing w:beforeLines="30" w:afterLines="30"/>
    </w:pPr>
    <w:rPr>
      <w:b/>
      <w:sz w:val="24"/>
      <w:szCs w:val="28"/>
      <w:lang w:val="en-GB"/>
    </w:rPr>
  </w:style>
  <w:style w:type="paragraph" w:customStyle="1" w:styleId="455">
    <w:name w:val="样式 标题 1 + 段前: 0.5 行 段后: 0.5 行"/>
    <w:basedOn w:val="2"/>
    <w:qFormat/>
    <w:uiPriority w:val="99"/>
    <w:pPr>
      <w:keepNext/>
      <w:keepLines/>
      <w:spacing w:beforeLines="50" w:afterLines="50" w:line="578" w:lineRule="auto"/>
      <w:jc w:val="both"/>
    </w:pPr>
    <w:rPr>
      <w:rFonts w:ascii="Times New Roman" w:hAnsi="Times New Roman" w:eastAsia="宋体" w:cs="宋体"/>
      <w:sz w:val="44"/>
      <w:szCs w:val="20"/>
    </w:rPr>
  </w:style>
  <w:style w:type="paragraph" w:customStyle="1" w:styleId="456">
    <w:name w:val="样式2"/>
    <w:basedOn w:val="2"/>
    <w:qFormat/>
    <w:uiPriority w:val="99"/>
    <w:pPr>
      <w:keepNext/>
      <w:keepLines/>
      <w:spacing w:before="0" w:after="0" w:line="578" w:lineRule="auto"/>
      <w:ind w:left="1200" w:hanging="420"/>
      <w:jc w:val="both"/>
    </w:pPr>
    <w:rPr>
      <w:rFonts w:eastAsia="宋体"/>
      <w:szCs w:val="44"/>
    </w:rPr>
  </w:style>
  <w:style w:type="paragraph" w:customStyle="1" w:styleId="457">
    <w:name w:val="xl95"/>
    <w:basedOn w:val="1"/>
    <w:qFormat/>
    <w:uiPriority w:val="99"/>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458">
    <w:name w:val="xl224"/>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59">
    <w:name w:val="xl74"/>
    <w:basedOn w:val="1"/>
    <w:qFormat/>
    <w:uiPriority w:val="99"/>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460">
    <w:name w:val="p0"/>
    <w:basedOn w:val="1"/>
    <w:qFormat/>
    <w:uiPriority w:val="99"/>
    <w:rPr>
      <w:rFonts w:ascii="Calibri" w:hAnsi="Calibri"/>
      <w:szCs w:val="21"/>
    </w:rPr>
  </w:style>
  <w:style w:type="paragraph" w:customStyle="1" w:styleId="461">
    <w:name w:val="xl125"/>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462">
    <w:name w:val="xl133"/>
    <w:basedOn w:val="1"/>
    <w:qFormat/>
    <w:uiPriority w:val="99"/>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63">
    <w:name w:val="TOC 标题11"/>
    <w:basedOn w:val="2"/>
    <w:next w:val="1"/>
    <w:qFormat/>
    <w:uiPriority w:val="99"/>
    <w:pPr>
      <w:spacing w:before="480" w:after="0" w:line="276" w:lineRule="auto"/>
      <w:jc w:val="left"/>
      <w:outlineLvl w:val="9"/>
    </w:pPr>
    <w:rPr>
      <w:rFonts w:ascii="Cambria" w:hAnsi="Cambria" w:eastAsia="宋体"/>
      <w:color w:val="365F91"/>
      <w:kern w:val="0"/>
    </w:rPr>
  </w:style>
  <w:style w:type="paragraph" w:customStyle="1" w:styleId="464">
    <w:name w:val="xl245"/>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65">
    <w:name w:val="样式 题注 + 行距: 固定值 23 磅"/>
    <w:basedOn w:val="20"/>
    <w:qFormat/>
    <w:uiPriority w:val="99"/>
    <w:pPr>
      <w:widowControl w:val="0"/>
      <w:shd w:val="clear" w:color="auto" w:fill="auto"/>
      <w:adjustRightInd/>
      <w:snapToGrid/>
      <w:spacing w:after="300" w:line="460" w:lineRule="exact"/>
      <w:jc w:val="center"/>
    </w:pPr>
    <w:rPr>
      <w:rFonts w:eastAsia="宋体" w:cs="宋体"/>
      <w:kern w:val="2"/>
      <w:sz w:val="21"/>
      <w:szCs w:val="24"/>
    </w:rPr>
  </w:style>
  <w:style w:type="paragraph" w:customStyle="1" w:styleId="466">
    <w:name w:val="方案标题3"/>
    <w:basedOn w:val="81"/>
    <w:qFormat/>
    <w:uiPriority w:val="99"/>
    <w:pPr>
      <w:spacing w:beforeLines="50" w:afterLines="50" w:line="440" w:lineRule="exact"/>
      <w:ind w:firstLine="200" w:firstLineChars="200"/>
      <w:jc w:val="left"/>
      <w:outlineLvl w:val="2"/>
    </w:pPr>
    <w:rPr>
      <w:rFonts w:ascii="黑体" w:eastAsia="黑体"/>
      <w:color w:val="000000"/>
      <w:sz w:val="28"/>
      <w:szCs w:val="24"/>
    </w:rPr>
  </w:style>
  <w:style w:type="paragraph" w:customStyle="1" w:styleId="467">
    <w:name w:val="font6"/>
    <w:basedOn w:val="1"/>
    <w:qFormat/>
    <w:uiPriority w:val="99"/>
    <w:pPr>
      <w:spacing w:beforeAutospacing="1" w:afterAutospacing="1"/>
      <w:jc w:val="left"/>
    </w:pPr>
    <w:rPr>
      <w:sz w:val="18"/>
      <w:szCs w:val="18"/>
    </w:rPr>
  </w:style>
  <w:style w:type="paragraph" w:customStyle="1" w:styleId="468">
    <w:name w:val="样式 标题 4 + 段前: 0.5 行 段后: 0.5 行1"/>
    <w:basedOn w:val="4"/>
    <w:qFormat/>
    <w:uiPriority w:val="99"/>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469">
    <w:name w:val="表标题"/>
    <w:basedOn w:val="1"/>
    <w:qFormat/>
    <w:uiPriority w:val="99"/>
    <w:pPr>
      <w:jc w:val="center"/>
    </w:pPr>
    <w:rPr>
      <w:rFonts w:eastAsia="黑体"/>
      <w:b/>
    </w:rPr>
  </w:style>
  <w:style w:type="paragraph" w:customStyle="1" w:styleId="470">
    <w:name w:val="图"/>
    <w:basedOn w:val="1"/>
    <w:qFormat/>
    <w:uiPriority w:val="99"/>
    <w:pPr>
      <w:keepNext/>
      <w:spacing w:before="60" w:after="60" w:line="300" w:lineRule="auto"/>
      <w:jc w:val="center"/>
    </w:pPr>
    <w:rPr>
      <w:spacing w:val="20"/>
      <w:sz w:val="24"/>
      <w:szCs w:val="20"/>
    </w:rPr>
  </w:style>
  <w:style w:type="paragraph" w:customStyle="1" w:styleId="471">
    <w:name w:val="xl243"/>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72">
    <w:name w:val="样式 样式 (符号) 宋体 小四 行距: 1.5 倍行距 首行缩进:  1.5 字符 + 宋体 首行缩进:  2 字符"/>
    <w:basedOn w:val="1"/>
    <w:qFormat/>
    <w:uiPriority w:val="99"/>
    <w:pPr>
      <w:ind w:firstLine="480" w:firstLineChars="200"/>
    </w:pPr>
    <w:rPr>
      <w:sz w:val="24"/>
      <w:szCs w:val="20"/>
    </w:rPr>
  </w:style>
  <w:style w:type="paragraph" w:customStyle="1" w:styleId="473">
    <w:name w:val="font10"/>
    <w:basedOn w:val="1"/>
    <w:qFormat/>
    <w:uiPriority w:val="99"/>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474">
    <w:name w:val="样式 标题 3style3H3h33rd levelLevel 3 Headlevel_3PIM 33l3C..."/>
    <w:basedOn w:val="3"/>
    <w:qFormat/>
    <w:uiPriority w:val="99"/>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475">
    <w:name w:val="xl99"/>
    <w:basedOn w:val="1"/>
    <w:qFormat/>
    <w:uiPriority w:val="99"/>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476">
    <w:name w:val="附录"/>
    <w:basedOn w:val="20"/>
    <w:next w:val="1"/>
    <w:qFormat/>
    <w:uiPriority w:val="99"/>
    <w:pPr>
      <w:widowControl w:val="0"/>
      <w:shd w:val="clear" w:color="auto" w:fill="auto"/>
      <w:adjustRightInd/>
      <w:snapToGrid/>
      <w:spacing w:before="152" w:after="160" w:line="240" w:lineRule="auto"/>
    </w:pPr>
    <w:rPr>
      <w:kern w:val="2"/>
    </w:rPr>
  </w:style>
  <w:style w:type="paragraph" w:customStyle="1" w:styleId="477">
    <w:name w:val="xl66"/>
    <w:basedOn w:val="1"/>
    <w:qFormat/>
    <w:uiPriority w:val="99"/>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478">
    <w:name w:val="xl262"/>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79">
    <w:name w:val="xl84"/>
    <w:basedOn w:val="1"/>
    <w:qFormat/>
    <w:uiPriority w:val="99"/>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480">
    <w:name w:val="xl239"/>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1">
    <w:name w:val="xl247"/>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2">
    <w:name w:val="xl91"/>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483">
    <w:name w:val="Char Char Char1"/>
    <w:basedOn w:val="1"/>
    <w:qFormat/>
    <w:uiPriority w:val="99"/>
    <w:rPr>
      <w:rFonts w:ascii="Tahoma" w:hAnsi="Tahoma"/>
      <w:sz w:val="24"/>
      <w:szCs w:val="20"/>
    </w:rPr>
  </w:style>
  <w:style w:type="paragraph" w:customStyle="1" w:styleId="484">
    <w:name w:val="修订11"/>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485">
    <w:name w:val="xl112"/>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486">
    <w:name w:val="xl252"/>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487">
    <w:name w:val="xl120"/>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488">
    <w:name w:val="xl107"/>
    <w:basedOn w:val="1"/>
    <w:qFormat/>
    <w:uiPriority w:val="99"/>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489">
    <w:name w:val="方案设计2级标题"/>
    <w:basedOn w:val="188"/>
    <w:qFormat/>
    <w:uiPriority w:val="99"/>
    <w:pPr>
      <w:ind w:left="1402" w:firstLine="0" w:firstLineChars="0"/>
      <w:outlineLvl w:val="1"/>
    </w:pPr>
    <w:rPr>
      <w:rFonts w:ascii="黑体" w:hAnsi="黑体" w:eastAsia="黑体"/>
      <w:sz w:val="32"/>
      <w:szCs w:val="32"/>
    </w:rPr>
  </w:style>
  <w:style w:type="paragraph" w:customStyle="1" w:styleId="490">
    <w:name w:val="方案设计1级标题"/>
    <w:basedOn w:val="188"/>
    <w:qFormat/>
    <w:uiPriority w:val="99"/>
    <w:pPr>
      <w:tabs>
        <w:tab w:val="left" w:pos="840"/>
      </w:tabs>
      <w:ind w:left="840" w:firstLine="0" w:firstLineChars="0"/>
      <w:jc w:val="center"/>
      <w:outlineLvl w:val="0"/>
    </w:pPr>
    <w:rPr>
      <w:rFonts w:ascii="黑体" w:hAnsi="黑体" w:eastAsia="黑体"/>
      <w:sz w:val="44"/>
      <w:szCs w:val="44"/>
    </w:rPr>
  </w:style>
  <w:style w:type="paragraph" w:customStyle="1" w:styleId="491">
    <w:name w:val="xl101"/>
    <w:basedOn w:val="1"/>
    <w:qFormat/>
    <w:uiPriority w:val="99"/>
    <w:pPr>
      <w:spacing w:beforeAutospacing="1" w:afterAutospacing="1"/>
      <w:jc w:val="left"/>
      <w:textAlignment w:val="center"/>
    </w:pPr>
    <w:rPr>
      <w:color w:val="FF0000"/>
      <w:sz w:val="20"/>
      <w:szCs w:val="20"/>
    </w:rPr>
  </w:style>
  <w:style w:type="paragraph" w:customStyle="1" w:styleId="492">
    <w:name w:val="样式4"/>
    <w:basedOn w:val="188"/>
    <w:qFormat/>
    <w:uiPriority w:val="99"/>
    <w:pPr>
      <w:ind w:left="2040" w:firstLine="0" w:firstLineChars="0"/>
      <w:jc w:val="left"/>
      <w:outlineLvl w:val="3"/>
    </w:pPr>
    <w:rPr>
      <w:rFonts w:ascii="宋体" w:hAnsi="宋体"/>
    </w:rPr>
  </w:style>
  <w:style w:type="paragraph" w:customStyle="1" w:styleId="493">
    <w:name w:val="xl237"/>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94">
    <w:name w:val="xl261"/>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95">
    <w:name w:val="xl87"/>
    <w:basedOn w:val="1"/>
    <w:qFormat/>
    <w:uiPriority w:val="99"/>
    <w:pPr>
      <w:spacing w:beforeAutospacing="1" w:afterAutospacing="1"/>
      <w:jc w:val="left"/>
    </w:pPr>
    <w:rPr>
      <w:sz w:val="24"/>
    </w:rPr>
  </w:style>
  <w:style w:type="paragraph" w:customStyle="1" w:styleId="496">
    <w:name w:val="目次、标准名称标题"/>
    <w:basedOn w:val="1"/>
    <w:next w:val="1"/>
    <w:qFormat/>
    <w:uiPriority w:val="99"/>
    <w:pPr>
      <w:shd w:val="clear" w:color="FFFFFF" w:fill="FFFFFF"/>
      <w:spacing w:before="640" w:after="560" w:line="460" w:lineRule="exact"/>
      <w:jc w:val="center"/>
      <w:outlineLvl w:val="0"/>
    </w:pPr>
    <w:rPr>
      <w:rFonts w:ascii="黑体" w:eastAsia="黑体"/>
      <w:sz w:val="32"/>
      <w:szCs w:val="20"/>
    </w:rPr>
  </w:style>
  <w:style w:type="paragraph" w:customStyle="1" w:styleId="497">
    <w:name w:val="倪芳"/>
    <w:basedOn w:val="1"/>
    <w:qFormat/>
    <w:uiPriority w:val="99"/>
    <w:pPr>
      <w:widowControl w:val="0"/>
      <w:shd w:val="clear" w:color="auto" w:fill="auto"/>
      <w:tabs>
        <w:tab w:val="clear" w:pos="426"/>
      </w:tabs>
      <w:adjustRightInd/>
      <w:snapToGrid/>
      <w:spacing w:beforeLines="25" w:afterLines="15" w:line="400" w:lineRule="exact"/>
    </w:pPr>
    <w:rPr>
      <w:rFonts w:hAnsi="Courier New" w:cs="Courier New"/>
      <w:kern w:val="2"/>
      <w:sz w:val="24"/>
      <w:szCs w:val="21"/>
    </w:rPr>
  </w:style>
  <w:style w:type="paragraph" w:customStyle="1" w:styleId="498">
    <w:name w:val="Char Char Char Char Char Char Char1"/>
    <w:basedOn w:val="1"/>
    <w:qFormat/>
    <w:uiPriority w:val="99"/>
    <w:pPr>
      <w:widowControl w:val="0"/>
      <w:shd w:val="clear" w:color="auto" w:fill="auto"/>
      <w:tabs>
        <w:tab w:val="center" w:pos="9240"/>
        <w:tab w:val="center" w:pos="9520"/>
        <w:tab w:val="clear" w:pos="426"/>
      </w:tabs>
      <w:adjustRightInd/>
      <w:snapToGrid/>
      <w:spacing w:line="240" w:lineRule="auto"/>
    </w:pPr>
    <w:rPr>
      <w:rFonts w:ascii="Times New Roman" w:hAnsi="Times New Roman" w:eastAsia="仿宋_GB2312" w:cs="Times New Roman"/>
      <w:kern w:val="2"/>
      <w:sz w:val="24"/>
    </w:rPr>
  </w:style>
  <w:style w:type="paragraph" w:customStyle="1" w:styleId="499">
    <w:name w:val="xl109"/>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500">
    <w:name w:val="xl246"/>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1">
    <w:name w:val="xl229"/>
    <w:basedOn w:val="1"/>
    <w:qFormat/>
    <w:uiPriority w:val="99"/>
    <w:pPr>
      <w:pBdr>
        <w:left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2">
    <w:name w:val="USE 2"/>
    <w:basedOn w:val="1"/>
    <w:qFormat/>
    <w:uiPriority w:val="99"/>
    <w:pPr>
      <w:widowControl w:val="0"/>
      <w:shd w:val="clear" w:color="auto" w:fill="auto"/>
      <w:tabs>
        <w:tab w:val="clear" w:pos="426"/>
      </w:tabs>
      <w:adjustRightInd/>
      <w:snapToGrid/>
      <w:ind w:left="4736" w:hanging="3836"/>
      <w:jc w:val="left"/>
    </w:pPr>
    <w:rPr>
      <w:rFonts w:cs="Times New Roman"/>
      <w:kern w:val="2"/>
      <w:sz w:val="24"/>
      <w:szCs w:val="20"/>
    </w:rPr>
  </w:style>
  <w:style w:type="paragraph" w:customStyle="1" w:styleId="503">
    <w:name w:val="xl231"/>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04">
    <w:name w:val="图目录4"/>
    <w:basedOn w:val="1"/>
    <w:next w:val="1"/>
    <w:qFormat/>
    <w:uiPriority w:val="99"/>
    <w:pPr>
      <w:tabs>
        <w:tab w:val="left" w:pos="737"/>
      </w:tabs>
      <w:ind w:left="737" w:hanging="448"/>
      <w:jc w:val="center"/>
      <w:textAlignment w:val="baseline"/>
    </w:pPr>
    <w:rPr>
      <w:szCs w:val="20"/>
    </w:rPr>
  </w:style>
  <w:style w:type="paragraph" w:customStyle="1" w:styleId="505">
    <w:name w:val="xl255"/>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06">
    <w:name w:val="下级参数内容"/>
    <w:basedOn w:val="188"/>
    <w:qFormat/>
    <w:uiPriority w:val="99"/>
    <w:pPr>
      <w:ind w:left="1134" w:firstLine="0" w:firstLineChars="0"/>
    </w:pPr>
    <w:rPr>
      <w:rFonts w:ascii="仿宋" w:hAnsi="仿宋"/>
    </w:rPr>
  </w:style>
  <w:style w:type="paragraph" w:customStyle="1" w:styleId="507">
    <w:name w:val="xl123"/>
    <w:basedOn w:val="1"/>
    <w:qFormat/>
    <w:uiPriority w:val="99"/>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08">
    <w:name w:val="xl130"/>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509">
    <w:name w:val="xl117"/>
    <w:basedOn w:val="1"/>
    <w:qFormat/>
    <w:uiPriority w:val="99"/>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510">
    <w:name w:val="xl263"/>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11">
    <w:name w:val="xl75"/>
    <w:basedOn w:val="1"/>
    <w:qFormat/>
    <w:uiPriority w:val="99"/>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512">
    <w:name w:val="xl93"/>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513">
    <w:name w:val="表1黑体居中"/>
    <w:basedOn w:val="1"/>
    <w:qFormat/>
    <w:uiPriority w:val="99"/>
    <w:pPr>
      <w:ind w:firstLine="435"/>
      <w:jc w:val="center"/>
      <w:textAlignment w:val="baseline"/>
    </w:pPr>
    <w:rPr>
      <w:rFonts w:ascii="黑体" w:eastAsia="黑体"/>
      <w:szCs w:val="21"/>
    </w:rPr>
  </w:style>
  <w:style w:type="paragraph" w:customStyle="1" w:styleId="514">
    <w:name w:val="Char Char"/>
    <w:basedOn w:val="1"/>
    <w:qFormat/>
    <w:uiPriority w:val="99"/>
    <w:rPr>
      <w:rFonts w:ascii="Tahoma" w:hAnsi="Tahoma"/>
      <w:sz w:val="24"/>
      <w:szCs w:val="20"/>
    </w:rPr>
  </w:style>
  <w:style w:type="paragraph" w:customStyle="1" w:styleId="515">
    <w:name w:val="Char Char Char"/>
    <w:basedOn w:val="1"/>
    <w:qFormat/>
    <w:uiPriority w:val="99"/>
    <w:rPr>
      <w:rFonts w:ascii="Tahoma" w:hAnsi="Tahoma"/>
      <w:sz w:val="24"/>
      <w:szCs w:val="20"/>
    </w:rPr>
  </w:style>
  <w:style w:type="paragraph" w:customStyle="1" w:styleId="516">
    <w:name w:val="样式41"/>
    <w:basedOn w:val="1"/>
    <w:qFormat/>
    <w:uiPriority w:val="99"/>
    <w:pPr>
      <w:tabs>
        <w:tab w:val="left" w:pos="945"/>
        <w:tab w:val="left" w:pos="2040"/>
      </w:tabs>
      <w:ind w:left="2040" w:leftChars="800" w:hanging="360" w:hangingChars="200"/>
    </w:pPr>
    <w:rPr>
      <w:b/>
      <w:color w:val="000000"/>
      <w:sz w:val="24"/>
      <w:szCs w:val="20"/>
    </w:rPr>
  </w:style>
  <w:style w:type="paragraph" w:customStyle="1" w:styleId="517">
    <w:name w:val="USE 5"/>
    <w:basedOn w:val="1"/>
    <w:qFormat/>
    <w:uiPriority w:val="99"/>
    <w:pPr>
      <w:widowControl w:val="0"/>
      <w:shd w:val="clear" w:color="auto" w:fill="auto"/>
      <w:tabs>
        <w:tab w:val="clear" w:pos="426"/>
      </w:tabs>
      <w:adjustRightInd/>
      <w:snapToGrid/>
      <w:ind w:left="397" w:hanging="340"/>
      <w:jc w:val="left"/>
    </w:pPr>
    <w:rPr>
      <w:rFonts w:cs="Times New Roman"/>
      <w:kern w:val="2"/>
      <w:sz w:val="24"/>
    </w:rPr>
  </w:style>
  <w:style w:type="paragraph" w:customStyle="1" w:styleId="518">
    <w:name w:val="xl96"/>
    <w:basedOn w:val="1"/>
    <w:qFormat/>
    <w:uiPriority w:val="99"/>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519">
    <w:name w:val="xl242"/>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20">
    <w:name w:val="xl249"/>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21">
    <w:name w:val="xl128"/>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522">
    <w:name w:val="p9"/>
    <w:basedOn w:val="1"/>
    <w:qFormat/>
    <w:uiPriority w:val="99"/>
    <w:pPr>
      <w:shd w:val="clear" w:color="auto" w:fill="auto"/>
      <w:tabs>
        <w:tab w:val="clear" w:pos="426"/>
      </w:tabs>
      <w:adjustRightInd/>
      <w:snapToGrid/>
      <w:spacing w:before="100" w:beforeAutospacing="1" w:after="100" w:afterAutospacing="1" w:line="240" w:lineRule="auto"/>
      <w:jc w:val="left"/>
    </w:pPr>
    <w:rPr>
      <w:rFonts w:hAnsi="Times New Roman" w:cs="Arial Unicode MS"/>
      <w:color w:val="000000"/>
      <w:sz w:val="18"/>
      <w:szCs w:val="18"/>
    </w:rPr>
  </w:style>
  <w:style w:type="paragraph" w:customStyle="1" w:styleId="523">
    <w:name w:val="xl230"/>
    <w:basedOn w:val="1"/>
    <w:qFormat/>
    <w:uiPriority w:val="99"/>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24">
    <w:name w:val="xl85"/>
    <w:basedOn w:val="1"/>
    <w:qFormat/>
    <w:uiPriority w:val="99"/>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525">
    <w:name w:val="Bulleted Items--Level 2"/>
    <w:basedOn w:val="1"/>
    <w:qFormat/>
    <w:uiPriority w:val="99"/>
    <w:pPr>
      <w:tabs>
        <w:tab w:val="left" w:pos="1771"/>
        <w:tab w:val="left" w:pos="2520"/>
      </w:tabs>
      <w:spacing w:line="280" w:lineRule="exact"/>
      <w:ind w:left="2520"/>
    </w:pPr>
    <w:rPr>
      <w:color w:val="000000"/>
      <w:sz w:val="22"/>
      <w:szCs w:val="20"/>
      <w:lang w:eastAsia="en-US"/>
    </w:rPr>
  </w:style>
  <w:style w:type="paragraph" w:customStyle="1" w:styleId="526">
    <w:name w:val="xl126"/>
    <w:basedOn w:val="1"/>
    <w:qFormat/>
    <w:uiPriority w:val="99"/>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27">
    <w:name w:val="USE 3"/>
    <w:basedOn w:val="1"/>
    <w:qFormat/>
    <w:uiPriority w:val="99"/>
    <w:pPr>
      <w:widowControl w:val="0"/>
      <w:shd w:val="clear" w:color="auto" w:fill="auto"/>
      <w:tabs>
        <w:tab w:val="clear" w:pos="426"/>
      </w:tabs>
      <w:adjustRightInd/>
      <w:snapToGrid/>
      <w:ind w:left="890" w:hanging="170"/>
      <w:jc w:val="left"/>
    </w:pPr>
    <w:rPr>
      <w:rFonts w:cs="Times New Roman"/>
      <w:kern w:val="2"/>
      <w:sz w:val="24"/>
      <w:szCs w:val="20"/>
    </w:rPr>
  </w:style>
  <w:style w:type="paragraph" w:customStyle="1" w:styleId="528">
    <w:name w:val="xl124"/>
    <w:basedOn w:val="1"/>
    <w:qFormat/>
    <w:uiPriority w:val="99"/>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529">
    <w:name w:val="普通段落"/>
    <w:qFormat/>
    <w:uiPriority w:val="99"/>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table" w:customStyle="1" w:styleId="530">
    <w:name w:val="Table Normal1"/>
    <w:qFormat/>
    <w:uiPriority w:val="99"/>
    <w:pPr>
      <w:spacing w:line="360" w:lineRule="auto"/>
      <w:jc w:val="both"/>
    </w:pPr>
    <w:tblPr>
      <w:tblCellMar>
        <w:top w:w="0" w:type="dxa"/>
        <w:left w:w="0" w:type="dxa"/>
        <w:bottom w:w="0" w:type="dxa"/>
        <w:right w:w="0" w:type="dxa"/>
      </w:tblCellMar>
    </w:tblPr>
  </w:style>
  <w:style w:type="table" w:customStyle="1" w:styleId="531">
    <w:name w:val="网格型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2">
    <w:name w:val="Table Normal12"/>
    <w:qFormat/>
    <w:uiPriority w:val="99"/>
    <w:pPr>
      <w:spacing w:line="360" w:lineRule="auto"/>
      <w:jc w:val="both"/>
    </w:pPr>
    <w:tblPr>
      <w:tblCellMar>
        <w:top w:w="0" w:type="dxa"/>
        <w:left w:w="0" w:type="dxa"/>
        <w:bottom w:w="0" w:type="dxa"/>
        <w:right w:w="0" w:type="dxa"/>
      </w:tblCellMar>
    </w:tblPr>
  </w:style>
  <w:style w:type="table" w:customStyle="1" w:styleId="533">
    <w:name w:val="Table Normal11"/>
    <w:qFormat/>
    <w:uiPriority w:val="99"/>
    <w:pPr>
      <w:widowControl w:val="0"/>
    </w:pPr>
    <w:rPr>
      <w:rFonts w:ascii="Calibri" w:hAnsi="Calibri"/>
      <w:sz w:val="22"/>
    </w:rPr>
    <w:tblPr>
      <w:tblCellMar>
        <w:top w:w="0" w:type="dxa"/>
        <w:left w:w="0" w:type="dxa"/>
        <w:bottom w:w="0" w:type="dxa"/>
        <w:right w:w="0" w:type="dxa"/>
      </w:tblCellMar>
    </w:tblPr>
  </w:style>
  <w:style w:type="paragraph" w:customStyle="1" w:styleId="534">
    <w:name w:val="Other|1"/>
    <w:basedOn w:val="1"/>
    <w:qFormat/>
    <w:uiPriority w:val="99"/>
    <w:pPr>
      <w:spacing w:line="310" w:lineRule="auto"/>
    </w:pPr>
    <w:rPr>
      <w:sz w:val="18"/>
      <w:szCs w:val="18"/>
      <w:lang w:val="zh-TW" w:eastAsia="zh-TW"/>
    </w:rPr>
  </w:style>
  <w:style w:type="paragraph" w:customStyle="1" w:styleId="535">
    <w:name w:val="Body text|1"/>
    <w:basedOn w:val="1"/>
    <w:link w:val="536"/>
    <w:qFormat/>
    <w:uiPriority w:val="99"/>
    <w:pPr>
      <w:spacing w:line="310" w:lineRule="auto"/>
    </w:pPr>
    <w:rPr>
      <w:rFonts w:hAnsi="Times New Roman" w:cs="Times New Roman"/>
      <w:sz w:val="18"/>
      <w:szCs w:val="20"/>
      <w:lang w:val="zh-TW" w:eastAsia="zh-TW"/>
    </w:rPr>
  </w:style>
  <w:style w:type="character" w:customStyle="1" w:styleId="536">
    <w:name w:val="Body text|1_"/>
    <w:link w:val="535"/>
    <w:qFormat/>
    <w:locked/>
    <w:uiPriority w:val="99"/>
    <w:rPr>
      <w:rFonts w:ascii="宋体" w:eastAsia="宋体"/>
      <w:sz w:val="18"/>
      <w:shd w:val="clear" w:color="auto" w:fill="FFFFFF"/>
      <w:lang w:val="zh-TW" w:eastAsia="zh-TW"/>
    </w:rPr>
  </w:style>
  <w:style w:type="paragraph" w:customStyle="1" w:styleId="537">
    <w:name w:val="样式 7 10 磅"/>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样式 312 10 磅"/>
    <w:qFormat/>
    <w:uiPriority w:val="99"/>
    <w:pPr>
      <w:widowControl w:val="0"/>
      <w:jc w:val="both"/>
    </w:pPr>
    <w:rPr>
      <w:rFonts w:ascii="Calibri" w:hAnsi="Calibri" w:eastAsia="宋体" w:cs="Times New Roman"/>
      <w:kern w:val="2"/>
      <w:sz w:val="21"/>
      <w:szCs w:val="22"/>
      <w:lang w:val="en-US" w:eastAsia="en-US" w:bidi="ar-SA"/>
    </w:rPr>
  </w:style>
  <w:style w:type="paragraph" w:customStyle="1" w:styleId="539">
    <w:name w:val="样式 315 10 磅"/>
    <w:qFormat/>
    <w:uiPriority w:val="99"/>
    <w:pPr>
      <w:widowControl w:val="0"/>
      <w:jc w:val="both"/>
    </w:pPr>
    <w:rPr>
      <w:rFonts w:ascii="Calibri" w:hAnsi="Calibri" w:eastAsia="宋体" w:cs="Times New Roman"/>
      <w:kern w:val="2"/>
      <w:sz w:val="21"/>
      <w:szCs w:val="22"/>
      <w:lang w:val="en-US" w:eastAsia="en-US" w:bidi="ar-SA"/>
    </w:rPr>
  </w:style>
  <w:style w:type="paragraph" w:customStyle="1" w:styleId="540">
    <w:name w:val="样式 316 10 磅"/>
    <w:qFormat/>
    <w:uiPriority w:val="99"/>
    <w:pPr>
      <w:widowControl w:val="0"/>
      <w:jc w:val="both"/>
    </w:pPr>
    <w:rPr>
      <w:rFonts w:ascii="Calibri" w:hAnsi="Calibri" w:eastAsia="宋体" w:cs="Times New Roman"/>
      <w:kern w:val="2"/>
      <w:sz w:val="21"/>
      <w:szCs w:val="22"/>
      <w:lang w:val="en-US" w:eastAsia="en-US" w:bidi="ar-SA"/>
    </w:rPr>
  </w:style>
  <w:style w:type="paragraph" w:customStyle="1" w:styleId="541">
    <w:name w:val="样式 320 10 磅"/>
    <w:qFormat/>
    <w:uiPriority w:val="99"/>
    <w:pPr>
      <w:widowControl w:val="0"/>
      <w:jc w:val="both"/>
    </w:pPr>
    <w:rPr>
      <w:rFonts w:ascii="Calibri" w:hAnsi="Calibri" w:eastAsia="宋体" w:cs="Times New Roman"/>
      <w:kern w:val="2"/>
      <w:sz w:val="21"/>
      <w:szCs w:val="22"/>
      <w:lang w:val="en-US" w:eastAsia="en-US" w:bidi="ar-SA"/>
    </w:rPr>
  </w:style>
  <w:style w:type="paragraph" w:customStyle="1" w:styleId="542">
    <w:name w:val="样式 36 11 磅"/>
    <w:qFormat/>
    <w:uiPriority w:val="99"/>
    <w:pPr>
      <w:spacing w:after="160" w:line="259" w:lineRule="auto"/>
    </w:pPr>
    <w:rPr>
      <w:rFonts w:ascii="Calibri" w:hAnsi="Calibri" w:eastAsia="宋体" w:cs="Calibri"/>
      <w:color w:val="000000"/>
      <w:kern w:val="2"/>
      <w:sz w:val="22"/>
      <w:szCs w:val="22"/>
      <w:lang w:val="en-US" w:eastAsia="en-US" w:bidi="ar-SA"/>
    </w:rPr>
  </w:style>
  <w:style w:type="character" w:customStyle="1" w:styleId="543">
    <w:name w:val="批注文字 字符1"/>
    <w:qFormat/>
    <w:uiPriority w:val="99"/>
    <w:rPr>
      <w:rFonts w:ascii="宋体"/>
      <w:sz w:val="34"/>
      <w:shd w:val="clear" w:color="auto" w:fill="FFFFFF"/>
    </w:rPr>
  </w:style>
  <w:style w:type="paragraph" w:customStyle="1" w:styleId="544">
    <w:name w:val="修订2"/>
    <w:hidden/>
    <w:qFormat/>
    <w:uiPriority w:val="99"/>
    <w:rPr>
      <w:rFonts w:ascii="宋体" w:hAnsi="宋体" w:eastAsia="宋体" w:cs="宋体"/>
      <w:sz w:val="21"/>
      <w:szCs w:val="24"/>
      <w:lang w:val="en-US" w:eastAsia="zh-CN" w:bidi="ar-SA"/>
    </w:rPr>
  </w:style>
  <w:style w:type="paragraph" w:customStyle="1" w:styleId="545">
    <w:name w:val="修订3"/>
    <w:hidden/>
    <w:qFormat/>
    <w:uiPriority w:val="99"/>
    <w:rPr>
      <w:rFonts w:ascii="宋体" w:hAnsi="宋体" w:eastAsia="宋体" w:cs="宋体"/>
      <w:sz w:val="21"/>
      <w:szCs w:val="24"/>
      <w:lang w:val="en-US" w:eastAsia="zh-CN" w:bidi="ar-SA"/>
    </w:rPr>
  </w:style>
  <w:style w:type="character" w:customStyle="1" w:styleId="546">
    <w:name w:val="font41"/>
    <w:basedOn w:val="130"/>
    <w:qFormat/>
    <w:uiPriority w:val="99"/>
    <w:rPr>
      <w:rFonts w:ascii="宋体" w:hAnsi="宋体" w:eastAsia="宋体" w:cs="宋体"/>
      <w:color w:val="000000"/>
      <w:sz w:val="20"/>
      <w:szCs w:val="20"/>
      <w:u w:val="none"/>
    </w:rPr>
  </w:style>
  <w:style w:type="table" w:customStyle="1" w:styleId="547">
    <w:name w:val="网格型2"/>
    <w:qFormat/>
    <w:locked/>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48">
    <w:name w:val="表格备注"/>
    <w:basedOn w:val="1"/>
    <w:link w:val="549"/>
    <w:qFormat/>
    <w:uiPriority w:val="99"/>
    <w:pPr>
      <w:spacing w:line="240" w:lineRule="auto"/>
      <w:ind w:firstLine="422" w:firstLineChars="200"/>
    </w:pPr>
    <w:rPr>
      <w:b/>
    </w:rPr>
  </w:style>
  <w:style w:type="character" w:customStyle="1" w:styleId="549">
    <w:name w:val="表格备注 字符"/>
    <w:basedOn w:val="130"/>
    <w:link w:val="548"/>
    <w:qFormat/>
    <w:locked/>
    <w:uiPriority w:val="99"/>
    <w:rPr>
      <w:rFonts w:ascii="宋体" w:eastAsia="宋体" w:cs="宋体"/>
      <w:b/>
      <w:sz w:val="24"/>
      <w:szCs w:val="24"/>
      <w:shd w:val="clear" w:color="auto" w:fill="FFFFFF"/>
    </w:rPr>
  </w:style>
  <w:style w:type="paragraph" w:customStyle="1" w:styleId="550">
    <w:name w:val="0编制指引"/>
    <w:basedOn w:val="1"/>
    <w:link w:val="551"/>
    <w:qFormat/>
    <w:uiPriority w:val="99"/>
    <w:pPr>
      <w:tabs>
        <w:tab w:val="clear" w:pos="426"/>
      </w:tabs>
      <w:spacing w:line="240" w:lineRule="auto"/>
      <w:jc w:val="left"/>
      <w:outlineLvl w:val="4"/>
    </w:pPr>
    <w:rPr>
      <w:i/>
      <w:iCs/>
      <w:color w:val="00B050"/>
    </w:rPr>
  </w:style>
  <w:style w:type="character" w:customStyle="1" w:styleId="551">
    <w:name w:val="0编制指引 字符"/>
    <w:basedOn w:val="130"/>
    <w:link w:val="550"/>
    <w:qFormat/>
    <w:locked/>
    <w:uiPriority w:val="99"/>
    <w:rPr>
      <w:rFonts w:ascii="宋体" w:eastAsia="宋体" w:cs="宋体"/>
      <w:i/>
      <w:iCs/>
      <w:color w:val="00B050"/>
      <w:sz w:val="24"/>
      <w:szCs w:val="24"/>
      <w:shd w:val="clear" w:color="auto" w:fill="FFFFFF"/>
    </w:rPr>
  </w:style>
  <w:style w:type="paragraph" w:customStyle="1" w:styleId="552">
    <w:name w:val="0五号正文"/>
    <w:basedOn w:val="1"/>
    <w:link w:val="553"/>
    <w:qFormat/>
    <w:uiPriority w:val="99"/>
    <w:pPr>
      <w:widowControl w:val="0"/>
      <w:shd w:val="clear" w:color="auto" w:fill="auto"/>
      <w:tabs>
        <w:tab w:val="clear" w:pos="426"/>
      </w:tabs>
      <w:spacing w:line="300" w:lineRule="auto"/>
      <w:ind w:firstLine="420" w:firstLineChars="200"/>
    </w:pPr>
    <w:rPr>
      <w:rFonts w:cs="Times New Roman"/>
      <w:kern w:val="2"/>
      <w:szCs w:val="21"/>
    </w:rPr>
  </w:style>
  <w:style w:type="character" w:customStyle="1" w:styleId="553">
    <w:name w:val="0五号正文 字符"/>
    <w:basedOn w:val="130"/>
    <w:link w:val="552"/>
    <w:qFormat/>
    <w:locked/>
    <w:uiPriority w:val="99"/>
    <w:rPr>
      <w:rFonts w:ascii="宋体" w:eastAsia="宋体" w:cs="Times New Roman"/>
      <w:kern w:val="2"/>
      <w:sz w:val="21"/>
      <w:szCs w:val="21"/>
    </w:rPr>
  </w:style>
  <w:style w:type="paragraph" w:customStyle="1" w:styleId="554">
    <w:name w:val="修订4"/>
    <w:hidden/>
    <w:qFormat/>
    <w:uiPriority w:val="99"/>
    <w:rPr>
      <w:rFonts w:ascii="宋体" w:hAnsi="宋体" w:eastAsia="宋体" w:cs="宋体"/>
      <w:sz w:val="21"/>
      <w:szCs w:val="24"/>
      <w:lang w:val="en-US" w:eastAsia="zh-CN" w:bidi="ar-SA"/>
    </w:rPr>
  </w:style>
  <w:style w:type="paragraph" w:customStyle="1" w:styleId="555">
    <w:name w:val="Z3级左对齐标题"/>
    <w:basedOn w:val="1"/>
    <w:qFormat/>
    <w:uiPriority w:val="99"/>
    <w:pPr>
      <w:numPr>
        <w:ilvl w:val="0"/>
        <w:numId w:val="1"/>
      </w:numPr>
      <w:spacing w:before="280" w:after="290" w:line="377" w:lineRule="auto"/>
      <w:outlineLvl w:val="2"/>
    </w:pPr>
    <w:rPr>
      <w:b/>
      <w:sz w:val="24"/>
    </w:rPr>
  </w:style>
  <w:style w:type="paragraph" w:customStyle="1" w:styleId="556">
    <w:name w:val="修订5"/>
    <w:hidden/>
    <w:qFormat/>
    <w:uiPriority w:val="99"/>
    <w:rPr>
      <w:rFonts w:ascii="宋体" w:hAnsi="宋体" w:eastAsia="宋体" w:cs="宋体"/>
      <w:sz w:val="21"/>
      <w:szCs w:val="24"/>
      <w:lang w:val="en-US" w:eastAsia="zh-CN" w:bidi="ar-SA"/>
    </w:rPr>
  </w:style>
  <w:style w:type="paragraph" w:customStyle="1" w:styleId="557">
    <w:name w:val="修订6"/>
    <w:hidden/>
    <w:qFormat/>
    <w:uiPriority w:val="99"/>
    <w:rPr>
      <w:rFonts w:ascii="宋体" w:hAnsi="宋体" w:eastAsia="宋体" w:cs="宋体"/>
      <w:sz w:val="21"/>
      <w:szCs w:val="24"/>
      <w:lang w:val="en-US" w:eastAsia="zh-CN" w:bidi="ar-SA"/>
    </w:rPr>
  </w:style>
  <w:style w:type="paragraph" w:customStyle="1" w:styleId="558">
    <w:name w:val="修订7"/>
    <w:hidden/>
    <w:qFormat/>
    <w:uiPriority w:val="99"/>
    <w:rPr>
      <w:rFonts w:ascii="宋体" w:hAnsi="宋体" w:eastAsia="宋体" w:cs="宋体"/>
      <w:sz w:val="21"/>
      <w:szCs w:val="24"/>
      <w:lang w:val="en-US" w:eastAsia="zh-CN" w:bidi="ar-SA"/>
    </w:rPr>
  </w:style>
  <w:style w:type="paragraph" w:customStyle="1" w:styleId="559">
    <w:name w:val="修订8"/>
    <w:hidden/>
    <w:qFormat/>
    <w:uiPriority w:val="99"/>
    <w:rPr>
      <w:rFonts w:ascii="宋体" w:hAnsi="宋体" w:eastAsia="宋体" w:cs="宋体"/>
      <w:sz w:val="21"/>
      <w:szCs w:val="24"/>
      <w:lang w:val="en-US" w:eastAsia="zh-CN" w:bidi="ar-SA"/>
    </w:rPr>
  </w:style>
  <w:style w:type="paragraph" w:styleId="56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1">
    <w:name w:val="修订9"/>
    <w:hidden/>
    <w:qFormat/>
    <w:uiPriority w:val="99"/>
    <w:rPr>
      <w:rFonts w:ascii="宋体" w:hAnsi="宋体" w:eastAsia="宋体" w:cs="宋体"/>
      <w:sz w:val="21"/>
      <w:szCs w:val="24"/>
      <w:lang w:val="en-US" w:eastAsia="zh-CN" w:bidi="ar-SA"/>
    </w:rPr>
  </w:style>
  <w:style w:type="character" w:customStyle="1" w:styleId="562">
    <w:name w:val="font21"/>
    <w:basedOn w:val="130"/>
    <w:qFormat/>
    <w:uiPriority w:val="99"/>
    <w:rPr>
      <w:rFonts w:ascii="宋体" w:hAnsi="宋体" w:eastAsia="宋体" w:cs="宋体"/>
      <w:b/>
      <w:bCs/>
      <w:color w:val="000000"/>
      <w:sz w:val="22"/>
      <w:szCs w:val="22"/>
      <w:u w:val="none"/>
    </w:rPr>
  </w:style>
  <w:style w:type="paragraph" w:customStyle="1" w:styleId="563">
    <w:name w:val="_Style 1"/>
    <w:basedOn w:val="1"/>
    <w:next w:val="1"/>
    <w:qFormat/>
    <w:uiPriority w:val="99"/>
    <w:pPr>
      <w:ind w:firstLine="420" w:firstLineChars="200"/>
    </w:pPr>
  </w:style>
  <w:style w:type="paragraph" w:customStyle="1" w:styleId="564">
    <w:name w:val="0表格正文"/>
    <w:basedOn w:val="1"/>
    <w:qFormat/>
    <w:uiPriority w:val="99"/>
    <w:pPr>
      <w:tabs>
        <w:tab w:val="clear" w:pos="426"/>
      </w:tabs>
      <w:spacing w:line="240" w:lineRule="auto"/>
      <w:jc w:val="left"/>
    </w:pPr>
    <w:rPr>
      <w:szCs w:val="21"/>
    </w:rPr>
  </w:style>
  <w:style w:type="paragraph" w:customStyle="1" w:styleId="565">
    <w:name w:val="修订10"/>
    <w:hidden/>
    <w:qFormat/>
    <w:uiPriority w:val="99"/>
    <w:rPr>
      <w:rFonts w:ascii="宋体" w:hAnsi="宋体" w:eastAsia="宋体" w:cs="宋体"/>
      <w:sz w:val="21"/>
      <w:szCs w:val="24"/>
      <w:lang w:val="en-US" w:eastAsia="zh-CN" w:bidi="ar-SA"/>
    </w:rPr>
  </w:style>
  <w:style w:type="paragraph" w:customStyle="1" w:styleId="566">
    <w:name w:val="修订12"/>
    <w:hidden/>
    <w:qFormat/>
    <w:uiPriority w:val="99"/>
    <w:rPr>
      <w:rFonts w:ascii="宋体" w:hAnsi="宋体" w:eastAsia="宋体" w:cs="宋体"/>
      <w:sz w:val="21"/>
      <w:szCs w:val="24"/>
      <w:lang w:val="en-US" w:eastAsia="zh-CN" w:bidi="ar-SA"/>
    </w:rPr>
  </w:style>
  <w:style w:type="paragraph" w:customStyle="1" w:styleId="567">
    <w:name w:val="样式 112 10 磅"/>
    <w:next w:val="44"/>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68">
    <w:name w:val="样式 113 10 磅"/>
    <w:next w:val="1"/>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69">
    <w:name w:val="样式 114 10 磅"/>
    <w:next w:val="1"/>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70">
    <w:name w:val="样式 115 10 磅"/>
    <w:next w:val="1"/>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71">
    <w:name w:val="样式 116 10 磅"/>
    <w:next w:val="1"/>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72">
    <w:name w:val="样式 117 10 磅"/>
    <w:next w:val="1"/>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73">
    <w:name w:val="样式 118 10 磅"/>
    <w:next w:val="1"/>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74">
    <w:name w:val="样式 119 10 磅"/>
    <w:next w:val="1"/>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75">
    <w:name w:val="样式 120 10 磅"/>
    <w:next w:val="1"/>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76">
    <w:name w:val="样式 121 10 磅"/>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7">
    <w:name w:val="样式 122 10 磅"/>
    <w:next w:val="1"/>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78">
    <w:name w:val="样式 123 10 磅"/>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9">
    <w:name w:val="样式 124 10 磅"/>
    <w:next w:val="1"/>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80">
    <w:name w:val="样式 125 10 磅"/>
    <w:next w:val="1"/>
    <w:qFormat/>
    <w:uiPriority w:val="99"/>
    <w:pPr>
      <w:widowControl w:val="0"/>
      <w:jc w:val="both"/>
    </w:pPr>
    <w:rPr>
      <w:rFonts w:ascii="宋体" w:hAnsi="Times New Roman" w:eastAsia="宋体" w:cs="Times New Roman"/>
      <w:kern w:val="2"/>
      <w:sz w:val="21"/>
      <w:szCs w:val="21"/>
      <w:lang w:val="en-US" w:eastAsia="zh-CN" w:bidi="ar-SA"/>
    </w:rPr>
  </w:style>
  <w:style w:type="paragraph" w:customStyle="1" w:styleId="581">
    <w:name w:val="样式 4 10 磅2"/>
    <w:qFormat/>
    <w:uiPriority w:val="99"/>
    <w:pPr>
      <w:widowControl w:val="0"/>
      <w:jc w:val="both"/>
    </w:pPr>
    <w:rPr>
      <w:rFonts w:ascii="等线" w:hAnsi="Times New Roman" w:eastAsia="等线" w:cs="Times New Roman"/>
      <w:kern w:val="2"/>
      <w:sz w:val="21"/>
      <w:szCs w:val="22"/>
      <w:lang w:val="en-US" w:eastAsia="zh-CN" w:bidi="ar-SA"/>
    </w:rPr>
  </w:style>
  <w:style w:type="paragraph" w:customStyle="1" w:styleId="582">
    <w:name w:val="样式 182 10 磅"/>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3">
    <w:name w:val="样式 314 10 磅"/>
    <w:qFormat/>
    <w:uiPriority w:val="99"/>
    <w:pPr>
      <w:widowControl w:val="0"/>
      <w:jc w:val="both"/>
    </w:pPr>
    <w:rPr>
      <w:rFonts w:ascii="Calibri" w:hAnsi="Calibri" w:eastAsia="宋体" w:cs="Times New Roman"/>
      <w:kern w:val="2"/>
      <w:sz w:val="21"/>
      <w:szCs w:val="22"/>
      <w:lang w:val="en-US" w:eastAsia="en-US" w:bidi="ar-SA"/>
    </w:rPr>
  </w:style>
  <w:style w:type="paragraph" w:customStyle="1" w:styleId="584">
    <w:name w:val="修订13"/>
    <w:hidden/>
    <w:qFormat/>
    <w:uiPriority w:val="99"/>
    <w:rPr>
      <w:rFonts w:ascii="宋体" w:hAnsi="宋体" w:eastAsia="宋体" w:cs="宋体"/>
      <w:sz w:val="21"/>
      <w:szCs w:val="24"/>
      <w:lang w:val="en-US" w:eastAsia="zh-CN" w:bidi="ar-SA"/>
    </w:rPr>
  </w:style>
  <w:style w:type="paragraph" w:customStyle="1" w:styleId="585">
    <w:name w:val="样式 26 10 磅"/>
    <w:basedOn w:val="1"/>
    <w:qFormat/>
    <w:uiPriority w:val="99"/>
    <w:rPr>
      <w:rFonts w:hAnsi="Times New Roman" w:cs="Times New Roman"/>
      <w:szCs w:val="21"/>
    </w:rPr>
  </w:style>
  <w:style w:type="paragraph" w:customStyle="1" w:styleId="586">
    <w:name w:val="样式 25 10 磅"/>
    <w:basedOn w:val="1"/>
    <w:qFormat/>
    <w:uiPriority w:val="99"/>
    <w:rPr>
      <w:rFonts w:hAnsi="Times New Roman" w:cs="Times New Roman"/>
      <w:szCs w:val="21"/>
    </w:rPr>
  </w:style>
  <w:style w:type="paragraph" w:customStyle="1" w:styleId="587">
    <w:name w:val="样式 24 10 磅"/>
    <w:basedOn w:val="1"/>
    <w:qFormat/>
    <w:uiPriority w:val="99"/>
    <w:rPr>
      <w:rFonts w:ascii="Calibri" w:hAnsi="Calibri" w:cs="Times New Roman"/>
      <w:szCs w:val="21"/>
    </w:rPr>
  </w:style>
  <w:style w:type="paragraph" w:customStyle="1" w:styleId="588">
    <w:name w:val="样式 23 10 磅"/>
    <w:basedOn w:val="1"/>
    <w:qFormat/>
    <w:uiPriority w:val="99"/>
    <w:rPr>
      <w:rFonts w:hAnsi="Times New Roman" w:cs="Times New Roman"/>
      <w:szCs w:val="21"/>
    </w:rPr>
  </w:style>
  <w:style w:type="paragraph" w:customStyle="1" w:styleId="589">
    <w:name w:val="样式 22 10 磅"/>
    <w:basedOn w:val="1"/>
    <w:qFormat/>
    <w:uiPriority w:val="99"/>
    <w:rPr>
      <w:rFonts w:hAnsi="Times New Roman" w:cs="Times New Roman"/>
      <w:szCs w:val="21"/>
    </w:rPr>
  </w:style>
  <w:style w:type="paragraph" w:customStyle="1" w:styleId="590">
    <w:name w:val="样式 21 10 磅"/>
    <w:basedOn w:val="1"/>
    <w:qFormat/>
    <w:uiPriority w:val="99"/>
    <w:rPr>
      <w:rFonts w:hAnsi="Times New Roman" w:cs="Times New Roman"/>
      <w:szCs w:val="21"/>
    </w:rPr>
  </w:style>
  <w:style w:type="paragraph" w:customStyle="1" w:styleId="591">
    <w:name w:val="样式 20 10 磅"/>
    <w:basedOn w:val="1"/>
    <w:qFormat/>
    <w:uiPriority w:val="99"/>
    <w:rPr>
      <w:rFonts w:hAnsi="Times New Roman" w:cs="Times New Roman"/>
      <w:szCs w:val="21"/>
    </w:rPr>
  </w:style>
  <w:style w:type="paragraph" w:customStyle="1" w:styleId="592">
    <w:name w:val="样式 19 10 磅"/>
    <w:basedOn w:val="1"/>
    <w:qFormat/>
    <w:uiPriority w:val="99"/>
    <w:rPr>
      <w:rFonts w:hAnsi="Times New Roman" w:cs="Times New Roman"/>
      <w:szCs w:val="21"/>
    </w:rPr>
  </w:style>
  <w:style w:type="paragraph" w:customStyle="1" w:styleId="593">
    <w:name w:val="样式 18 10 磅"/>
    <w:basedOn w:val="1"/>
    <w:qFormat/>
    <w:uiPriority w:val="99"/>
    <w:rPr>
      <w:rFonts w:hAnsi="Times New Roman" w:cs="Times New Roman"/>
      <w:szCs w:val="21"/>
    </w:rPr>
  </w:style>
  <w:style w:type="paragraph" w:customStyle="1" w:styleId="594">
    <w:name w:val="样式 17 10 磅"/>
    <w:basedOn w:val="1"/>
    <w:qFormat/>
    <w:uiPriority w:val="99"/>
    <w:rPr>
      <w:rFonts w:hAnsi="Times New Roman" w:cs="Times New Roman"/>
      <w:szCs w:val="21"/>
    </w:rPr>
  </w:style>
  <w:style w:type="paragraph" w:customStyle="1" w:styleId="595">
    <w:name w:val="样式 16 10 磅"/>
    <w:basedOn w:val="1"/>
    <w:qFormat/>
    <w:uiPriority w:val="99"/>
    <w:rPr>
      <w:rFonts w:hAnsi="Times New Roman" w:cs="Times New Roman"/>
      <w:szCs w:val="21"/>
    </w:rPr>
  </w:style>
  <w:style w:type="paragraph" w:customStyle="1" w:styleId="596">
    <w:name w:val="样式 15 10 磅"/>
    <w:basedOn w:val="1"/>
    <w:qFormat/>
    <w:uiPriority w:val="99"/>
    <w:rPr>
      <w:rFonts w:hAnsi="Times New Roman" w:cs="Times New Roman"/>
      <w:szCs w:val="21"/>
    </w:rPr>
  </w:style>
  <w:style w:type="paragraph" w:customStyle="1" w:styleId="597">
    <w:name w:val="样式 14 10 磅"/>
    <w:basedOn w:val="1"/>
    <w:qFormat/>
    <w:uiPriority w:val="99"/>
    <w:rPr>
      <w:rFonts w:hAnsi="Times New Roman" w:cs="Times New Roman"/>
      <w:szCs w:val="21"/>
    </w:rPr>
  </w:style>
  <w:style w:type="paragraph" w:customStyle="1" w:styleId="598">
    <w:name w:val="样式 13 10 磅"/>
    <w:basedOn w:val="1"/>
    <w:qFormat/>
    <w:uiPriority w:val="99"/>
    <w:rPr>
      <w:rFonts w:hAnsi="Times New Roman" w:cs="Times New Roman"/>
      <w:szCs w:val="21"/>
    </w:rPr>
  </w:style>
  <w:style w:type="paragraph" w:customStyle="1" w:styleId="599">
    <w:name w:val="样式 12 10 磅"/>
    <w:basedOn w:val="1"/>
    <w:qFormat/>
    <w:uiPriority w:val="99"/>
    <w:rPr>
      <w:rFonts w:hAnsi="Times New Roman" w:cs="Times New Roman"/>
      <w:szCs w:val="21"/>
    </w:rPr>
  </w:style>
  <w:style w:type="paragraph" w:customStyle="1" w:styleId="600">
    <w:name w:val="样式 11 10 磅"/>
    <w:basedOn w:val="1"/>
    <w:qFormat/>
    <w:uiPriority w:val="99"/>
    <w:rPr>
      <w:rFonts w:hAnsi="Times New Roman" w:cs="Times New Roman"/>
      <w:szCs w:val="21"/>
    </w:rPr>
  </w:style>
  <w:style w:type="paragraph" w:customStyle="1" w:styleId="601">
    <w:name w:val="样式 10 10 磅"/>
    <w:basedOn w:val="1"/>
    <w:qFormat/>
    <w:uiPriority w:val="99"/>
    <w:rPr>
      <w:rFonts w:hAnsi="Times New Roman" w:cs="Times New Roman"/>
      <w:szCs w:val="21"/>
    </w:rPr>
  </w:style>
  <w:style w:type="paragraph" w:customStyle="1" w:styleId="602">
    <w:name w:val="样式 9 10 磅"/>
    <w:basedOn w:val="1"/>
    <w:qFormat/>
    <w:uiPriority w:val="99"/>
    <w:rPr>
      <w:rFonts w:hAnsi="Times New Roman" w:cs="Times New Roman"/>
      <w:szCs w:val="21"/>
    </w:rPr>
  </w:style>
  <w:style w:type="paragraph" w:customStyle="1" w:styleId="603">
    <w:name w:val="样式 8 10 磅"/>
    <w:basedOn w:val="1"/>
    <w:qFormat/>
    <w:uiPriority w:val="99"/>
    <w:rPr>
      <w:rFonts w:hAnsi="Times New Roman" w:cs="Times New Roman"/>
      <w:szCs w:val="21"/>
    </w:rPr>
  </w:style>
  <w:style w:type="paragraph" w:customStyle="1" w:styleId="604">
    <w:name w:val="样式 47 10 磅"/>
    <w:basedOn w:val="1"/>
    <w:qFormat/>
    <w:uiPriority w:val="99"/>
    <w:rPr>
      <w:rFonts w:ascii="Times New Roman" w:hAnsi="Times New Roman" w:cs="Times New Roman"/>
      <w:szCs w:val="21"/>
    </w:rPr>
  </w:style>
  <w:style w:type="paragraph" w:customStyle="1" w:styleId="605">
    <w:name w:val="样式 40 10 磅"/>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6">
    <w:name w:val="样式 507 10 磅"/>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07">
    <w:name w:val="样式 42 10 磅"/>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8">
    <w:name w:val="样式 41 10 磅"/>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9">
    <w:name w:val="样式 39 10 磅"/>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0">
    <w:name w:val="样式 44 10 磅"/>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1">
    <w:name w:val="样式 36 10 磅"/>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2">
    <w:name w:val="样式 27 10 磅"/>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3">
    <w:name w:val="样式 46 10 磅"/>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14">
    <w:name w:val="样式 37 10 磅"/>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5">
    <w:name w:val="样式 34 10 磅"/>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6">
    <w:name w:val="样式 28 10 磅"/>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7">
    <w:name w:val="样式 38 10 磅"/>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8">
    <w:name w:val="样式 35 10 磅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9">
    <w:name w:val="修订14"/>
    <w:hidden/>
    <w:qFormat/>
    <w:uiPriority w:val="99"/>
    <w:rPr>
      <w:rFonts w:ascii="宋体" w:hAnsi="宋体" w:eastAsia="宋体" w:cs="宋体"/>
      <w:sz w:val="21"/>
      <w:szCs w:val="24"/>
      <w:lang w:val="en-US" w:eastAsia="zh-CN" w:bidi="ar-SA"/>
    </w:rPr>
  </w:style>
  <w:style w:type="paragraph" w:customStyle="1" w:styleId="620">
    <w:name w:val="样式 253 三号"/>
    <w:qFormat/>
    <w:uiPriority w:val="99"/>
    <w:pPr>
      <w:widowControl w:val="0"/>
      <w:jc w:val="both"/>
    </w:pPr>
    <w:rPr>
      <w:rFonts w:ascii="Times New Roman" w:hAnsi="Times New Roman" w:eastAsia="方正仿宋_GBK" w:cs="Times New Roman"/>
      <w:kern w:val="2"/>
      <w:sz w:val="32"/>
      <w:szCs w:val="32"/>
      <w:lang w:val="en-US" w:eastAsia="zh-CN" w:bidi="ar-SA"/>
    </w:rPr>
  </w:style>
  <w:style w:type="paragraph" w:customStyle="1" w:styleId="621">
    <w:name w:val="正文_103"/>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22">
    <w:name w:val="样式 3 三号"/>
    <w:qFormat/>
    <w:uiPriority w:val="99"/>
    <w:pPr>
      <w:keepNext/>
      <w:keepLines/>
      <w:spacing w:before="340" w:line="259" w:lineRule="auto"/>
    </w:pPr>
    <w:rPr>
      <w:rFonts w:ascii="等线 Light" w:hAnsi="Times New Roman" w:eastAsia="等线 Light" w:cs="Times New Roman"/>
      <w:color w:val="2E74B5"/>
      <w:kern w:val="2"/>
      <w:sz w:val="32"/>
      <w:szCs w:val="32"/>
      <w:lang w:val="en-US" w:eastAsia="zh-CN" w:bidi="ar-SA"/>
    </w:rPr>
  </w:style>
  <w:style w:type="paragraph" w:customStyle="1" w:styleId="623">
    <w:name w:val="正文_23"/>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24">
    <w:name w:val="样式 505 10 磅"/>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25">
    <w:name w:val="正文_90"/>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26">
    <w:name w:val="正文_93"/>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27">
    <w:name w:val="正文_94"/>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28">
    <w:name w:val="正文_32"/>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29">
    <w:name w:val="正文_18"/>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30">
    <w:name w:val="正文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1">
    <w:name w:val="正文_3"/>
    <w:qFormat/>
    <w:uiPriority w:val="99"/>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632">
    <w:name w:val="正文_114"/>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33">
    <w:name w:val="正文_109"/>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34">
    <w:name w:val="正文_130"/>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35">
    <w:name w:val="正文_101"/>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36">
    <w:name w:val="样式 2 三号_17"/>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37">
    <w:name w:val="正文_60"/>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38">
    <w:name w:val="正文_50"/>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39">
    <w:name w:val="正文_66"/>
    <w:qFormat/>
    <w:uiPriority w:val="99"/>
    <w:pPr>
      <w:widowControl w:val="0"/>
      <w:jc w:val="both"/>
    </w:pPr>
    <w:rPr>
      <w:rFonts w:ascii="Times New Roman" w:hAnsi="Times New Roman" w:eastAsia="方正仿宋_GBK" w:cs="Times New Roman"/>
      <w:kern w:val="2"/>
      <w:sz w:val="32"/>
      <w:lang w:val="en-US" w:eastAsia="zh-CN" w:bidi="ar-SA"/>
    </w:rPr>
  </w:style>
  <w:style w:type="paragraph" w:customStyle="1" w:styleId="640">
    <w:name w:val="样式 30 10 磅"/>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1">
    <w:name w:val="修订15"/>
    <w:hidden/>
    <w:semiHidden/>
    <w:qFormat/>
    <w:uiPriority w:val="99"/>
    <w:rPr>
      <w:rFonts w:ascii="宋体" w:hAnsi="宋体" w:eastAsia="宋体" w:cs="宋体"/>
      <w:sz w:val="21"/>
      <w:szCs w:val="24"/>
      <w:lang w:val="en-US" w:eastAsia="zh-CN" w:bidi="ar-SA"/>
    </w:rPr>
  </w:style>
  <w:style w:type="character" w:customStyle="1" w:styleId="642">
    <w:name w:val="未处理的提及2"/>
    <w:basedOn w:val="130"/>
    <w:semiHidden/>
    <w:qFormat/>
    <w:uiPriority w:val="99"/>
    <w:rPr>
      <w:rFonts w:cs="Times New Roman"/>
      <w:color w:val="auto"/>
      <w:shd w:val="clear" w:color="auto" w:fill="auto"/>
    </w:rPr>
  </w:style>
  <w:style w:type="paragraph" w:customStyle="1" w:styleId="643">
    <w:name w:val="修订16"/>
    <w:hidden/>
    <w:qFormat/>
    <w:uiPriority w:val="99"/>
    <w:rPr>
      <w:rFonts w:ascii="宋体" w:hAnsi="宋体" w:eastAsia="宋体" w:cs="宋体"/>
      <w:sz w:val="21"/>
      <w:szCs w:val="24"/>
      <w:lang w:val="en-US" w:eastAsia="zh-CN" w:bidi="ar-SA"/>
    </w:rPr>
  </w:style>
  <w:style w:type="paragraph" w:customStyle="1" w:styleId="644">
    <w:name w:val="修订17"/>
    <w:hidden/>
    <w:qFormat/>
    <w:uiPriority w:val="99"/>
    <w:rPr>
      <w:rFonts w:ascii="宋体" w:hAnsi="宋体" w:eastAsia="宋体" w:cs="宋体"/>
      <w:sz w:val="21"/>
      <w:szCs w:val="24"/>
      <w:lang w:val="en-US" w:eastAsia="zh-CN" w:bidi="ar-SA"/>
    </w:rPr>
  </w:style>
  <w:style w:type="paragraph" w:customStyle="1" w:styleId="645">
    <w:name w:val="Revision1"/>
    <w:hidden/>
    <w:qFormat/>
    <w:uiPriority w:val="99"/>
    <w:rPr>
      <w:rFonts w:ascii="宋体" w:hAnsi="宋体" w:eastAsia="宋体" w:cs="宋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102</Pages>
  <Words>61408</Words>
  <Characters>66541</Characters>
  <Lines>519</Lines>
  <Paragraphs>146</Paragraphs>
  <TotalTime>1</TotalTime>
  <ScaleCrop>false</ScaleCrop>
  <LinksUpToDate>false</LinksUpToDate>
  <CharactersWithSpaces>67637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2024-11-15T02:56:00Z</dcterms:created>
  <dc:creator>thsware</dc:creator>
  <cp:lastModifiedBy>微信用户</cp:lastModifiedBy>
  <cp:lastPrinted>2024-10-12T06:08:00Z</cp:lastPrinted>
  <dcterms:modified xsi:type="dcterms:W3CDTF">2024-11-18T09:01:05Z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ACCEE2C34B1A4C8FAFBDE95A5E434B27_13</vt:lpwstr>
  </property>
</Properties>
</file>