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rFonts w:hint="eastAsia"/>
        </w:rPr>
      </w:pPr>
    </w:p>
    <w:p>
      <w:pPr>
        <w:tabs>
          <w:tab w:val="clear" w:pos="426"/>
        </w:tabs>
        <w:rPr>
          <w:rFonts w:hint="eastAsia"/>
        </w:rPr>
      </w:pPr>
    </w:p>
    <w:p>
      <w:pPr>
        <w:tabs>
          <w:tab w:val="clear" w:pos="426"/>
        </w:tabs>
        <w:jc w:val="right"/>
        <w:rPr>
          <w:rFonts w:hint="eastAsia"/>
          <w:b/>
          <w:u w:val="single"/>
        </w:rPr>
      </w:pPr>
      <w:r>
        <w:rPr>
          <w:rFonts w:hint="eastAsia"/>
        </w:rPr>
        <w:t xml:space="preserve">                                                     项目编号：</w:t>
      </w:r>
      <w:r>
        <w:rPr>
          <w:rFonts w:hint="eastAsia"/>
          <w:b/>
          <w:u w:val="single"/>
        </w:rPr>
        <w:t>SSZX2024-383</w:t>
      </w: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r>
        <w:rPr>
          <w:rFonts w:hint="eastAsia" w:cs="Times New Roman"/>
          <w:spacing w:val="26"/>
          <w:kern w:val="2"/>
          <w:sz w:val="72"/>
          <w:szCs w:val="20"/>
        </w:rPr>
        <w:t>招标文件</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u w:val="single"/>
        </w:rPr>
      </w:pPr>
      <w:r>
        <w:rPr>
          <w:rFonts w:hint="eastAsia" w:cs="Times New Roman"/>
          <w:kern w:val="2"/>
          <w:sz w:val="30"/>
          <w:szCs w:val="20"/>
        </w:rPr>
        <w:t>项目名称：</w:t>
      </w:r>
      <w:r>
        <w:rPr>
          <w:rFonts w:hint="eastAsia" w:cs="Times New Roman"/>
          <w:kern w:val="2"/>
          <w:sz w:val="30"/>
          <w:szCs w:val="20"/>
          <w:u w:val="single"/>
        </w:rPr>
        <w:t>深圳海关动植物检验检疫技术中心“全自动高通量核酸质谱检测系统”设备采购项目</w:t>
      </w: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深圳海关动植物检验检疫技术中心</w:t>
      </w:r>
    </w:p>
    <w:p>
      <w:pPr>
        <w:widowControl w:val="0"/>
        <w:shd w:val="clear" w:color="auto" w:fill="auto"/>
        <w:tabs>
          <w:tab w:val="clear" w:pos="426"/>
        </w:tabs>
        <w:adjustRightInd/>
        <w:snapToGrid/>
        <w:spacing w:line="300" w:lineRule="auto"/>
        <w:ind w:left="1500"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rFonts w:hint="eastAsia"/>
          <w:sz w:val="32"/>
          <w:szCs w:val="32"/>
        </w:rPr>
      </w:pPr>
      <w:r>
        <w:br w:type="page"/>
      </w:r>
      <w:r>
        <w:rPr>
          <w:rFonts w:hint="eastAsia"/>
          <w:b/>
          <w:sz w:val="32"/>
          <w:szCs w:val="32"/>
        </w:rPr>
        <w:t>目      录</w:t>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TOC \o "1-3" \h \z \u </w:instrText>
      </w:r>
      <w:r>
        <w:fldChar w:fldCharType="separate"/>
      </w:r>
      <w:r>
        <w:fldChar w:fldCharType="begin"/>
      </w:r>
      <w:r>
        <w:instrText xml:space="preserve"> HYPERLINK \l "_Toc1594" </w:instrText>
      </w:r>
      <w:r>
        <w:fldChar w:fldCharType="separate"/>
      </w:r>
      <w:r>
        <w:rPr>
          <w:rFonts w:hint="eastAsia" w:ascii="黑体" w:hAnsi="黑体" w:eastAsia="黑体" w:cs="黑体"/>
          <w:b/>
          <w:bCs/>
          <w:sz w:val="20"/>
          <w:szCs w:val="20"/>
        </w:rPr>
        <w:t>项目关键信息</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_Toc1594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1</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"_Toc16410" </w:instrText>
      </w:r>
      <w:r>
        <w:fldChar w:fldCharType="separate"/>
      </w:r>
      <w:r>
        <w:rPr>
          <w:rFonts w:hint="eastAsia" w:ascii="黑体" w:hAnsi="黑体" w:eastAsia="黑体" w:cs="黑体"/>
          <w:b/>
          <w:bCs/>
          <w:sz w:val="20"/>
          <w:szCs w:val="20"/>
        </w:rPr>
        <w:t>招标文件第一册（专用部分）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_Toc16410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3</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"_Toc20258" </w:instrText>
      </w:r>
      <w:r>
        <w:fldChar w:fldCharType="separate"/>
      </w:r>
      <w:r>
        <w:rPr>
          <w:rFonts w:hint="eastAsia"/>
          <w:b/>
          <w:bCs/>
          <w:sz w:val="20"/>
          <w:szCs w:val="20"/>
        </w:rPr>
        <w:t>第一章 投标邀请</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_Toc20258 \h </w:instrText>
      </w:r>
      <w:r>
        <w:rPr>
          <w:rFonts w:hint="eastAsia"/>
          <w:b/>
          <w:bCs/>
          <w:sz w:val="20"/>
          <w:szCs w:val="20"/>
        </w:rPr>
        <w:fldChar w:fldCharType="separate"/>
      </w:r>
      <w:r>
        <w:rPr>
          <w:rFonts w:hint="eastAsia"/>
          <w:b/>
          <w:bCs/>
          <w:sz w:val="20"/>
          <w:szCs w:val="20"/>
        </w:rPr>
        <w:t>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"_Toc13122" </w:instrText>
      </w:r>
      <w:r>
        <w:fldChar w:fldCharType="separate"/>
      </w:r>
      <w:r>
        <w:rPr>
          <w:rFonts w:hint="eastAsia"/>
          <w:b/>
          <w:bCs/>
          <w:sz w:val="20"/>
          <w:szCs w:val="20"/>
        </w:rPr>
        <w:t>第二章 项目需求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_Toc13122 \h </w:instrText>
      </w:r>
      <w:r>
        <w:rPr>
          <w:rFonts w:hint="eastAsia"/>
          <w:b/>
          <w:bCs/>
          <w:sz w:val="20"/>
          <w:szCs w:val="20"/>
        </w:rPr>
        <w:fldChar w:fldCharType="separate"/>
      </w:r>
      <w:r>
        <w:rPr>
          <w:rFonts w:hint="eastAsia"/>
          <w:b/>
          <w:bCs/>
          <w:sz w:val="20"/>
          <w:szCs w:val="20"/>
        </w:rPr>
        <w:t>7</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"_Toc15786" </w:instrText>
      </w:r>
      <w:r>
        <w:fldChar w:fldCharType="separate"/>
      </w:r>
      <w:r>
        <w:rPr>
          <w:rFonts w:hint="eastAsia"/>
          <w:i w:val="0"/>
          <w:iCs w:val="0"/>
          <w:sz w:val="20"/>
          <w:szCs w:val="20"/>
        </w:rPr>
        <w:t xml:space="preserve">一、 </w:t>
      </w:r>
      <w:r>
        <w:rPr>
          <w:i w:val="0"/>
          <w:iCs w:val="0"/>
          <w:sz w:val="20"/>
          <w:szCs w:val="20"/>
        </w:rPr>
        <w:t>货物清单</w:t>
      </w:r>
      <w:r>
        <w:rPr>
          <w:rFonts w:hint="eastAsia"/>
          <w:i w:val="0"/>
          <w:iCs w:val="0"/>
          <w:sz w:val="20"/>
          <w:szCs w:val="20"/>
        </w:rPr>
        <w:t>一览表</w:t>
      </w:r>
      <w:r>
        <w:rPr>
          <w:i w:val="0"/>
          <w:iCs w:val="0"/>
          <w:sz w:val="20"/>
          <w:szCs w:val="20"/>
        </w:rPr>
        <w:tab/>
      </w:r>
      <w:r>
        <w:rPr>
          <w:i w:val="0"/>
          <w:iCs w:val="0"/>
          <w:sz w:val="20"/>
          <w:szCs w:val="20"/>
        </w:rPr>
        <w:fldChar w:fldCharType="begin"/>
      </w:r>
      <w:r>
        <w:rPr>
          <w:i w:val="0"/>
          <w:iCs w:val="0"/>
          <w:sz w:val="20"/>
          <w:szCs w:val="20"/>
        </w:rPr>
        <w:instrText xml:space="preserve"> PAGEREF _Toc15786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"_Toc31434" </w:instrText>
      </w:r>
      <w:r>
        <w:fldChar w:fldCharType="separate"/>
      </w:r>
      <w:r>
        <w:rPr>
          <w:rFonts w:hint="eastAsia"/>
          <w:i w:val="0"/>
          <w:iCs w:val="0"/>
          <w:sz w:val="20"/>
          <w:szCs w:val="20"/>
        </w:rPr>
        <w:t>二、 实质性响应条款</w:t>
      </w:r>
      <w:r>
        <w:rPr>
          <w:i w:val="0"/>
          <w:iCs w:val="0"/>
          <w:sz w:val="20"/>
          <w:szCs w:val="20"/>
        </w:rPr>
        <w:tab/>
      </w:r>
      <w:r>
        <w:rPr>
          <w:i w:val="0"/>
          <w:iCs w:val="0"/>
          <w:sz w:val="20"/>
          <w:szCs w:val="20"/>
        </w:rPr>
        <w:fldChar w:fldCharType="begin"/>
      </w:r>
      <w:r>
        <w:rPr>
          <w:i w:val="0"/>
          <w:iCs w:val="0"/>
          <w:sz w:val="20"/>
          <w:szCs w:val="20"/>
        </w:rPr>
        <w:instrText xml:space="preserve"> PAGEREF _Toc31434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"_Toc27732" </w:instrText>
      </w:r>
      <w:r>
        <w:fldChar w:fldCharType="separate"/>
      </w:r>
      <w:r>
        <w:rPr>
          <w:rFonts w:hint="eastAsia"/>
          <w:i w:val="0"/>
          <w:iCs w:val="0"/>
          <w:sz w:val="20"/>
          <w:szCs w:val="20"/>
        </w:rPr>
        <w:t>三、 技术要求</w:t>
      </w:r>
      <w:r>
        <w:rPr>
          <w:i w:val="0"/>
          <w:iCs w:val="0"/>
          <w:sz w:val="20"/>
          <w:szCs w:val="20"/>
        </w:rPr>
        <w:tab/>
      </w:r>
      <w:r>
        <w:rPr>
          <w:i w:val="0"/>
          <w:iCs w:val="0"/>
          <w:sz w:val="20"/>
          <w:szCs w:val="20"/>
        </w:rPr>
        <w:fldChar w:fldCharType="begin"/>
      </w:r>
      <w:r>
        <w:rPr>
          <w:i w:val="0"/>
          <w:iCs w:val="0"/>
          <w:sz w:val="20"/>
          <w:szCs w:val="20"/>
        </w:rPr>
        <w:instrText xml:space="preserve"> PAGEREF _Toc27732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"_Toc8996" </w:instrText>
      </w:r>
      <w:r>
        <w:fldChar w:fldCharType="separate"/>
      </w:r>
      <w:r>
        <w:rPr>
          <w:rFonts w:hint="eastAsia"/>
          <w:i w:val="0"/>
          <w:iCs w:val="0"/>
          <w:sz w:val="20"/>
          <w:szCs w:val="20"/>
        </w:rPr>
        <w:t>四、 商务要求</w:t>
      </w:r>
      <w:r>
        <w:rPr>
          <w:i w:val="0"/>
          <w:iCs w:val="0"/>
          <w:sz w:val="20"/>
          <w:szCs w:val="20"/>
        </w:rPr>
        <w:tab/>
      </w:r>
      <w:r>
        <w:rPr>
          <w:i w:val="0"/>
          <w:iCs w:val="0"/>
          <w:sz w:val="20"/>
          <w:szCs w:val="20"/>
        </w:rPr>
        <w:fldChar w:fldCharType="begin"/>
      </w:r>
      <w:r>
        <w:rPr>
          <w:i w:val="0"/>
          <w:iCs w:val="0"/>
          <w:sz w:val="20"/>
          <w:szCs w:val="20"/>
        </w:rPr>
        <w:instrText xml:space="preserve"> PAGEREF _Toc8996 \h </w:instrText>
      </w:r>
      <w:r>
        <w:rPr>
          <w:i w:val="0"/>
          <w:iCs w:val="0"/>
          <w:sz w:val="20"/>
          <w:szCs w:val="20"/>
        </w:rPr>
        <w:fldChar w:fldCharType="separate"/>
      </w:r>
      <w:r>
        <w:rPr>
          <w:i w:val="0"/>
          <w:iCs w:val="0"/>
          <w:sz w:val="20"/>
          <w:szCs w:val="20"/>
        </w:rPr>
        <w:t>10</w:t>
      </w:r>
      <w:r>
        <w:rPr>
          <w:i w:val="0"/>
          <w:iCs w:val="0"/>
          <w:sz w:val="20"/>
          <w:szCs w:val="20"/>
        </w:rPr>
        <w:fldChar w:fldCharType="end"/>
      </w:r>
      <w:r>
        <w:rPr>
          <w:i w:val="0"/>
          <w:iCs w:val="0"/>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"_Toc2525" </w:instrText>
      </w:r>
      <w:r>
        <w:fldChar w:fldCharType="separate"/>
      </w:r>
      <w:r>
        <w:rPr>
          <w:rFonts w:hint="eastAsia"/>
          <w:b/>
          <w:bCs/>
          <w:sz w:val="20"/>
          <w:szCs w:val="20"/>
        </w:rPr>
        <w:t>第三章 定价方式、合同类型和风险管理措施</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_Toc2525 \h </w:instrText>
      </w:r>
      <w:r>
        <w:rPr>
          <w:rFonts w:hint="eastAsia"/>
          <w:b/>
          <w:bCs/>
          <w:sz w:val="20"/>
          <w:szCs w:val="20"/>
        </w:rPr>
        <w:fldChar w:fldCharType="separate"/>
      </w:r>
      <w:r>
        <w:rPr>
          <w:rFonts w:hint="eastAsia"/>
          <w:b/>
          <w:bCs/>
          <w:sz w:val="20"/>
          <w:szCs w:val="20"/>
        </w:rPr>
        <w:t>12</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"_Toc27621" </w:instrText>
      </w:r>
      <w:r>
        <w:fldChar w:fldCharType="separate"/>
      </w:r>
      <w:r>
        <w:rPr>
          <w:rFonts w:hint="eastAsia"/>
          <w:i w:val="0"/>
          <w:iCs w:val="0"/>
          <w:smallCaps/>
          <w:sz w:val="20"/>
          <w:szCs w:val="20"/>
        </w:rPr>
        <w:t>一、 定价方式</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_Toc27621 \h </w:instrText>
      </w:r>
      <w:r>
        <w:rPr>
          <w:i w:val="0"/>
          <w:iCs w:val="0"/>
          <w:smallCaps/>
          <w:sz w:val="20"/>
          <w:szCs w:val="20"/>
        </w:rPr>
        <w:fldChar w:fldCharType="separate"/>
      </w:r>
      <w:r>
        <w:rPr>
          <w:i w:val="0"/>
          <w:iCs w:val="0"/>
          <w:smallCaps/>
          <w:sz w:val="20"/>
          <w:szCs w:val="20"/>
        </w:rPr>
        <w:t>12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"_Toc7208" </w:instrText>
      </w:r>
      <w:r>
        <w:fldChar w:fldCharType="separate"/>
      </w:r>
      <w:r>
        <w:rPr>
          <w:rFonts w:hint="eastAsia"/>
          <w:i w:val="0"/>
          <w:iCs w:val="0"/>
          <w:smallCaps/>
          <w:sz w:val="20"/>
          <w:szCs w:val="20"/>
        </w:rPr>
        <w:t>二、 合同类型</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_Toc7208 \h </w:instrText>
      </w:r>
      <w:r>
        <w:rPr>
          <w:i w:val="0"/>
          <w:iCs w:val="0"/>
          <w:smallCaps/>
          <w:sz w:val="20"/>
          <w:szCs w:val="20"/>
        </w:rPr>
        <w:fldChar w:fldCharType="separate"/>
      </w:r>
      <w:r>
        <w:rPr>
          <w:i w:val="0"/>
          <w:iCs w:val="0"/>
          <w:smallCaps/>
          <w:sz w:val="20"/>
          <w:szCs w:val="20"/>
        </w:rPr>
        <w:t>12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"_Toc32122" </w:instrText>
      </w:r>
      <w:r>
        <w:fldChar w:fldCharType="separate"/>
      </w:r>
      <w:r>
        <w:rPr>
          <w:rFonts w:hint="eastAsia"/>
          <w:i w:val="0"/>
          <w:iCs w:val="0"/>
          <w:smallCaps/>
          <w:sz w:val="20"/>
          <w:szCs w:val="20"/>
        </w:rPr>
        <w:t>三、 风险管理措施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_Toc32122 \h </w:instrText>
      </w:r>
      <w:r>
        <w:rPr>
          <w:i w:val="0"/>
          <w:iCs w:val="0"/>
          <w:smallCaps/>
          <w:sz w:val="20"/>
          <w:szCs w:val="20"/>
        </w:rPr>
        <w:fldChar w:fldCharType="separate"/>
      </w:r>
      <w:r>
        <w:rPr>
          <w:i w:val="0"/>
          <w:iCs w:val="0"/>
          <w:smallCaps/>
          <w:sz w:val="20"/>
          <w:szCs w:val="20"/>
        </w:rPr>
        <w:t>12</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"_Toc25501" </w:instrText>
      </w:r>
      <w:r>
        <w:fldChar w:fldCharType="separate"/>
      </w:r>
      <w:r>
        <w:rPr>
          <w:rFonts w:hint="eastAsia"/>
          <w:b/>
          <w:bCs/>
          <w:sz w:val="20"/>
          <w:szCs w:val="20"/>
        </w:rPr>
        <w:t>第四章 资格审查和评标方法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_Toc25501 \h </w:instrText>
      </w:r>
      <w:r>
        <w:rPr>
          <w:rFonts w:hint="eastAsia"/>
          <w:b/>
          <w:bCs/>
          <w:sz w:val="20"/>
          <w:szCs w:val="20"/>
        </w:rPr>
        <w:fldChar w:fldCharType="separate"/>
      </w:r>
      <w:r>
        <w:rPr>
          <w:rFonts w:hint="eastAsia"/>
          <w:b/>
          <w:bCs/>
          <w:sz w:val="20"/>
          <w:szCs w:val="20"/>
        </w:rPr>
        <w:t>13</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"_Toc12702" </w:instrText>
      </w:r>
      <w:r>
        <w:fldChar w:fldCharType="separate"/>
      </w:r>
      <w:r>
        <w:rPr>
          <w:rFonts w:hint="eastAsia"/>
          <w:i w:val="0"/>
          <w:iCs w:val="0"/>
          <w:smallCaps/>
          <w:sz w:val="20"/>
          <w:szCs w:val="20"/>
        </w:rPr>
        <w:t>前附表（一）</w:t>
      </w:r>
      <w:r>
        <w:rPr>
          <w:i w:val="0"/>
          <w:iCs w:val="0"/>
          <w:smallCaps/>
          <w:sz w:val="20"/>
          <w:szCs w:val="20"/>
        </w:rPr>
        <w:t>资格审查表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_Toc12702 \h </w:instrText>
      </w:r>
      <w:r>
        <w:rPr>
          <w:i w:val="0"/>
          <w:iCs w:val="0"/>
          <w:smallCaps/>
          <w:sz w:val="20"/>
          <w:szCs w:val="20"/>
        </w:rPr>
        <w:fldChar w:fldCharType="separate"/>
      </w:r>
      <w:r>
        <w:rPr>
          <w:i w:val="0"/>
          <w:iCs w:val="0"/>
          <w:smallCaps/>
          <w:sz w:val="20"/>
          <w:szCs w:val="20"/>
        </w:rPr>
        <w:t>13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"_Toc10832" </w:instrText>
      </w:r>
      <w:r>
        <w:fldChar w:fldCharType="separate"/>
      </w:r>
      <w:r>
        <w:rPr>
          <w:rFonts w:hint="eastAsia"/>
          <w:i w:val="0"/>
          <w:iCs w:val="0"/>
          <w:smallCaps/>
          <w:sz w:val="20"/>
          <w:szCs w:val="20"/>
        </w:rPr>
        <w:t>前附表（二）符合性审查表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_Toc10832 \h </w:instrText>
      </w:r>
      <w:r>
        <w:rPr>
          <w:i w:val="0"/>
          <w:iCs w:val="0"/>
          <w:smallCaps/>
          <w:sz w:val="20"/>
          <w:szCs w:val="20"/>
        </w:rPr>
        <w:fldChar w:fldCharType="separate"/>
      </w:r>
      <w:r>
        <w:rPr>
          <w:i w:val="0"/>
          <w:iCs w:val="0"/>
          <w:smallCaps/>
          <w:sz w:val="20"/>
          <w:szCs w:val="20"/>
        </w:rPr>
        <w:t>14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"_Toc11333" </w:instrText>
      </w:r>
      <w:r>
        <w:fldChar w:fldCharType="separate"/>
      </w:r>
      <w:r>
        <w:rPr>
          <w:rFonts w:hint="eastAsia"/>
          <w:i w:val="0"/>
          <w:iCs w:val="0"/>
          <w:smallCaps/>
          <w:sz w:val="20"/>
          <w:szCs w:val="20"/>
        </w:rPr>
        <w:t>前附表（三）综合评分法评分因素和权重分值表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_Toc11333 \h </w:instrText>
      </w:r>
      <w:r>
        <w:rPr>
          <w:i w:val="0"/>
          <w:iCs w:val="0"/>
          <w:smallCaps/>
          <w:sz w:val="20"/>
          <w:szCs w:val="20"/>
        </w:rPr>
        <w:fldChar w:fldCharType="separate"/>
      </w:r>
      <w:r>
        <w:rPr>
          <w:i w:val="0"/>
          <w:iCs w:val="0"/>
          <w:smallCaps/>
          <w:sz w:val="20"/>
          <w:szCs w:val="20"/>
        </w:rPr>
        <w:t>15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"_Toc26041" </w:instrText>
      </w:r>
      <w:r>
        <w:fldChar w:fldCharType="separate"/>
      </w:r>
      <w:r>
        <w:rPr>
          <w:rFonts w:hint="eastAsia"/>
          <w:i w:val="0"/>
          <w:iCs w:val="0"/>
          <w:smallCaps/>
          <w:sz w:val="20"/>
          <w:szCs w:val="20"/>
        </w:rPr>
        <w:t>前附表（四）</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_Toc26041 \h </w:instrText>
      </w:r>
      <w:r>
        <w:rPr>
          <w:i w:val="0"/>
          <w:iCs w:val="0"/>
          <w:smallCaps/>
          <w:sz w:val="20"/>
          <w:szCs w:val="20"/>
        </w:rPr>
        <w:fldChar w:fldCharType="separate"/>
      </w:r>
      <w:r>
        <w:rPr>
          <w:i w:val="0"/>
          <w:iCs w:val="0"/>
          <w:smallCaps/>
          <w:sz w:val="20"/>
          <w:szCs w:val="20"/>
        </w:rPr>
        <w:t>18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"_Toc12567" </w:instrText>
      </w:r>
      <w:r>
        <w:fldChar w:fldCharType="separate"/>
      </w:r>
      <w:r>
        <w:rPr>
          <w:rFonts w:hint="eastAsia"/>
          <w:i w:val="0"/>
          <w:iCs w:val="0"/>
          <w:smallCaps/>
          <w:sz w:val="20"/>
          <w:szCs w:val="20"/>
        </w:rPr>
        <w:t>1.资格审查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_Toc12567 \h </w:instrText>
      </w:r>
      <w:r>
        <w:rPr>
          <w:i w:val="0"/>
          <w:iCs w:val="0"/>
          <w:smallCaps/>
          <w:sz w:val="20"/>
          <w:szCs w:val="20"/>
        </w:rPr>
        <w:fldChar w:fldCharType="separate"/>
      </w:r>
      <w:r>
        <w:rPr>
          <w:i w:val="0"/>
          <w:iCs w:val="0"/>
          <w:smallCaps/>
          <w:sz w:val="20"/>
          <w:szCs w:val="20"/>
        </w:rPr>
        <w:t>18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"_Toc1724" </w:instrText>
      </w:r>
      <w:r>
        <w:fldChar w:fldCharType="separate"/>
      </w:r>
      <w:r>
        <w:rPr>
          <w:rFonts w:hint="eastAsia"/>
          <w:i w:val="0"/>
          <w:iCs w:val="0"/>
          <w:smallCaps/>
          <w:sz w:val="20"/>
          <w:szCs w:val="20"/>
        </w:rPr>
        <w:t>2.评标方法</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_Toc1724 \h </w:instrText>
      </w:r>
      <w:r>
        <w:rPr>
          <w:i w:val="0"/>
          <w:iCs w:val="0"/>
          <w:smallCaps/>
          <w:sz w:val="20"/>
          <w:szCs w:val="20"/>
        </w:rPr>
        <w:fldChar w:fldCharType="separate"/>
      </w:r>
      <w:r>
        <w:rPr>
          <w:i w:val="0"/>
          <w:iCs w:val="0"/>
          <w:smallCaps/>
          <w:sz w:val="20"/>
          <w:szCs w:val="20"/>
        </w:rPr>
        <w:t>18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"_Toc16831" </w:instrText>
      </w:r>
      <w:r>
        <w:fldChar w:fldCharType="separate"/>
      </w:r>
      <w:r>
        <w:rPr>
          <w:rFonts w:hint="eastAsia"/>
          <w:i w:val="0"/>
          <w:iCs w:val="0"/>
          <w:smallCaps/>
          <w:sz w:val="20"/>
          <w:szCs w:val="20"/>
        </w:rPr>
        <w:t>3.符合性审查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_Toc16831 \h </w:instrText>
      </w:r>
      <w:r>
        <w:rPr>
          <w:i w:val="0"/>
          <w:iCs w:val="0"/>
          <w:smallCaps/>
          <w:sz w:val="20"/>
          <w:szCs w:val="20"/>
        </w:rPr>
        <w:fldChar w:fldCharType="separate"/>
      </w:r>
      <w:r>
        <w:rPr>
          <w:i w:val="0"/>
          <w:iCs w:val="0"/>
          <w:smallCaps/>
          <w:sz w:val="20"/>
          <w:szCs w:val="20"/>
        </w:rPr>
        <w:t>19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"_Toc29518" </w:instrText>
      </w:r>
      <w:r>
        <w:fldChar w:fldCharType="separate"/>
      </w:r>
      <w:r>
        <w:rPr>
          <w:rFonts w:hint="eastAsia"/>
          <w:i w:val="0"/>
          <w:iCs w:val="0"/>
          <w:smallCaps/>
          <w:sz w:val="20"/>
          <w:szCs w:val="20"/>
        </w:rPr>
        <w:t>4.比较与评价</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_Toc29518 \h </w:instrText>
      </w:r>
      <w:r>
        <w:rPr>
          <w:i w:val="0"/>
          <w:iCs w:val="0"/>
          <w:smallCaps/>
          <w:sz w:val="20"/>
          <w:szCs w:val="20"/>
        </w:rPr>
        <w:fldChar w:fldCharType="separate"/>
      </w:r>
      <w:r>
        <w:rPr>
          <w:i w:val="0"/>
          <w:iCs w:val="0"/>
          <w:smallCaps/>
          <w:sz w:val="20"/>
          <w:szCs w:val="20"/>
        </w:rPr>
        <w:t>19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"_Toc13196" </w:instrText>
      </w:r>
      <w:r>
        <w:fldChar w:fldCharType="separate"/>
      </w:r>
      <w:r>
        <w:rPr>
          <w:rFonts w:hint="eastAsia"/>
          <w:i w:val="0"/>
          <w:iCs w:val="0"/>
          <w:smallCaps/>
          <w:sz w:val="20"/>
          <w:szCs w:val="20"/>
        </w:rPr>
        <w:t>5.编写评标报告</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_Toc13196 \h </w:instrText>
      </w:r>
      <w:r>
        <w:rPr>
          <w:i w:val="0"/>
          <w:iCs w:val="0"/>
          <w:smallCaps/>
          <w:sz w:val="20"/>
          <w:szCs w:val="20"/>
        </w:rPr>
        <w:fldChar w:fldCharType="separate"/>
      </w:r>
      <w:r>
        <w:rPr>
          <w:i w:val="0"/>
          <w:iCs w:val="0"/>
          <w:smallCaps/>
          <w:sz w:val="20"/>
          <w:szCs w:val="20"/>
        </w:rPr>
        <w:t>19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"_Toc15875" </w:instrText>
      </w:r>
      <w:r>
        <w:fldChar w:fldCharType="separate"/>
      </w:r>
      <w:r>
        <w:rPr>
          <w:rFonts w:hint="eastAsia"/>
          <w:i w:val="0"/>
          <w:iCs w:val="0"/>
          <w:smallCaps/>
          <w:sz w:val="20"/>
          <w:szCs w:val="20"/>
        </w:rPr>
        <w:t>6.评标委员会对招标失败的论证意见</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_Toc15875 \h </w:instrText>
      </w:r>
      <w:r>
        <w:rPr>
          <w:i w:val="0"/>
          <w:iCs w:val="0"/>
          <w:smallCaps/>
          <w:sz w:val="20"/>
          <w:szCs w:val="20"/>
        </w:rPr>
        <w:fldChar w:fldCharType="separate"/>
      </w:r>
      <w:r>
        <w:rPr>
          <w:i w:val="0"/>
          <w:iCs w:val="0"/>
          <w:smallCaps/>
          <w:sz w:val="20"/>
          <w:szCs w:val="20"/>
        </w:rPr>
        <w:t>20</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"_Toc7991" </w:instrText>
      </w:r>
      <w:r>
        <w:fldChar w:fldCharType="separate"/>
      </w:r>
      <w:r>
        <w:rPr>
          <w:rFonts w:hint="eastAsia"/>
          <w:b/>
          <w:bCs/>
          <w:sz w:val="20"/>
          <w:szCs w:val="20"/>
        </w:rPr>
        <w:t>第五章 合同文本</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_Toc7991 \h </w:instrText>
      </w:r>
      <w:r>
        <w:rPr>
          <w:rFonts w:hint="eastAsia"/>
          <w:b/>
          <w:bCs/>
          <w:sz w:val="20"/>
          <w:szCs w:val="20"/>
        </w:rPr>
        <w:fldChar w:fldCharType="separate"/>
      </w:r>
      <w:r>
        <w:rPr>
          <w:rFonts w:hint="eastAsia"/>
          <w:b/>
          <w:bCs/>
          <w:sz w:val="20"/>
          <w:szCs w:val="20"/>
        </w:rPr>
        <w:t>21</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"_Toc4933" </w:instrText>
      </w:r>
      <w:r>
        <w:fldChar w:fldCharType="separate"/>
      </w:r>
      <w:r>
        <w:rPr>
          <w:rFonts w:hint="eastAsia"/>
          <w:b/>
          <w:bCs/>
          <w:sz w:val="20"/>
          <w:szCs w:val="20"/>
        </w:rPr>
        <w:t>第六章 投标资料表</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_Toc4933 \h </w:instrText>
      </w:r>
      <w:r>
        <w:rPr>
          <w:rFonts w:hint="eastAsia"/>
          <w:b/>
          <w:bCs/>
          <w:sz w:val="20"/>
          <w:szCs w:val="20"/>
        </w:rPr>
        <w:fldChar w:fldCharType="separate"/>
      </w:r>
      <w:r>
        <w:rPr>
          <w:rFonts w:hint="eastAsia"/>
          <w:b/>
          <w:bCs/>
          <w:sz w:val="20"/>
          <w:szCs w:val="20"/>
        </w:rPr>
        <w:t>35</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"_Toc25551" </w:instrText>
      </w:r>
      <w:r>
        <w:fldChar w:fldCharType="separate"/>
      </w:r>
      <w:r>
        <w:rPr>
          <w:rFonts w:hint="eastAsia"/>
          <w:b/>
          <w:bCs/>
          <w:sz w:val="20"/>
          <w:szCs w:val="20"/>
        </w:rPr>
        <w:t>第七章 投标文件格式</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_Toc25551 \h </w:instrText>
      </w:r>
      <w:r>
        <w:rPr>
          <w:rFonts w:hint="eastAsia"/>
          <w:b/>
          <w:bCs/>
          <w:sz w:val="20"/>
          <w:szCs w:val="20"/>
        </w:rPr>
        <w:fldChar w:fldCharType="separate"/>
      </w:r>
      <w:r>
        <w:rPr>
          <w:rFonts w:hint="eastAsia"/>
          <w:b/>
          <w:bCs/>
          <w:sz w:val="20"/>
          <w:szCs w:val="20"/>
        </w:rPr>
        <w:t>36</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"_Toc20740" </w:instrText>
      </w:r>
      <w:r>
        <w:fldChar w:fldCharType="separate"/>
      </w:r>
      <w:r>
        <w:rPr>
          <w:rFonts w:hint="eastAsia"/>
          <w:i w:val="0"/>
          <w:iCs w:val="0"/>
          <w:smallCaps/>
          <w:sz w:val="20"/>
          <w:szCs w:val="20"/>
        </w:rPr>
        <w:t>投标文件编制说明</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_Toc20740 \h </w:instrText>
      </w:r>
      <w:r>
        <w:rPr>
          <w:i w:val="0"/>
          <w:iCs w:val="0"/>
          <w:smallCaps/>
          <w:sz w:val="20"/>
          <w:szCs w:val="20"/>
        </w:rPr>
        <w:fldChar w:fldCharType="separate"/>
      </w:r>
      <w:r>
        <w:rPr>
          <w:i w:val="0"/>
          <w:iCs w:val="0"/>
          <w:smallCaps/>
          <w:sz w:val="20"/>
          <w:szCs w:val="20"/>
        </w:rPr>
        <w:t>36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"_Toc32283" </w:instrText>
      </w:r>
      <w:r>
        <w:fldChar w:fldCharType="separate"/>
      </w:r>
      <w:r>
        <w:rPr>
          <w:rFonts w:hint="eastAsia"/>
          <w:i w:val="0"/>
          <w:iCs w:val="0"/>
          <w:smallCaps/>
          <w:sz w:val="20"/>
          <w:szCs w:val="20"/>
        </w:rPr>
        <w:t>格式1：投标函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_Toc32283 \h </w:instrText>
      </w:r>
      <w:r>
        <w:rPr>
          <w:i w:val="0"/>
          <w:iCs w:val="0"/>
          <w:smallCaps/>
          <w:sz w:val="20"/>
          <w:szCs w:val="20"/>
        </w:rPr>
        <w:fldChar w:fldCharType="separate"/>
      </w:r>
      <w:r>
        <w:rPr>
          <w:i w:val="0"/>
          <w:iCs w:val="0"/>
          <w:smallCaps/>
          <w:sz w:val="20"/>
          <w:szCs w:val="20"/>
        </w:rPr>
        <w:t>42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"_Toc9501" </w:instrText>
      </w:r>
      <w:r>
        <w:fldChar w:fldCharType="separate"/>
      </w:r>
      <w:r>
        <w:rPr>
          <w:rFonts w:hint="eastAsia"/>
          <w:i w:val="0"/>
          <w:iCs w:val="0"/>
          <w:smallCaps/>
          <w:sz w:val="20"/>
          <w:szCs w:val="20"/>
        </w:rPr>
        <w:t>格式2：法定代表人（单位负责人）证明书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_Toc9501 \h </w:instrText>
      </w:r>
      <w:r>
        <w:rPr>
          <w:i w:val="0"/>
          <w:iCs w:val="0"/>
          <w:smallCaps/>
          <w:sz w:val="20"/>
          <w:szCs w:val="20"/>
        </w:rPr>
        <w:fldChar w:fldCharType="separate"/>
      </w:r>
      <w:r>
        <w:rPr>
          <w:i w:val="0"/>
          <w:iCs w:val="0"/>
          <w:smallCaps/>
          <w:sz w:val="20"/>
          <w:szCs w:val="20"/>
        </w:rPr>
        <w:t>43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"_Toc16372" </w:instrText>
      </w:r>
      <w:r>
        <w:fldChar w:fldCharType="separate"/>
      </w:r>
      <w:r>
        <w:rPr>
          <w:rFonts w:hint="eastAsia"/>
          <w:i w:val="0"/>
          <w:iCs w:val="0"/>
          <w:smallCaps/>
          <w:sz w:val="20"/>
          <w:szCs w:val="20"/>
        </w:rPr>
        <w:t>格式3：授权委托书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_Toc16372 \h </w:instrText>
      </w:r>
      <w:r>
        <w:rPr>
          <w:i w:val="0"/>
          <w:iCs w:val="0"/>
          <w:smallCaps/>
          <w:sz w:val="20"/>
          <w:szCs w:val="20"/>
        </w:rPr>
        <w:fldChar w:fldCharType="separate"/>
      </w:r>
      <w:r>
        <w:rPr>
          <w:i w:val="0"/>
          <w:iCs w:val="0"/>
          <w:smallCaps/>
          <w:sz w:val="20"/>
          <w:szCs w:val="20"/>
        </w:rPr>
        <w:t>44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"_Toc12237" </w:instrText>
      </w:r>
      <w:r>
        <w:fldChar w:fldCharType="separate"/>
      </w:r>
      <w:r>
        <w:rPr>
          <w:rFonts w:hint="eastAsia"/>
          <w:i w:val="0"/>
          <w:iCs w:val="0"/>
          <w:smallCaps/>
          <w:sz w:val="20"/>
          <w:szCs w:val="20"/>
        </w:rPr>
        <w:t>格式4：资格条款偏离表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_Toc12237 \h </w:instrText>
      </w:r>
      <w:r>
        <w:rPr>
          <w:i w:val="0"/>
          <w:iCs w:val="0"/>
          <w:smallCaps/>
          <w:sz w:val="20"/>
          <w:szCs w:val="20"/>
        </w:rPr>
        <w:fldChar w:fldCharType="separate"/>
      </w:r>
      <w:r>
        <w:rPr>
          <w:i w:val="0"/>
          <w:iCs w:val="0"/>
          <w:smallCaps/>
          <w:sz w:val="20"/>
          <w:szCs w:val="20"/>
        </w:rPr>
        <w:t>45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"_Toc3927" </w:instrText>
      </w:r>
      <w:r>
        <w:fldChar w:fldCharType="separate"/>
      </w:r>
      <w:r>
        <w:rPr>
          <w:rFonts w:hint="eastAsia"/>
          <w:i w:val="0"/>
          <w:iCs w:val="0"/>
          <w:smallCaps/>
          <w:sz w:val="20"/>
          <w:szCs w:val="20"/>
        </w:rPr>
        <w:t>格式5：法人或者其他组织的营业执照等证明文件</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_Toc3927 \h </w:instrText>
      </w:r>
      <w:r>
        <w:rPr>
          <w:i w:val="0"/>
          <w:iCs w:val="0"/>
          <w:smallCaps/>
          <w:sz w:val="20"/>
          <w:szCs w:val="20"/>
        </w:rPr>
        <w:fldChar w:fldCharType="separate"/>
      </w:r>
      <w:r>
        <w:rPr>
          <w:i w:val="0"/>
          <w:iCs w:val="0"/>
          <w:smallCaps/>
          <w:sz w:val="20"/>
          <w:szCs w:val="20"/>
        </w:rPr>
        <w:t>47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"_Toc21226" </w:instrText>
      </w:r>
      <w:r>
        <w:fldChar w:fldCharType="separate"/>
      </w:r>
      <w:r>
        <w:rPr>
          <w:rFonts w:hint="eastAsia"/>
          <w:i w:val="0"/>
          <w:iCs w:val="0"/>
          <w:smallCaps/>
          <w:sz w:val="20"/>
          <w:szCs w:val="20"/>
        </w:rPr>
        <w:t>格式6：投标人资格声明函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_Toc21226 \h </w:instrText>
      </w:r>
      <w:r>
        <w:rPr>
          <w:i w:val="0"/>
          <w:iCs w:val="0"/>
          <w:smallCaps/>
          <w:sz w:val="20"/>
          <w:szCs w:val="20"/>
        </w:rPr>
        <w:fldChar w:fldCharType="separate"/>
      </w:r>
      <w:r>
        <w:rPr>
          <w:i w:val="0"/>
          <w:iCs w:val="0"/>
          <w:smallCaps/>
          <w:sz w:val="20"/>
          <w:szCs w:val="20"/>
        </w:rPr>
        <w:t>48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"_Toc21325" </w:instrText>
      </w:r>
      <w:r>
        <w:fldChar w:fldCharType="separate"/>
      </w:r>
      <w:r>
        <w:rPr>
          <w:rFonts w:hint="eastAsia"/>
          <w:i w:val="0"/>
          <w:iCs w:val="0"/>
          <w:smallCaps/>
          <w:sz w:val="20"/>
          <w:szCs w:val="20"/>
        </w:rPr>
        <w:t>格式7：开标一览表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_Toc21325 \h </w:instrText>
      </w:r>
      <w:r>
        <w:rPr>
          <w:i w:val="0"/>
          <w:iCs w:val="0"/>
          <w:smallCaps/>
          <w:sz w:val="20"/>
          <w:szCs w:val="20"/>
        </w:rPr>
        <w:fldChar w:fldCharType="separate"/>
      </w:r>
      <w:r>
        <w:rPr>
          <w:i w:val="0"/>
          <w:iCs w:val="0"/>
          <w:smallCaps/>
          <w:sz w:val="20"/>
          <w:szCs w:val="20"/>
        </w:rPr>
        <w:t>50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"_Toc23484" </w:instrText>
      </w:r>
      <w:r>
        <w:fldChar w:fldCharType="separate"/>
      </w:r>
      <w:r>
        <w:rPr>
          <w:rFonts w:hint="eastAsia"/>
          <w:i w:val="0"/>
          <w:iCs w:val="0"/>
          <w:smallCaps/>
          <w:sz w:val="20"/>
          <w:szCs w:val="20"/>
        </w:rPr>
        <w:t>格式8：投标分项报价表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_Toc23484 \h </w:instrText>
      </w:r>
      <w:r>
        <w:rPr>
          <w:i w:val="0"/>
          <w:iCs w:val="0"/>
          <w:smallCaps/>
          <w:sz w:val="20"/>
          <w:szCs w:val="20"/>
        </w:rPr>
        <w:fldChar w:fldCharType="separate"/>
      </w:r>
      <w:r>
        <w:rPr>
          <w:i w:val="0"/>
          <w:iCs w:val="0"/>
          <w:smallCaps/>
          <w:sz w:val="20"/>
          <w:szCs w:val="20"/>
        </w:rPr>
        <w:t>51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"_Toc9437" </w:instrText>
      </w:r>
      <w:r>
        <w:fldChar w:fldCharType="separate"/>
      </w:r>
      <w:r>
        <w:rPr>
          <w:rFonts w:hint="eastAsia"/>
          <w:i w:val="0"/>
          <w:iCs w:val="0"/>
          <w:smallCaps/>
          <w:sz w:val="20"/>
          <w:szCs w:val="20"/>
        </w:rPr>
        <w:t>格式9：技术规格偏离表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_Toc9437 \h </w:instrText>
      </w:r>
      <w:r>
        <w:rPr>
          <w:i w:val="0"/>
          <w:iCs w:val="0"/>
          <w:smallCaps/>
          <w:sz w:val="20"/>
          <w:szCs w:val="20"/>
        </w:rPr>
        <w:fldChar w:fldCharType="separate"/>
      </w:r>
      <w:r>
        <w:rPr>
          <w:i w:val="0"/>
          <w:iCs w:val="0"/>
          <w:smallCaps/>
          <w:sz w:val="20"/>
          <w:szCs w:val="20"/>
        </w:rPr>
        <w:t>52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"_Toc25758" </w:instrText>
      </w:r>
      <w:r>
        <w:fldChar w:fldCharType="separate"/>
      </w:r>
      <w:r>
        <w:rPr>
          <w:rFonts w:hint="eastAsia"/>
          <w:i w:val="0"/>
          <w:iCs w:val="0"/>
          <w:smallCaps/>
          <w:sz w:val="20"/>
          <w:szCs w:val="20"/>
        </w:rPr>
        <w:t>格式10：技术保障措施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_Toc25758 \h </w:instrText>
      </w:r>
      <w:r>
        <w:rPr>
          <w:i w:val="0"/>
          <w:iCs w:val="0"/>
          <w:smallCaps/>
          <w:sz w:val="20"/>
          <w:szCs w:val="20"/>
        </w:rPr>
        <w:fldChar w:fldCharType="separate"/>
      </w:r>
      <w:r>
        <w:rPr>
          <w:i w:val="0"/>
          <w:iCs w:val="0"/>
          <w:smallCaps/>
          <w:sz w:val="20"/>
          <w:szCs w:val="20"/>
        </w:rPr>
        <w:t>53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"_Toc19609" </w:instrText>
      </w:r>
      <w:r>
        <w:fldChar w:fldCharType="separate"/>
      </w:r>
      <w:r>
        <w:rPr>
          <w:rFonts w:hint="eastAsia"/>
          <w:i w:val="0"/>
          <w:iCs w:val="0"/>
          <w:smallCaps/>
          <w:sz w:val="20"/>
          <w:szCs w:val="20"/>
        </w:rPr>
        <w:t>格式11：售后服务方案</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_Toc19609 \h </w:instrText>
      </w:r>
      <w:r>
        <w:rPr>
          <w:i w:val="0"/>
          <w:iCs w:val="0"/>
          <w:smallCaps/>
          <w:sz w:val="20"/>
          <w:szCs w:val="20"/>
        </w:rPr>
        <w:fldChar w:fldCharType="separate"/>
      </w:r>
      <w:r>
        <w:rPr>
          <w:i w:val="0"/>
          <w:iCs w:val="0"/>
          <w:smallCaps/>
          <w:sz w:val="20"/>
          <w:szCs w:val="20"/>
        </w:rPr>
        <w:t>53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"_Toc29923" </w:instrText>
      </w:r>
      <w:r>
        <w:fldChar w:fldCharType="separate"/>
      </w:r>
      <w:r>
        <w:rPr>
          <w:rFonts w:hint="eastAsia"/>
          <w:i w:val="0"/>
          <w:iCs w:val="0"/>
          <w:smallCaps/>
          <w:sz w:val="20"/>
          <w:szCs w:val="20"/>
        </w:rPr>
        <w:t>格式12：商务条款偏离表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_Toc29923 \h </w:instrText>
      </w:r>
      <w:r>
        <w:rPr>
          <w:i w:val="0"/>
          <w:iCs w:val="0"/>
          <w:smallCaps/>
          <w:sz w:val="20"/>
          <w:szCs w:val="20"/>
        </w:rPr>
        <w:fldChar w:fldCharType="separate"/>
      </w:r>
      <w:r>
        <w:rPr>
          <w:i w:val="0"/>
          <w:iCs w:val="0"/>
          <w:smallCaps/>
          <w:sz w:val="20"/>
          <w:szCs w:val="20"/>
        </w:rPr>
        <w:t>54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"_Toc6533" </w:instrText>
      </w:r>
      <w:r>
        <w:fldChar w:fldCharType="separate"/>
      </w:r>
      <w:r>
        <w:rPr>
          <w:rFonts w:hint="eastAsia"/>
          <w:i w:val="0"/>
          <w:iCs w:val="0"/>
          <w:smallCaps/>
          <w:sz w:val="20"/>
          <w:szCs w:val="20"/>
        </w:rPr>
        <w:t>格式13：投标人综合概况简表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_Toc6533 \h </w:instrText>
      </w:r>
      <w:r>
        <w:rPr>
          <w:i w:val="0"/>
          <w:iCs w:val="0"/>
          <w:smallCaps/>
          <w:sz w:val="20"/>
          <w:szCs w:val="20"/>
        </w:rPr>
        <w:fldChar w:fldCharType="separate"/>
      </w:r>
      <w:r>
        <w:rPr>
          <w:i w:val="0"/>
          <w:iCs w:val="0"/>
          <w:smallCaps/>
          <w:sz w:val="20"/>
          <w:szCs w:val="20"/>
        </w:rPr>
        <w:t>55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"_Toc22664" </w:instrText>
      </w:r>
      <w:r>
        <w:fldChar w:fldCharType="separate"/>
      </w:r>
      <w:r>
        <w:rPr>
          <w:rFonts w:hint="eastAsia"/>
          <w:i w:val="0"/>
          <w:iCs w:val="0"/>
          <w:smallCaps/>
          <w:sz w:val="20"/>
          <w:szCs w:val="20"/>
        </w:rPr>
        <w:t>格式14：企业类型声明函（可选）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_Toc22664 \h </w:instrText>
      </w:r>
      <w:r>
        <w:rPr>
          <w:i w:val="0"/>
          <w:iCs w:val="0"/>
          <w:smallCaps/>
          <w:sz w:val="20"/>
          <w:szCs w:val="20"/>
        </w:rPr>
        <w:fldChar w:fldCharType="separate"/>
      </w:r>
      <w:r>
        <w:rPr>
          <w:i w:val="0"/>
          <w:iCs w:val="0"/>
          <w:smallCaps/>
          <w:sz w:val="20"/>
          <w:szCs w:val="20"/>
        </w:rPr>
        <w:t>56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"_Toc17528" </w:instrText>
      </w:r>
      <w:r>
        <w:fldChar w:fldCharType="separate"/>
      </w:r>
      <w:r>
        <w:rPr>
          <w:rFonts w:hint="eastAsia"/>
          <w:i w:val="0"/>
          <w:iCs w:val="0"/>
          <w:smallCaps/>
          <w:sz w:val="20"/>
          <w:szCs w:val="20"/>
        </w:rPr>
        <w:t>格式15：残疾人福利性单位声明函（可选）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_Toc17528 \h </w:instrText>
      </w:r>
      <w:r>
        <w:rPr>
          <w:i w:val="0"/>
          <w:iCs w:val="0"/>
          <w:smallCaps/>
          <w:sz w:val="20"/>
          <w:szCs w:val="20"/>
        </w:rPr>
        <w:fldChar w:fldCharType="separate"/>
      </w:r>
      <w:r>
        <w:rPr>
          <w:i w:val="0"/>
          <w:iCs w:val="0"/>
          <w:smallCaps/>
          <w:sz w:val="20"/>
          <w:szCs w:val="20"/>
        </w:rPr>
        <w:t>59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"_Toc14001" </w:instrText>
      </w:r>
      <w:r>
        <w:fldChar w:fldCharType="separate"/>
      </w:r>
      <w:r>
        <w:rPr>
          <w:rFonts w:hint="eastAsia"/>
          <w:i w:val="0"/>
          <w:iCs w:val="0"/>
          <w:smallCaps/>
          <w:sz w:val="20"/>
          <w:szCs w:val="20"/>
        </w:rPr>
        <w:t>格式16：同类项目业绩情况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_Toc14001 \h </w:instrText>
      </w:r>
      <w:r>
        <w:rPr>
          <w:i w:val="0"/>
          <w:iCs w:val="0"/>
          <w:smallCaps/>
          <w:sz w:val="20"/>
          <w:szCs w:val="20"/>
        </w:rPr>
        <w:fldChar w:fldCharType="separate"/>
      </w:r>
      <w:r>
        <w:rPr>
          <w:i w:val="0"/>
          <w:iCs w:val="0"/>
          <w:smallCaps/>
          <w:sz w:val="20"/>
          <w:szCs w:val="20"/>
        </w:rPr>
        <w:t>60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"_Toc27416" </w:instrText>
      </w:r>
      <w:r>
        <w:fldChar w:fldCharType="separate"/>
      </w:r>
      <w:r>
        <w:rPr>
          <w:rFonts w:hint="eastAsia"/>
          <w:i w:val="0"/>
          <w:iCs w:val="0"/>
          <w:smallCaps/>
          <w:sz w:val="20"/>
          <w:szCs w:val="20"/>
        </w:rPr>
        <w:t>格式17：相关认证情况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_Toc27416 \h </w:instrText>
      </w:r>
      <w:r>
        <w:rPr>
          <w:i w:val="0"/>
          <w:iCs w:val="0"/>
          <w:smallCaps/>
          <w:sz w:val="20"/>
          <w:szCs w:val="20"/>
        </w:rPr>
        <w:fldChar w:fldCharType="separate"/>
      </w:r>
      <w:r>
        <w:rPr>
          <w:i w:val="0"/>
          <w:iCs w:val="0"/>
          <w:smallCaps/>
          <w:sz w:val="20"/>
          <w:szCs w:val="20"/>
        </w:rPr>
        <w:t>61</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"_Toc25882" </w:instrText>
      </w:r>
      <w:r>
        <w:fldChar w:fldCharType="separate"/>
      </w:r>
      <w:r>
        <w:rPr>
          <w:rFonts w:hint="eastAsia" w:ascii="黑体" w:hAnsi="黑体" w:eastAsia="黑体" w:cs="黑体"/>
          <w:b/>
          <w:bCs/>
          <w:sz w:val="20"/>
          <w:szCs w:val="20"/>
        </w:rPr>
        <w:t>招标文件第二册（通用部分）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_Toc25882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62</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"_Toc18466" </w:instrText>
      </w:r>
      <w:r>
        <w:fldChar w:fldCharType="separate"/>
      </w:r>
      <w:r>
        <w:rPr>
          <w:rFonts w:hint="eastAsia"/>
          <w:b/>
          <w:bCs/>
          <w:sz w:val="20"/>
          <w:szCs w:val="20"/>
        </w:rPr>
        <w:t>第一章 总则</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_Toc18466 \h </w:instrText>
      </w:r>
      <w:r>
        <w:rPr>
          <w:rFonts w:hint="eastAsia"/>
          <w:b/>
          <w:bCs/>
          <w:sz w:val="20"/>
          <w:szCs w:val="20"/>
        </w:rPr>
        <w:fldChar w:fldCharType="separate"/>
      </w:r>
      <w:r>
        <w:rPr>
          <w:rFonts w:hint="eastAsia"/>
          <w:b/>
          <w:bCs/>
          <w:sz w:val="20"/>
          <w:szCs w:val="20"/>
        </w:rPr>
        <w:t>62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"_Toc10191" </w:instrText>
      </w:r>
      <w:r>
        <w:fldChar w:fldCharType="separate"/>
      </w:r>
      <w:r>
        <w:rPr>
          <w:rFonts w:hint="eastAsia"/>
          <w:b/>
          <w:bCs/>
          <w:sz w:val="20"/>
          <w:szCs w:val="20"/>
        </w:rPr>
        <w:t>第二章 招标文件</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_Toc10191 \h </w:instrText>
      </w:r>
      <w:r>
        <w:rPr>
          <w:rFonts w:hint="eastAsia"/>
          <w:b/>
          <w:bCs/>
          <w:sz w:val="20"/>
          <w:szCs w:val="20"/>
        </w:rPr>
        <w:fldChar w:fldCharType="separate"/>
      </w:r>
      <w:r>
        <w:rPr>
          <w:rFonts w:hint="eastAsia"/>
          <w:b/>
          <w:bCs/>
          <w:sz w:val="20"/>
          <w:szCs w:val="20"/>
        </w:rPr>
        <w:t>64</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"_Toc15015" </w:instrText>
      </w:r>
      <w:r>
        <w:fldChar w:fldCharType="separate"/>
      </w:r>
      <w:r>
        <w:rPr>
          <w:rFonts w:hint="eastAsia"/>
          <w:b/>
          <w:bCs/>
          <w:sz w:val="20"/>
          <w:szCs w:val="20"/>
        </w:rPr>
        <w:t>第三章 投标文件的编制与递交</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_Toc15015 \h </w:instrText>
      </w:r>
      <w:r>
        <w:rPr>
          <w:rFonts w:hint="eastAsia"/>
          <w:b/>
          <w:bCs/>
          <w:sz w:val="20"/>
          <w:szCs w:val="20"/>
        </w:rPr>
        <w:fldChar w:fldCharType="separate"/>
      </w:r>
      <w:r>
        <w:rPr>
          <w:rFonts w:hint="eastAsia"/>
          <w:b/>
          <w:bCs/>
          <w:sz w:val="20"/>
          <w:szCs w:val="20"/>
        </w:rPr>
        <w:t>66</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"_Toc18415" </w:instrText>
      </w:r>
      <w:r>
        <w:fldChar w:fldCharType="separate"/>
      </w:r>
      <w:r>
        <w:rPr>
          <w:rFonts w:hint="eastAsia"/>
          <w:b/>
          <w:bCs/>
          <w:sz w:val="20"/>
          <w:szCs w:val="20"/>
        </w:rPr>
        <w:t>第四章 开标</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_Toc18415 \h </w:instrText>
      </w:r>
      <w:r>
        <w:rPr>
          <w:rFonts w:hint="eastAsia"/>
          <w:b/>
          <w:bCs/>
          <w:sz w:val="20"/>
          <w:szCs w:val="20"/>
        </w:rPr>
        <w:fldChar w:fldCharType="separate"/>
      </w:r>
      <w:r>
        <w:rPr>
          <w:rFonts w:hint="eastAsia"/>
          <w:b/>
          <w:bCs/>
          <w:sz w:val="20"/>
          <w:szCs w:val="20"/>
        </w:rPr>
        <w:t>70</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"_Toc31833" </w:instrText>
      </w:r>
      <w:r>
        <w:fldChar w:fldCharType="separate"/>
      </w:r>
      <w:r>
        <w:rPr>
          <w:rFonts w:hint="eastAsia"/>
          <w:b/>
          <w:bCs/>
          <w:sz w:val="20"/>
          <w:szCs w:val="20"/>
        </w:rPr>
        <w:t>第五章 评标要求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_Toc31833 \h </w:instrText>
      </w:r>
      <w:r>
        <w:rPr>
          <w:rFonts w:hint="eastAsia"/>
          <w:b/>
          <w:bCs/>
          <w:sz w:val="20"/>
          <w:szCs w:val="20"/>
        </w:rPr>
        <w:fldChar w:fldCharType="separate"/>
      </w:r>
      <w:r>
        <w:rPr>
          <w:rFonts w:hint="eastAsia"/>
          <w:b/>
          <w:bCs/>
          <w:sz w:val="20"/>
          <w:szCs w:val="20"/>
        </w:rPr>
        <w:t>71</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"_Toc329" </w:instrText>
      </w:r>
      <w:r>
        <w:fldChar w:fldCharType="separate"/>
      </w:r>
      <w:r>
        <w:rPr>
          <w:rFonts w:hint="eastAsia"/>
          <w:b/>
          <w:bCs/>
          <w:sz w:val="20"/>
          <w:szCs w:val="20"/>
        </w:rPr>
        <w:t>第六章 评标程序及评标方法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_Toc329 \h </w:instrText>
      </w:r>
      <w:r>
        <w:rPr>
          <w:rFonts w:hint="eastAsia"/>
          <w:b/>
          <w:bCs/>
          <w:sz w:val="20"/>
          <w:szCs w:val="20"/>
        </w:rPr>
        <w:fldChar w:fldCharType="separate"/>
      </w:r>
      <w:r>
        <w:rPr>
          <w:rFonts w:hint="eastAsia"/>
          <w:b/>
          <w:bCs/>
          <w:sz w:val="20"/>
          <w:szCs w:val="20"/>
        </w:rPr>
        <w:t>72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"_Toc10018" </w:instrText>
      </w:r>
      <w:r>
        <w:fldChar w:fldCharType="separate"/>
      </w:r>
      <w:r>
        <w:rPr>
          <w:rFonts w:hint="eastAsia"/>
          <w:b/>
          <w:bCs/>
          <w:sz w:val="20"/>
          <w:szCs w:val="20"/>
        </w:rPr>
        <w:t>第七章 定标及公示</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_Toc10018 \h </w:instrText>
      </w:r>
      <w:r>
        <w:rPr>
          <w:rFonts w:hint="eastAsia"/>
          <w:b/>
          <w:bCs/>
          <w:sz w:val="20"/>
          <w:szCs w:val="20"/>
        </w:rPr>
        <w:fldChar w:fldCharType="separate"/>
      </w:r>
      <w:r>
        <w:rPr>
          <w:rFonts w:hint="eastAsia"/>
          <w:b/>
          <w:bCs/>
          <w:sz w:val="20"/>
          <w:szCs w:val="20"/>
        </w:rPr>
        <w:t>75</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"_Toc1549" </w:instrText>
      </w:r>
      <w:r>
        <w:fldChar w:fldCharType="separate"/>
      </w:r>
      <w:r>
        <w:rPr>
          <w:rFonts w:hint="eastAsia"/>
          <w:b/>
          <w:bCs/>
          <w:sz w:val="20"/>
          <w:szCs w:val="20"/>
        </w:rPr>
        <w:t>第八章 公开招标失败的后续处理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_Toc1549 \h </w:instrText>
      </w:r>
      <w:r>
        <w:rPr>
          <w:rFonts w:hint="eastAsia"/>
          <w:b/>
          <w:bCs/>
          <w:sz w:val="20"/>
          <w:szCs w:val="20"/>
        </w:rPr>
        <w:fldChar w:fldCharType="separate"/>
      </w:r>
      <w:r>
        <w:rPr>
          <w:rFonts w:hint="eastAsia"/>
          <w:b/>
          <w:bCs/>
          <w:sz w:val="20"/>
          <w:szCs w:val="20"/>
        </w:rPr>
        <w:t>76</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"_Toc27804" </w:instrText>
      </w:r>
      <w:r>
        <w:fldChar w:fldCharType="separate"/>
      </w:r>
      <w:r>
        <w:rPr>
          <w:rFonts w:hint="eastAsia"/>
          <w:b/>
          <w:bCs/>
          <w:sz w:val="20"/>
          <w:szCs w:val="20"/>
        </w:rPr>
        <w:t>第九章 合同的授予与备案</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_Toc27804 \h </w:instrText>
      </w:r>
      <w:r>
        <w:rPr>
          <w:rFonts w:hint="eastAsia"/>
          <w:b/>
          <w:bCs/>
          <w:sz w:val="20"/>
          <w:szCs w:val="20"/>
        </w:rPr>
        <w:fldChar w:fldCharType="separate"/>
      </w:r>
      <w:r>
        <w:rPr>
          <w:rFonts w:hint="eastAsia"/>
          <w:b/>
          <w:bCs/>
          <w:sz w:val="20"/>
          <w:szCs w:val="20"/>
        </w:rPr>
        <w:t>79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"_Toc4334" </w:instrText>
      </w:r>
      <w:r>
        <w:fldChar w:fldCharType="separate"/>
      </w:r>
      <w:r>
        <w:rPr>
          <w:rFonts w:hint="eastAsia"/>
          <w:b/>
          <w:bCs/>
          <w:sz w:val="20"/>
          <w:szCs w:val="20"/>
        </w:rPr>
        <w:t>第十章 质疑受理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_Toc4334 \h </w:instrText>
      </w:r>
      <w:r>
        <w:rPr>
          <w:rFonts w:hint="eastAsia"/>
          <w:b/>
          <w:bCs/>
          <w:sz w:val="20"/>
          <w:szCs w:val="20"/>
        </w:rPr>
        <w:fldChar w:fldCharType="separate"/>
      </w:r>
      <w:r>
        <w:rPr>
          <w:rFonts w:hint="eastAsia"/>
          <w:b/>
          <w:bCs/>
          <w:sz w:val="20"/>
          <w:szCs w:val="20"/>
        </w:rPr>
        <w:t>79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"_Toc13862" </w:instrText>
      </w:r>
      <w:r>
        <w:fldChar w:fldCharType="separate"/>
      </w:r>
      <w:r>
        <w:rPr>
          <w:rFonts w:hint="eastAsia"/>
          <w:b/>
          <w:bCs/>
          <w:sz w:val="20"/>
          <w:szCs w:val="20"/>
        </w:rPr>
        <w:t>招标代理服务取费说明</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_Toc13862 \h </w:instrText>
      </w:r>
      <w:r>
        <w:rPr>
          <w:rFonts w:hint="eastAsia"/>
          <w:b/>
          <w:bCs/>
          <w:sz w:val="20"/>
          <w:szCs w:val="20"/>
        </w:rPr>
        <w:fldChar w:fldCharType="separate"/>
      </w:r>
      <w:r>
        <w:rPr>
          <w:rFonts w:hint="eastAsia"/>
          <w:b/>
          <w:bCs/>
          <w:sz w:val="20"/>
          <w:szCs w:val="20"/>
        </w:rPr>
        <w:t>82</w:t>
      </w:r>
      <w:r>
        <w:rPr>
          <w:rFonts w:hint="eastAsia"/>
          <w:b/>
          <w:bCs/>
          <w:sz w:val="20"/>
          <w:szCs w:val="20"/>
        </w:rPr>
        <w:fldChar w:fldCharType="end"/>
      </w:r>
      <w:r>
        <w:rPr>
          <w:rFonts w:hint="eastAsia"/>
          <w:b/>
          <w:bCs/>
          <w:sz w:val="20"/>
          <w:szCs w:val="20"/>
        </w:rPr>
        <w:fldChar w:fldCharType="end"/>
      </w:r>
    </w:p>
    <w:p>
      <w:pPr>
        <w:tabs>
          <w:tab w:val="right" w:leader="dot" w:pos="8820"/>
          <w:tab w:val="right" w:leader="dot" w:pos="9240"/>
          <w:tab w:val="clear" w:pos="426"/>
        </w:tabs>
        <w:spacing w:line="240" w:lineRule="auto"/>
        <w:rPr>
          <w:rFonts w:hint="eastAsia"/>
        </w:rPr>
      </w:pPr>
      <w:r>
        <w:rPr>
          <w:smallCaps/>
        </w:rPr>
        <w:fldChar w:fldCharType="end"/>
      </w:r>
    </w:p>
    <w:p>
      <w:pPr>
        <w:tabs>
          <w:tab w:val="clear" w:pos="426"/>
        </w:tabs>
        <w:spacing w:line="240" w:lineRule="auto"/>
        <w:rPr>
          <w:rFonts w:hint="eastAsia"/>
        </w:rPr>
        <w:sectPr>
          <w:footerReference r:id="rId5" w:type="even"/>
          <w:pgSz w:w="11906" w:h="16838"/>
          <w:pgMar w:top="1134" w:right="1700" w:bottom="1134" w:left="1418" w:header="851" w:footer="992" w:gutter="0"/>
          <w:pgNumType w:start="0"/>
          <w:cols w:space="720" w:num="1"/>
          <w:titlePg/>
          <w:docGrid w:linePitch="462" w:charSpace="0"/>
        </w:sectPr>
      </w:pPr>
    </w:p>
    <w:p>
      <w:pPr>
        <w:pStyle w:val="62"/>
      </w:pPr>
      <w:bookmarkStart w:id="0" w:name="_Toc432592808"/>
      <w:bookmarkStart w:id="1" w:name="_Toc1594"/>
      <w:r>
        <w:rPr>
          <w:rFonts w:hint="eastAsia"/>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项目编号</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SSZX2024-383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项目名称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深圳海关动植物检验检疫技术中心“全自动高通量核酸质谱检测系统”设备采购项目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项目类型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采购方式</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货币类型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预算金额</w:t>
            </w:r>
          </w:p>
        </w:tc>
        <w:tc>
          <w:tcPr>
            <w:tcW w:w="5968"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280.000000万元（人民币贰佰捌拾万元整）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最高限价</w:t>
            </w:r>
          </w:p>
        </w:tc>
        <w:tc>
          <w:tcPr>
            <w:tcW w:w="5968" w:type="dxa"/>
            <w:vAlign w:val="center"/>
          </w:tcPr>
          <w:p>
            <w:pPr>
              <w:tabs>
                <w:tab w:val="clear" w:pos="426"/>
              </w:tabs>
              <w:adjustRightInd/>
              <w:snapToGrid/>
              <w:spacing w:line="320" w:lineRule="exact"/>
              <w:rPr>
                <w:rFonts w:hint="eastAsia"/>
              </w:rPr>
            </w:pPr>
            <w:r>
              <w:rPr>
                <w:rFonts w:hint="eastAsia"/>
              </w:rPr>
              <w:t>280.000000万元（人民币贰佰捌拾万元整）</w:t>
            </w:r>
          </w:p>
          <w:p>
            <w:pPr>
              <w:tabs>
                <w:tab w:val="clear" w:pos="426"/>
              </w:tabs>
              <w:adjustRightInd/>
              <w:snapToGrid/>
              <w:spacing w:line="320" w:lineRule="exact"/>
              <w:rPr>
                <w:rFonts w:hint="eastAsia"/>
              </w:rPr>
            </w:pPr>
            <w:r>
              <w:rPr>
                <w:rFonts w:hint="eastAsia"/>
              </w:rPr>
              <w:t>不符合报价要求的投标文件将做无效处理。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报价要求</w:t>
            </w:r>
          </w:p>
        </w:tc>
        <w:tc>
          <w:tcPr>
            <w:tcW w:w="5968" w:type="dxa"/>
            <w:vAlign w:val="center"/>
          </w:tcPr>
          <w:p>
            <w:pPr>
              <w:tabs>
                <w:tab w:val="clear" w:pos="426"/>
              </w:tabs>
              <w:adjustRightInd/>
              <w:snapToGrid/>
              <w:spacing w:line="320" w:lineRule="exact"/>
              <w:rPr>
                <w:rFonts w:hint="eastAsia"/>
              </w:rPr>
            </w:pPr>
            <w:r>
              <w:rPr>
                <w:rFonts w:hint="eastAsia"/>
              </w:rPr>
              <w:t>1.投标报价以人民币元为计算单位。</w:t>
            </w:r>
          </w:p>
          <w:p>
            <w:pPr>
              <w:tabs>
                <w:tab w:val="clear" w:pos="426"/>
              </w:tabs>
              <w:adjustRightInd/>
              <w:snapToGrid/>
              <w:spacing w:line="320" w:lineRule="exact"/>
              <w:rPr>
                <w:rFonts w:hint="eastAsia"/>
              </w:rPr>
            </w:pPr>
            <w:r>
              <w:rPr>
                <w:rFonts w:hint="eastAsia"/>
              </w:rPr>
              <w:t>2.本项目投标上限金额为本项目预算金额（包含分项预算、总预算金额）。</w:t>
            </w:r>
          </w:p>
          <w:p>
            <w:pPr>
              <w:tabs>
                <w:tab w:val="clear" w:pos="426"/>
              </w:tabs>
              <w:adjustRightInd/>
              <w:snapToGrid/>
              <w:spacing w:line="320" w:lineRule="exact"/>
              <w:rPr>
                <w:rFonts w:hint="eastAsia"/>
              </w:rPr>
            </w:pPr>
            <w:r>
              <w:rPr>
                <w:rFonts w:hint="eastAsia"/>
              </w:rPr>
              <w:t>3投标人报价应包含合同期内所有内容所产生的费用。</w:t>
            </w:r>
          </w:p>
          <w:p>
            <w:pPr>
              <w:tabs>
                <w:tab w:val="clear" w:pos="426"/>
              </w:tabs>
              <w:adjustRightInd/>
              <w:snapToGrid/>
              <w:spacing w:line="320" w:lineRule="exact"/>
              <w:rPr>
                <w:rFonts w:hint="eastAsia"/>
              </w:rPr>
            </w:pPr>
            <w:r>
              <w:rPr>
                <w:rFonts w:hint="eastAsia"/>
              </w:rPr>
              <w:t>4.投标人应充分了解任何其它足以影响投标报价的情况，任何因忽视或误解项目情况而导致的索赔或合同期限延长申请将不获批准。投标人在投标报价时，应充分考虑投标报价的风险。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评定分离</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评标方法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定标方法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投标供应商的替代方案</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single"/>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投标有效期</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90</w:t>
            </w:r>
            <w:r>
              <w:rPr>
                <w:rFonts w:asciiTheme="minorEastAsia" w:hAnsiTheme="minorEastAsia" w:eastAsiaTheme="minorEastAsia"/>
                <w:szCs w:val="21"/>
              </w:rPr>
              <w:t>日历</w:t>
            </w:r>
            <w:r>
              <w:rPr>
                <w:rFonts w:hint="eastAsia" w:asciiTheme="minorEastAsia" w:hAnsiTheme="minorEastAsia" w:eastAsiaTheme="minorEastAsia"/>
                <w:szCs w:val="21"/>
              </w:rPr>
              <w:t>天</w:t>
            </w:r>
            <w:r>
              <w:rPr>
                <w:rFonts w:asciiTheme="minorEastAsia" w:hAnsiTheme="minorEastAsia" w:eastAsiaTheme="minorEastAsia"/>
                <w:szCs w:val="21"/>
              </w:rPr>
              <w:t>（</w:t>
            </w:r>
            <w:r>
              <w:rPr>
                <w:rFonts w:hint="eastAsia" w:asciiTheme="minorEastAsia" w:hAnsiTheme="minorEastAsia" w:eastAsiaTheme="minorEastAsia"/>
                <w:szCs w:val="21"/>
              </w:rPr>
              <w:t>从投标截止之日算起</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履约保证金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■提交，履约保证金为合同金额的10%，提交形式：银行保函或银行电汇。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投标文件份数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投标文件电子档</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电子光盘一张或</w:t>
            </w:r>
            <w:r>
              <w:rPr>
                <w:rFonts w:asciiTheme="minorEastAsia" w:hAnsiTheme="minorEastAsia" w:eastAsiaTheme="minorEastAsia"/>
                <w:szCs w:val="21"/>
              </w:rPr>
              <w:t>U盘一个</w:t>
            </w:r>
            <w:r>
              <w:rPr>
                <w:rFonts w:hint="eastAsia" w:asciiTheme="minorEastAsia" w:hAnsiTheme="minorEastAsia" w:eastAsiaTheme="minorEastAsia"/>
                <w:szCs w:val="21"/>
              </w:rPr>
              <w:t>（</w:t>
            </w:r>
            <w:r>
              <w:rPr>
                <w:rFonts w:asciiTheme="minorEastAsia" w:hAnsiTheme="minorEastAsia" w:eastAsiaTheme="minorEastAsia"/>
                <w:szCs w:val="21"/>
              </w:rPr>
              <w:t>WORD及</w:t>
            </w:r>
            <w:r>
              <w:rPr>
                <w:rFonts w:hint="eastAsia" w:asciiTheme="minorEastAsia" w:hAnsiTheme="minorEastAsia" w:eastAsiaTheme="minorEastAsia"/>
                <w:szCs w:val="21"/>
              </w:rPr>
              <w:t>投标文件正本盖章后的彩色扫描件，</w:t>
            </w:r>
            <w:r>
              <w:rPr>
                <w:rFonts w:asciiTheme="minorEastAsia" w:hAnsiTheme="minorEastAsia" w:eastAsiaTheme="minorEastAsia"/>
                <w:szCs w:val="21"/>
              </w:rPr>
              <w:t>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踏勘现场</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投标供应商提出疑问截止时间</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在获取采购文件或者采购文件公告期限届满之日起</w:t>
            </w:r>
            <w:r>
              <w:rPr>
                <w:rFonts w:asciiTheme="minorEastAsia" w:hAnsiTheme="minorEastAsia" w:eastAsiaTheme="minorEastAsia"/>
                <w:szCs w:val="21"/>
              </w:rPr>
              <w:t>7个工作日内对采购文件提出质疑</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澄清或修补、答疑的期限</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截标之日（当日不计）15</w:t>
            </w:r>
            <w:r>
              <w:rPr>
                <w:rFonts w:asciiTheme="minorEastAsia" w:hAnsiTheme="minorEastAsia" w:eastAsiaTheme="minorEastAsia"/>
                <w:szCs w:val="21"/>
              </w:rPr>
              <w:t>日</w:t>
            </w:r>
            <w:r>
              <w:rPr>
                <w:rFonts w:hint="eastAsia" w:asciiTheme="minorEastAsia" w:hAnsiTheme="minorEastAsia" w:eastAsiaTheme="minorEastAsia"/>
                <w:szCs w:val="21"/>
              </w:rPr>
              <w:t>前</w:t>
            </w:r>
            <w:r>
              <w:rPr>
                <w:rFonts w:hint="eastAsia" w:asciiTheme="minorEastAsia" w:hAnsiTheme="minorEastAsia" w:eastAsiaTheme="minorEastAsia"/>
                <w:szCs w:val="21"/>
                <w:u w:val="none"/>
              </w:rPr>
              <w:t>17：30</w:t>
            </w:r>
            <w:r>
              <w:rPr>
                <w:rFonts w:hint="eastAsia" w:asciiTheme="minorEastAsia" w:hAnsiTheme="minorEastAsia" w:eastAsiaTheme="minorEastAsia"/>
                <w:szCs w:val="21"/>
              </w:rPr>
              <w:t>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招标代理</w:t>
            </w:r>
            <w:r>
              <w:rPr>
                <w:rFonts w:asciiTheme="minorEastAsia" w:hAnsiTheme="minorEastAsia" w:eastAsiaTheme="minorEastAsia"/>
                <w:szCs w:val="21"/>
              </w:rPr>
              <w:t>服务费</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采购代理机构以中标金额为计算基数，按差额定率累进法计算，向中标供应商收取</w:t>
            </w:r>
            <w:r>
              <w:rPr>
                <w:rFonts w:asciiTheme="minorEastAsia" w:hAnsiTheme="minorEastAsia" w:eastAsiaTheme="minorEastAsia"/>
                <w:szCs w:val="21"/>
              </w:rPr>
              <w:t>。</w:t>
            </w:r>
            <w:r>
              <w:rPr>
                <w:rFonts w:hint="eastAsia" w:asciiTheme="minorEastAsia" w:hAnsiTheme="minorEastAsia" w:eastAsiaTheme="minorEastAsia"/>
                <w:szCs w:val="21"/>
              </w:rPr>
              <w:t>招标代理服务费采用转账的方式，账户信息如下：户名：深圳市深水水务咨询有限公司；账号：</w:t>
            </w:r>
            <w:r>
              <w:rPr>
                <w:rFonts w:asciiTheme="minorEastAsia" w:hAnsiTheme="minorEastAsia" w:eastAsiaTheme="minorEastAsia"/>
                <w:szCs w:val="21"/>
              </w:rPr>
              <w:t>443899991010003343618</w:t>
            </w:r>
            <w:r>
              <w:rPr>
                <w:rFonts w:hint="eastAsia" w:asciiTheme="minorEastAsia" w:hAnsiTheme="minorEastAsia" w:eastAsiaTheme="minorEastAsia"/>
                <w:szCs w:val="21"/>
              </w:rPr>
              <w:t>；开户行：交通银行深圳金叶支行。</w:t>
            </w:r>
          </w:p>
        </w:tc>
      </w:tr>
    </w:tbl>
    <w:p>
      <w:pPr>
        <w:widowControl w:val="0"/>
        <w:shd w:val="clear" w:color="auto" w:fill="auto"/>
        <w:tabs>
          <w:tab w:val="clear" w:pos="426"/>
        </w:tabs>
        <w:adjustRightInd/>
        <w:snapToGrid/>
        <w:spacing w:line="240" w:lineRule="auto"/>
        <w:ind w:left="3040" w:hanging="3040" w:hangingChars="950"/>
        <w:rPr>
          <w:rFonts w:hint="eastAsia" w:cs="Times New Roman"/>
          <w:kern w:val="2"/>
          <w:sz w:val="32"/>
          <w:szCs w:val="20"/>
        </w:rPr>
      </w:pPr>
    </w:p>
    <w:p>
      <w:pPr>
        <w:pStyle w:val="81"/>
        <w:tabs>
          <w:tab w:val="clear" w:pos="426"/>
        </w:tabs>
      </w:pPr>
      <w:r>
        <w:br w:type="page"/>
      </w:r>
      <w:bookmarkStart w:id="2" w:name="_Toc16410"/>
      <w:r>
        <w:rPr>
          <w:rFonts w:hint="eastAsia"/>
        </w:rPr>
        <w:t>招标文件第一册（专用部分）</w:t>
      </w:r>
      <w:bookmarkEnd w:id="2"/>
    </w:p>
    <w:p>
      <w:pPr>
        <w:pStyle w:val="62"/>
      </w:pPr>
      <w:bookmarkStart w:id="3" w:name="_Toc432592813"/>
      <w:bookmarkStart w:id="4" w:name="_Toc265483798"/>
      <w:bookmarkStart w:id="5" w:name="_Toc20258"/>
      <w:r>
        <w:rPr>
          <w:rFonts w:hint="eastAsia"/>
        </w:rPr>
        <w:t>第一章</w:t>
      </w:r>
      <w:bookmarkEnd w:id="3"/>
      <w:bookmarkEnd w:id="4"/>
      <w:r>
        <w:rPr>
          <w:rFonts w:hint="eastAsia"/>
        </w:rPr>
        <w:t xml:space="preserve"> 投标邀请</w:t>
      </w:r>
      <w:bookmarkEnd w:id="5"/>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kern w:val="2"/>
          <w:szCs w:val="21"/>
        </w:rPr>
      </w:pPr>
      <w:bookmarkStart w:id="6" w:name="_Hlk6265265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深圳海关动植物检验检疫技术中心“全自动高通量核酸质谱检测系统”设备采购项目的潜在投标人应在深圳市罗湖区清水河街道清水河社区清水河一路112号罗湖投资控股大厦裙楼401获取招标文件，并于</w:t>
      </w:r>
      <w:r>
        <w:rPr>
          <w:rFonts w:hint="eastAsia" w:ascii="宋体" w:hAnsi="宋体" w:eastAsia="宋体" w:cs="宋体"/>
          <w:b w:val="0"/>
          <w:bCs w:val="0"/>
          <w:color w:val="auto"/>
          <w:sz w:val="21"/>
          <w:szCs w:val="21"/>
          <w:highlight w:val="none"/>
          <w:lang w:val="en-US" w:eastAsia="zh-CN"/>
        </w:rPr>
        <w:t>2024年11月</w:t>
      </w:r>
      <w:r>
        <w:rPr>
          <w:rFonts w:hint="eastAsia"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日</w:t>
      </w:r>
      <w:r>
        <w:rPr>
          <w:rFonts w:hint="eastAsia"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val="en-US" w:eastAsia="zh-CN"/>
        </w:rPr>
        <w:t>点30分</w:t>
      </w:r>
      <w:r>
        <w:rPr>
          <w:rFonts w:hint="eastAsia" w:cs="Times New Roman"/>
          <w:bCs/>
          <w:kern w:val="2"/>
          <w:szCs w:val="21"/>
        </w:rPr>
        <w:t>（北京时间）前递交投标</w:t>
      </w:r>
      <w:r>
        <w:rPr>
          <w:rFonts w:cs="Times New Roman"/>
          <w:bCs/>
          <w:kern w:val="2"/>
          <w:szCs w:val="21"/>
        </w:rPr>
        <w:t>文件</w:t>
      </w:r>
      <w:r>
        <w:rPr>
          <w:rFonts w:hint="eastAsia" w:cs="Times New Roman"/>
          <w:kern w:val="2"/>
          <w:szCs w:val="21"/>
        </w:rPr>
        <w:t>。</w:t>
      </w:r>
    </w:p>
    <w:p>
      <w:pPr>
        <w:widowControl w:val="0"/>
        <w:shd w:val="clear" w:color="auto" w:fill="auto"/>
        <w:adjustRightInd/>
        <w:snapToGrid/>
        <w:spacing w:line="240" w:lineRule="auto"/>
        <w:rPr>
          <w:rFonts w:hint="eastAsia" w:cs="Times New Roman"/>
          <w:kern w:val="2"/>
          <w:szCs w:val="21"/>
        </w:rPr>
      </w:pPr>
    </w:p>
    <w:p>
      <w:pPr>
        <w:spacing w:line="240" w:lineRule="auto"/>
        <w:rPr>
          <w:rFonts w:hint="eastAsia"/>
          <w:b/>
          <w:kern w:val="2"/>
          <w:szCs w:val="21"/>
        </w:rPr>
      </w:pPr>
      <w:bookmarkStart w:id="7" w:name="_Toc28359002"/>
      <w:bookmarkStart w:id="8" w:name="_Toc35393790"/>
      <w:bookmarkStart w:id="9" w:name="_Toc35393621"/>
      <w:bookmarkStart w:id="10" w:name="_Toc28359079"/>
      <w:bookmarkStart w:id="11" w:name="_Hlk24379207"/>
      <w:r>
        <w:rPr>
          <w:rFonts w:hint="eastAsia"/>
          <w:b/>
          <w:kern w:val="2"/>
          <w:szCs w:val="21"/>
        </w:rPr>
        <w:t>一、项目基本情况</w:t>
      </w:r>
      <w:bookmarkEnd w:id="7"/>
      <w:bookmarkEnd w:id="8"/>
      <w:bookmarkEnd w:id="9"/>
      <w:bookmarkEnd w:id="10"/>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项目编号：SSZX2024-383</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项目名称：深圳海关动植物检验检疫技术中心“全自动高通量核酸质谱检测系统”设备采购项目</w:t>
      </w:r>
    </w:p>
    <w:bookmarkEnd w:id="11"/>
    <w:p>
      <w:pPr>
        <w:widowControl w:val="0"/>
        <w:shd w:val="clear" w:color="auto" w:fill="auto"/>
        <w:adjustRightInd/>
        <w:snapToGrid/>
        <w:spacing w:line="240" w:lineRule="auto"/>
        <w:ind w:firstLine="420" w:firstLineChars="200"/>
        <w:rPr>
          <w:rFonts w:hint="eastAsia"/>
          <w:szCs w:val="21"/>
        </w:rPr>
      </w:pPr>
      <w:r>
        <w:rPr>
          <w:rFonts w:hint="eastAsia" w:cs="Times New Roman"/>
          <w:kern w:val="2"/>
          <w:szCs w:val="21"/>
        </w:rPr>
        <w:t>预算金额：280.000000万元</w:t>
      </w:r>
      <w:r>
        <w:rPr>
          <w:rFonts w:hint="eastAsia"/>
          <w:szCs w:val="21"/>
        </w:rPr>
        <w:t>（人民币）</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最高限价：280.000000万元</w:t>
      </w:r>
      <w:r>
        <w:rPr>
          <w:rFonts w:hint="eastAsia"/>
          <w:szCs w:val="21"/>
        </w:rPr>
        <w:t>（人民币）</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采购需求：</w:t>
      </w:r>
    </w:p>
    <w:tbl>
      <w:tblPr>
        <w:tblStyle w:val="85"/>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794"/>
        <w:gridCol w:w="849"/>
        <w:gridCol w:w="853"/>
        <w:gridCol w:w="2834"/>
        <w:gridCol w:w="1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标的名称</w:t>
            </w:r>
          </w:p>
        </w:tc>
        <w:tc>
          <w:tcPr>
            <w:tcW w:w="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数量</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单位</w:t>
            </w:r>
          </w:p>
        </w:tc>
        <w:tc>
          <w:tcPr>
            <w:tcW w:w="146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简要技术需求</w:t>
            </w:r>
          </w:p>
        </w:tc>
        <w:tc>
          <w:tcPr>
            <w:tcW w:w="6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9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全自动高通量核酸质谱检测系统</w:t>
            </w:r>
          </w:p>
        </w:tc>
        <w:tc>
          <w:tcPr>
            <w:tcW w:w="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1466"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cs="Times New Roman"/>
                <w:kern w:val="2"/>
              </w:rPr>
              <w:t>采购1台全自动高通量核酸质谱检测系统，应用于植物转基因检测，同时也可应用于植物病原物检测、动物疫病检测、动物源性成分鉴定、食品中微生物检测等领域等，保障动植物检疫、特殊物品物种鉴定、食品安全等检测业务。</w:t>
            </w:r>
            <w:r>
              <w:rPr>
                <w:rFonts w:hint="eastAsia"/>
              </w:rPr>
              <w:t>详见招标文件项目需求书。</w:t>
            </w:r>
          </w:p>
        </w:tc>
        <w:tc>
          <w:tcPr>
            <w:tcW w:w="691"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拒绝进口</w:t>
            </w:r>
          </w:p>
        </w:tc>
      </w:tr>
    </w:tbl>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合同履行期限：合同签订后30日内完成交货。</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本项目（不接受）联合体投标。</w:t>
      </w:r>
      <w:bookmarkStart w:id="12" w:name="_Toc35393791"/>
      <w:bookmarkStart w:id="13" w:name="_Toc28359003"/>
      <w:bookmarkStart w:id="14" w:name="_Toc28359080"/>
      <w:bookmarkStart w:id="15" w:name="_Toc35393622"/>
    </w:p>
    <w:p>
      <w:pPr>
        <w:spacing w:line="240" w:lineRule="auto"/>
        <w:rPr>
          <w:rFonts w:hint="eastAsia"/>
          <w:b/>
          <w:kern w:val="2"/>
          <w:szCs w:val="21"/>
        </w:rPr>
      </w:pPr>
      <w:r>
        <w:rPr>
          <w:rFonts w:hint="eastAsia"/>
          <w:b/>
          <w:kern w:val="2"/>
          <w:szCs w:val="21"/>
        </w:rPr>
        <w:t>二、申请人的资格要求</w:t>
      </w:r>
      <w:bookmarkEnd w:id="12"/>
      <w:bookmarkEnd w:id="13"/>
      <w:bookmarkEnd w:id="14"/>
      <w:bookmarkEnd w:id="15"/>
      <w:r>
        <w:rPr>
          <w:rFonts w:hint="eastAsia"/>
          <w:b/>
          <w:kern w:val="2"/>
          <w:szCs w:val="21"/>
        </w:rPr>
        <w:t>：</w:t>
      </w:r>
    </w:p>
    <w:p>
      <w:pPr>
        <w:widowControl w:val="0"/>
        <w:shd w:val="clear" w:color="auto" w:fill="auto"/>
        <w:adjustRightInd/>
        <w:snapToGrid/>
        <w:spacing w:line="240" w:lineRule="auto"/>
        <w:ind w:firstLine="420" w:firstLineChars="200"/>
        <w:rPr>
          <w:rFonts w:hAnsi="Times New Roman" w:cs="Times New Roman"/>
          <w:kern w:val="2"/>
          <w:szCs w:val="21"/>
        </w:rPr>
      </w:pPr>
      <w:bookmarkStart w:id="16" w:name="_Toc28359081"/>
      <w:bookmarkStart w:id="17" w:name="_Toc28359004"/>
      <w:bookmarkStart w:id="18" w:name="_Toc35393792"/>
      <w:bookmarkStart w:id="19" w:name="_Toc35393623"/>
      <w:r>
        <w:rPr>
          <w:rFonts w:hint="eastAsia" w:hAnsi="Times New Roman" w:cs="Times New Roman"/>
          <w:kern w:val="2"/>
          <w:szCs w:val="21"/>
        </w:rPr>
        <w:t>1.满足《中华人民共和国政府采购法》第二十二条规定。</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2.落实政府采购政策需满足的资格要求：</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本项目不属于专门面向中小企业采购的项目。</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3.本项目的特定资格要求：</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（2）本项目不</w:t>
      </w:r>
      <w:r>
        <w:rPr>
          <w:rFonts w:hAnsi="Times New Roman" w:cs="Times New Roman"/>
          <w:kern w:val="2"/>
          <w:szCs w:val="21"/>
        </w:rPr>
        <w:t>接受投标人选用进口产品参与投标。</w:t>
      </w:r>
      <w:r>
        <w:rPr>
          <w:rFonts w:hint="eastAsia" w:hAnsi="Times New Roman" w:cs="Times New Roman"/>
          <w:kern w:val="2"/>
          <w:szCs w:val="21"/>
        </w:rPr>
        <w:t>（进口产品是指通过中国海关报关验收进入中国境内且产自境外的产品）。</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3</w:t>
      </w:r>
      <w:r>
        <w:rPr>
          <w:rFonts w:hint="eastAsia" w:hAnsi="Times New Roman" w:cs="Times New Roman"/>
          <w:kern w:val="2"/>
          <w:szCs w:val="21"/>
        </w:rPr>
        <w:t>）</w:t>
      </w:r>
      <w:r>
        <w:rPr>
          <w:rFonts w:hAnsi="Times New Roman" w:cs="Times New Roman"/>
          <w:kern w:val="2"/>
          <w:szCs w:val="21"/>
        </w:rPr>
        <w:t>根据财库〔2016〕125号文的有关规定，投标人需未被列入失信被执行人、重大税收违法案件当事人名单、政府采购严重违法失信行为记录名单（提供书面《</w:t>
      </w:r>
      <w:r>
        <w:rPr>
          <w:rFonts w:hint="eastAsia" w:hAnsi="Times New Roman" w:cs="Times New Roman"/>
          <w:kern w:val="2"/>
          <w:szCs w:val="21"/>
        </w:rPr>
        <w:t>投标人资格声明函</w:t>
      </w:r>
      <w:r>
        <w:rPr>
          <w:rFonts w:hAnsi="Times New Roman" w:cs="Times New Roman"/>
          <w:kern w:val="2"/>
          <w:szCs w:val="21"/>
        </w:rPr>
        <w:t>》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（4）投标人参与本项目投标前三年内，在经营活动中没有重大违法记录（提供《投标人资格声明函》，并加盖投标人公章）。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（5）投标人参与本项目投标近三年内，在经营活动中没有发生重大安全和质量事故（提供《投标人资格声明函》，并加盖投标人公章）。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（6）投标人参与本项目政府采购活动时不存在被有关部门禁止参与政府采购活动且在有效期内的情况（提供《投标人资格声明函》，并加盖投标人公章）。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7）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（8）为采购项目提供整体设计、规范编制或者项目管理、监理、检测等服务的供应商，不得再参加该采购项目的其他采购活动（提供《投标人资格声明函》，并加盖投标人公章）。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（9）参与本项目政府采购活动不存在与其他采购参加人串通投标、隐瞒真实情况、提供虚假资料等违法违规情形（提供《投标人资格声明函》，并加盖</w:t>
      </w:r>
      <w:bookmarkStart w:id="196" w:name="_GoBack"/>
      <w:bookmarkEnd w:id="196"/>
      <w:r>
        <w:rPr>
          <w:rFonts w:hint="eastAsia" w:hAnsi="Times New Roman" w:cs="Times New Roman"/>
          <w:kern w:val="2"/>
          <w:szCs w:val="21"/>
        </w:rPr>
        <w:t>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（10）本项目不接受联合体形式进行投标，不允许转包及分包。</w:t>
      </w:r>
    </w:p>
    <w:p>
      <w:pPr>
        <w:spacing w:line="240" w:lineRule="auto"/>
        <w:rPr>
          <w:rFonts w:hint="eastAsia"/>
          <w:b/>
          <w:kern w:val="2"/>
          <w:szCs w:val="21"/>
        </w:rPr>
      </w:pPr>
      <w:r>
        <w:rPr>
          <w:rFonts w:hint="eastAsia"/>
          <w:b/>
          <w:kern w:val="2"/>
          <w:szCs w:val="21"/>
        </w:rPr>
        <w:t>三、获取招标文件</w:t>
      </w:r>
      <w:bookmarkEnd w:id="16"/>
      <w:bookmarkEnd w:id="17"/>
      <w:bookmarkEnd w:id="18"/>
      <w:bookmarkEnd w:id="19"/>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时间：2024年10月25日至2024年11月7日，每天上午9:00至12:00，下午14:00至18:00（北京时间，</w:t>
      </w:r>
      <w:r>
        <w:rPr>
          <w:rFonts w:hAnsi="Times New Roman" w:cs="Times New Roman"/>
          <w:kern w:val="2"/>
          <w:szCs w:val="21"/>
        </w:rPr>
        <w:t>法定节假日</w:t>
      </w:r>
      <w:r>
        <w:rPr>
          <w:rFonts w:hint="eastAsia" w:hAnsi="Times New Roman" w:cs="Times New Roman"/>
          <w:kern w:val="2"/>
          <w:szCs w:val="21"/>
        </w:rPr>
        <w:t>除外）</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地点：深圳市罗湖区清水河街道清水河社区清水河一路112号罗湖投资控股大厦裙楼401</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方式：现场购买。</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售价：500元/份，本公告包含的招标文件售价总和</w:t>
      </w:r>
    </w:p>
    <w:p>
      <w:pPr>
        <w:spacing w:line="240" w:lineRule="auto"/>
        <w:rPr>
          <w:rFonts w:hint="eastAsia"/>
          <w:b/>
          <w:kern w:val="2"/>
          <w:szCs w:val="21"/>
        </w:rPr>
      </w:pPr>
      <w:bookmarkStart w:id="20" w:name="_Toc28359082"/>
      <w:bookmarkStart w:id="21" w:name="_Toc28359005"/>
      <w:bookmarkStart w:id="22" w:name="_Toc35393624"/>
      <w:bookmarkStart w:id="23" w:name="_Toc35393793"/>
      <w:r>
        <w:rPr>
          <w:rFonts w:hint="eastAsia"/>
          <w:b/>
          <w:kern w:val="2"/>
          <w:szCs w:val="21"/>
        </w:rPr>
        <w:t>四、提交投标文件</w:t>
      </w:r>
      <w:bookmarkEnd w:id="20"/>
      <w:bookmarkEnd w:id="21"/>
      <w:r>
        <w:rPr>
          <w:rFonts w:hint="eastAsia"/>
          <w:b/>
          <w:kern w:val="2"/>
          <w:szCs w:val="21"/>
        </w:rPr>
        <w:t>截止时间、开标时间和地点</w:t>
      </w:r>
      <w:bookmarkEnd w:id="22"/>
      <w:bookmarkEnd w:id="23"/>
    </w:p>
    <w:p>
      <w:pPr>
        <w:widowControl w:val="0"/>
        <w:shd w:val="clear" w:color="auto" w:fill="auto"/>
        <w:adjustRightInd/>
        <w:snapToGrid/>
        <w:spacing w:line="240" w:lineRule="auto"/>
        <w:ind w:firstLine="420" w:firstLineChars="200"/>
        <w:rPr>
          <w:rFonts w:hint="eastAsia" w:cs="Times New Roman"/>
          <w:bCs/>
          <w:kern w:val="2"/>
          <w:szCs w:val="21"/>
        </w:rPr>
      </w:pPr>
      <w:r>
        <w:rPr>
          <w:rFonts w:hint="eastAsia" w:cs="Times New Roman"/>
          <w:bCs/>
          <w:kern w:val="2"/>
          <w:szCs w:val="21"/>
        </w:rPr>
        <w:t>提交投标文件截止时间：</w:t>
      </w:r>
      <w:r>
        <w:rPr>
          <w:rFonts w:hint="eastAsia" w:ascii="宋体" w:hAnsi="宋体" w:eastAsia="宋体" w:cs="宋体"/>
          <w:b w:val="0"/>
          <w:bCs w:val="0"/>
          <w:color w:val="auto"/>
          <w:sz w:val="21"/>
          <w:szCs w:val="21"/>
          <w:highlight w:val="none"/>
          <w:lang w:val="en-US" w:eastAsia="zh-CN"/>
        </w:rPr>
        <w:t>2024年11月</w:t>
      </w:r>
      <w:r>
        <w:rPr>
          <w:rFonts w:hint="eastAsia"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日</w:t>
      </w:r>
      <w:r>
        <w:rPr>
          <w:rFonts w:hint="eastAsia"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val="en-US" w:eastAsia="zh-CN"/>
        </w:rPr>
        <w:t>点30分</w:t>
      </w:r>
      <w:r>
        <w:rPr>
          <w:rFonts w:hint="eastAsia" w:cs="Times New Roman"/>
          <w:bCs/>
          <w:kern w:val="2"/>
          <w:szCs w:val="21"/>
        </w:rPr>
        <w:t>（北京时间）</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开标时间：</w:t>
      </w:r>
      <w:r>
        <w:rPr>
          <w:rFonts w:hint="eastAsia" w:ascii="宋体" w:hAnsi="宋体" w:eastAsia="宋体" w:cs="宋体"/>
          <w:b w:val="0"/>
          <w:bCs w:val="0"/>
          <w:color w:val="auto"/>
          <w:sz w:val="21"/>
          <w:szCs w:val="21"/>
          <w:highlight w:val="none"/>
          <w:lang w:val="en-US" w:eastAsia="zh-CN"/>
        </w:rPr>
        <w:t>2024年11月</w:t>
      </w:r>
      <w:r>
        <w:rPr>
          <w:rFonts w:hint="eastAsia"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lang w:val="en-US" w:eastAsia="zh-CN"/>
        </w:rPr>
        <w:t>日</w:t>
      </w:r>
      <w:r>
        <w:rPr>
          <w:rFonts w:hint="eastAsia" w:cs="宋体"/>
          <w:b w:val="0"/>
          <w:bCs w:val="0"/>
          <w:color w:val="auto"/>
          <w:sz w:val="21"/>
          <w:szCs w:val="21"/>
          <w:highlight w:val="none"/>
          <w:lang w:val="en-US" w:eastAsia="zh-CN"/>
        </w:rPr>
        <w:t>14</w:t>
      </w:r>
      <w:r>
        <w:rPr>
          <w:rFonts w:hint="eastAsia" w:ascii="宋体" w:hAnsi="宋体" w:eastAsia="宋体" w:cs="宋体"/>
          <w:b w:val="0"/>
          <w:bCs w:val="0"/>
          <w:color w:val="auto"/>
          <w:sz w:val="21"/>
          <w:szCs w:val="21"/>
          <w:highlight w:val="none"/>
          <w:lang w:val="en-US" w:eastAsia="zh-CN"/>
        </w:rPr>
        <w:t>点30分</w:t>
      </w:r>
      <w:r>
        <w:rPr>
          <w:rFonts w:hint="eastAsia" w:hAnsi="Times New Roman" w:cs="Times New Roman"/>
          <w:kern w:val="2"/>
          <w:szCs w:val="21"/>
        </w:rPr>
        <w:t>（北京时间）</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地点：深圳市罗湖区清水河街道清水河社区清水河一路112号罗湖投资控股大厦裙楼401</w:t>
      </w:r>
    </w:p>
    <w:p>
      <w:pPr>
        <w:spacing w:line="240" w:lineRule="auto"/>
        <w:rPr>
          <w:rFonts w:hint="eastAsia"/>
          <w:b/>
          <w:kern w:val="2"/>
          <w:szCs w:val="21"/>
        </w:rPr>
      </w:pPr>
      <w:bookmarkStart w:id="24" w:name="_Toc28359084"/>
      <w:bookmarkStart w:id="25" w:name="_Toc28359007"/>
      <w:bookmarkStart w:id="26" w:name="_Toc35393794"/>
      <w:bookmarkStart w:id="27" w:name="_Toc35393625"/>
      <w:r>
        <w:rPr>
          <w:rFonts w:hint="eastAsia"/>
          <w:b/>
          <w:kern w:val="2"/>
          <w:szCs w:val="21"/>
        </w:rPr>
        <w:t>五、公告期限</w:t>
      </w:r>
      <w:bookmarkEnd w:id="24"/>
      <w:bookmarkEnd w:id="25"/>
      <w:bookmarkEnd w:id="26"/>
      <w:bookmarkEnd w:id="27"/>
    </w:p>
    <w:p>
      <w:pPr>
        <w:widowControl w:val="0"/>
        <w:shd w:val="clear" w:color="auto" w:fill="auto"/>
        <w:adjustRightInd/>
        <w:snapToGrid/>
        <w:spacing w:line="240" w:lineRule="auto"/>
        <w:ind w:firstLine="420" w:firstLineChars="200"/>
        <w:rPr>
          <w:rFonts w:hint="eastAsia"/>
          <w:szCs w:val="21"/>
        </w:rPr>
      </w:pPr>
      <w:r>
        <w:rPr>
          <w:rFonts w:hint="eastAsia"/>
          <w:szCs w:val="21"/>
        </w:rPr>
        <w:t>自本公告发布之日起5个工作日。</w:t>
      </w:r>
      <w:bookmarkStart w:id="28" w:name="_Toc35393626"/>
      <w:bookmarkStart w:id="29" w:name="_Toc35393795"/>
    </w:p>
    <w:p>
      <w:pPr>
        <w:spacing w:line="240" w:lineRule="auto"/>
        <w:rPr>
          <w:rFonts w:hint="eastAsia"/>
          <w:b/>
          <w:kern w:val="2"/>
          <w:szCs w:val="21"/>
        </w:rPr>
      </w:pPr>
      <w:r>
        <w:rPr>
          <w:rFonts w:hint="eastAsia"/>
          <w:b/>
          <w:kern w:val="2"/>
          <w:szCs w:val="21"/>
        </w:rPr>
        <w:t>六、</w:t>
      </w:r>
      <w:bookmarkStart w:id="30" w:name="_Hlk155780018"/>
      <w:r>
        <w:rPr>
          <w:rFonts w:hint="eastAsia"/>
          <w:b/>
          <w:kern w:val="2"/>
          <w:szCs w:val="21"/>
        </w:rPr>
        <w:t>其他补充事宜</w:t>
      </w:r>
      <w:bookmarkEnd w:id="28"/>
      <w:bookmarkEnd w:id="29"/>
      <w:bookmarkEnd w:id="30"/>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w:t>
      </w:r>
      <w:r>
        <w:rPr>
          <w:rFonts w:cs="Times New Roman"/>
          <w:kern w:val="2"/>
          <w:szCs w:val="21"/>
        </w:rPr>
        <w:t>.</w:t>
      </w:r>
      <w:r>
        <w:rPr>
          <w:rFonts w:hint="eastAsia" w:cs="Times New Roman"/>
          <w:kern w:val="2"/>
          <w:szCs w:val="21"/>
        </w:rPr>
        <w:t>答疑事项：</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（1）本项目实行网下纸质答疑，凡对招标文件有任何疑问的（包括认为招标文件的技术指标或参数存在排他性或歧视性条款），请投标供应商在获取采购文件或者采购文件公告期限届满之日起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2）投标供应商有义务在招标活动期间浏览本公告“六、其他补充事宜”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2</w:t>
      </w:r>
      <w:r>
        <w:rPr>
          <w:rFonts w:cs="Times New Roman"/>
          <w:kern w:val="2"/>
          <w:szCs w:val="21"/>
        </w:rPr>
        <w:t>.</w:t>
      </w:r>
      <w:r>
        <w:rPr>
          <w:rFonts w:hint="eastAsia" w:cs="Times New Roman"/>
          <w:kern w:val="2"/>
          <w:szCs w:val="21"/>
        </w:rPr>
        <w:t>投标文件提交方式补充说明：</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adjustRightInd/>
        <w:snapToGrid/>
        <w:spacing w:line="240" w:lineRule="auto"/>
        <w:ind w:left="495"/>
        <w:rPr>
          <w:rFonts w:hint="eastAsia" w:cs="Times New Roman"/>
          <w:kern w:val="2"/>
          <w:szCs w:val="21"/>
        </w:rPr>
      </w:pPr>
      <w:r>
        <w:rPr>
          <w:rFonts w:hint="eastAsia" w:hAnsi="Times New Roman" w:cs="Times New Roman"/>
          <w:kern w:val="2"/>
          <w:szCs w:val="21"/>
        </w:rPr>
        <w:t>3</w:t>
      </w:r>
      <w:r>
        <w:rPr>
          <w:rFonts w:hAnsi="Times New Roman" w:cs="Times New Roman"/>
          <w:kern w:val="2"/>
          <w:szCs w:val="21"/>
        </w:rPr>
        <w:t>.</w:t>
      </w:r>
      <w:r>
        <w:rPr>
          <w:rFonts w:hint="eastAsia" w:cs="Times New Roman"/>
          <w:kern w:val="2"/>
          <w:szCs w:val="21"/>
        </w:rPr>
        <w:t>信息发布平台：</w:t>
      </w:r>
    </w:p>
    <w:p>
      <w:pPr>
        <w:widowControl w:val="0"/>
        <w:shd w:val="clear" w:color="auto" w:fill="auto"/>
        <w:adjustRightInd/>
        <w:snapToGrid/>
        <w:spacing w:line="240" w:lineRule="auto"/>
        <w:ind w:left="495"/>
        <w:rPr>
          <w:rFonts w:hint="eastAsia"/>
          <w:szCs w:val="21"/>
        </w:rPr>
      </w:pPr>
      <w:r>
        <w:rPr>
          <w:rFonts w:hint="eastAsia"/>
          <w:szCs w:val="21"/>
        </w:rPr>
        <w:t>深圳海关门户网（</w:t>
      </w:r>
      <w:r>
        <w:rPr>
          <w:szCs w:val="21"/>
        </w:rPr>
        <w:t>http://shenzhen.customs.gov.cn</w:t>
      </w:r>
      <w:r>
        <w:rPr>
          <w:rFonts w:hint="eastAsia"/>
          <w:szCs w:val="21"/>
        </w:rPr>
        <w:t>）；</w:t>
      </w:r>
    </w:p>
    <w:p>
      <w:pPr>
        <w:widowControl w:val="0"/>
        <w:shd w:val="clear" w:color="auto" w:fill="auto"/>
        <w:adjustRightInd/>
        <w:snapToGrid/>
        <w:spacing w:line="240" w:lineRule="auto"/>
        <w:ind w:left="495"/>
        <w:rPr>
          <w:rFonts w:hint="eastAsia"/>
          <w:szCs w:val="21"/>
        </w:rPr>
      </w:pPr>
      <w:r>
        <w:rPr>
          <w:rFonts w:hint="eastAsia"/>
          <w:szCs w:val="21"/>
        </w:rPr>
        <w:t>中国政府采购网（</w:t>
      </w:r>
      <w:r>
        <w:rPr>
          <w:szCs w:val="21"/>
        </w:rPr>
        <w:t>http://www.ccgp.gov.cn）；</w:t>
      </w:r>
    </w:p>
    <w:p>
      <w:pPr>
        <w:widowControl w:val="0"/>
        <w:shd w:val="clear" w:color="auto" w:fill="auto"/>
        <w:adjustRightInd/>
        <w:snapToGrid/>
        <w:spacing w:line="240" w:lineRule="auto"/>
        <w:ind w:left="495"/>
        <w:rPr>
          <w:rFonts w:hint="eastAsia" w:cs="Times New Roman"/>
          <w:kern w:val="2"/>
          <w:szCs w:val="21"/>
        </w:rPr>
      </w:pPr>
      <w:r>
        <w:rPr>
          <w:rFonts w:hint="eastAsia"/>
          <w:szCs w:val="21"/>
        </w:rPr>
        <w:t>采购代理机构官网（</w:t>
      </w:r>
      <w:r>
        <w:rPr>
          <w:szCs w:val="21"/>
        </w:rPr>
        <w:t>http://www.szsszx.com/</w:t>
      </w:r>
      <w:r>
        <w:rPr>
          <w:rFonts w:hint="eastAsia"/>
          <w:szCs w:val="21"/>
        </w:rPr>
        <w:t>）。</w:t>
      </w:r>
    </w:p>
    <w:p>
      <w:pPr>
        <w:spacing w:line="240" w:lineRule="auto"/>
        <w:rPr>
          <w:rFonts w:hint="eastAsia"/>
          <w:b/>
          <w:kern w:val="2"/>
          <w:szCs w:val="21"/>
        </w:rPr>
      </w:pPr>
      <w:bookmarkStart w:id="31" w:name="_Toc35393796"/>
      <w:bookmarkStart w:id="32" w:name="_Toc35393627"/>
      <w:bookmarkStart w:id="33" w:name="_Toc28359085"/>
      <w:bookmarkStart w:id="34" w:name="_Toc28359008"/>
      <w:r>
        <w:rPr>
          <w:rFonts w:hint="eastAsia"/>
          <w:b/>
          <w:kern w:val="2"/>
          <w:szCs w:val="21"/>
        </w:rPr>
        <w:t>七、对本次招标提出询问，请按</w:t>
      </w:r>
      <w:r>
        <w:rPr>
          <w:b/>
          <w:kern w:val="2"/>
          <w:szCs w:val="21"/>
        </w:rPr>
        <w:t>以下方式</w:t>
      </w:r>
      <w:r>
        <w:rPr>
          <w:rFonts w:hint="eastAsia"/>
          <w:b/>
          <w:kern w:val="2"/>
          <w:szCs w:val="21"/>
        </w:rPr>
        <w:t>联系</w:t>
      </w:r>
      <w:bookmarkEnd w:id="31"/>
      <w:bookmarkEnd w:id="32"/>
      <w:bookmarkEnd w:id="33"/>
      <w:bookmarkEnd w:id="34"/>
      <w:r>
        <w:rPr>
          <w:rFonts w:hint="eastAsia"/>
          <w:b/>
          <w:kern w:val="2"/>
          <w:szCs w:val="21"/>
        </w:rPr>
        <w:t>。</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1.采购人信息</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名称：深圳海关动植物检验检疫技术中心</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地址：深圳市福田区福强路</w:t>
      </w:r>
      <w:r>
        <w:rPr>
          <w:rFonts w:cs="Times New Roman"/>
          <w:kern w:val="2"/>
          <w:szCs w:val="21"/>
        </w:rPr>
        <w:t>1011号</w:t>
      </w:r>
    </w:p>
    <w:p>
      <w:pPr>
        <w:widowControl w:val="0"/>
        <w:shd w:val="clear" w:color="auto" w:fill="auto"/>
        <w:adjustRightInd/>
        <w:snapToGrid/>
        <w:spacing w:line="240" w:lineRule="auto"/>
        <w:ind w:left="495"/>
        <w:rPr>
          <w:rFonts w:hint="eastAsia" w:cs="Times New Roman"/>
          <w:kern w:val="2"/>
          <w:szCs w:val="21"/>
        </w:rPr>
      </w:pPr>
      <w:bookmarkStart w:id="35" w:name="_Toc28359009"/>
      <w:bookmarkStart w:id="36" w:name="_Toc28359086"/>
      <w:r>
        <w:rPr>
          <w:rFonts w:hint="eastAsia" w:cs="Times New Roman"/>
          <w:kern w:val="2"/>
          <w:szCs w:val="21"/>
        </w:rPr>
        <w:t>联系方式：刘先生</w:t>
      </w:r>
      <w:r>
        <w:rPr>
          <w:rFonts w:cs="Times New Roman"/>
          <w:kern w:val="2"/>
          <w:szCs w:val="21"/>
        </w:rPr>
        <w:t>0755-84394179</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采购人监督投诉电话：</w:t>
      </w:r>
      <w:r>
        <w:rPr>
          <w:rFonts w:cs="Times New Roman"/>
          <w:kern w:val="2"/>
          <w:szCs w:val="21"/>
        </w:rPr>
        <w:t>0755-84398457</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2.采购代理机构信息</w:t>
      </w:r>
      <w:bookmarkEnd w:id="35"/>
      <w:bookmarkEnd w:id="36"/>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名</w:t>
      </w:r>
      <w:r>
        <w:rPr>
          <w:rFonts w:cs="Times New Roman"/>
          <w:kern w:val="2"/>
          <w:szCs w:val="21"/>
        </w:rPr>
        <w:t>称：深圳市深水水务咨询有限公司</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地</w:t>
      </w:r>
      <w:r>
        <w:rPr>
          <w:rFonts w:cs="Times New Roman"/>
          <w:kern w:val="2"/>
          <w:szCs w:val="21"/>
        </w:rPr>
        <w:t>址：深圳市罗湖区清水河街道清水河社区清水河一路112号罗湖投资控股大厦裙楼401</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联系方式：庄晓琴</w:t>
      </w:r>
      <w:r>
        <w:rPr>
          <w:rFonts w:cs="Times New Roman"/>
          <w:kern w:val="2"/>
          <w:szCs w:val="21"/>
        </w:rPr>
        <w:t>0755-25165821/13688812350/Email：498174886@qq.com</w:t>
      </w:r>
    </w:p>
    <w:p>
      <w:pPr>
        <w:widowControl w:val="0"/>
        <w:shd w:val="clear" w:color="auto" w:fill="auto"/>
        <w:adjustRightInd/>
        <w:snapToGrid/>
        <w:spacing w:line="240" w:lineRule="auto"/>
        <w:ind w:left="495"/>
        <w:rPr>
          <w:rFonts w:hint="eastAsia" w:cs="Times New Roman"/>
          <w:kern w:val="2"/>
          <w:szCs w:val="21"/>
        </w:rPr>
      </w:pPr>
      <w:r>
        <w:rPr>
          <w:rFonts w:cs="Times New Roman"/>
          <w:kern w:val="2"/>
          <w:szCs w:val="21"/>
        </w:rPr>
        <w:t>3.项目联系方式</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项目联系人：庄晓琴、李夏冰</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电</w:t>
      </w:r>
      <w:r>
        <w:rPr>
          <w:rFonts w:cs="Times New Roman"/>
          <w:kern w:val="2"/>
          <w:szCs w:val="21"/>
        </w:rPr>
        <w:t>话：0755-25165821/13688812350</w:t>
      </w:r>
    </w:p>
    <w:p>
      <w:pPr>
        <w:spacing w:line="240" w:lineRule="auto"/>
        <w:ind w:firstLine="424" w:firstLineChars="202"/>
        <w:jc w:val="right"/>
        <w:rPr>
          <w:rFonts w:hint="eastAsia"/>
          <w:szCs w:val="21"/>
        </w:rPr>
      </w:pPr>
      <w:r>
        <w:rPr>
          <w:rFonts w:hint="eastAsia"/>
          <w:szCs w:val="21"/>
        </w:rPr>
        <w:t>深圳市深水水务咨询有限公司</w:t>
      </w:r>
    </w:p>
    <w:p>
      <w:pPr>
        <w:spacing w:line="240" w:lineRule="auto"/>
        <w:ind w:firstLine="424" w:firstLineChars="202"/>
        <w:jc w:val="right"/>
        <w:rPr>
          <w:rFonts w:hint="eastAsia"/>
          <w:szCs w:val="21"/>
        </w:rPr>
      </w:pPr>
      <w:r>
        <w:rPr>
          <w:rFonts w:hint="eastAsia"/>
          <w:szCs w:val="21"/>
        </w:rPr>
        <w:t>202</w:t>
      </w:r>
      <w:r>
        <w:rPr>
          <w:szCs w:val="21"/>
        </w:rPr>
        <w:t>4</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24</w:t>
      </w:r>
      <w:r>
        <w:rPr>
          <w:rFonts w:hint="eastAsia"/>
          <w:szCs w:val="21"/>
        </w:rPr>
        <w:t>日</w:t>
      </w:r>
    </w:p>
    <w:p>
      <w:pPr>
        <w:spacing w:line="240" w:lineRule="auto"/>
        <w:ind w:firstLine="424" w:firstLineChars="202"/>
        <w:jc w:val="right"/>
        <w:rPr>
          <w:rFonts w:hint="eastAsia"/>
          <w:szCs w:val="21"/>
        </w:rPr>
      </w:pPr>
    </w:p>
    <w:bookmarkEnd w:id="6"/>
    <w:p>
      <w:pPr>
        <w:rPr>
          <w:rFonts w:hint="eastAsia"/>
        </w:rPr>
      </w:pPr>
      <w:r>
        <w:rPr>
          <w:rFonts w:hint="eastAsia"/>
        </w:rPr>
        <w:br w:type="page"/>
      </w:r>
    </w:p>
    <w:p>
      <w:pPr>
        <w:pStyle w:val="62"/>
      </w:pPr>
      <w:bookmarkStart w:id="37" w:name="_Toc13122"/>
      <w:r>
        <w:rPr>
          <w:rFonts w:hint="eastAsia"/>
        </w:rPr>
        <w:t>第二章 项目需求</w:t>
      </w:r>
      <w:bookmarkEnd w:id="37"/>
    </w:p>
    <w:p>
      <w:pPr>
        <w:numPr>
          <w:ilvl w:val="0"/>
          <w:numId w:val="2"/>
        </w:numPr>
        <w:adjustRightInd/>
        <w:snapToGrid/>
        <w:spacing w:before="280" w:after="290" w:line="377" w:lineRule="auto"/>
        <w:jc w:val="left"/>
        <w:outlineLvl w:val="2"/>
        <w:rPr>
          <w:rFonts w:hint="eastAsia"/>
          <w:b/>
          <w:sz w:val="24"/>
        </w:rPr>
      </w:pPr>
      <w:bookmarkStart w:id="38" w:name="_Toc150960244"/>
      <w:bookmarkStart w:id="39" w:name="_Toc151386154"/>
      <w:bookmarkStart w:id="40" w:name="_Toc15786"/>
      <w:r>
        <w:rPr>
          <w:b/>
          <w:sz w:val="24"/>
        </w:rPr>
        <w:t>货物清单</w:t>
      </w:r>
      <w:r>
        <w:rPr>
          <w:rFonts w:hint="eastAsia"/>
          <w:b/>
          <w:sz w:val="24"/>
        </w:rPr>
        <w:t>一览表</w:t>
      </w:r>
      <w:bookmarkEnd w:id="38"/>
      <w:bookmarkEnd w:id="39"/>
      <w:bookmarkEnd w:id="40"/>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3656"/>
        <w:gridCol w:w="968"/>
        <w:gridCol w:w="880"/>
        <w:gridCol w:w="144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序号</w:t>
            </w:r>
          </w:p>
        </w:tc>
        <w:tc>
          <w:tcPr>
            <w:tcW w:w="1910"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hint="eastAsia" w:cs="Times New Roman"/>
                <w:b/>
                <w:bCs/>
                <w:szCs w:val="21"/>
              </w:rPr>
              <w:t>货物（标的）</w:t>
            </w:r>
            <w:r>
              <w:rPr>
                <w:rFonts w:cs="Times New Roman"/>
                <w:b/>
                <w:bCs/>
                <w:szCs w:val="21"/>
              </w:rPr>
              <w:t>名称</w:t>
            </w:r>
          </w:p>
        </w:tc>
        <w:tc>
          <w:tcPr>
            <w:tcW w:w="506"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数量</w:t>
            </w:r>
          </w:p>
        </w:tc>
        <w:tc>
          <w:tcPr>
            <w:tcW w:w="460"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单位</w:t>
            </w:r>
          </w:p>
        </w:tc>
        <w:tc>
          <w:tcPr>
            <w:tcW w:w="756"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备注</w:t>
            </w:r>
          </w:p>
        </w:tc>
        <w:tc>
          <w:tcPr>
            <w:tcW w:w="1016"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hint="eastAsia" w:cs="Times New Roman"/>
                <w:b/>
                <w:bCs/>
                <w:szCs w:val="21"/>
              </w:rPr>
              <w:t>财政</w:t>
            </w:r>
            <w:r>
              <w:rPr>
                <w:rFonts w:cs="Times New Roman"/>
                <w:b/>
                <w:bCs/>
                <w:szCs w:val="21"/>
              </w:rPr>
              <w:t>预算限额(</w:t>
            </w:r>
            <w:r>
              <w:rPr>
                <w:rFonts w:hint="eastAsia" w:cs="Times New Roman"/>
                <w:b/>
                <w:bCs/>
                <w:szCs w:val="21"/>
              </w:rPr>
              <w:t>万</w:t>
            </w:r>
            <w:r>
              <w:rPr>
                <w:rFonts w:cs="Times New Roman"/>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pPr>
              <w:tabs>
                <w:tab w:val="clear" w:pos="426"/>
              </w:tabs>
              <w:spacing w:line="240" w:lineRule="auto"/>
              <w:jc w:val="center"/>
              <w:rPr>
                <w:rFonts w:hint="eastAsia"/>
                <w:szCs w:val="21"/>
              </w:rPr>
            </w:pPr>
            <w:r>
              <w:rPr>
                <w:rFonts w:hint="eastAsia"/>
                <w:szCs w:val="21"/>
              </w:rPr>
              <w:t>1</w:t>
            </w:r>
          </w:p>
        </w:tc>
        <w:tc>
          <w:tcPr>
            <w:tcW w:w="1910" w:type="pct"/>
            <w:vAlign w:val="center"/>
          </w:tcPr>
          <w:p>
            <w:pPr>
              <w:spacing w:line="240" w:lineRule="auto"/>
              <w:jc w:val="center"/>
              <w:rPr>
                <w:rFonts w:hint="eastAsia"/>
              </w:rPr>
            </w:pPr>
            <w:r>
              <w:rPr>
                <w:rFonts w:hint="eastAsia"/>
              </w:rPr>
              <w:t>全自动高通量核酸质谱检测系统</w:t>
            </w:r>
          </w:p>
        </w:tc>
        <w:tc>
          <w:tcPr>
            <w:tcW w:w="506" w:type="pct"/>
            <w:vAlign w:val="center"/>
          </w:tcPr>
          <w:p>
            <w:pPr>
              <w:tabs>
                <w:tab w:val="clear" w:pos="426"/>
              </w:tabs>
              <w:spacing w:line="240" w:lineRule="auto"/>
              <w:jc w:val="center"/>
              <w:rPr>
                <w:rFonts w:hint="eastAsia"/>
                <w:szCs w:val="21"/>
              </w:rPr>
            </w:pPr>
            <w:r>
              <w:rPr>
                <w:rFonts w:hint="eastAsia"/>
                <w:szCs w:val="21"/>
              </w:rPr>
              <w:t>1</w:t>
            </w:r>
          </w:p>
        </w:tc>
        <w:tc>
          <w:tcPr>
            <w:tcW w:w="460" w:type="pct"/>
            <w:vAlign w:val="center"/>
          </w:tcPr>
          <w:p>
            <w:pPr>
              <w:tabs>
                <w:tab w:val="clear" w:pos="426"/>
              </w:tabs>
              <w:spacing w:line="240" w:lineRule="auto"/>
              <w:jc w:val="center"/>
              <w:rPr>
                <w:rFonts w:hint="eastAsia"/>
                <w:szCs w:val="21"/>
              </w:rPr>
            </w:pPr>
            <w:r>
              <w:rPr>
                <w:rFonts w:hint="eastAsia"/>
                <w:szCs w:val="21"/>
              </w:rPr>
              <w:t>台</w:t>
            </w:r>
          </w:p>
        </w:tc>
        <w:tc>
          <w:tcPr>
            <w:tcW w:w="756" w:type="pct"/>
            <w:vAlign w:val="center"/>
          </w:tcPr>
          <w:p>
            <w:pPr>
              <w:tabs>
                <w:tab w:val="clear" w:pos="426"/>
              </w:tabs>
              <w:spacing w:line="240" w:lineRule="auto"/>
              <w:jc w:val="center"/>
              <w:rPr>
                <w:rFonts w:hint="eastAsia"/>
                <w:bCs/>
                <w:szCs w:val="21"/>
              </w:rPr>
            </w:pPr>
            <w:r>
              <w:rPr>
                <w:rFonts w:hint="eastAsia"/>
                <w:bCs/>
                <w:szCs w:val="21"/>
              </w:rPr>
              <w:t>拒绝进口</w:t>
            </w:r>
          </w:p>
        </w:tc>
        <w:tc>
          <w:tcPr>
            <w:tcW w:w="1016" w:type="pct"/>
            <w:vAlign w:val="center"/>
          </w:tcPr>
          <w:p>
            <w:pPr>
              <w:widowControl w:val="0"/>
              <w:shd w:val="clear" w:color="auto" w:fill="auto"/>
              <w:tabs>
                <w:tab w:val="clear" w:pos="426"/>
              </w:tabs>
              <w:adjustRightInd/>
              <w:snapToGrid/>
              <w:spacing w:line="240" w:lineRule="auto"/>
              <w:jc w:val="center"/>
              <w:rPr>
                <w:rFonts w:hint="eastAsia" w:cs="Times New Roman"/>
                <w:szCs w:val="21"/>
              </w:rPr>
            </w:pPr>
            <w:r>
              <w:rPr>
                <w:rFonts w:hint="eastAsia" w:cs="Times New Roman"/>
                <w:szCs w:val="21"/>
              </w:rPr>
              <w:t xml:space="preserve">280.000000  </w:t>
            </w:r>
          </w:p>
        </w:tc>
      </w:tr>
    </w:tbl>
    <w:p>
      <w:pPr>
        <w:spacing w:line="276" w:lineRule="auto"/>
        <w:ind w:firstLine="420" w:firstLineChars="200"/>
        <w:rPr>
          <w:rFonts w:hint="eastAsia"/>
          <w:szCs w:val="21"/>
        </w:rPr>
      </w:pPr>
      <w:r>
        <w:rPr>
          <w:rFonts w:hint="eastAsia"/>
          <w:szCs w:val="21"/>
        </w:rPr>
        <w:t>备注：</w:t>
      </w:r>
    </w:p>
    <w:p>
      <w:pPr>
        <w:spacing w:line="276" w:lineRule="auto"/>
        <w:ind w:firstLine="420" w:firstLineChars="200"/>
        <w:rPr>
          <w:rFonts w:hint="eastAsia"/>
          <w:szCs w:val="21"/>
        </w:rPr>
      </w:pPr>
      <w:r>
        <w:rPr>
          <w:rFonts w:hint="eastAsia"/>
          <w:szCs w:val="21"/>
        </w:rPr>
        <w:t>1.注明“接受进口”的产品（产品名称）允许供应商选用进口产品参与投标，但不排斥国内产品。</w:t>
      </w:r>
    </w:p>
    <w:p>
      <w:pPr>
        <w:spacing w:line="276" w:lineRule="auto"/>
        <w:ind w:firstLine="420" w:firstLineChars="200"/>
        <w:rPr>
          <w:rFonts w:hint="eastAsia"/>
          <w:szCs w:val="21"/>
        </w:rPr>
      </w:pPr>
      <w:r>
        <w:rPr>
          <w:rFonts w:hint="eastAsia"/>
          <w:szCs w:val="21"/>
        </w:rPr>
        <w:t>2</w:t>
      </w:r>
      <w:r>
        <w:rPr>
          <w:szCs w:val="21"/>
        </w:rPr>
        <w:t>.</w:t>
      </w:r>
      <w:r>
        <w:rPr>
          <w:rFonts w:hint="eastAsia"/>
          <w:szCs w:val="21"/>
        </w:rPr>
        <w:t>注明“拒绝进口”的产品（产品名称）均不接受供应商选用进口产品参与投标。</w:t>
      </w:r>
    </w:p>
    <w:p>
      <w:pPr>
        <w:spacing w:line="276" w:lineRule="auto"/>
        <w:ind w:firstLine="420" w:firstLineChars="200"/>
        <w:rPr>
          <w:rFonts w:hint="eastAsia"/>
          <w:szCs w:val="21"/>
        </w:rPr>
      </w:pPr>
      <w:r>
        <w:rPr>
          <w:rFonts w:hint="eastAsia"/>
          <w:szCs w:val="21"/>
        </w:rPr>
        <w:t>3</w:t>
      </w:r>
      <w:r>
        <w:rPr>
          <w:szCs w:val="21"/>
        </w:rPr>
        <w:t>.</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276" w:lineRule="auto"/>
        <w:ind w:firstLine="420" w:firstLineChars="200"/>
        <w:rPr>
          <w:rFonts w:hint="eastAsia"/>
          <w:szCs w:val="21"/>
        </w:rPr>
      </w:pPr>
      <w:r>
        <w:rPr>
          <w:rFonts w:hint="eastAsia"/>
          <w:bCs/>
          <w:szCs w:val="21"/>
        </w:rPr>
        <w:t>4</w:t>
      </w:r>
      <w:r>
        <w:rPr>
          <w:bCs/>
          <w:szCs w:val="21"/>
        </w:rPr>
        <w:t>.</w:t>
      </w:r>
      <w:r>
        <w:rPr>
          <w:rFonts w:hint="eastAsia"/>
          <w:szCs w:val="21"/>
        </w:rPr>
        <w:t>《货物清单一览表》不允许出现负偏离，否则将导致投标无效，以投标文件格式中的《货物说明一览表》为准。</w:t>
      </w:r>
    </w:p>
    <w:p>
      <w:pPr>
        <w:numPr>
          <w:ilvl w:val="0"/>
          <w:numId w:val="2"/>
        </w:numPr>
        <w:adjustRightInd/>
        <w:snapToGrid/>
        <w:spacing w:before="280" w:after="290" w:line="377" w:lineRule="auto"/>
        <w:jc w:val="left"/>
        <w:outlineLvl w:val="2"/>
        <w:rPr>
          <w:rFonts w:hint="eastAsia"/>
          <w:b/>
          <w:sz w:val="24"/>
        </w:rPr>
      </w:pPr>
      <w:bookmarkStart w:id="41" w:name="_Toc31434"/>
      <w:bookmarkStart w:id="42" w:name="_Toc150960245"/>
      <w:bookmarkStart w:id="43" w:name="_Toc151386155"/>
      <w:r>
        <w:rPr>
          <w:rFonts w:hint="eastAsia"/>
          <w:b/>
          <w:sz w:val="24"/>
        </w:rPr>
        <w:t>实质性响应条款</w:t>
      </w:r>
      <w:bookmarkEnd w:id="41"/>
      <w:bookmarkEnd w:id="42"/>
      <w:bookmarkEnd w:id="43"/>
    </w:p>
    <w:tbl>
      <w:tblPr>
        <w:tblStyle w:val="85"/>
        <w:tblW w:w="4738"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89"/>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序号</w:t>
            </w:r>
          </w:p>
        </w:tc>
        <w:tc>
          <w:tcPr>
            <w:tcW w:w="876" w:type="pct"/>
            <w:vAlign w:val="center"/>
          </w:tcPr>
          <w:p>
            <w:pPr>
              <w:spacing w:line="240" w:lineRule="auto"/>
              <w:jc w:val="center"/>
              <w:rPr>
                <w:rFonts w:hint="eastAsia"/>
                <w:b/>
                <w:szCs w:val="21"/>
              </w:rPr>
            </w:pPr>
            <w:r>
              <w:rPr>
                <w:rFonts w:hint="eastAsia"/>
                <w:b/>
                <w:szCs w:val="21"/>
              </w:rPr>
              <w:t>目录</w:t>
            </w:r>
          </w:p>
        </w:tc>
        <w:tc>
          <w:tcPr>
            <w:tcW w:w="3704" w:type="pct"/>
            <w:vAlign w:val="center"/>
          </w:tcPr>
          <w:p>
            <w:pPr>
              <w:spacing w:line="240" w:lineRule="auto"/>
              <w:jc w:val="center"/>
              <w:rPr>
                <w:rFonts w:hint="eastAsia"/>
                <w:b/>
                <w:szCs w:val="21"/>
              </w:rPr>
            </w:pPr>
            <w:r>
              <w:rPr>
                <w:rFonts w:hint="eastAsia"/>
                <w:b/>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1</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技术要求</w:t>
            </w:r>
          </w:p>
        </w:tc>
        <w:tc>
          <w:tcPr>
            <w:tcW w:w="3704" w:type="pct"/>
            <w:vAlign w:val="center"/>
          </w:tcPr>
          <w:p>
            <w:pPr>
              <w:spacing w:line="240" w:lineRule="auto"/>
              <w:rPr>
                <w:rFonts w:hint="eastAsia"/>
                <w:szCs w:val="21"/>
                <w:lang w:bidi="ar"/>
              </w:rPr>
            </w:pPr>
            <w:r>
              <w:rPr>
                <w:rFonts w:hint="eastAsia" w:cs="Times New Roman"/>
                <w:kern w:val="2"/>
                <w:szCs w:val="21"/>
              </w:rPr>
              <w:t>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2</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商务要求</w:t>
            </w:r>
          </w:p>
        </w:tc>
        <w:tc>
          <w:tcPr>
            <w:tcW w:w="3704" w:type="pct"/>
            <w:vAlign w:val="center"/>
          </w:tcPr>
          <w:p>
            <w:pPr>
              <w:spacing w:line="240" w:lineRule="auto"/>
              <w:rPr>
                <w:rFonts w:hint="eastAsia"/>
                <w:szCs w:val="21"/>
                <w:lang w:bidi="ar"/>
              </w:rPr>
            </w:pPr>
            <w:r>
              <w:rPr>
                <w:rFonts w:hint="eastAsia" w:cs="Times New Roman"/>
                <w:kern w:val="2"/>
                <w:szCs w:val="21"/>
              </w:rPr>
              <w:t>带★内容。</w:t>
            </w:r>
          </w:p>
        </w:tc>
      </w:tr>
    </w:tbl>
    <w:p>
      <w:pPr>
        <w:spacing w:line="276" w:lineRule="auto"/>
        <w:ind w:firstLine="420" w:firstLineChars="200"/>
        <w:rPr>
          <w:rFonts w:hint="eastAsia"/>
          <w:bCs/>
          <w:szCs w:val="21"/>
        </w:rPr>
      </w:pPr>
      <w:r>
        <w:rPr>
          <w:rFonts w:hint="eastAsia"/>
          <w:bCs/>
          <w:szCs w:val="21"/>
        </w:rPr>
        <w:t>备注：</w:t>
      </w:r>
    </w:p>
    <w:p>
      <w:pPr>
        <w:spacing w:line="276" w:lineRule="auto"/>
        <w:ind w:firstLine="420" w:firstLineChars="200"/>
        <w:rPr>
          <w:rFonts w:hint="eastAsia"/>
          <w:bCs/>
          <w:szCs w:val="21"/>
        </w:rPr>
      </w:pPr>
      <w:r>
        <w:rPr>
          <w:bCs/>
          <w:szCs w:val="21"/>
        </w:rPr>
        <w:t>1.</w:t>
      </w:r>
      <w:r>
        <w:rPr>
          <w:rFonts w:hint="eastAsia"/>
          <w:bCs/>
          <w:szCs w:val="21"/>
        </w:rPr>
        <w:t>请各位投标人仔细核对：确保投标文件已按照招标文件要求，在招标文件规定的投标文件格式中的对应节点进行逐一响应，不允许有任何负偏离，否则将作投标无效处理</w:t>
      </w:r>
      <w:r>
        <w:rPr>
          <w:bCs/>
          <w:szCs w:val="21"/>
        </w:rPr>
        <w:t>。</w:t>
      </w:r>
    </w:p>
    <w:p>
      <w:pPr>
        <w:numPr>
          <w:ilvl w:val="0"/>
          <w:numId w:val="2"/>
        </w:numPr>
        <w:adjustRightInd/>
        <w:snapToGrid/>
        <w:spacing w:before="280" w:after="290" w:line="377" w:lineRule="auto"/>
        <w:jc w:val="left"/>
        <w:outlineLvl w:val="2"/>
        <w:rPr>
          <w:rFonts w:hint="eastAsia"/>
          <w:b/>
          <w:sz w:val="24"/>
        </w:rPr>
      </w:pPr>
      <w:bookmarkStart w:id="44" w:name="_Toc27732"/>
      <w:bookmarkStart w:id="45" w:name="_Toc151386156"/>
      <w:bookmarkStart w:id="46" w:name="_Toc150960246"/>
      <w:r>
        <w:rPr>
          <w:rFonts w:hint="eastAsia"/>
          <w:b/>
          <w:sz w:val="24"/>
        </w:rPr>
        <w:t>技术要求</w:t>
      </w:r>
      <w:bookmarkEnd w:id="44"/>
      <w:bookmarkEnd w:id="45"/>
      <w:bookmarkEnd w:id="46"/>
    </w:p>
    <w:tbl>
      <w:tblPr>
        <w:tblStyle w:val="8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770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29" w:type="pct"/>
            <w:gridSpan w:val="2"/>
            <w:vAlign w:val="center"/>
          </w:tcPr>
          <w:p>
            <w:pPr>
              <w:spacing w:line="240" w:lineRule="auto"/>
              <w:ind w:left="430" w:leftChars="4" w:hanging="422" w:hangingChars="200"/>
              <w:jc w:val="center"/>
              <w:rPr>
                <w:rFonts w:hint="eastAsia" w:ascii="Times New Roman" w:eastAsiaTheme="minorEastAsia"/>
                <w:b/>
                <w:szCs w:val="21"/>
              </w:rPr>
            </w:pPr>
            <w:r>
              <w:rPr>
                <w:rFonts w:hint="eastAsia" w:ascii="Times New Roman" w:eastAsiaTheme="minorEastAsia"/>
                <w:b/>
                <w:szCs w:val="21"/>
              </w:rPr>
              <w:t>技术参数要求</w:t>
            </w:r>
          </w:p>
        </w:tc>
        <w:tc>
          <w:tcPr>
            <w:tcW w:w="470" w:type="pct"/>
            <w:vAlign w:val="center"/>
          </w:tcPr>
          <w:p>
            <w:pPr>
              <w:spacing w:line="240" w:lineRule="auto"/>
              <w:ind w:left="430" w:leftChars="4" w:hanging="422" w:hangingChars="200"/>
              <w:jc w:val="center"/>
              <w:rPr>
                <w:rFonts w:hint="eastAsia" w:ascii="Times New Roman" w:eastAsiaTheme="minorEastAsia"/>
                <w:b/>
                <w:szCs w:val="21"/>
              </w:rPr>
            </w:pPr>
            <w:r>
              <w:rPr>
                <w:rFonts w:hint="eastAsia" w:ascii="Times New Roman"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restart"/>
            <w:vAlign w:val="center"/>
          </w:tcPr>
          <w:p>
            <w:pPr>
              <w:tabs>
                <w:tab w:val="left" w:pos="7956"/>
              </w:tabs>
              <w:spacing w:line="240" w:lineRule="auto"/>
              <w:rPr>
                <w:rFonts w:hint="eastAsia"/>
                <w:b/>
                <w:szCs w:val="21"/>
              </w:rPr>
            </w:pPr>
            <w:r>
              <w:rPr>
                <w:rFonts w:hint="eastAsia"/>
                <w:b/>
                <w:szCs w:val="21"/>
              </w:rPr>
              <w:t>主要技术参数：</w:t>
            </w:r>
          </w:p>
        </w:tc>
        <w:tc>
          <w:tcPr>
            <w:tcW w:w="4028" w:type="pct"/>
            <w:vAlign w:val="center"/>
          </w:tcPr>
          <w:p>
            <w:pPr>
              <w:spacing w:line="240" w:lineRule="auto"/>
              <w:ind w:left="430" w:leftChars="4" w:hanging="422" w:hangingChars="200"/>
              <w:jc w:val="left"/>
              <w:rPr>
                <w:rFonts w:hint="eastAsia" w:ascii="Times New Roman" w:eastAsiaTheme="minorEastAsia"/>
                <w:szCs w:val="21"/>
              </w:rPr>
            </w:pPr>
            <w:r>
              <w:rPr>
                <w:rFonts w:ascii="Times New Roman" w:eastAsiaTheme="minorEastAsia"/>
                <w:b/>
                <w:szCs w:val="21"/>
              </w:rPr>
              <w:t>1.飞行时间核酸质谱检测模块：</w:t>
            </w:r>
          </w:p>
        </w:tc>
        <w:tc>
          <w:tcPr>
            <w:tcW w:w="470" w:type="pct"/>
            <w:vAlign w:val="center"/>
          </w:tcPr>
          <w:p>
            <w:pPr>
              <w:spacing w:line="240" w:lineRule="auto"/>
              <w:ind w:left="430" w:leftChars="4" w:hanging="422" w:hangingChars="200"/>
              <w:jc w:val="center"/>
              <w:rPr>
                <w:rFonts w:hint="eastAsia" w:ascii="Times New Roman" w:eastAsiaTheme="minorEastAsia"/>
                <w:b/>
                <w:szCs w:val="21"/>
              </w:rPr>
            </w:pPr>
            <w:r>
              <w:rPr>
                <w:rFonts w:hint="eastAsia" w:ascii="Times New Roman" w:eastAsiaTheme="minorEastAsia"/>
                <w:b/>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hd w:val="clear" w:color="auto" w:fill="FFFFFF" w:themeFill="background1"/>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1.1适用范围：</w:t>
            </w:r>
            <w:r>
              <w:rPr>
                <w:rFonts w:hint="eastAsia" w:ascii="Times New Roman" w:eastAsiaTheme="minorEastAsia"/>
                <w:szCs w:val="21"/>
              </w:rPr>
              <w:t>可应用于植物转基因检测、植物病原物检测、动物疫病检测、动植物源性成分鉴定、食品中微生物检测等领域。</w:t>
            </w:r>
          </w:p>
        </w:tc>
        <w:tc>
          <w:tcPr>
            <w:tcW w:w="470" w:type="pct"/>
            <w:vAlign w:val="center"/>
          </w:tcPr>
          <w:p>
            <w:pPr>
              <w:shd w:val="clear" w:color="auto" w:fill="FFFFFF" w:themeFill="background1"/>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00" w:type="pct"/>
            <w:vMerge w:val="continue"/>
            <w:vAlign w:val="center"/>
          </w:tcPr>
          <w:p>
            <w:pPr>
              <w:spacing w:line="240" w:lineRule="auto"/>
              <w:ind w:left="428" w:leftChars="4" w:hanging="420" w:hangingChars="200"/>
              <w:rPr>
                <w:rFonts w:hint="eastAsia"/>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1.2基于基质辅助激光解析电离飞行时间质谱（MALDI-TOF MS） 技术进行基因检测。通过检测碱基质量的差别，对基因进行直接分析分型；可同时分析检测多个已知单核苷酸多态性（SNP）基因型分析，可检测三等位基因或四等位基因SNP，还可检测碱基插入/缺失、拷贝数变异、基因融合、甲基化等；</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2" w:leftChars="34" w:hanging="211" w:hangingChars="100"/>
              <w:jc w:val="left"/>
              <w:rPr>
                <w:rFonts w:hint="eastAsia" w:ascii="Times New Roman" w:eastAsiaTheme="minorEastAsia"/>
                <w:b/>
                <w:bCs/>
                <w:szCs w:val="21"/>
              </w:rPr>
            </w:pPr>
            <w:r>
              <w:rPr>
                <w:rFonts w:hint="eastAsia" w:ascii="Times New Roman" w:eastAsiaTheme="minorEastAsia"/>
                <w:b/>
                <w:bCs/>
                <w:szCs w:val="21"/>
              </w:rPr>
              <w:t>★</w:t>
            </w:r>
            <w:r>
              <w:rPr>
                <w:rFonts w:ascii="Times New Roman" w:eastAsiaTheme="minorEastAsia"/>
                <w:b/>
                <w:bCs/>
                <w:szCs w:val="21"/>
              </w:rPr>
              <w:t>1.3 单次样本处理能力：</w:t>
            </w:r>
            <w:r>
              <w:rPr>
                <w:rFonts w:hint="eastAsia" w:ascii="Times New Roman" w:eastAsiaTheme="minorEastAsia"/>
                <w:b/>
                <w:bCs/>
                <w:szCs w:val="21"/>
              </w:rPr>
              <w:t>达到</w:t>
            </w:r>
            <w:r>
              <w:rPr>
                <w:rFonts w:ascii="Times New Roman" w:eastAsiaTheme="minorEastAsia"/>
                <w:b/>
                <w:bCs/>
                <w:szCs w:val="21"/>
              </w:rPr>
              <w:t>96个/次。单次一批96个扩增产物的质谱检测时间＜1h。</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1.4激光器: 氮分子激光器，重复频率 30 Hz，波长 337</w:t>
            </w:r>
            <w:r>
              <w:rPr>
                <w:rFonts w:hint="eastAsia" w:ascii="Times New Roman" w:eastAsiaTheme="minorEastAsia"/>
                <w:szCs w:val="21"/>
              </w:rPr>
              <w:t xml:space="preserve"> </w:t>
            </w:r>
            <w:r>
              <w:rPr>
                <w:rFonts w:ascii="Times New Roman" w:eastAsiaTheme="minorEastAsia"/>
                <w:szCs w:val="21"/>
              </w:rPr>
              <w:t>nm；</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 xml:space="preserve">1.5飞行距离: </w:t>
            </w:r>
            <w:r>
              <w:rPr>
                <w:rFonts w:hint="eastAsia"/>
                <w:szCs w:val="21"/>
              </w:rPr>
              <w:t>≥</w:t>
            </w:r>
            <w:r>
              <w:rPr>
                <w:rFonts w:ascii="Times New Roman" w:eastAsiaTheme="minorEastAsia"/>
                <w:szCs w:val="21"/>
              </w:rPr>
              <w:t>800</w:t>
            </w:r>
            <w:r>
              <w:rPr>
                <w:rFonts w:hint="eastAsia" w:ascii="Times New Roman" w:eastAsiaTheme="minorEastAsia"/>
                <w:szCs w:val="21"/>
              </w:rPr>
              <w:t xml:space="preserve"> mm</w:t>
            </w:r>
            <w:r>
              <w:rPr>
                <w:rFonts w:ascii="Times New Roman" w:eastAsiaTheme="minorEastAsia"/>
                <w:szCs w:val="21"/>
              </w:rPr>
              <w:t>；</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hint="eastAsia" w:ascii="Times New Roman" w:eastAsiaTheme="minorEastAsia"/>
                <w:szCs w:val="21"/>
              </w:rPr>
              <w:t>▲</w:t>
            </w:r>
            <w:r>
              <w:rPr>
                <w:rFonts w:ascii="Times New Roman" w:eastAsiaTheme="minorEastAsia"/>
                <w:szCs w:val="21"/>
              </w:rPr>
              <w:t>1.</w:t>
            </w:r>
            <w:r>
              <w:rPr>
                <w:rFonts w:hint="eastAsia" w:ascii="Times New Roman" w:eastAsiaTheme="minorEastAsia"/>
                <w:szCs w:val="21"/>
              </w:rPr>
              <w:t>6</w:t>
            </w:r>
            <w:r>
              <w:rPr>
                <w:rFonts w:ascii="Times New Roman" w:eastAsiaTheme="minorEastAsia"/>
                <w:szCs w:val="21"/>
              </w:rPr>
              <w:t>纯化点样、质谱检测等操作由</w:t>
            </w:r>
            <w:r>
              <w:rPr>
                <w:rFonts w:hint="eastAsia" w:ascii="Times New Roman" w:eastAsiaTheme="minorEastAsia"/>
                <w:szCs w:val="21"/>
                <w:lang w:val="en-US" w:eastAsia="zh-CN"/>
              </w:rPr>
              <w:t>整机</w:t>
            </w:r>
            <w:r>
              <w:rPr>
                <w:rFonts w:ascii="Times New Roman" w:eastAsiaTheme="minorEastAsia"/>
                <w:szCs w:val="21"/>
              </w:rPr>
              <w:t>运行完成；</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▲1.</w:t>
            </w:r>
            <w:r>
              <w:rPr>
                <w:rFonts w:hint="eastAsia" w:ascii="Times New Roman" w:eastAsiaTheme="minorEastAsia"/>
                <w:szCs w:val="21"/>
              </w:rPr>
              <w:t>7具有中文操作系统及控制软件、分析软件</w:t>
            </w:r>
            <w:r>
              <w:rPr>
                <w:rFonts w:ascii="Times New Roman" w:eastAsiaTheme="minorEastAsia"/>
                <w:szCs w:val="21"/>
              </w:rPr>
              <w:t>；</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2" w:leftChars="34" w:hanging="211" w:hangingChars="100"/>
              <w:jc w:val="left"/>
              <w:rPr>
                <w:rFonts w:hint="eastAsia" w:ascii="Times New Roman" w:eastAsiaTheme="minorEastAsia"/>
                <w:szCs w:val="21"/>
              </w:rPr>
            </w:pPr>
            <w:r>
              <w:rPr>
                <w:rFonts w:ascii="Times New Roman" w:eastAsiaTheme="minorEastAsia"/>
                <w:b/>
                <w:szCs w:val="21"/>
              </w:rPr>
              <w:t>2、微量分液模块：</w:t>
            </w:r>
          </w:p>
        </w:tc>
        <w:tc>
          <w:tcPr>
            <w:tcW w:w="470" w:type="pct"/>
            <w:vAlign w:val="center"/>
          </w:tcPr>
          <w:p>
            <w:pPr>
              <w:spacing w:line="240" w:lineRule="auto"/>
              <w:ind w:left="282" w:leftChars="34" w:hanging="211" w:hangingChars="100"/>
              <w:jc w:val="center"/>
              <w:rPr>
                <w:rFonts w:hint="eastAsia" w:ascii="Times New Roman" w:eastAsiaTheme="minorEastAsia"/>
                <w:b/>
                <w:szCs w:val="21"/>
              </w:rPr>
            </w:pPr>
            <w:r>
              <w:rPr>
                <w:rFonts w:hint="eastAsia" w:ascii="Times New Roman" w:eastAsiaTheme="minorEastAsia"/>
                <w:b/>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▲2.1 控制模式：飞行质谱主机与芯片制备模块</w:t>
            </w:r>
            <w:r>
              <w:rPr>
                <w:rFonts w:hint="eastAsia" w:ascii="Times New Roman" w:eastAsiaTheme="minorEastAsia"/>
                <w:szCs w:val="21"/>
                <w:lang w:val="en-US" w:eastAsia="zh-CN"/>
              </w:rPr>
              <w:t>由</w:t>
            </w:r>
            <w:r>
              <w:rPr>
                <w:rFonts w:ascii="Times New Roman" w:eastAsiaTheme="minorEastAsia"/>
                <w:szCs w:val="21"/>
              </w:rPr>
              <w:t>整机</w:t>
            </w:r>
            <w:r>
              <w:rPr>
                <w:rFonts w:hint="eastAsia" w:ascii="Times New Roman" w:eastAsiaTheme="minorEastAsia"/>
                <w:szCs w:val="21"/>
                <w:lang w:val="en-US" w:eastAsia="zh-CN"/>
              </w:rPr>
              <w:t>完成</w:t>
            </w:r>
            <w:r>
              <w:rPr>
                <w:rFonts w:ascii="Times New Roman" w:eastAsiaTheme="minorEastAsia"/>
                <w:szCs w:val="21"/>
              </w:rPr>
              <w:t>；</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10" w:hanging="210" w:hangingChars="100"/>
              <w:jc w:val="left"/>
              <w:rPr>
                <w:rFonts w:hint="eastAsia" w:ascii="Times New Roman" w:eastAsiaTheme="minorEastAsia"/>
                <w:szCs w:val="21"/>
              </w:rPr>
            </w:pPr>
            <w:r>
              <w:rPr>
                <w:rFonts w:ascii="Times New Roman" w:eastAsiaTheme="minorEastAsia"/>
                <w:szCs w:val="21"/>
              </w:rPr>
              <w:t>2.2</w:t>
            </w:r>
            <w:r>
              <w:rPr>
                <w:rFonts w:hint="eastAsia" w:ascii="Times New Roman" w:eastAsiaTheme="minorEastAsia"/>
                <w:szCs w:val="21"/>
              </w:rPr>
              <w:t>预</w:t>
            </w:r>
            <w:r>
              <w:rPr>
                <w:rFonts w:ascii="Times New Roman" w:eastAsiaTheme="minorEastAsia"/>
                <w:szCs w:val="21"/>
              </w:rPr>
              <w:t>分装树脂即用即开，放置核酸质谱芯片、96孔微板、预分装树脂、一次性吸样针头在一体化模块上；通过吸取树脂到96孔微版与PCR扩增产物进行纯化，吸取上清将样品转移到核酸质谱芯片上形成共结晶，自动化操作；</w:t>
            </w:r>
          </w:p>
        </w:tc>
        <w:tc>
          <w:tcPr>
            <w:tcW w:w="470" w:type="pct"/>
            <w:vAlign w:val="center"/>
          </w:tcPr>
          <w:p>
            <w:pPr>
              <w:spacing w:line="240" w:lineRule="auto"/>
              <w:ind w:left="210"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2.3分液通量：</w:t>
            </w:r>
            <w:r>
              <w:rPr>
                <w:rFonts w:hint="eastAsia" w:ascii="Times New Roman" w:eastAsiaTheme="minorEastAsia"/>
                <w:szCs w:val="21"/>
              </w:rPr>
              <w:t>一次</w:t>
            </w:r>
            <w:r>
              <w:rPr>
                <w:rFonts w:ascii="Times New Roman" w:eastAsiaTheme="minorEastAsia"/>
                <w:szCs w:val="21"/>
              </w:rPr>
              <w:t>点样</w:t>
            </w:r>
            <w:r>
              <w:rPr>
                <w:rFonts w:hint="eastAsia" w:ascii="Times New Roman" w:eastAsiaTheme="minorEastAsia"/>
                <w:szCs w:val="21"/>
              </w:rPr>
              <w:t>1~</w:t>
            </w:r>
            <w:r>
              <w:rPr>
                <w:rFonts w:ascii="Times New Roman" w:eastAsiaTheme="minorEastAsia"/>
                <w:szCs w:val="21"/>
              </w:rPr>
              <w:t>6个样本，纳升级分液体积，</w:t>
            </w:r>
            <w:r>
              <w:rPr>
                <w:rFonts w:hint="eastAsia" w:ascii="Times New Roman" w:eastAsiaTheme="minorEastAsia"/>
                <w:szCs w:val="21"/>
              </w:rPr>
              <w:t>可进行</w:t>
            </w:r>
            <w:r>
              <w:rPr>
                <w:rFonts w:ascii="Times New Roman" w:eastAsiaTheme="minorEastAsia"/>
                <w:szCs w:val="21"/>
              </w:rPr>
              <w:t>微量样品精准移液；</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2.4核酸质谱仪内置计算机控制机械手，将纳升级液体从 PCR 样品板，转移到相应的核酸质谱芯片上；</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hint="eastAsia" w:ascii="Times New Roman" w:eastAsiaTheme="minorEastAsia"/>
                <w:szCs w:val="21"/>
              </w:rPr>
              <w:t>▲</w:t>
            </w:r>
            <w:r>
              <w:rPr>
                <w:rFonts w:ascii="Times New Roman" w:eastAsiaTheme="minorEastAsia"/>
                <w:szCs w:val="21"/>
              </w:rPr>
              <w:t>2.5 点样模式：</w:t>
            </w:r>
            <w:r>
              <w:rPr>
                <w:rFonts w:hint="eastAsia" w:ascii="Times New Roman" w:eastAsiaTheme="minorEastAsia"/>
                <w:szCs w:val="21"/>
                <w:lang w:val="en-US" w:eastAsia="zh-CN"/>
              </w:rPr>
              <w:t>全自动点样，杜绝孔间交叉污染</w:t>
            </w:r>
            <w:r>
              <w:rPr>
                <w:rFonts w:ascii="Times New Roman" w:eastAsiaTheme="minorEastAsia"/>
                <w:szCs w:val="21"/>
              </w:rPr>
              <w:t>；</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▲2.6 样品纯化：采用标准96孔微孔板预分装树脂，树脂按需使用；</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2.7产物不需要转板；</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2.8点样模板自动扫描识别配套芯片耗材的二维码获取序列号和批号，可实现样本检测过程质控追溯。</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2" w:leftChars="34" w:hanging="211" w:hangingChars="100"/>
              <w:jc w:val="left"/>
              <w:rPr>
                <w:rFonts w:hint="eastAsia" w:ascii="Times New Roman" w:eastAsiaTheme="minorEastAsia"/>
                <w:szCs w:val="21"/>
              </w:rPr>
            </w:pPr>
            <w:r>
              <w:rPr>
                <w:rFonts w:ascii="Times New Roman" w:eastAsiaTheme="minorEastAsia"/>
                <w:b/>
                <w:szCs w:val="21"/>
              </w:rPr>
              <w:t>3.全自动样本处理系统：</w:t>
            </w:r>
          </w:p>
        </w:tc>
        <w:tc>
          <w:tcPr>
            <w:tcW w:w="470" w:type="pct"/>
            <w:vAlign w:val="center"/>
          </w:tcPr>
          <w:p>
            <w:pPr>
              <w:spacing w:line="240" w:lineRule="auto"/>
              <w:ind w:left="282" w:leftChars="34" w:hanging="211" w:hangingChars="100"/>
              <w:jc w:val="center"/>
              <w:rPr>
                <w:rFonts w:hint="eastAsia" w:ascii="Times New Roman" w:eastAsiaTheme="minorEastAsia"/>
                <w:b/>
                <w:szCs w:val="21"/>
              </w:rPr>
            </w:pPr>
            <w:r>
              <w:rPr>
                <w:rFonts w:hint="eastAsia" w:ascii="Times New Roman" w:eastAsiaTheme="minorEastAsia"/>
                <w:b/>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▲3.1板位数量：</w:t>
            </w:r>
            <w:r>
              <w:rPr>
                <w:rFonts w:hint="eastAsia" w:asciiTheme="minorEastAsia" w:hAnsiTheme="minorEastAsia" w:eastAsiaTheme="minorEastAsia"/>
                <w:szCs w:val="21"/>
              </w:rPr>
              <w:t>≥</w:t>
            </w:r>
            <w:r>
              <w:rPr>
                <w:rFonts w:ascii="Times New Roman" w:eastAsiaTheme="minorEastAsia"/>
                <w:szCs w:val="21"/>
              </w:rPr>
              <w:t>15个标准板位；</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3.</w:t>
            </w:r>
            <w:r>
              <w:rPr>
                <w:rFonts w:hint="eastAsia" w:ascii="Times New Roman" w:eastAsiaTheme="minorEastAsia"/>
                <w:szCs w:val="21"/>
              </w:rPr>
              <w:t>2</w:t>
            </w:r>
            <w:r>
              <w:rPr>
                <w:rFonts w:ascii="Times New Roman" w:eastAsiaTheme="minorEastAsia"/>
                <w:szCs w:val="21"/>
              </w:rPr>
              <w:t>移液头配置及移液范围：8道移液头；1-50μL；</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3.</w:t>
            </w:r>
            <w:r>
              <w:rPr>
                <w:rFonts w:hint="eastAsia" w:ascii="Times New Roman" w:eastAsiaTheme="minorEastAsia"/>
                <w:szCs w:val="21"/>
              </w:rPr>
              <w:t>3</w:t>
            </w:r>
            <w:r>
              <w:rPr>
                <w:rFonts w:ascii="Times New Roman" w:eastAsiaTheme="minorEastAsia"/>
                <w:szCs w:val="21"/>
              </w:rPr>
              <w:t>移液精度：1 μL和2 μL：CV≤5%；50 μL：CV≤1%；取吸头感应和液面探测功能；</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3.</w:t>
            </w:r>
            <w:r>
              <w:rPr>
                <w:rFonts w:hint="eastAsia" w:ascii="Times New Roman" w:eastAsiaTheme="minorEastAsia"/>
                <w:szCs w:val="21"/>
              </w:rPr>
              <w:t>4</w:t>
            </w:r>
            <w:r>
              <w:rPr>
                <w:rFonts w:ascii="Times New Roman" w:eastAsiaTheme="minorEastAsia"/>
                <w:szCs w:val="21"/>
              </w:rPr>
              <w:t>耗材适配</w:t>
            </w:r>
            <w:r>
              <w:rPr>
                <w:rFonts w:hint="eastAsia" w:ascii="Times New Roman" w:eastAsiaTheme="minorEastAsia"/>
                <w:szCs w:val="21"/>
              </w:rPr>
              <w:t>性</w:t>
            </w:r>
            <w:r>
              <w:rPr>
                <w:rFonts w:ascii="Times New Roman" w:eastAsiaTheme="minorEastAsia"/>
                <w:szCs w:val="21"/>
              </w:rPr>
              <w:t>：板位支持SBS标准的96或384孔板、储液槽，根据不同类型的用户实验需求，可选配采血管、Eppendorf管适配器；</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3.</w:t>
            </w:r>
            <w:r>
              <w:rPr>
                <w:rFonts w:hint="eastAsia" w:ascii="Times New Roman" w:eastAsiaTheme="minorEastAsia"/>
                <w:szCs w:val="21"/>
              </w:rPr>
              <w:t>5</w:t>
            </w:r>
            <w:r>
              <w:rPr>
                <w:rFonts w:ascii="Times New Roman" w:eastAsiaTheme="minorEastAsia"/>
                <w:szCs w:val="21"/>
              </w:rPr>
              <w:t>标配UV和HEPA；</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2" w:leftChars="34" w:hanging="211" w:hangingChars="100"/>
              <w:jc w:val="left"/>
              <w:rPr>
                <w:rFonts w:hint="eastAsia" w:ascii="Times New Roman" w:eastAsiaTheme="minorEastAsia"/>
                <w:szCs w:val="21"/>
              </w:rPr>
            </w:pPr>
            <w:r>
              <w:rPr>
                <w:rFonts w:ascii="Times New Roman" w:eastAsiaTheme="minorEastAsia"/>
                <w:b/>
                <w:szCs w:val="21"/>
              </w:rPr>
              <w:t>4数据库、软件系统及其功能：</w:t>
            </w:r>
          </w:p>
        </w:tc>
        <w:tc>
          <w:tcPr>
            <w:tcW w:w="470" w:type="pct"/>
            <w:vAlign w:val="center"/>
          </w:tcPr>
          <w:p>
            <w:pPr>
              <w:spacing w:line="240" w:lineRule="auto"/>
              <w:ind w:left="282" w:leftChars="34" w:hanging="211" w:hangingChars="100"/>
              <w:jc w:val="center"/>
              <w:rPr>
                <w:rFonts w:hint="eastAsia" w:ascii="Times New Roman" w:eastAsiaTheme="minorEastAsia"/>
                <w:b/>
                <w:szCs w:val="21"/>
              </w:rPr>
            </w:pPr>
            <w:r>
              <w:rPr>
                <w:rFonts w:hint="eastAsia" w:ascii="Times New Roman" w:eastAsiaTheme="minorEastAsia"/>
                <w:b/>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4.1 软件格式：SNP 基因型分析系统；</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4.2 软件操作：随机控制软件一体化，从 Assay 导入、编板、样本信息导入、质谱分析同个软件运行；</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4.3 有效性：可以对≥95%的已知 SNP 和 INDEL 进行实验设计；</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281" w:leftChars="34" w:hanging="210" w:hangingChars="100"/>
              <w:jc w:val="left"/>
              <w:rPr>
                <w:rFonts w:hint="eastAsia" w:ascii="Times New Roman" w:eastAsiaTheme="minorEastAsia"/>
                <w:szCs w:val="21"/>
              </w:rPr>
            </w:pPr>
            <w:r>
              <w:rPr>
                <w:rFonts w:ascii="Times New Roman" w:eastAsiaTheme="minorEastAsia"/>
                <w:szCs w:val="21"/>
              </w:rPr>
              <w:t>4.4 软件识别：全自动实时数据获取和分析，直接提供生物学结果，即 SNP 位点的核酸组成，如纯合子（AA 或 CC）或杂合子（AC）。可提供核酸检测试剂盒检测报告≥20 种；</w:t>
            </w:r>
          </w:p>
        </w:tc>
        <w:tc>
          <w:tcPr>
            <w:tcW w:w="470" w:type="pct"/>
            <w:vAlign w:val="center"/>
          </w:tcPr>
          <w:p>
            <w:pPr>
              <w:spacing w:line="240" w:lineRule="auto"/>
              <w:ind w:left="281" w:leftChars="34" w:hanging="210" w:hangingChars="100"/>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rPr>
            </w:pPr>
          </w:p>
        </w:tc>
        <w:tc>
          <w:tcPr>
            <w:tcW w:w="4028" w:type="pct"/>
            <w:vAlign w:val="center"/>
          </w:tcPr>
          <w:p>
            <w:pPr>
              <w:spacing w:line="240" w:lineRule="auto"/>
              <w:ind w:left="210" w:hanging="210" w:hangingChars="100"/>
              <w:jc w:val="left"/>
              <w:rPr>
                <w:rFonts w:hint="eastAsia" w:ascii="Times New Roman" w:eastAsiaTheme="minorEastAsia"/>
                <w:szCs w:val="21"/>
              </w:rPr>
            </w:pPr>
            <w:r>
              <w:rPr>
                <w:rFonts w:ascii="Times New Roman" w:eastAsiaTheme="minorEastAsia"/>
                <w:szCs w:val="21"/>
              </w:rPr>
              <w:t>▲4.</w:t>
            </w:r>
            <w:r>
              <w:rPr>
                <w:rFonts w:hint="eastAsia" w:ascii="Times New Roman" w:eastAsiaTheme="minorEastAsia"/>
                <w:szCs w:val="21"/>
              </w:rPr>
              <w:t>5</w:t>
            </w:r>
            <w:r>
              <w:rPr>
                <w:rFonts w:ascii="Times New Roman" w:eastAsiaTheme="minorEastAsia"/>
                <w:szCs w:val="21"/>
              </w:rPr>
              <w:t>海关进出境</w:t>
            </w:r>
            <w:r>
              <w:rPr>
                <w:rFonts w:hint="eastAsia" w:ascii="Times New Roman" w:eastAsiaTheme="minorEastAsia"/>
                <w:szCs w:val="21"/>
              </w:rPr>
              <w:t>转基因数据库、植物病原物数据库、动</w:t>
            </w:r>
            <w:r>
              <w:rPr>
                <w:rFonts w:ascii="Times New Roman" w:eastAsiaTheme="minorEastAsia"/>
                <w:szCs w:val="21"/>
              </w:rPr>
              <w:t>物疫病病原数据库</w:t>
            </w:r>
            <w:r>
              <w:rPr>
                <w:rFonts w:hint="eastAsia" w:ascii="Times New Roman" w:eastAsiaTheme="minorEastAsia"/>
                <w:szCs w:val="21"/>
              </w:rPr>
              <w:t>等</w:t>
            </w:r>
            <w:r>
              <w:rPr>
                <w:rFonts w:ascii="Times New Roman" w:eastAsiaTheme="minorEastAsia"/>
                <w:szCs w:val="21"/>
              </w:rPr>
              <w:t>。</w:t>
            </w:r>
          </w:p>
        </w:tc>
        <w:tc>
          <w:tcPr>
            <w:tcW w:w="470" w:type="pct"/>
            <w:vAlign w:val="center"/>
          </w:tcPr>
          <w:p>
            <w:pPr>
              <w:spacing w:line="240" w:lineRule="auto"/>
              <w:ind w:left="210" w:hanging="210" w:hangingChars="1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jc w:val="left"/>
              <w:rPr>
                <w:rFonts w:hint="eastAsia" w:ascii="Times New Roman" w:eastAsiaTheme="minorEastAsia"/>
                <w:szCs w:val="21"/>
              </w:rPr>
            </w:pPr>
            <w:r>
              <w:rPr>
                <w:rFonts w:ascii="Times New Roman" w:eastAsiaTheme="minorEastAsia"/>
                <w:b/>
                <w:szCs w:val="21"/>
              </w:rPr>
              <w:t>5.试剂盒及开展项目需求</w:t>
            </w:r>
          </w:p>
        </w:tc>
        <w:tc>
          <w:tcPr>
            <w:tcW w:w="470" w:type="pct"/>
            <w:vAlign w:val="center"/>
          </w:tcPr>
          <w:p>
            <w:pPr>
              <w:spacing w:line="240" w:lineRule="auto"/>
              <w:jc w:val="center"/>
              <w:rPr>
                <w:rFonts w:hint="eastAsia" w:ascii="Times New Roman" w:eastAsiaTheme="minorEastAsia"/>
                <w:b/>
                <w:szCs w:val="21"/>
              </w:rPr>
            </w:pPr>
            <w:r>
              <w:rPr>
                <w:rFonts w:hint="eastAsia" w:ascii="Times New Roman" w:eastAsiaTheme="minorEastAsia"/>
                <w:b/>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spacing w:line="240" w:lineRule="auto"/>
              <w:ind w:left="428" w:leftChars="4" w:hanging="420" w:hangingChars="200"/>
              <w:rPr>
                <w:rFonts w:hint="eastAsia" w:ascii="Times New Roman" w:eastAsiaTheme="minorEastAsia"/>
                <w:szCs w:val="21"/>
              </w:rPr>
            </w:pPr>
          </w:p>
        </w:tc>
        <w:tc>
          <w:tcPr>
            <w:tcW w:w="4028" w:type="pct"/>
            <w:vAlign w:val="center"/>
          </w:tcPr>
          <w:p>
            <w:pPr>
              <w:spacing w:line="240" w:lineRule="auto"/>
              <w:ind w:left="428" w:leftChars="4" w:hanging="420" w:hangingChars="200"/>
              <w:jc w:val="left"/>
              <w:rPr>
                <w:rFonts w:hint="eastAsia" w:ascii="Times New Roman" w:eastAsiaTheme="minorEastAsia"/>
                <w:szCs w:val="21"/>
              </w:rPr>
            </w:pPr>
            <w:r>
              <w:rPr>
                <w:rFonts w:ascii="Times New Roman" w:eastAsiaTheme="minorEastAsia"/>
                <w:szCs w:val="21"/>
              </w:rPr>
              <w:t>▲5.</w:t>
            </w:r>
            <w:r>
              <w:rPr>
                <w:rFonts w:hint="eastAsia" w:ascii="Times New Roman" w:eastAsiaTheme="minorEastAsia"/>
                <w:szCs w:val="21"/>
              </w:rPr>
              <w:t>1</w:t>
            </w:r>
            <w:r>
              <w:rPr>
                <w:rFonts w:ascii="Times New Roman" w:eastAsiaTheme="minorEastAsia"/>
                <w:szCs w:val="21"/>
              </w:rPr>
              <w:t xml:space="preserve"> </w:t>
            </w:r>
            <w:r>
              <w:rPr>
                <w:rFonts w:hint="eastAsia" w:ascii="Times New Roman" w:eastAsiaTheme="minorEastAsia"/>
                <w:szCs w:val="21"/>
              </w:rPr>
              <w:t>提供配套的</w:t>
            </w:r>
            <w:r>
              <w:rPr>
                <w:rFonts w:ascii="Times New Roman" w:eastAsiaTheme="minorEastAsia"/>
                <w:szCs w:val="21"/>
              </w:rPr>
              <w:t>转基因检测试剂盒，牛呼吸道疾病检测试剂盒，猪呼吸道疾病检测试剂盒，禽类疾病检测试剂盒，化妆品中微生物检测试剂盒</w:t>
            </w:r>
            <w:r>
              <w:rPr>
                <w:rFonts w:hint="eastAsia" w:ascii="Times New Roman" w:eastAsiaTheme="minorEastAsia"/>
                <w:szCs w:val="21"/>
              </w:rPr>
              <w:t>。</w:t>
            </w:r>
          </w:p>
        </w:tc>
        <w:tc>
          <w:tcPr>
            <w:tcW w:w="470" w:type="pct"/>
            <w:vAlign w:val="center"/>
          </w:tcPr>
          <w:p>
            <w:pPr>
              <w:spacing w:line="240" w:lineRule="auto"/>
              <w:ind w:left="428" w:leftChars="4" w:hanging="420" w:hangingChars="200"/>
              <w:jc w:val="center"/>
              <w:rPr>
                <w:rFonts w:hint="eastAsia" w:ascii="Times New Roman" w:eastAsiaTheme="minorEastAsia"/>
                <w:szCs w:val="21"/>
              </w:rPr>
            </w:pPr>
            <w:r>
              <w:rPr>
                <w:rFonts w:hint="eastAsia" w:ascii="Times New Roman"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restart"/>
            <w:vAlign w:val="center"/>
          </w:tcPr>
          <w:p>
            <w:pPr>
              <w:spacing w:line="240" w:lineRule="auto"/>
              <w:jc w:val="center"/>
              <w:rPr>
                <w:rFonts w:hint="eastAsia"/>
                <w:szCs w:val="21"/>
              </w:rPr>
            </w:pPr>
            <w:r>
              <w:rPr>
                <w:rFonts w:hint="eastAsia"/>
                <w:b/>
                <w:szCs w:val="21"/>
              </w:rPr>
              <w:t>其他技术参数：</w:t>
            </w:r>
          </w:p>
        </w:tc>
        <w:tc>
          <w:tcPr>
            <w:tcW w:w="4028" w:type="pct"/>
            <w:vAlign w:val="center"/>
          </w:tcPr>
          <w:p>
            <w:pPr>
              <w:spacing w:line="240" w:lineRule="auto"/>
              <w:ind w:left="13" w:hanging="12" w:hangingChars="6"/>
              <w:jc w:val="left"/>
              <w:rPr>
                <w:rFonts w:hint="eastAsia" w:eastAsiaTheme="minorEastAsia"/>
                <w:szCs w:val="21"/>
              </w:rPr>
            </w:pPr>
            <w:r>
              <w:rPr>
                <w:rFonts w:hint="eastAsia" w:ascii="Times New Roman" w:eastAsiaTheme="minorEastAsia"/>
                <w:szCs w:val="21"/>
              </w:rPr>
              <w:t>1、</w:t>
            </w:r>
            <w:r>
              <w:rPr>
                <w:rFonts w:ascii="Times New Roman" w:eastAsiaTheme="minorEastAsia"/>
                <w:szCs w:val="21"/>
              </w:rPr>
              <w:t>软件界面：拥有独立的命令和耗材选择，以及命令编辑区域；可视化界面，软件台面示意图和实际台面布局一致；</w:t>
            </w:r>
          </w:p>
        </w:tc>
        <w:tc>
          <w:tcPr>
            <w:tcW w:w="470" w:type="pct"/>
            <w:vAlign w:val="center"/>
          </w:tcPr>
          <w:p>
            <w:pPr>
              <w:spacing w:line="240" w:lineRule="auto"/>
              <w:ind w:left="13" w:hanging="12" w:hangingChars="6"/>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pStyle w:val="315"/>
              <w:spacing w:line="240" w:lineRule="auto"/>
              <w:ind w:firstLine="0" w:firstLineChars="0"/>
              <w:jc w:val="left"/>
            </w:pPr>
          </w:p>
        </w:tc>
        <w:tc>
          <w:tcPr>
            <w:tcW w:w="4028" w:type="pct"/>
            <w:vAlign w:val="center"/>
          </w:tcPr>
          <w:p>
            <w:pPr>
              <w:spacing w:line="240" w:lineRule="auto"/>
              <w:ind w:left="13" w:hanging="12" w:hangingChars="6"/>
              <w:jc w:val="left"/>
              <w:rPr>
                <w:rFonts w:hint="eastAsia" w:eastAsiaTheme="minorEastAsia"/>
                <w:szCs w:val="21"/>
              </w:rPr>
            </w:pPr>
            <w:r>
              <w:rPr>
                <w:rFonts w:hint="eastAsia" w:ascii="Times New Roman" w:eastAsiaTheme="minorEastAsia"/>
                <w:szCs w:val="21"/>
              </w:rPr>
              <w:t>2、</w:t>
            </w:r>
            <w:r>
              <w:rPr>
                <w:rFonts w:ascii="Times New Roman" w:eastAsiaTheme="minorEastAsia"/>
                <w:szCs w:val="21"/>
              </w:rPr>
              <w:t>软件功能：</w:t>
            </w:r>
            <w:r>
              <w:rPr>
                <w:rFonts w:hint="eastAsia" w:ascii="Times New Roman" w:eastAsiaTheme="minorEastAsia"/>
                <w:szCs w:val="21"/>
              </w:rPr>
              <w:t>支持</w:t>
            </w:r>
            <w:r>
              <w:rPr>
                <w:rFonts w:ascii="Times New Roman" w:eastAsiaTheme="minorEastAsia"/>
                <w:szCs w:val="21"/>
              </w:rPr>
              <w:t>自定义的程序命令；支持从excel表格文件中导入移液参数；支持移液参数编辑；可控制吸头精细动作，如靠壁吸排液等；可与数据库、实验室信息管理系统（LIMS）整合；程序可脱机编辑；软件具有程序自检功能。</w:t>
            </w:r>
          </w:p>
        </w:tc>
        <w:tc>
          <w:tcPr>
            <w:tcW w:w="470" w:type="pct"/>
            <w:vAlign w:val="center"/>
          </w:tcPr>
          <w:p>
            <w:pPr>
              <w:spacing w:line="240" w:lineRule="auto"/>
              <w:ind w:left="13" w:hanging="12" w:hangingChars="6"/>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pStyle w:val="315"/>
              <w:spacing w:line="240" w:lineRule="auto"/>
              <w:ind w:firstLine="0" w:firstLineChars="0"/>
              <w:jc w:val="left"/>
              <w:rPr>
                <w:rFonts w:eastAsiaTheme="minorEastAsia"/>
                <w:szCs w:val="21"/>
              </w:rPr>
            </w:pPr>
          </w:p>
        </w:tc>
        <w:tc>
          <w:tcPr>
            <w:tcW w:w="4028" w:type="pct"/>
            <w:vAlign w:val="center"/>
          </w:tcPr>
          <w:p>
            <w:pPr>
              <w:spacing w:line="240" w:lineRule="auto"/>
              <w:ind w:left="13" w:hanging="12" w:hangingChars="6"/>
              <w:jc w:val="left"/>
              <w:rPr>
                <w:rFonts w:hint="eastAsia" w:eastAsiaTheme="minorEastAsia"/>
                <w:szCs w:val="21"/>
              </w:rPr>
            </w:pPr>
            <w:r>
              <w:rPr>
                <w:rFonts w:hint="eastAsia" w:ascii="Times New Roman" w:eastAsiaTheme="minorEastAsia"/>
                <w:szCs w:val="21"/>
              </w:rPr>
              <w:t>3、</w:t>
            </w:r>
            <w:r>
              <w:rPr>
                <w:rFonts w:ascii="Times New Roman" w:eastAsiaTheme="minorEastAsia"/>
                <w:szCs w:val="21"/>
              </w:rPr>
              <w:t>出厂提供一整套可追溯的安装 (IQ) 和操作 (OQ) 测试，确保系统运行符合公司 放行标准。</w:t>
            </w:r>
          </w:p>
        </w:tc>
        <w:tc>
          <w:tcPr>
            <w:tcW w:w="470" w:type="pct"/>
            <w:vAlign w:val="center"/>
          </w:tcPr>
          <w:p>
            <w:pPr>
              <w:spacing w:line="240" w:lineRule="auto"/>
              <w:ind w:left="13" w:hanging="12" w:hangingChars="6"/>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Merge w:val="continue"/>
            <w:vAlign w:val="center"/>
          </w:tcPr>
          <w:p>
            <w:pPr>
              <w:pStyle w:val="315"/>
              <w:spacing w:line="240" w:lineRule="auto"/>
              <w:ind w:firstLine="0" w:firstLineChars="0"/>
              <w:jc w:val="left"/>
              <w:rPr>
                <w:rFonts w:eastAsiaTheme="minorEastAsia"/>
                <w:szCs w:val="21"/>
              </w:rPr>
            </w:pPr>
          </w:p>
        </w:tc>
        <w:tc>
          <w:tcPr>
            <w:tcW w:w="4028" w:type="pct"/>
            <w:vAlign w:val="center"/>
          </w:tcPr>
          <w:p>
            <w:pPr>
              <w:spacing w:line="240" w:lineRule="auto"/>
              <w:ind w:left="13" w:hanging="12" w:hangingChars="6"/>
              <w:jc w:val="left"/>
              <w:rPr>
                <w:rFonts w:hint="eastAsia" w:eastAsiaTheme="minorEastAsia"/>
                <w:szCs w:val="21"/>
              </w:rPr>
            </w:pPr>
            <w:r>
              <w:rPr>
                <w:rFonts w:hint="eastAsia" w:ascii="Times New Roman" w:eastAsiaTheme="minorEastAsia"/>
                <w:szCs w:val="21"/>
              </w:rPr>
              <w:t>4、</w:t>
            </w:r>
            <w:r>
              <w:rPr>
                <w:rFonts w:ascii="Times New Roman" w:eastAsiaTheme="minorEastAsia"/>
                <w:szCs w:val="21"/>
              </w:rPr>
              <w:t>配套标准96孔微板预分装树脂。</w:t>
            </w:r>
          </w:p>
        </w:tc>
        <w:tc>
          <w:tcPr>
            <w:tcW w:w="470" w:type="pct"/>
            <w:vAlign w:val="center"/>
          </w:tcPr>
          <w:p>
            <w:pPr>
              <w:spacing w:line="240" w:lineRule="auto"/>
              <w:ind w:left="13" w:hanging="12" w:hangingChars="6"/>
              <w:jc w:val="center"/>
              <w:rPr>
                <w:rFonts w:hint="eastAsia" w:asci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 w:type="pct"/>
            <w:vAlign w:val="center"/>
          </w:tcPr>
          <w:p>
            <w:pPr>
              <w:spacing w:line="240" w:lineRule="auto"/>
              <w:rPr>
                <w:rFonts w:hint="eastAsia"/>
                <w:b/>
                <w:szCs w:val="21"/>
              </w:rPr>
            </w:pPr>
            <w:r>
              <w:rPr>
                <w:rFonts w:hint="eastAsia" w:ascii="Times New Roman" w:eastAsiaTheme="minorEastAsia"/>
                <w:szCs w:val="21"/>
              </w:rPr>
              <w:t>★</w:t>
            </w:r>
            <w:r>
              <w:rPr>
                <w:rFonts w:hint="eastAsia"/>
                <w:b/>
                <w:szCs w:val="21"/>
              </w:rPr>
              <w:t>配置要求：</w:t>
            </w:r>
          </w:p>
        </w:tc>
        <w:tc>
          <w:tcPr>
            <w:tcW w:w="4028" w:type="pct"/>
            <w:vAlign w:val="center"/>
          </w:tcPr>
          <w:p>
            <w:pPr>
              <w:spacing w:line="240" w:lineRule="auto"/>
              <w:ind w:left="13" w:hanging="13" w:hangingChars="6"/>
              <w:jc w:val="left"/>
              <w:rPr>
                <w:rFonts w:hint="eastAsia" w:ascii="Times New Roman" w:eastAsiaTheme="minorEastAsia"/>
                <w:b/>
                <w:bCs/>
                <w:szCs w:val="21"/>
              </w:rPr>
            </w:pPr>
            <w:r>
              <w:rPr>
                <w:rFonts w:ascii="Times New Roman" w:eastAsiaTheme="minorEastAsia"/>
                <w:b/>
                <w:bCs/>
                <w:szCs w:val="21"/>
              </w:rPr>
              <w:t>1、飞行时间核酸质谱主机</w:t>
            </w:r>
            <w:r>
              <w:rPr>
                <w:rFonts w:hint="eastAsia" w:ascii="Times New Roman" w:eastAsia="宋体"/>
                <w:b/>
                <w:bCs/>
                <w:szCs w:val="21"/>
              </w:rPr>
              <w:t>（含全自动样本处理系统）</w:t>
            </w:r>
            <w:r>
              <w:rPr>
                <w:rFonts w:ascii="Times New Roman" w:eastAsiaTheme="minorEastAsia"/>
                <w:b/>
                <w:bCs/>
                <w:szCs w:val="21"/>
              </w:rPr>
              <w:t xml:space="preserve">  1 套</w:t>
            </w:r>
          </w:p>
          <w:p>
            <w:pPr>
              <w:spacing w:line="240" w:lineRule="auto"/>
              <w:ind w:left="13" w:hanging="13" w:hangingChars="6"/>
              <w:jc w:val="left"/>
              <w:rPr>
                <w:rFonts w:hint="eastAsia" w:ascii="Times New Roman" w:eastAsiaTheme="minorEastAsia"/>
                <w:b/>
                <w:bCs/>
                <w:szCs w:val="21"/>
              </w:rPr>
            </w:pPr>
            <w:r>
              <w:rPr>
                <w:rFonts w:ascii="Times New Roman" w:eastAsiaTheme="minorEastAsia"/>
                <w:b/>
                <w:bCs/>
                <w:szCs w:val="21"/>
              </w:rPr>
              <w:t>2、数据分析系统 1套</w:t>
            </w:r>
          </w:p>
          <w:p>
            <w:pPr>
              <w:spacing w:line="240" w:lineRule="auto"/>
              <w:ind w:left="13" w:hanging="13" w:hangingChars="6"/>
              <w:jc w:val="left"/>
              <w:rPr>
                <w:rFonts w:hint="eastAsia" w:ascii="Times New Roman" w:eastAsiaTheme="minorEastAsia"/>
                <w:b/>
                <w:bCs/>
                <w:szCs w:val="21"/>
              </w:rPr>
            </w:pPr>
            <w:r>
              <w:rPr>
                <w:rFonts w:hint="eastAsia" w:ascii="Times New Roman" w:eastAsiaTheme="minorEastAsia"/>
                <w:b/>
                <w:bCs/>
                <w:szCs w:val="21"/>
                <w:lang w:val="en-US" w:eastAsia="zh-CN"/>
              </w:rPr>
              <w:t>3</w:t>
            </w:r>
            <w:r>
              <w:rPr>
                <w:rFonts w:ascii="Times New Roman" w:eastAsiaTheme="minorEastAsia"/>
                <w:b/>
                <w:bCs/>
                <w:szCs w:val="21"/>
              </w:rPr>
              <w:t>、海关进出境动物疫病病源数据库  1套</w:t>
            </w:r>
          </w:p>
          <w:p>
            <w:pPr>
              <w:spacing w:line="240" w:lineRule="auto"/>
              <w:ind w:left="13" w:hanging="13" w:hangingChars="6"/>
              <w:jc w:val="left"/>
              <w:rPr>
                <w:rFonts w:hint="eastAsia" w:ascii="Times New Roman" w:eastAsiaTheme="minorEastAsia"/>
                <w:b/>
                <w:bCs/>
                <w:szCs w:val="21"/>
              </w:rPr>
            </w:pPr>
            <w:r>
              <w:rPr>
                <w:rFonts w:hint="eastAsia" w:ascii="Times New Roman" w:eastAsiaTheme="minorEastAsia"/>
                <w:b/>
                <w:bCs/>
                <w:szCs w:val="21"/>
                <w:lang w:val="en-US" w:eastAsia="zh-CN"/>
              </w:rPr>
              <w:t>4</w:t>
            </w:r>
            <w:r>
              <w:rPr>
                <w:rFonts w:ascii="Times New Roman" w:eastAsiaTheme="minorEastAsia"/>
                <w:b/>
                <w:bCs/>
                <w:szCs w:val="21"/>
              </w:rPr>
              <w:t>、质谱系统启动标准耗材包    1套</w:t>
            </w:r>
          </w:p>
          <w:p>
            <w:pPr>
              <w:spacing w:line="240" w:lineRule="auto"/>
              <w:ind w:left="13" w:hanging="13" w:hangingChars="6"/>
              <w:jc w:val="left"/>
              <w:rPr>
                <w:rFonts w:hint="eastAsia" w:ascii="Times New Roman" w:eastAsiaTheme="minorEastAsia"/>
                <w:b/>
                <w:bCs/>
                <w:szCs w:val="21"/>
              </w:rPr>
            </w:pPr>
            <w:r>
              <w:rPr>
                <w:rFonts w:hint="eastAsia" w:ascii="Times New Roman" w:eastAsiaTheme="minorEastAsia"/>
                <w:b/>
                <w:bCs/>
                <w:szCs w:val="21"/>
                <w:lang w:val="en-US" w:eastAsia="zh-CN"/>
              </w:rPr>
              <w:t>5</w:t>
            </w:r>
            <w:r>
              <w:rPr>
                <w:rFonts w:ascii="Times New Roman" w:eastAsiaTheme="minorEastAsia"/>
                <w:b/>
                <w:bCs/>
                <w:szCs w:val="21"/>
              </w:rPr>
              <w:t>、质谱系统启动标准试剂包    1套</w:t>
            </w:r>
          </w:p>
          <w:p>
            <w:pPr>
              <w:spacing w:line="240" w:lineRule="auto"/>
              <w:ind w:left="13" w:hanging="13" w:hangingChars="6"/>
              <w:jc w:val="left"/>
              <w:rPr>
                <w:rFonts w:hint="eastAsia" w:ascii="Times New Roman" w:eastAsiaTheme="minorEastAsia"/>
                <w:b/>
                <w:bCs/>
                <w:szCs w:val="21"/>
              </w:rPr>
            </w:pPr>
            <w:r>
              <w:rPr>
                <w:rFonts w:hint="eastAsia" w:ascii="Times New Roman" w:eastAsiaTheme="minorEastAsia"/>
                <w:b/>
                <w:bCs/>
                <w:szCs w:val="21"/>
                <w:lang w:val="en-US" w:eastAsia="zh-CN"/>
              </w:rPr>
              <w:t>6</w:t>
            </w:r>
            <w:r>
              <w:rPr>
                <w:rFonts w:ascii="Times New Roman" w:eastAsiaTheme="minorEastAsia"/>
                <w:b/>
                <w:bCs/>
                <w:szCs w:val="21"/>
              </w:rPr>
              <w:t>、核酸质谱通用试剂 1盒</w:t>
            </w:r>
          </w:p>
          <w:p>
            <w:pPr>
              <w:spacing w:line="240" w:lineRule="auto"/>
              <w:ind w:left="13" w:hanging="13" w:hangingChars="6"/>
              <w:jc w:val="left"/>
              <w:rPr>
                <w:rFonts w:hint="eastAsia" w:ascii="Times New Roman" w:eastAsiaTheme="minorEastAsia"/>
                <w:b/>
                <w:bCs/>
                <w:szCs w:val="21"/>
              </w:rPr>
            </w:pPr>
            <w:r>
              <w:rPr>
                <w:rFonts w:hint="eastAsia" w:ascii="Times New Roman" w:eastAsiaTheme="minorEastAsia"/>
                <w:b/>
                <w:bCs/>
                <w:szCs w:val="21"/>
                <w:lang w:val="en-US" w:eastAsia="zh-CN"/>
              </w:rPr>
              <w:t>7</w:t>
            </w:r>
            <w:r>
              <w:rPr>
                <w:rFonts w:ascii="Times New Roman" w:eastAsiaTheme="minorEastAsia"/>
                <w:b/>
                <w:bCs/>
                <w:szCs w:val="21"/>
              </w:rPr>
              <w:t>、标准96MTP预分装树脂 1盒</w:t>
            </w:r>
          </w:p>
          <w:p>
            <w:pPr>
              <w:spacing w:line="240" w:lineRule="auto"/>
              <w:ind w:left="13" w:hanging="13" w:hangingChars="6"/>
              <w:jc w:val="left"/>
              <w:rPr>
                <w:rFonts w:hint="eastAsia" w:ascii="Times New Roman" w:eastAsiaTheme="minorEastAsia"/>
                <w:szCs w:val="21"/>
              </w:rPr>
            </w:pPr>
            <w:r>
              <w:rPr>
                <w:rFonts w:hint="eastAsia" w:ascii="Times New Roman" w:eastAsiaTheme="minorEastAsia"/>
                <w:b/>
                <w:bCs/>
                <w:szCs w:val="21"/>
                <w:lang w:val="en-US" w:eastAsia="zh-CN"/>
              </w:rPr>
              <w:t>8</w:t>
            </w:r>
            <w:r>
              <w:rPr>
                <w:rFonts w:hint="eastAsia" w:ascii="Times New Roman" w:eastAsiaTheme="minorEastAsia"/>
                <w:b/>
                <w:bCs/>
                <w:szCs w:val="21"/>
              </w:rPr>
              <w:t>、配套的</w:t>
            </w:r>
            <w:r>
              <w:rPr>
                <w:rFonts w:ascii="Times New Roman" w:eastAsiaTheme="minorEastAsia"/>
                <w:b/>
                <w:bCs/>
                <w:szCs w:val="21"/>
              </w:rPr>
              <w:t>转基因检测试剂盒，牛呼吸道疾病检测试剂盒，猪呼吸道疾病检测试剂盒，禽类疾病检测试剂盒，化妆品中微生物检测试剂盒</w:t>
            </w:r>
            <w:r>
              <w:rPr>
                <w:rFonts w:hint="eastAsia" w:ascii="Times New Roman" w:eastAsiaTheme="minorEastAsia"/>
                <w:b/>
                <w:bCs/>
                <w:szCs w:val="21"/>
              </w:rPr>
              <w:t xml:space="preserve">   各1盒</w:t>
            </w:r>
            <w:r>
              <w:rPr>
                <w:rFonts w:ascii="Times New Roman" w:eastAsiaTheme="minorEastAsia"/>
                <w:b/>
                <w:bCs/>
                <w:szCs w:val="21"/>
              </w:rPr>
              <w:br w:type="textWrapping"/>
            </w:r>
            <w:r>
              <w:rPr>
                <w:rFonts w:hint="eastAsia" w:ascii="Times New Roman" w:eastAsiaTheme="minorEastAsia"/>
                <w:b/>
                <w:bCs/>
                <w:szCs w:val="21"/>
                <w:lang w:val="en-US" w:eastAsia="zh-CN"/>
              </w:rPr>
              <w:t>9</w:t>
            </w:r>
            <w:r>
              <w:rPr>
                <w:rFonts w:ascii="Times New Roman" w:eastAsiaTheme="minorEastAsia"/>
                <w:b/>
                <w:bCs/>
                <w:szCs w:val="21"/>
              </w:rPr>
              <w:t>、随机配件 1 套</w:t>
            </w:r>
            <w:r>
              <w:rPr>
                <w:rFonts w:ascii="Times New Roman" w:eastAsiaTheme="minorEastAsia"/>
                <w:b/>
                <w:bCs/>
                <w:szCs w:val="21"/>
              </w:rPr>
              <w:br w:type="textWrapping"/>
            </w:r>
            <w:r>
              <w:rPr>
                <w:rFonts w:ascii="Times New Roman" w:eastAsiaTheme="minorEastAsia"/>
                <w:b/>
                <w:bCs/>
                <w:szCs w:val="21"/>
              </w:rPr>
              <w:t>1</w:t>
            </w:r>
            <w:r>
              <w:rPr>
                <w:rFonts w:hint="eastAsia" w:ascii="Times New Roman" w:eastAsiaTheme="minorEastAsia"/>
                <w:b/>
                <w:bCs/>
                <w:szCs w:val="21"/>
                <w:lang w:val="en-US" w:eastAsia="zh-CN"/>
              </w:rPr>
              <w:t>0</w:t>
            </w:r>
            <w:r>
              <w:rPr>
                <w:rFonts w:ascii="Times New Roman" w:eastAsiaTheme="minorEastAsia"/>
                <w:b/>
                <w:bCs/>
                <w:szCs w:val="21"/>
              </w:rPr>
              <w:t>、使用说明书 1 套，软件说明书 1 套</w:t>
            </w:r>
            <w:r>
              <w:rPr>
                <w:rFonts w:ascii="Times New Roman" w:eastAsiaTheme="minorEastAsia"/>
                <w:b/>
                <w:bCs/>
                <w:szCs w:val="21"/>
              </w:rPr>
              <w:br w:type="textWrapping"/>
            </w:r>
            <w:r>
              <w:rPr>
                <w:rFonts w:ascii="Times New Roman" w:eastAsiaTheme="minorEastAsia"/>
                <w:b/>
                <w:bCs/>
                <w:szCs w:val="21"/>
              </w:rPr>
              <w:t>1</w:t>
            </w:r>
            <w:r>
              <w:rPr>
                <w:rFonts w:hint="eastAsia" w:ascii="Times New Roman" w:eastAsiaTheme="minorEastAsia"/>
                <w:b/>
                <w:bCs/>
                <w:szCs w:val="21"/>
                <w:lang w:val="en-US" w:eastAsia="zh-CN"/>
              </w:rPr>
              <w:t>1</w:t>
            </w:r>
            <w:r>
              <w:rPr>
                <w:rFonts w:ascii="Times New Roman" w:eastAsiaTheme="minorEastAsia"/>
                <w:b/>
                <w:bCs/>
                <w:szCs w:val="21"/>
              </w:rPr>
              <w:t>、售后服务承诺书 1 套</w:t>
            </w:r>
            <w:bookmarkStart w:id="47" w:name="page2"/>
            <w:bookmarkEnd w:id="47"/>
          </w:p>
        </w:tc>
        <w:tc>
          <w:tcPr>
            <w:tcW w:w="470" w:type="pct"/>
            <w:vAlign w:val="center"/>
          </w:tcPr>
          <w:p>
            <w:pPr>
              <w:spacing w:line="240" w:lineRule="auto"/>
              <w:ind w:left="13" w:hanging="12" w:hangingChars="6"/>
              <w:jc w:val="center"/>
              <w:rPr>
                <w:rFonts w:hint="eastAsia" w:ascii="Times New Roman" w:eastAsiaTheme="minorEastAsia"/>
                <w:szCs w:val="21"/>
              </w:rPr>
            </w:pPr>
            <w:r>
              <w:rPr>
                <w:rFonts w:hint="eastAsia" w:ascii="Times New Roman" w:eastAsiaTheme="minorEastAsia"/>
                <w:szCs w:val="21"/>
              </w:rPr>
              <w:t>★</w:t>
            </w:r>
          </w:p>
        </w:tc>
      </w:tr>
    </w:tbl>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1</w:t>
      </w:r>
      <w:r>
        <w:rPr>
          <w:rFonts w:hint="eastAsia" w:cs="Times New Roman"/>
          <w:b/>
          <w:bCs/>
          <w:kern w:val="2"/>
          <w:szCs w:val="21"/>
        </w:rPr>
        <w:t>.</w:t>
      </w:r>
      <w:r>
        <w:rPr>
          <w:rFonts w:cs="Times New Roman"/>
          <w:b/>
          <w:bCs/>
          <w:kern w:val="2"/>
          <w:szCs w:val="21"/>
        </w:rPr>
        <w:t xml:space="preserve">带“★”指标项为实质性条款，如出现负偏离，将被视为未实质性满足招标文件要求作投标无效处理。带“▲”指标项为重要参数，负偏离时依相关评分准则内容作重点扣分处理。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2</w:t>
      </w:r>
      <w:r>
        <w:rPr>
          <w:rFonts w:hint="eastAsia" w:cs="Times New Roman"/>
          <w:b/>
          <w:bCs/>
          <w:kern w:val="2"/>
          <w:szCs w:val="21"/>
        </w:rPr>
        <w:t>.技术参数要求</w:t>
      </w:r>
      <w:r>
        <w:rPr>
          <w:rFonts w:cs="Times New Roman"/>
          <w:b/>
          <w:bCs/>
          <w:kern w:val="2"/>
          <w:szCs w:val="21"/>
        </w:rPr>
        <w:t>中，用</w:t>
      </w:r>
      <w:r>
        <w:rPr>
          <w:rFonts w:cs="Times New Roman"/>
          <w:b/>
          <w:bCs/>
          <w:color w:val="FF0000"/>
          <w:kern w:val="2"/>
          <w:szCs w:val="21"/>
        </w:rPr>
        <w:t>红色加粗</w:t>
      </w:r>
      <w:r>
        <w:rPr>
          <w:rFonts w:cs="Times New Roman"/>
          <w:b/>
          <w:bCs/>
          <w:kern w:val="2"/>
          <w:szCs w:val="21"/>
        </w:rPr>
        <w:t>字体标注的技术条款为要求提供证明资料的条款，其余为未要求提供证明资料的条款，无需提供相关证明资料。</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3.备注为“标题”的技术参数内容不参与评分。</w:t>
      </w:r>
    </w:p>
    <w:p>
      <w:pPr>
        <w:numPr>
          <w:ilvl w:val="0"/>
          <w:numId w:val="2"/>
        </w:numPr>
        <w:adjustRightInd/>
        <w:snapToGrid/>
        <w:spacing w:before="280" w:after="290" w:line="377" w:lineRule="auto"/>
        <w:jc w:val="left"/>
        <w:outlineLvl w:val="2"/>
        <w:rPr>
          <w:rFonts w:hint="eastAsia"/>
          <w:b/>
          <w:sz w:val="24"/>
        </w:rPr>
      </w:pPr>
      <w:bookmarkStart w:id="48" w:name="_Toc151386157"/>
      <w:bookmarkStart w:id="49" w:name="_Toc8996"/>
      <w:bookmarkStart w:id="50" w:name="_Toc150960247"/>
      <w:r>
        <w:rPr>
          <w:rFonts w:hint="eastAsia"/>
          <w:b/>
          <w:sz w:val="24"/>
        </w:rPr>
        <w:t>商务要求</w:t>
      </w:r>
      <w:bookmarkEnd w:id="48"/>
      <w:bookmarkEnd w:id="49"/>
      <w:bookmarkEnd w:id="50"/>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723" w:type="dxa"/>
            <w:vAlign w:val="center"/>
          </w:tcPr>
          <w:p>
            <w:pPr>
              <w:widowControl w:val="0"/>
              <w:shd w:val="clear" w:color="auto" w:fill="auto"/>
              <w:spacing w:line="240" w:lineRule="auto"/>
              <w:jc w:val="center"/>
              <w:rPr>
                <w:rFonts w:hint="eastAsia" w:cs="Times New Roman"/>
                <w:b/>
                <w:bCs/>
                <w:kern w:val="2"/>
                <w:szCs w:val="21"/>
              </w:rPr>
            </w:pPr>
            <w:r>
              <w:rPr>
                <w:rFonts w:hint="eastAsia" w:cs="Times New Roman"/>
                <w:b/>
                <w:bCs/>
                <w:kern w:val="2"/>
                <w:szCs w:val="21"/>
              </w:rPr>
              <w:t>商务条款要求</w:t>
            </w:r>
          </w:p>
        </w:tc>
        <w:tc>
          <w:tcPr>
            <w:tcW w:w="847" w:type="dxa"/>
            <w:vAlign w:val="center"/>
          </w:tcPr>
          <w:p>
            <w:pPr>
              <w:widowControl w:val="0"/>
              <w:shd w:val="clear" w:color="auto" w:fill="auto"/>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1.签定合同日期：</w:t>
            </w:r>
            <w:r>
              <w:rPr>
                <w:rFonts w:hint="eastAsia" w:cs="Times New Roman"/>
                <w:kern w:val="2"/>
                <w:szCs w:val="21"/>
                <w:lang w:eastAsia="zh-TW"/>
              </w:rPr>
              <w:t>自中标(成交)通知书发出之日起30日内。</w:t>
            </w:r>
          </w:p>
        </w:tc>
        <w:tc>
          <w:tcPr>
            <w:tcW w:w="847" w:type="dxa"/>
            <w:vAlign w:val="center"/>
          </w:tcPr>
          <w:p>
            <w:pPr>
              <w:widowControl w:val="0"/>
              <w:shd w:val="clear" w:color="auto" w:fill="auto"/>
              <w:spacing w:line="240" w:lineRule="auto"/>
              <w:jc w:val="center"/>
              <w:rPr>
                <w:rFonts w:hint="eastAsia" w:cs="Times New Roman"/>
                <w:b/>
                <w:bCs/>
                <w:kern w:val="2"/>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★2.交货期：合同签订后</w:t>
            </w:r>
            <w:r>
              <w:rPr>
                <w:rFonts w:hint="eastAsia" w:cs="Times New Roman"/>
                <w:b/>
                <w:bCs/>
                <w:kern w:val="2"/>
                <w:szCs w:val="21"/>
              </w:rPr>
              <w:t>30</w:t>
            </w:r>
            <w:r>
              <w:rPr>
                <w:rFonts w:hint="eastAsia" w:cs="Times New Roman"/>
                <w:b/>
                <w:bCs/>
                <w:kern w:val="2"/>
                <w:szCs w:val="21"/>
                <w:lang w:eastAsia="zh-TW"/>
              </w:rPr>
              <w:t>日内完成交货。</w:t>
            </w:r>
          </w:p>
        </w:tc>
        <w:tc>
          <w:tcPr>
            <w:tcW w:w="847" w:type="dxa"/>
            <w:vAlign w:val="center"/>
          </w:tcPr>
          <w:p>
            <w:pPr>
              <w:widowControl w:val="0"/>
              <w:shd w:val="clear" w:color="auto" w:fill="auto"/>
              <w:spacing w:line="240" w:lineRule="auto"/>
              <w:jc w:val="center"/>
              <w:rPr>
                <w:rFonts w:hint="eastAsia" w:cs="Times New Roman"/>
                <w:b/>
                <w:bCs/>
                <w:kern w:val="2"/>
                <w:szCs w:val="21"/>
                <w:lang w:eastAsia="zh-TW"/>
              </w:rPr>
            </w:pPr>
            <w:r>
              <w:rPr>
                <w:rFonts w:hint="eastAsia" w:cs="Times New Roman"/>
                <w:b/>
                <w:bCs/>
                <w:kern w:val="2"/>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3" w:type="dxa"/>
          </w:tcPr>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★3.交货地点：</w:t>
            </w:r>
            <w:r>
              <w:rPr>
                <w:rFonts w:hint="eastAsia" w:cs="Times New Roman"/>
                <w:b/>
                <w:bCs/>
                <w:kern w:val="2"/>
                <w:szCs w:val="21"/>
              </w:rPr>
              <w:t>采购人指定地点。</w:t>
            </w:r>
          </w:p>
        </w:tc>
        <w:tc>
          <w:tcPr>
            <w:tcW w:w="847" w:type="dxa"/>
            <w:vAlign w:val="center"/>
          </w:tcPr>
          <w:p>
            <w:pPr>
              <w:widowControl w:val="0"/>
              <w:shd w:val="clear" w:color="auto" w:fill="auto"/>
              <w:spacing w:line="240" w:lineRule="auto"/>
              <w:jc w:val="center"/>
              <w:rPr>
                <w:rFonts w:hint="eastAsia" w:cs="Times New Roman"/>
                <w:b/>
                <w:bCs/>
                <w:kern w:val="2"/>
                <w:szCs w:val="21"/>
                <w:lang w:eastAsia="zh-TW"/>
              </w:rPr>
            </w:pPr>
            <w:r>
              <w:rPr>
                <w:rFonts w:hint="eastAsia" w:cs="Times New Roman"/>
                <w:b/>
                <w:bCs/>
                <w:kern w:val="2"/>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8723" w:type="dxa"/>
          </w:tcPr>
          <w:p>
            <w:pPr>
              <w:widowControl w:val="0"/>
              <w:shd w:val="clear" w:color="auto" w:fill="auto"/>
              <w:tabs>
                <w:tab w:val="clear" w:pos="426"/>
              </w:tabs>
              <w:ind w:firstLine="422" w:firstLineChars="200"/>
              <w:rPr>
                <w:rFonts w:hint="eastAsia" w:cs="Times New Roman"/>
                <w:b/>
                <w:bCs/>
                <w:kern w:val="2"/>
                <w:szCs w:val="21"/>
                <w:lang w:eastAsia="zh-TW"/>
              </w:rPr>
            </w:pPr>
            <w:r>
              <w:rPr>
                <w:rFonts w:hint="eastAsia" w:cs="Times New Roman"/>
                <w:b/>
                <w:bCs/>
                <w:kern w:val="2"/>
                <w:szCs w:val="21"/>
                <w:lang w:eastAsia="zh-TW"/>
              </w:rPr>
              <w:t>★4.售后服务要求：</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（1）货物质量保证期为：自双方签署设备到货验收签收单/安装调试验收合格报告之日起计算 1 年。</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（2）</w:t>
            </w:r>
            <w:r>
              <w:rPr>
                <w:rFonts w:hint="eastAsia" w:cs="Times New Roman"/>
                <w:b/>
                <w:bCs/>
                <w:kern w:val="2"/>
                <w:szCs w:val="21"/>
              </w:rPr>
              <w:t>保修期：</w:t>
            </w:r>
            <w:r>
              <w:rPr>
                <w:rFonts w:hint="eastAsia" w:cs="Times New Roman"/>
                <w:b/>
                <w:bCs/>
                <w:kern w:val="2"/>
                <w:szCs w:val="21"/>
                <w:lang w:eastAsia="zh-TW"/>
              </w:rPr>
              <w:t>同上。</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w:t>
            </w:r>
            <w:r>
              <w:rPr>
                <w:rFonts w:hint="eastAsia" w:cs="Times New Roman"/>
                <w:b/>
                <w:bCs/>
                <w:kern w:val="2"/>
                <w:szCs w:val="21"/>
                <w:lang w:eastAsia="zh-TW"/>
              </w:rPr>
              <w:t>3</w:t>
            </w:r>
            <w:r>
              <w:rPr>
                <w:rFonts w:hint="eastAsia" w:cs="Times New Roman"/>
                <w:b/>
                <w:bCs/>
                <w:kern w:val="2"/>
                <w:szCs w:val="21"/>
              </w:rPr>
              <w:t>）其他</w:t>
            </w:r>
            <w:r>
              <w:rPr>
                <w:rFonts w:hint="eastAsia" w:cs="Times New Roman"/>
                <w:b/>
                <w:bCs/>
                <w:kern w:val="2"/>
                <w:szCs w:val="21"/>
                <w:lang w:eastAsia="zh-TW"/>
              </w:rPr>
              <w:t>售后服务要求</w:t>
            </w:r>
            <w:r>
              <w:rPr>
                <w:rFonts w:hint="eastAsia" w:cs="Times New Roman"/>
                <w:b/>
                <w:bCs/>
                <w:kern w:val="2"/>
                <w:szCs w:val="21"/>
              </w:rPr>
              <w:t>：</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供应商（制造商）在质量保证期内提供 7x24 小时的技术支持与售后服务，提供专线电话支持服务， 4 小时内响应，保证48小时内到达现场并解决故障（不额外收费）。</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本合同所包含的售后服务，包含制造商售后服务和代理商售后服务。</w:t>
            </w:r>
          </w:p>
        </w:tc>
        <w:tc>
          <w:tcPr>
            <w:tcW w:w="847" w:type="dxa"/>
            <w:vAlign w:val="center"/>
          </w:tcPr>
          <w:p>
            <w:pPr>
              <w:widowControl w:val="0"/>
              <w:shd w:val="clear" w:color="auto" w:fill="auto"/>
              <w:spacing w:line="240" w:lineRule="auto"/>
              <w:jc w:val="center"/>
              <w:rPr>
                <w:rFonts w:hint="eastAsia" w:cs="Times New Roman"/>
                <w:b/>
                <w:bCs/>
                <w:kern w:val="2"/>
                <w:szCs w:val="21"/>
                <w:lang w:eastAsia="zh-TW"/>
              </w:rPr>
            </w:pPr>
            <w:r>
              <w:rPr>
                <w:rFonts w:hint="eastAsia" w:cs="Times New Roman"/>
                <w:b/>
                <w:bCs/>
                <w:kern w:val="2"/>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8723" w:type="dxa"/>
          </w:tcPr>
          <w:p>
            <w:pPr>
              <w:widowControl w:val="0"/>
              <w:shd w:val="clear" w:color="auto" w:fill="auto"/>
              <w:tabs>
                <w:tab w:val="clear" w:pos="426"/>
              </w:tabs>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5</w:t>
            </w:r>
            <w:r>
              <w:rPr>
                <w:rFonts w:hint="eastAsia" w:cs="Times New Roman"/>
                <w:b/>
                <w:bCs/>
                <w:kern w:val="2"/>
                <w:szCs w:val="21"/>
                <w:lang w:eastAsia="zh-TW"/>
              </w:rPr>
              <w:t>.货物验收：</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1</w:t>
            </w:r>
            <w:r>
              <w:rPr>
                <w:rFonts w:hint="eastAsia" w:cs="Times New Roman"/>
                <w:b/>
                <w:bCs/>
                <w:kern w:val="2"/>
                <w:szCs w:val="21"/>
                <w:lang w:eastAsia="zh-TW"/>
              </w:rPr>
              <w:t>）货物运至</w:t>
            </w:r>
            <w:r>
              <w:rPr>
                <w:rFonts w:hint="eastAsia" w:cs="Times New Roman"/>
                <w:b/>
                <w:bCs/>
                <w:kern w:val="2"/>
                <w:szCs w:val="21"/>
              </w:rPr>
              <w:t>采购人</w:t>
            </w:r>
            <w:r>
              <w:rPr>
                <w:rFonts w:hint="eastAsia" w:cs="Times New Roman"/>
                <w:b/>
                <w:bCs/>
                <w:kern w:val="2"/>
                <w:szCs w:val="21"/>
                <w:lang w:eastAsia="zh-TW"/>
              </w:rPr>
              <w:t>（用户）指定地点后，由双方指派人员按照本合同规定对货物进行实物验收，</w:t>
            </w:r>
            <w:r>
              <w:rPr>
                <w:rFonts w:hint="eastAsia" w:cs="Times New Roman"/>
                <w:b/>
                <w:bCs/>
                <w:kern w:val="2"/>
                <w:szCs w:val="21"/>
              </w:rPr>
              <w:t>中标人</w:t>
            </w:r>
            <w:r>
              <w:rPr>
                <w:rFonts w:hint="eastAsia" w:cs="Times New Roman"/>
                <w:b/>
                <w:bCs/>
                <w:kern w:val="2"/>
                <w:szCs w:val="21"/>
                <w:lang w:eastAsia="zh-TW"/>
              </w:rPr>
              <w:t>应提供交货清单等文件供</w:t>
            </w:r>
            <w:r>
              <w:rPr>
                <w:rFonts w:hint="eastAsia" w:cs="Times New Roman"/>
                <w:b/>
                <w:bCs/>
                <w:kern w:val="2"/>
                <w:szCs w:val="21"/>
              </w:rPr>
              <w:t>采购人</w:t>
            </w:r>
            <w:r>
              <w:rPr>
                <w:rFonts w:hint="eastAsia" w:cs="Times New Roman"/>
                <w:b/>
                <w:bCs/>
                <w:kern w:val="2"/>
                <w:szCs w:val="21"/>
                <w:lang w:eastAsia="zh-TW"/>
              </w:rPr>
              <w:t>（用户）审查，</w:t>
            </w:r>
            <w:r>
              <w:rPr>
                <w:rFonts w:hint="eastAsia" w:cs="Times New Roman"/>
                <w:b/>
                <w:bCs/>
                <w:kern w:val="2"/>
                <w:szCs w:val="21"/>
              </w:rPr>
              <w:t>采购人</w:t>
            </w:r>
            <w:r>
              <w:rPr>
                <w:rFonts w:hint="eastAsia" w:cs="Times New Roman"/>
                <w:b/>
                <w:bCs/>
                <w:kern w:val="2"/>
                <w:szCs w:val="21"/>
                <w:lang w:eastAsia="zh-TW"/>
              </w:rPr>
              <w:t>（用户）将按合同清单进行规格、数量、外观的检查。</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2</w:t>
            </w:r>
            <w:r>
              <w:rPr>
                <w:rFonts w:hint="eastAsia" w:cs="Times New Roman"/>
                <w:b/>
                <w:bCs/>
                <w:kern w:val="2"/>
                <w:szCs w:val="21"/>
                <w:lang w:eastAsia="zh-TW"/>
              </w:rPr>
              <w:t>）收货后30个工作日内双方进行安装调试验收工作。如验收合格，</w:t>
            </w:r>
            <w:r>
              <w:rPr>
                <w:rFonts w:hint="eastAsia" w:cs="Times New Roman"/>
                <w:b/>
                <w:bCs/>
                <w:kern w:val="2"/>
                <w:szCs w:val="21"/>
              </w:rPr>
              <w:t>采购人</w:t>
            </w:r>
            <w:r>
              <w:rPr>
                <w:rFonts w:hint="eastAsia" w:cs="Times New Roman"/>
                <w:b/>
                <w:bCs/>
                <w:kern w:val="2"/>
                <w:szCs w:val="21"/>
                <w:lang w:eastAsia="zh-TW"/>
              </w:rPr>
              <w:t>（用户）应及时履行验收手续，双方签署设备到货验收签收单；如验收不合格，</w:t>
            </w:r>
            <w:r>
              <w:rPr>
                <w:rFonts w:hint="eastAsia" w:cs="Times New Roman"/>
                <w:b/>
                <w:bCs/>
                <w:kern w:val="2"/>
                <w:szCs w:val="21"/>
              </w:rPr>
              <w:t>采购人</w:t>
            </w:r>
            <w:r>
              <w:rPr>
                <w:rFonts w:hint="eastAsia" w:cs="Times New Roman"/>
                <w:b/>
                <w:bCs/>
                <w:kern w:val="2"/>
                <w:szCs w:val="21"/>
                <w:lang w:eastAsia="zh-TW"/>
              </w:rPr>
              <w:t>（用户）应以书面形式通知</w:t>
            </w:r>
            <w:r>
              <w:rPr>
                <w:rFonts w:hint="eastAsia" w:cs="Times New Roman"/>
                <w:b/>
                <w:bCs/>
                <w:kern w:val="2"/>
                <w:szCs w:val="21"/>
              </w:rPr>
              <w:t>中标人</w:t>
            </w:r>
            <w:r>
              <w:rPr>
                <w:rFonts w:hint="eastAsia" w:cs="Times New Roman"/>
                <w:b/>
                <w:bCs/>
                <w:kern w:val="2"/>
                <w:szCs w:val="21"/>
                <w:lang w:eastAsia="zh-TW"/>
              </w:rPr>
              <w:t>原因，</w:t>
            </w:r>
            <w:r>
              <w:rPr>
                <w:rFonts w:hint="eastAsia" w:cs="Times New Roman"/>
                <w:b/>
                <w:bCs/>
                <w:kern w:val="2"/>
                <w:szCs w:val="21"/>
              </w:rPr>
              <w:t>中标人</w:t>
            </w:r>
            <w:r>
              <w:rPr>
                <w:rFonts w:hint="eastAsia" w:cs="Times New Roman"/>
                <w:b/>
                <w:bCs/>
                <w:kern w:val="2"/>
                <w:szCs w:val="21"/>
                <w:lang w:eastAsia="zh-TW"/>
              </w:rPr>
              <w:t>收到通知后</w:t>
            </w:r>
            <w:r>
              <w:rPr>
                <w:rFonts w:hint="eastAsia" w:cs="Times New Roman"/>
                <w:b/>
                <w:bCs/>
                <w:kern w:val="2"/>
                <w:szCs w:val="21"/>
              </w:rPr>
              <w:t>10</w:t>
            </w:r>
            <w:r>
              <w:rPr>
                <w:rFonts w:hint="eastAsia" w:cs="Times New Roman"/>
                <w:b/>
                <w:bCs/>
                <w:kern w:val="2"/>
                <w:szCs w:val="21"/>
                <w:lang w:eastAsia="zh-TW"/>
              </w:rPr>
              <w:t>个工作日内提供解决方案。</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3</w:t>
            </w:r>
            <w:r>
              <w:rPr>
                <w:rFonts w:hint="eastAsia" w:cs="Times New Roman"/>
                <w:b/>
                <w:bCs/>
                <w:kern w:val="2"/>
                <w:szCs w:val="21"/>
                <w:lang w:eastAsia="zh-TW"/>
              </w:rPr>
              <w:t>）在验收工作中，发现数量不足或有质量、技术等问题，</w:t>
            </w:r>
            <w:r>
              <w:rPr>
                <w:rFonts w:hint="eastAsia" w:cs="Times New Roman"/>
                <w:b/>
                <w:bCs/>
                <w:kern w:val="2"/>
                <w:szCs w:val="21"/>
              </w:rPr>
              <w:t>中标人</w:t>
            </w:r>
            <w:r>
              <w:rPr>
                <w:rFonts w:hint="eastAsia" w:cs="Times New Roman"/>
                <w:b/>
                <w:bCs/>
                <w:kern w:val="2"/>
                <w:szCs w:val="21"/>
                <w:lang w:eastAsia="zh-TW"/>
              </w:rPr>
              <w:t>应按照合同要求采取补足、更换或退货等处理措施，并承担由此发生的一切费用和损失。</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4</w:t>
            </w:r>
            <w:r>
              <w:rPr>
                <w:rFonts w:hint="eastAsia" w:cs="Times New Roman"/>
                <w:b/>
                <w:bCs/>
                <w:kern w:val="2"/>
                <w:szCs w:val="21"/>
                <w:lang w:eastAsia="zh-TW"/>
              </w:rPr>
              <w:t>）涉及设备安装调试的，</w:t>
            </w:r>
            <w:r>
              <w:rPr>
                <w:rFonts w:hint="eastAsia" w:cs="Times New Roman"/>
                <w:b/>
                <w:bCs/>
                <w:kern w:val="2"/>
                <w:szCs w:val="21"/>
              </w:rPr>
              <w:t>中标人</w:t>
            </w:r>
            <w:r>
              <w:rPr>
                <w:rFonts w:hint="eastAsia" w:cs="Times New Roman"/>
                <w:b/>
                <w:bCs/>
                <w:kern w:val="2"/>
                <w:szCs w:val="21"/>
                <w:lang w:eastAsia="zh-TW"/>
              </w:rPr>
              <w:t>负责在</w:t>
            </w:r>
            <w:r>
              <w:rPr>
                <w:rFonts w:hint="eastAsia" w:cs="Times New Roman"/>
                <w:b/>
                <w:bCs/>
                <w:kern w:val="2"/>
                <w:szCs w:val="21"/>
              </w:rPr>
              <w:t>采购人</w:t>
            </w:r>
            <w:r>
              <w:rPr>
                <w:rFonts w:hint="eastAsia" w:cs="Times New Roman"/>
                <w:b/>
                <w:bCs/>
                <w:kern w:val="2"/>
                <w:szCs w:val="21"/>
                <w:lang w:eastAsia="zh-TW"/>
              </w:rPr>
              <w:t>（用户）配合下完成所供设备安装调试并保证与用户原有设备互联互通，有关技术问题由</w:t>
            </w:r>
            <w:r>
              <w:rPr>
                <w:rFonts w:hint="eastAsia" w:cs="Times New Roman"/>
                <w:b/>
                <w:bCs/>
                <w:kern w:val="2"/>
                <w:szCs w:val="21"/>
              </w:rPr>
              <w:t>中标人</w:t>
            </w:r>
            <w:r>
              <w:rPr>
                <w:rFonts w:hint="eastAsia" w:cs="Times New Roman"/>
                <w:b/>
                <w:bCs/>
                <w:kern w:val="2"/>
                <w:szCs w:val="21"/>
                <w:lang w:eastAsia="zh-TW"/>
              </w:rPr>
              <w:t>和制造商协同解决。安装调试后，双方签署设备安装调试验收报告。</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lang w:eastAsia="zh-TW"/>
              </w:rPr>
              <w:t>（</w:t>
            </w:r>
            <w:r>
              <w:rPr>
                <w:rFonts w:hint="eastAsia" w:cs="Times New Roman"/>
                <w:b/>
                <w:bCs/>
                <w:kern w:val="2"/>
                <w:szCs w:val="21"/>
              </w:rPr>
              <w:t>5</w:t>
            </w:r>
            <w:r>
              <w:rPr>
                <w:rFonts w:hint="eastAsia" w:cs="Times New Roman"/>
                <w:b/>
                <w:bCs/>
                <w:kern w:val="2"/>
                <w:szCs w:val="21"/>
                <w:lang w:eastAsia="zh-TW"/>
              </w:rPr>
              <w:t>）合同项下货物生产期间，采购人（用户）有权派工作人员到生产厂进行监造、现场抽样和出厂前验核。此次验核不代表采购人（用户）对货物的最终验收。期间相关费用，包括技术交流和技术材料费等由中标人负担。</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6</w:t>
            </w:r>
            <w:r>
              <w:rPr>
                <w:rFonts w:hint="eastAsia" w:cs="Times New Roman"/>
                <w:b/>
                <w:bCs/>
                <w:kern w:val="2"/>
                <w:szCs w:val="21"/>
                <w:lang w:eastAsia="zh-TW"/>
              </w:rPr>
              <w:t>）为验核货物内在功能是否完备，</w:t>
            </w:r>
            <w:r>
              <w:rPr>
                <w:rFonts w:hint="eastAsia" w:cs="Times New Roman"/>
                <w:b/>
                <w:bCs/>
                <w:kern w:val="2"/>
                <w:szCs w:val="21"/>
              </w:rPr>
              <w:t>采购人</w:t>
            </w:r>
            <w:r>
              <w:rPr>
                <w:rFonts w:hint="eastAsia" w:cs="Times New Roman"/>
                <w:b/>
                <w:bCs/>
                <w:kern w:val="2"/>
                <w:szCs w:val="21"/>
                <w:lang w:eastAsia="zh-TW"/>
              </w:rPr>
              <w:t>（用户）有权组织对货物进行随机抽样，并委托有关检测单位进行检测，该检测结果将作为货物质量的评判依据，相关送检和检测费用由</w:t>
            </w:r>
            <w:r>
              <w:rPr>
                <w:rFonts w:hint="eastAsia" w:cs="Times New Roman"/>
                <w:b/>
                <w:bCs/>
                <w:kern w:val="2"/>
                <w:szCs w:val="21"/>
              </w:rPr>
              <w:t>中标人</w:t>
            </w:r>
            <w:r>
              <w:rPr>
                <w:rFonts w:hint="eastAsia" w:cs="Times New Roman"/>
                <w:b/>
                <w:bCs/>
                <w:kern w:val="2"/>
                <w:szCs w:val="21"/>
                <w:lang w:eastAsia="zh-TW"/>
              </w:rPr>
              <w:t>承担。如检测指标不符合招标文件（谈判文件、询价通知书、磋商文件、单一来源）、投标（响应）文件要求的，</w:t>
            </w:r>
            <w:r>
              <w:rPr>
                <w:rFonts w:hint="eastAsia" w:cs="Times New Roman"/>
                <w:b/>
                <w:bCs/>
                <w:kern w:val="2"/>
                <w:szCs w:val="21"/>
              </w:rPr>
              <w:t>采购人</w:t>
            </w:r>
            <w:r>
              <w:rPr>
                <w:rFonts w:hint="eastAsia" w:cs="Times New Roman"/>
                <w:b/>
                <w:bCs/>
                <w:kern w:val="2"/>
                <w:szCs w:val="21"/>
                <w:lang w:eastAsia="zh-TW"/>
              </w:rPr>
              <w:t>有权拒收全部此类货物，</w:t>
            </w:r>
            <w:r>
              <w:rPr>
                <w:rFonts w:hint="eastAsia" w:cs="Times New Roman"/>
                <w:b/>
                <w:bCs/>
                <w:kern w:val="2"/>
                <w:szCs w:val="21"/>
              </w:rPr>
              <w:t>中标人</w:t>
            </w:r>
            <w:r>
              <w:rPr>
                <w:rFonts w:hint="eastAsia" w:cs="Times New Roman"/>
                <w:b/>
                <w:bCs/>
                <w:kern w:val="2"/>
                <w:szCs w:val="21"/>
                <w:lang w:eastAsia="zh-TW"/>
              </w:rPr>
              <w:t>应按照</w:t>
            </w:r>
            <w:r>
              <w:rPr>
                <w:rFonts w:hint="eastAsia" w:cs="Times New Roman"/>
                <w:b/>
                <w:bCs/>
                <w:kern w:val="2"/>
                <w:szCs w:val="21"/>
              </w:rPr>
              <w:t>采购人</w:t>
            </w:r>
            <w:r>
              <w:rPr>
                <w:rFonts w:hint="eastAsia" w:cs="Times New Roman"/>
                <w:b/>
                <w:bCs/>
                <w:kern w:val="2"/>
                <w:szCs w:val="21"/>
                <w:lang w:eastAsia="zh-TW"/>
              </w:rPr>
              <w:t>要求无条件对拒收货物进行更换，并承担由此给</w:t>
            </w:r>
            <w:r>
              <w:rPr>
                <w:rFonts w:hint="eastAsia" w:cs="Times New Roman"/>
                <w:b/>
                <w:bCs/>
                <w:kern w:val="2"/>
                <w:szCs w:val="21"/>
              </w:rPr>
              <w:t>采购人</w:t>
            </w:r>
            <w:r>
              <w:rPr>
                <w:rFonts w:hint="eastAsia" w:cs="Times New Roman"/>
                <w:b/>
                <w:bCs/>
                <w:kern w:val="2"/>
                <w:szCs w:val="21"/>
                <w:lang w:eastAsia="zh-TW"/>
              </w:rPr>
              <w:t>造成的工期延误等损失。对</w:t>
            </w:r>
            <w:r>
              <w:rPr>
                <w:rFonts w:hint="eastAsia" w:cs="Times New Roman"/>
                <w:b/>
                <w:bCs/>
                <w:kern w:val="2"/>
                <w:szCs w:val="21"/>
              </w:rPr>
              <w:t>中标人</w:t>
            </w:r>
            <w:r>
              <w:rPr>
                <w:rFonts w:hint="eastAsia" w:cs="Times New Roman"/>
                <w:b/>
                <w:bCs/>
                <w:kern w:val="2"/>
                <w:szCs w:val="21"/>
                <w:lang w:eastAsia="zh-TW"/>
              </w:rPr>
              <w:t>可能涉嫌提供虚假材料或虚假响应的行为，</w:t>
            </w:r>
            <w:r>
              <w:rPr>
                <w:rFonts w:hint="eastAsia" w:cs="Times New Roman"/>
                <w:b/>
                <w:bCs/>
                <w:kern w:val="2"/>
                <w:szCs w:val="21"/>
              </w:rPr>
              <w:t>采购人</w:t>
            </w:r>
            <w:r>
              <w:rPr>
                <w:rFonts w:hint="eastAsia" w:cs="Times New Roman"/>
                <w:b/>
                <w:bCs/>
                <w:kern w:val="2"/>
                <w:szCs w:val="21"/>
                <w:lang w:eastAsia="zh-TW"/>
              </w:rPr>
              <w:t>有权依法向监管部门反映并追究</w:t>
            </w:r>
            <w:r>
              <w:rPr>
                <w:rFonts w:hint="eastAsia" w:cs="Times New Roman"/>
                <w:b/>
                <w:bCs/>
                <w:kern w:val="2"/>
                <w:szCs w:val="21"/>
              </w:rPr>
              <w:t>中标人</w:t>
            </w:r>
            <w:r>
              <w:rPr>
                <w:rFonts w:hint="eastAsia" w:cs="Times New Roman"/>
                <w:b/>
                <w:bCs/>
                <w:kern w:val="2"/>
                <w:szCs w:val="21"/>
                <w:lang w:eastAsia="zh-TW"/>
              </w:rPr>
              <w:t>法律责任。</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7</w:t>
            </w:r>
            <w:r>
              <w:rPr>
                <w:rFonts w:hint="eastAsia" w:cs="Times New Roman"/>
                <w:b/>
                <w:bCs/>
                <w:kern w:val="2"/>
                <w:szCs w:val="21"/>
                <w:lang w:eastAsia="zh-TW"/>
              </w:rPr>
              <w:t>）</w:t>
            </w:r>
            <w:r>
              <w:rPr>
                <w:rFonts w:hint="eastAsia" w:cs="Times New Roman"/>
                <w:b/>
                <w:bCs/>
                <w:kern w:val="2"/>
                <w:szCs w:val="21"/>
              </w:rPr>
              <w:t>采购人</w:t>
            </w:r>
            <w:r>
              <w:rPr>
                <w:rFonts w:hint="eastAsia" w:cs="Times New Roman"/>
                <w:b/>
                <w:bCs/>
                <w:kern w:val="2"/>
                <w:szCs w:val="21"/>
                <w:lang w:eastAsia="zh-TW"/>
              </w:rPr>
              <w:t>（用户）认为必要时，对大型或者复杂的货物采购项目，可以邀请国家认可的质量检测机构参加验收工作，相关验收意见作为验收报告的参考资料，相关费用由</w:t>
            </w:r>
            <w:r>
              <w:rPr>
                <w:rFonts w:hint="eastAsia" w:cs="Times New Roman"/>
                <w:b/>
                <w:bCs/>
                <w:kern w:val="2"/>
                <w:szCs w:val="21"/>
              </w:rPr>
              <w:t>中标人</w:t>
            </w:r>
            <w:r>
              <w:rPr>
                <w:rFonts w:hint="eastAsia" w:cs="Times New Roman"/>
                <w:b/>
                <w:bCs/>
                <w:kern w:val="2"/>
                <w:szCs w:val="21"/>
                <w:lang w:eastAsia="zh-TW"/>
              </w:rPr>
              <w:t>承担。</w:t>
            </w:r>
          </w:p>
          <w:p>
            <w:pPr>
              <w:widowControl w:val="0"/>
              <w:shd w:val="clear" w:color="auto" w:fill="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8</w:t>
            </w:r>
            <w:r>
              <w:rPr>
                <w:rFonts w:hint="eastAsia" w:cs="Times New Roman"/>
                <w:b/>
                <w:bCs/>
                <w:kern w:val="2"/>
                <w:szCs w:val="21"/>
                <w:lang w:eastAsia="zh-TW"/>
              </w:rPr>
              <w:t>）验收标准以双方达成的对质量和技术标准的约定、</w:t>
            </w:r>
            <w:r>
              <w:rPr>
                <w:rFonts w:hint="eastAsia" w:cs="Times New Roman"/>
                <w:b/>
                <w:bCs/>
                <w:kern w:val="2"/>
                <w:szCs w:val="21"/>
              </w:rPr>
              <w:t>中标人</w:t>
            </w:r>
            <w:r>
              <w:rPr>
                <w:rFonts w:hint="eastAsia" w:cs="Times New Roman"/>
                <w:b/>
                <w:bCs/>
                <w:kern w:val="2"/>
                <w:szCs w:val="21"/>
                <w:lang w:eastAsia="zh-TW"/>
              </w:rPr>
              <w:t>承诺的质量和技术标准、国家或行业规定的相关质量和技术标准中最高者为准，且应充分满足</w:t>
            </w:r>
            <w:r>
              <w:rPr>
                <w:rFonts w:hint="eastAsia" w:cs="Times New Roman"/>
                <w:b/>
                <w:bCs/>
                <w:kern w:val="2"/>
                <w:szCs w:val="21"/>
              </w:rPr>
              <w:t>采购人</w:t>
            </w:r>
            <w:r>
              <w:rPr>
                <w:rFonts w:hint="eastAsia" w:cs="Times New Roman"/>
                <w:b/>
                <w:bCs/>
                <w:kern w:val="2"/>
                <w:szCs w:val="21"/>
                <w:lang w:eastAsia="zh-TW"/>
              </w:rPr>
              <w:t>使用要求。</w:t>
            </w:r>
          </w:p>
        </w:tc>
        <w:tc>
          <w:tcPr>
            <w:tcW w:w="847" w:type="dxa"/>
            <w:vAlign w:val="center"/>
          </w:tcPr>
          <w:p>
            <w:pPr>
              <w:widowControl w:val="0"/>
              <w:shd w:val="clear" w:color="auto" w:fill="auto"/>
              <w:jc w:val="center"/>
              <w:rPr>
                <w:rFonts w:hint="eastAsia" w:cs="Times New Roman"/>
                <w:b/>
                <w:bCs/>
                <w:kern w:val="2"/>
                <w:szCs w:val="21"/>
                <w:lang w:eastAsia="zh-TW"/>
              </w:rPr>
            </w:pPr>
            <w:r>
              <w:rPr>
                <w:rFonts w:hint="eastAsia" w:cs="Times New Roman"/>
                <w:b/>
                <w:bCs/>
                <w:kern w:val="2"/>
                <w:szCs w:val="21"/>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723" w:type="dxa"/>
          </w:tcPr>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★6.付款方式：</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（1）中标人向采购人交付履约保函或保证金，比例等于合同金额的10%，并提交下列单据之日起10个工作日内，采购人向中标人支付合同总价50%合同款。</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中标人提交单据：合同（正文部分复印件）、中标通知书（或成交通知书复印件）、发票（原件）、履约保函或保证金单据复印件（如有）。</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（2）设备全部到货并经采购人（用户）签收后，中标人向采购人提交下列单据之日起10个工作日内，采购人向中标人支付合同总价50%合同款。</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中标人提交单据：合同(正文部分复印件）、中标通知书（或成交通知书复印件）、发票（原件）、设备到货签收单（复印件）。</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（3）设备全部安装调试，并经采购人（用户）验收合格后，中标人向采购人提交下列单据之日起30日内，采购人向中标人无息退还履约保函或保证金。</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中标人提交单据：退还申请（原件）、安装调试验收合格报告（复印件）。</w:t>
            </w:r>
          </w:p>
          <w:p>
            <w:pPr>
              <w:widowControl w:val="0"/>
              <w:shd w:val="clear" w:color="auto" w:fill="auto"/>
              <w:ind w:firstLine="422" w:firstLineChars="200"/>
              <w:rPr>
                <w:rFonts w:hint="eastAsia" w:cs="Times New Roman"/>
                <w:b/>
                <w:bCs/>
                <w:kern w:val="2"/>
                <w:szCs w:val="21"/>
              </w:rPr>
            </w:pPr>
            <w:r>
              <w:rPr>
                <w:rFonts w:hint="eastAsia" w:cs="Times New Roman"/>
                <w:b/>
                <w:bCs/>
                <w:kern w:val="2"/>
                <w:szCs w:val="21"/>
              </w:rPr>
              <w:t>（4）因财政集中支付延误时间不计算在内。中标人提交付款单据延迟、缺失及账户信息错误的，采购人有权相应顺延付款期限，且采购人不承担延误付款责任。</w:t>
            </w:r>
          </w:p>
        </w:tc>
        <w:tc>
          <w:tcPr>
            <w:tcW w:w="847" w:type="dxa"/>
            <w:vAlign w:val="center"/>
          </w:tcPr>
          <w:p>
            <w:pPr>
              <w:widowControl w:val="0"/>
              <w:shd w:val="clear" w:color="auto" w:fill="auto"/>
              <w:jc w:val="center"/>
              <w:rPr>
                <w:rFonts w:hint="eastAsia" w:cs="Times New Roman"/>
                <w:b/>
                <w:bCs/>
                <w:kern w:val="2"/>
                <w:szCs w:val="21"/>
              </w:rPr>
            </w:pPr>
            <w:r>
              <w:rPr>
                <w:rFonts w:hint="eastAsia" w:cs="Times New Roman"/>
                <w:b/>
                <w:bCs/>
                <w:kern w:val="2"/>
                <w:szCs w:val="21"/>
              </w:rPr>
              <w:t>★</w:t>
            </w:r>
          </w:p>
        </w:tc>
      </w:tr>
    </w:tbl>
    <w:p>
      <w:pPr>
        <w:shd w:val="clear" w:color="auto" w:fill="auto"/>
        <w:tabs>
          <w:tab w:val="clear" w:pos="426"/>
        </w:tabs>
        <w:spacing w:line="240" w:lineRule="auto"/>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left="420" w:left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1.商务</w:t>
      </w:r>
      <w:r>
        <w:rPr>
          <w:rFonts w:cs="Times New Roman"/>
          <w:b/>
          <w:bCs/>
          <w:kern w:val="2"/>
          <w:szCs w:val="21"/>
        </w:rPr>
        <w:t>要求分为一般</w:t>
      </w:r>
      <w:r>
        <w:rPr>
          <w:rFonts w:hint="eastAsia" w:cs="Times New Roman"/>
          <w:b/>
          <w:bCs/>
          <w:kern w:val="2"/>
          <w:szCs w:val="21"/>
        </w:rPr>
        <w:t>商务</w:t>
      </w:r>
      <w:r>
        <w:rPr>
          <w:rFonts w:cs="Times New Roman"/>
          <w:b/>
          <w:bCs/>
          <w:kern w:val="2"/>
          <w:szCs w:val="21"/>
        </w:rPr>
        <w:t>要求、重要</w:t>
      </w:r>
      <w:r>
        <w:rPr>
          <w:rFonts w:hint="eastAsia" w:cs="Times New Roman"/>
          <w:b/>
          <w:bCs/>
          <w:kern w:val="2"/>
          <w:szCs w:val="21"/>
        </w:rPr>
        <w:t>商务</w:t>
      </w:r>
      <w:r>
        <w:rPr>
          <w:rFonts w:cs="Times New Roman"/>
          <w:b/>
          <w:bCs/>
          <w:kern w:val="2"/>
          <w:szCs w:val="21"/>
        </w:rPr>
        <w:t>要求（以“▲”标注）和实质性</w:t>
      </w:r>
      <w:r>
        <w:rPr>
          <w:rFonts w:hint="eastAsia" w:cs="Times New Roman"/>
          <w:b/>
          <w:bCs/>
          <w:kern w:val="2"/>
          <w:szCs w:val="21"/>
        </w:rPr>
        <w:t>商务</w:t>
      </w:r>
      <w:r>
        <w:rPr>
          <w:rFonts w:cs="Times New Roman"/>
          <w:b/>
          <w:bCs/>
          <w:kern w:val="2"/>
          <w:szCs w:val="21"/>
        </w:rPr>
        <w:t>要求（以</w:t>
      </w:r>
      <w:r>
        <w:rPr>
          <w:rFonts w:hint="eastAsia" w:cs="Times New Roman"/>
          <w:b/>
          <w:bCs/>
          <w:kern w:val="2"/>
          <w:szCs w:val="21"/>
        </w:rPr>
        <w:t>“</w:t>
      </w:r>
      <w:r>
        <w:rPr>
          <w:rFonts w:cs="Times New Roman"/>
          <w:b/>
          <w:bCs/>
          <w:kern w:val="2"/>
          <w:szCs w:val="21"/>
        </w:rPr>
        <w:t>★”标注）。一般商务要求和重要商务要求若出现不响应或负偏离，其综合评分的相关分数将予以扣减，但不作为投标无效条款。实质性商务要求（以</w:t>
      </w:r>
      <w:r>
        <w:rPr>
          <w:rFonts w:hint="eastAsia" w:cs="Times New Roman"/>
          <w:b/>
          <w:bCs/>
          <w:kern w:val="2"/>
          <w:szCs w:val="21"/>
        </w:rPr>
        <w:t>“</w:t>
      </w:r>
      <w:r>
        <w:rPr>
          <w:rFonts w:cs="Times New Roman"/>
          <w:b/>
          <w:bCs/>
          <w:kern w:val="2"/>
          <w:szCs w:val="21"/>
        </w:rPr>
        <w:t>★”标注）若出现不响应或任何一项负偏离，将导致投标无效。</w:t>
      </w:r>
    </w:p>
    <w:p>
      <w:pPr>
        <w:shd w:val="clear" w:color="auto" w:fill="auto"/>
        <w:tabs>
          <w:tab w:val="clear" w:pos="426"/>
        </w:tabs>
        <w:adjustRightInd/>
        <w:snapToGrid/>
        <w:spacing w:line="240" w:lineRule="auto"/>
        <w:jc w:val="left"/>
        <w:rPr>
          <w:rFonts w:ascii="Cambria" w:hAnsi="Cambria" w:cs="Times New Roman"/>
          <w:b/>
          <w:bCs/>
          <w:kern w:val="28"/>
          <w:sz w:val="28"/>
          <w:szCs w:val="32"/>
        </w:rPr>
      </w:pPr>
      <w:r>
        <w:br w:type="page"/>
      </w:r>
    </w:p>
    <w:p>
      <w:pPr>
        <w:pStyle w:val="62"/>
      </w:pPr>
      <w:bookmarkStart w:id="51" w:name="_Toc2525"/>
      <w:r>
        <w:rPr>
          <w:rFonts w:hint="eastAsia"/>
        </w:rPr>
        <w:t>第三章 定价方式、合同类型和风险管理措施</w:t>
      </w:r>
      <w:bookmarkEnd w:id="51"/>
    </w:p>
    <w:p>
      <w:pPr>
        <w:numPr>
          <w:ilvl w:val="0"/>
          <w:numId w:val="3"/>
        </w:numPr>
        <w:adjustRightInd/>
        <w:snapToGrid/>
        <w:spacing w:before="280" w:after="290" w:line="377" w:lineRule="auto"/>
        <w:jc w:val="left"/>
        <w:outlineLvl w:val="2"/>
        <w:rPr>
          <w:rFonts w:hint="eastAsia"/>
          <w:b/>
          <w:sz w:val="24"/>
        </w:rPr>
      </w:pPr>
      <w:bookmarkStart w:id="52" w:name="_Toc157893754"/>
      <w:bookmarkStart w:id="53" w:name="_Toc21605"/>
      <w:bookmarkStart w:id="54" w:name="_Toc27621"/>
      <w:r>
        <w:rPr>
          <w:rFonts w:hint="eastAsia"/>
          <w:b/>
          <w:sz w:val="24"/>
        </w:rPr>
        <w:t>定价方式</w:t>
      </w:r>
      <w:bookmarkEnd w:id="52"/>
      <w:bookmarkEnd w:id="53"/>
      <w:bookmarkEnd w:id="54"/>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固定总价</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5" w:name="_Toc7208"/>
      <w:bookmarkStart w:id="56" w:name="_Toc18675"/>
      <w:bookmarkStart w:id="57" w:name="_Toc157893755"/>
      <w:r>
        <w:rPr>
          <w:rFonts w:hint="eastAsia"/>
          <w:b/>
          <w:sz w:val="24"/>
        </w:rPr>
        <w:t>合同类型</w:t>
      </w:r>
      <w:bookmarkEnd w:id="55"/>
      <w:bookmarkEnd w:id="56"/>
      <w:bookmarkEnd w:id="57"/>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买卖合同</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8" w:name="_Toc157893757"/>
      <w:bookmarkStart w:id="59" w:name="_Toc32122"/>
      <w:bookmarkStart w:id="60" w:name="_Toc24693"/>
      <w:r>
        <w:rPr>
          <w:rFonts w:hint="eastAsia"/>
          <w:b/>
          <w:sz w:val="24"/>
        </w:rPr>
        <w:t>风险管理措施</w:t>
      </w:r>
      <w:bookmarkEnd w:id="58"/>
      <w:bookmarkEnd w:id="59"/>
      <w:bookmarkEnd w:id="60"/>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spacing w:line="240" w:lineRule="auto"/>
              <w:rPr>
                <w:rFonts w:hint="eastAsia"/>
                <w:b/>
                <w:bCs/>
                <w:szCs w:val="21"/>
              </w:rPr>
            </w:pPr>
            <w:r>
              <w:rPr>
                <w:rFonts w:hint="eastAsia"/>
                <w:b/>
                <w:bCs/>
                <w:szCs w:val="21"/>
              </w:rPr>
              <w:t>阶段</w:t>
            </w:r>
          </w:p>
        </w:tc>
        <w:tc>
          <w:tcPr>
            <w:tcW w:w="1185" w:type="dxa"/>
          </w:tcPr>
          <w:p>
            <w:pPr>
              <w:spacing w:line="240" w:lineRule="auto"/>
              <w:rPr>
                <w:rFonts w:hint="eastAsia"/>
                <w:b/>
                <w:bCs/>
                <w:szCs w:val="21"/>
              </w:rPr>
            </w:pPr>
            <w:r>
              <w:rPr>
                <w:rFonts w:hint="eastAsia"/>
                <w:b/>
                <w:bCs/>
                <w:szCs w:val="21"/>
              </w:rPr>
              <w:t>风险事项</w:t>
            </w:r>
          </w:p>
        </w:tc>
        <w:tc>
          <w:tcPr>
            <w:tcW w:w="1185" w:type="dxa"/>
          </w:tcPr>
          <w:p>
            <w:pPr>
              <w:spacing w:line="240" w:lineRule="auto"/>
              <w:rPr>
                <w:rFonts w:hint="eastAsia"/>
                <w:b/>
                <w:bCs/>
                <w:szCs w:val="21"/>
              </w:rPr>
            </w:pPr>
            <w:r>
              <w:rPr>
                <w:rFonts w:hint="eastAsia"/>
                <w:b/>
                <w:bCs/>
                <w:szCs w:val="21"/>
              </w:rPr>
              <w:t>风险描述</w:t>
            </w:r>
          </w:p>
        </w:tc>
        <w:tc>
          <w:tcPr>
            <w:tcW w:w="1185" w:type="dxa"/>
          </w:tcPr>
          <w:p>
            <w:pPr>
              <w:spacing w:line="240" w:lineRule="auto"/>
              <w:rPr>
                <w:rFonts w:hint="eastAsia"/>
                <w:b/>
                <w:bCs/>
                <w:szCs w:val="21"/>
              </w:rPr>
            </w:pPr>
            <w:r>
              <w:rPr>
                <w:rFonts w:hint="eastAsia"/>
                <w:b/>
                <w:bCs/>
                <w:szCs w:val="21"/>
              </w:rPr>
              <w:t>风险等级</w:t>
            </w:r>
          </w:p>
        </w:tc>
        <w:tc>
          <w:tcPr>
            <w:tcW w:w="1185" w:type="dxa"/>
          </w:tcPr>
          <w:p>
            <w:pPr>
              <w:spacing w:line="240" w:lineRule="auto"/>
              <w:rPr>
                <w:rFonts w:hint="eastAsia"/>
                <w:b/>
                <w:bCs/>
                <w:szCs w:val="21"/>
              </w:rPr>
            </w:pPr>
            <w:r>
              <w:rPr>
                <w:rFonts w:hint="eastAsia"/>
                <w:b/>
                <w:bCs/>
                <w:szCs w:val="21"/>
              </w:rPr>
              <w:t>防控措施</w:t>
            </w:r>
          </w:p>
        </w:tc>
        <w:tc>
          <w:tcPr>
            <w:tcW w:w="1185" w:type="dxa"/>
          </w:tcPr>
          <w:p>
            <w:pPr>
              <w:spacing w:line="240" w:lineRule="auto"/>
              <w:rPr>
                <w:rFonts w:hint="eastAsia"/>
                <w:b/>
                <w:bCs/>
                <w:szCs w:val="21"/>
              </w:rPr>
            </w:pPr>
            <w:r>
              <w:rPr>
                <w:rFonts w:hint="eastAsia"/>
                <w:b/>
                <w:bCs/>
                <w:szCs w:val="21"/>
              </w:rPr>
              <w:t>责任人</w:t>
            </w:r>
          </w:p>
        </w:tc>
        <w:tc>
          <w:tcPr>
            <w:tcW w:w="1186" w:type="dxa"/>
          </w:tcPr>
          <w:p>
            <w:pPr>
              <w:spacing w:line="240" w:lineRule="auto"/>
              <w:rPr>
                <w:rFonts w:hint="eastAsia"/>
                <w:b/>
                <w:bCs/>
                <w:szCs w:val="21"/>
              </w:rPr>
            </w:pPr>
            <w:r>
              <w:rPr>
                <w:rFonts w:hint="eastAsia"/>
                <w:b/>
                <w:bCs/>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需求编制</w:t>
            </w:r>
          </w:p>
        </w:tc>
        <w:tc>
          <w:tcPr>
            <w:tcW w:w="1185" w:type="dxa"/>
          </w:tcPr>
          <w:p>
            <w:pPr>
              <w:tabs>
                <w:tab w:val="left" w:pos="1330"/>
                <w:tab w:val="clear" w:pos="426"/>
              </w:tabs>
              <w:spacing w:line="240" w:lineRule="auto"/>
              <w:rPr>
                <w:rFonts w:hint="eastAsia"/>
                <w:szCs w:val="21"/>
              </w:rPr>
            </w:pPr>
            <w:r>
              <w:rPr>
                <w:rFonts w:hint="eastAsia"/>
                <w:szCs w:val="21"/>
              </w:rPr>
              <w:t>需求编制与实际不符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仔细与需求部门确认需求表填写是否与实际需求一致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采购人</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采购活动</w:t>
            </w:r>
          </w:p>
        </w:tc>
        <w:tc>
          <w:tcPr>
            <w:tcW w:w="1185" w:type="dxa"/>
          </w:tcPr>
          <w:p>
            <w:pPr>
              <w:tabs>
                <w:tab w:val="left" w:pos="1330"/>
                <w:tab w:val="clear" w:pos="426"/>
              </w:tabs>
              <w:spacing w:line="240" w:lineRule="auto"/>
              <w:rPr>
                <w:rFonts w:hint="eastAsia"/>
                <w:szCs w:val="21"/>
              </w:rPr>
            </w:pPr>
            <w:r>
              <w:rPr>
                <w:rFonts w:hint="eastAsia"/>
                <w:szCs w:val="21"/>
              </w:rPr>
              <w:t>标书的填写符合性及与需求的符合性</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仔细与采购人员确认填写是否与实际需求一致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代理机构</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合同履约阶段</w:t>
            </w:r>
          </w:p>
        </w:tc>
        <w:tc>
          <w:tcPr>
            <w:tcW w:w="1185" w:type="dxa"/>
          </w:tcPr>
          <w:p>
            <w:pPr>
              <w:tabs>
                <w:tab w:val="left" w:pos="1330"/>
                <w:tab w:val="clear" w:pos="426"/>
              </w:tabs>
              <w:spacing w:line="240" w:lineRule="auto"/>
              <w:rPr>
                <w:rFonts w:hint="eastAsia"/>
                <w:szCs w:val="21"/>
              </w:rPr>
            </w:pPr>
            <w:r>
              <w:rPr>
                <w:rFonts w:hint="eastAsia"/>
                <w:szCs w:val="21"/>
              </w:rPr>
              <w:t>合同履约</w:t>
            </w:r>
          </w:p>
        </w:tc>
        <w:tc>
          <w:tcPr>
            <w:tcW w:w="1185" w:type="dxa"/>
          </w:tcPr>
          <w:p>
            <w:pPr>
              <w:tabs>
                <w:tab w:val="left" w:pos="1330"/>
                <w:tab w:val="clear" w:pos="426"/>
              </w:tabs>
              <w:spacing w:line="240" w:lineRule="auto"/>
              <w:rPr>
                <w:rFonts w:hint="eastAsia"/>
                <w:szCs w:val="21"/>
              </w:rPr>
            </w:pPr>
            <w:r>
              <w:rPr>
                <w:rFonts w:hint="eastAsia"/>
                <w:szCs w:val="21"/>
              </w:rPr>
              <w:t>供应商不能按照合同准时履约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在合同中详细写明无法按时履约应该承担的法律责任</w:t>
            </w:r>
          </w:p>
        </w:tc>
        <w:tc>
          <w:tcPr>
            <w:tcW w:w="1185" w:type="dxa"/>
          </w:tcPr>
          <w:p>
            <w:pPr>
              <w:tabs>
                <w:tab w:val="left" w:pos="1330"/>
                <w:tab w:val="clear" w:pos="426"/>
              </w:tabs>
              <w:spacing w:line="240" w:lineRule="auto"/>
              <w:rPr>
                <w:rFonts w:hint="eastAsia"/>
                <w:szCs w:val="21"/>
              </w:rPr>
            </w:pPr>
            <w:r>
              <w:rPr>
                <w:rFonts w:hint="eastAsia"/>
                <w:szCs w:val="21"/>
              </w:rPr>
              <w:t>供应商</w:t>
            </w:r>
          </w:p>
        </w:tc>
        <w:tc>
          <w:tcPr>
            <w:tcW w:w="1186" w:type="dxa"/>
          </w:tcPr>
          <w:p>
            <w:pPr>
              <w:tabs>
                <w:tab w:val="left" w:pos="1330"/>
                <w:tab w:val="clear" w:pos="426"/>
              </w:tabs>
              <w:spacing w:line="240" w:lineRule="auto"/>
              <w:rPr>
                <w:rFonts w:hint="eastAsia"/>
                <w:szCs w:val="21"/>
              </w:rPr>
            </w:pPr>
            <w:r>
              <w:rPr>
                <w:rFonts w:hint="eastAsia"/>
                <w:szCs w:val="21"/>
              </w:rPr>
              <w:t>合同履约环节</w:t>
            </w:r>
          </w:p>
        </w:tc>
      </w:tr>
    </w:tbl>
    <w:p>
      <w:pPr>
        <w:rPr>
          <w:rFonts w:hint="eastAsia"/>
        </w:rPr>
      </w:pPr>
    </w:p>
    <w:p>
      <w:pPr>
        <w:rPr>
          <w:rFonts w:hint="eastAsia"/>
        </w:rPr>
      </w:pPr>
      <w:r>
        <w:rPr>
          <w:rFonts w:hint="eastAsia"/>
        </w:rPr>
        <w:br w:type="page"/>
      </w:r>
    </w:p>
    <w:p>
      <w:pPr>
        <w:pStyle w:val="62"/>
      </w:pPr>
      <w:bookmarkStart w:id="61" w:name="_Toc25501"/>
      <w:r>
        <w:rPr>
          <w:rFonts w:hint="eastAsia"/>
        </w:rPr>
        <w:t>第四章 资格审查和评标方法</w:t>
      </w:r>
      <w:bookmarkEnd w:id="61"/>
    </w:p>
    <w:p>
      <w:pPr>
        <w:pStyle w:val="62"/>
      </w:pPr>
      <w:bookmarkStart w:id="62" w:name="_Toc12702"/>
      <w:r>
        <w:rPr>
          <w:rFonts w:hint="eastAsia"/>
        </w:rPr>
        <w:t>前附表（一）</w:t>
      </w:r>
      <w:r>
        <w:t>资格审查表</w:t>
      </w:r>
      <w:bookmarkEnd w:id="62"/>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numPr>
                <w:ilvl w:val="0"/>
                <w:numId w:val="4"/>
              </w:numPr>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投标供应商具备招标资质要求，且提交相应资质证明材料；(详见招标公告“申请人的资格要求”，其中未列示的资质要求不得导致废标。)</w:t>
            </w:r>
          </w:p>
        </w:tc>
      </w:tr>
    </w:tbl>
    <w:p>
      <w:pPr>
        <w:pStyle w:val="62"/>
      </w:pPr>
      <w:r>
        <w:rPr>
          <w:sz w:val="24"/>
        </w:rPr>
        <w:br w:type="page"/>
      </w:r>
      <w:bookmarkStart w:id="63" w:name="_Toc10832"/>
      <w:bookmarkStart w:id="64" w:name="_Toc435514846"/>
      <w:r>
        <w:rPr>
          <w:rFonts w:hint="eastAsia"/>
          <w:sz w:val="24"/>
        </w:rPr>
        <w:t>前附表（二）符合性审查表</w:t>
      </w:r>
      <w:bookmarkEnd w:id="63"/>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未按招标文件所提供的样式填写</w:t>
            </w:r>
            <w:r>
              <w:t>《</w:t>
            </w:r>
            <w:r>
              <w:rPr>
                <w:rFonts w:hint="eastAsia"/>
              </w:rPr>
              <w:t>投标函》；未按招标文件所提供的《投标人资格声明函》进行承诺；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投标文件载明的质保期低于招标文件规定的期限；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ascii="Times New Roman" w:hAnsi="Times New Roman" w:cs="Times New Roman"/>
              </w:rPr>
              <w:t>投标报价有严重缺漏项目或对招标文件规定的</w:t>
            </w:r>
            <w:r>
              <w:rPr>
                <w:rFonts w:hint="eastAsia" w:ascii="Times New Roman" w:hAnsi="Times New Roman" w:cs="Times New Roman"/>
              </w:rPr>
              <w:t>货物</w:t>
            </w:r>
            <w:r>
              <w:rPr>
                <w:rFonts w:ascii="Times New Roman" w:hAnsi="Times New Roman" w:cs="Times New Roman"/>
              </w:rPr>
              <w:t>清单项目及数量进行修改</w:t>
            </w:r>
            <w:r>
              <w:rPr>
                <w:rFonts w:hint="eastAsia"/>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《技术规格偏离表》或《商务条款偏离表》填写不全、不明或不实；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法律、法规规定的属于投标无效的其他情形。</w:t>
            </w:r>
          </w:p>
        </w:tc>
      </w:tr>
    </w:tbl>
    <w:p>
      <w:pPr>
        <w:rPr>
          <w:rFonts w:hint="eastAsia"/>
        </w:rPr>
      </w:pPr>
      <w:r>
        <w:br w:type="page"/>
      </w:r>
    </w:p>
    <w:p>
      <w:pPr>
        <w:pStyle w:val="62"/>
      </w:pPr>
      <w:bookmarkStart w:id="65" w:name="_Toc11333"/>
      <w:r>
        <w:rPr>
          <w:rFonts w:hint="eastAsia"/>
        </w:rPr>
        <w:t>前附表（三）综合评分法评分因素和权重分值表</w:t>
      </w:r>
      <w:bookmarkEnd w:id="65"/>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48</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48分；“★”为不可偏离参数；以此为基础，投标人的技术响应低于招标文件中规定的“▲”技术要求每有一项减4分；投标人一般技术响应低于招标文件规定的，每有一项减0.8分。本项最低得0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完全满足招标文件商务要求，应答完整的得4分；“★”为不可偏离条款；以此为基础，投标人一般商务响应低于招标文件规定的，每有一项减4分。本项最低得0分。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5</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w:t>
            </w:r>
            <w:r>
              <w:rPr>
                <w:rFonts w:hint="eastAsia"/>
              </w:rPr>
              <w:t>全自动高通量核酸质谱检测系统</w:t>
            </w:r>
            <w:r>
              <w:rPr>
                <w:rFonts w:hint="eastAsia"/>
                <w:szCs w:val="21"/>
              </w:rPr>
              <w:t>产品销售业绩的，每提供1个项目得1分，最高得5分。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3</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所投产品生产厂家具有质量管理体系认证证书、环境管理体系认证证书、职业健康安全管理体系认证证书，每提供1个有效认证证书得1分，最高得3分。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r>
        <w:rPr>
          <w:rFonts w:hint="eastAsia"/>
        </w:rPr>
        <w:t>备注：</w:t>
      </w:r>
    </w:p>
    <w:p>
      <w:pPr>
        <w:tabs>
          <w:tab w:val="clear" w:pos="426"/>
        </w:tabs>
        <w:spacing w:line="240" w:lineRule="auto"/>
        <w:ind w:firstLine="420" w:firstLineChars="200"/>
        <w:rPr>
          <w:rFonts w:hint="eastAsia"/>
        </w:rPr>
      </w:pPr>
      <w:r>
        <w:rPr>
          <w:rFonts w:hint="eastAsia"/>
        </w:rPr>
        <w:t>1. 缺项则该项为0分或不合格为0分。</w:t>
      </w:r>
    </w:p>
    <w:p>
      <w:pPr>
        <w:tabs>
          <w:tab w:val="clear" w:pos="426"/>
        </w:tabs>
        <w:spacing w:line="240" w:lineRule="auto"/>
        <w:ind w:firstLine="420" w:firstLineChars="200"/>
        <w:rPr>
          <w:rFonts w:hint="eastAsia"/>
        </w:rPr>
      </w:pPr>
      <w:r>
        <w:rPr>
          <w:rFonts w:hint="eastAsia"/>
        </w:rPr>
        <w:t>2.</w:t>
      </w:r>
      <w:r>
        <w:t xml:space="preserve"> 价格、技术、商务部分为针对项目具体情况设置项目，累加满分为100分，固定额外加分部分为固定设置项，对涉及政策导向优先采购产品进行额外加分</w:t>
      </w:r>
      <w:r>
        <w:rPr>
          <w:rFonts w:hint="eastAsia"/>
        </w:rPr>
        <w:t>。</w:t>
      </w:r>
    </w:p>
    <w:p>
      <w:pPr>
        <w:tabs>
          <w:tab w:val="clear" w:pos="426"/>
        </w:tabs>
        <w:spacing w:line="240" w:lineRule="auto"/>
        <w:ind w:firstLine="420" w:firstLineChars="200"/>
        <w:rPr>
          <w:rFonts w:hint="eastAsia"/>
        </w:rPr>
      </w:pPr>
      <w:r>
        <w:rPr>
          <w:rFonts w:hint="eastAsia"/>
        </w:rPr>
        <w:t>3. 综合以上分析比较，评委会将对各投标文件进行书面的量化评定，得分</w:t>
      </w:r>
      <w:r>
        <w:t>精确到小数点后两位</w:t>
      </w:r>
      <w:r>
        <w:rPr>
          <w:rFonts w:hint="eastAsia"/>
        </w:rPr>
        <w:t>。</w:t>
      </w:r>
    </w:p>
    <w:p>
      <w:pPr>
        <w:tabs>
          <w:tab w:val="clear" w:pos="426"/>
        </w:tabs>
        <w:spacing w:line="240" w:lineRule="auto"/>
        <w:ind w:firstLine="420" w:firstLineChars="200"/>
        <w:rPr>
          <w:rFonts w:hint="eastAsia"/>
        </w:rPr>
      </w:pPr>
      <w:r>
        <w:rPr>
          <w:rFonts w:hint="eastAsia"/>
        </w:rPr>
        <w:t>4. 客观评分项，所有评审专家应当统一打分分值；主观评分项，评审专家应当按照打分标准独立打分。</w:t>
      </w:r>
    </w:p>
    <w:p>
      <w:pPr>
        <w:rPr>
          <w:rFonts w:hint="eastAsia"/>
        </w:rPr>
      </w:pPr>
    </w:p>
    <w:p>
      <w:pPr>
        <w:rPr>
          <w:rFonts w:hint="eastAsia"/>
        </w:rPr>
      </w:pPr>
    </w:p>
    <w:p>
      <w:pPr>
        <w:rPr>
          <w:rFonts w:hint="eastAsia"/>
        </w:rPr>
      </w:pPr>
      <w:r>
        <w:rPr>
          <w:rFonts w:hint="eastAsia"/>
        </w:rPr>
        <w:br w:type="page"/>
      </w:r>
    </w:p>
    <w:p>
      <w:pPr>
        <w:pStyle w:val="62"/>
      </w:pPr>
      <w:bookmarkStart w:id="66" w:name="_Toc26041"/>
      <w:r>
        <w:rPr>
          <w:rFonts w:hint="eastAsia"/>
        </w:rPr>
        <w:t>前附表（四）</w:t>
      </w:r>
      <w:bookmarkEnd w:id="66"/>
    </w:p>
    <w:p>
      <w:pPr>
        <w:adjustRightInd/>
        <w:snapToGrid/>
        <w:spacing w:before="280" w:after="290" w:line="377" w:lineRule="auto"/>
        <w:jc w:val="left"/>
        <w:outlineLvl w:val="2"/>
        <w:rPr>
          <w:rFonts w:hint="eastAsia"/>
          <w:b/>
          <w:sz w:val="24"/>
        </w:rPr>
      </w:pPr>
      <w:bookmarkStart w:id="67" w:name="_Toc12567"/>
      <w:r>
        <w:rPr>
          <w:rFonts w:hint="eastAsia"/>
          <w:b/>
          <w:sz w:val="24"/>
        </w:rPr>
        <w:t>1.资格审查</w:t>
      </w:r>
      <w:bookmarkEnd w:id="67"/>
    </w:p>
    <w:p>
      <w:pPr>
        <w:tabs>
          <w:tab w:val="clear" w:pos="426"/>
        </w:tabs>
        <w:spacing w:line="300" w:lineRule="auto"/>
        <w:ind w:firstLine="420" w:firstLineChars="200"/>
        <w:rPr>
          <w:rFonts w:hint="eastAsia"/>
        </w:rPr>
      </w:pPr>
      <w:r>
        <w:rPr>
          <w:rFonts w:hint="eastAsia"/>
        </w:rPr>
        <w:t>依据法律法规和招标文件的规定，对投标文件中的资格证明等进行审查，以确定投标供应商是否具备投标资格。审查内容请详见“前附表（一）资格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68" w:name="_Toc1724"/>
      <w:r>
        <w:rPr>
          <w:rFonts w:hint="eastAsia"/>
          <w:b/>
          <w:sz w:val="24"/>
        </w:rPr>
        <w:t>2.评标方法</w:t>
      </w:r>
      <w:bookmarkEnd w:id="68"/>
    </w:p>
    <w:p>
      <w:pPr>
        <w:tabs>
          <w:tab w:val="clear" w:pos="426"/>
        </w:tabs>
        <w:spacing w:line="300" w:lineRule="auto"/>
        <w:ind w:firstLine="420" w:firstLineChars="200"/>
        <w:rPr>
          <w:rFonts w:hint="eastAsia"/>
        </w:rPr>
      </w:pPr>
      <w:r>
        <w:rPr>
          <w:rFonts w:hint="eastAsia"/>
        </w:rPr>
        <w:t>2.1本项目评标方法为：综合评分法</w:t>
      </w:r>
    </w:p>
    <w:p>
      <w:pPr>
        <w:tabs>
          <w:tab w:val="clear" w:pos="426"/>
        </w:tabs>
        <w:spacing w:line="300" w:lineRule="auto"/>
        <w:ind w:firstLine="420" w:firstLineChars="200"/>
        <w:rPr>
          <w:rFonts w:hint="eastAsia"/>
        </w:rPr>
      </w:pPr>
      <w:r>
        <w:rPr>
          <w:rFonts w:hint="eastAsia"/>
        </w:rPr>
        <w:t>中标人数量为：1家；中标候选人数量为：3家。</w:t>
      </w:r>
    </w:p>
    <w:p>
      <w:pPr>
        <w:tabs>
          <w:tab w:val="clear" w:pos="426"/>
        </w:tabs>
        <w:spacing w:line="300" w:lineRule="auto"/>
        <w:ind w:firstLine="420" w:firstLineChars="200"/>
        <w:rPr>
          <w:rFonts w:hint="eastAsia"/>
        </w:rPr>
      </w:pPr>
      <w:r>
        <w:rPr>
          <w:rFonts w:hint="eastAsia"/>
        </w:rPr>
        <w:t>综合评分法，是指投标文件满足招标文件全部实质性要求，且按照评审因素的量化指标评审得分最高的投标人为候选中标人的评标方法。</w:t>
      </w:r>
    </w:p>
    <w:p>
      <w:pPr>
        <w:tabs>
          <w:tab w:val="clear" w:pos="426"/>
        </w:tabs>
        <w:spacing w:line="300" w:lineRule="auto"/>
        <w:ind w:firstLine="420" w:firstLineChars="200"/>
        <w:rPr>
          <w:rFonts w:hint="eastAsia"/>
        </w:rPr>
      </w:pPr>
      <w:r>
        <w:rPr>
          <w:rFonts w:hint="eastAsia"/>
        </w:rPr>
        <w:t>2.2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tabs>
          <w:tab w:val="clear" w:pos="426"/>
        </w:tabs>
        <w:spacing w:line="300" w:lineRule="auto"/>
        <w:ind w:firstLine="420" w:firstLineChars="200"/>
        <w:rPr>
          <w:rFonts w:hint="eastAsia"/>
        </w:rPr>
      </w:pPr>
      <w:r>
        <w:rPr>
          <w:rFonts w:hint="eastAsia"/>
        </w:rPr>
        <w:t>2.3价格分计算方法</w:t>
      </w:r>
    </w:p>
    <w:p>
      <w:pPr>
        <w:tabs>
          <w:tab w:val="clear" w:pos="426"/>
        </w:tabs>
        <w:spacing w:line="300" w:lineRule="auto"/>
        <w:ind w:firstLine="420" w:firstLineChars="200"/>
        <w:rPr>
          <w:rFonts w:hint="eastAsia"/>
        </w:rPr>
      </w:pPr>
      <w:r>
        <w:rPr>
          <w:rFonts w:hint="eastAsia"/>
        </w:rP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rFonts w:hint="eastAsia"/>
        </w:rPr>
      </w:pPr>
      <w:r>
        <w:rPr>
          <w:rFonts w:hint="eastAsia"/>
        </w:rPr>
        <w:t>投标报价得分=(评标基准价／投标报价)×30</w:t>
      </w:r>
    </w:p>
    <w:p>
      <w:pPr>
        <w:tabs>
          <w:tab w:val="clear" w:pos="426"/>
        </w:tabs>
        <w:spacing w:line="300" w:lineRule="auto"/>
        <w:ind w:firstLine="420" w:firstLineChars="200"/>
        <w:rPr>
          <w:rFonts w:hint="eastAsia"/>
        </w:rPr>
      </w:pPr>
      <w:r>
        <w:rPr>
          <w:rFonts w:hint="eastAsia"/>
        </w:rPr>
        <w:t>2.4评标优惠政策</w:t>
      </w:r>
    </w:p>
    <w:p>
      <w:pPr>
        <w:tabs>
          <w:tab w:val="clear" w:pos="426"/>
        </w:tabs>
        <w:spacing w:line="300" w:lineRule="auto"/>
        <w:ind w:firstLine="422" w:firstLineChars="200"/>
        <w:rPr>
          <w:rFonts w:hint="eastAsia"/>
          <w:b/>
          <w:bCs/>
          <w:szCs w:val="21"/>
        </w:rPr>
      </w:pPr>
      <w:r>
        <w:rPr>
          <w:rFonts w:hint="eastAsia"/>
          <w:b/>
          <w:bCs/>
        </w:rPr>
        <w:t>本项目采购标的对应</w:t>
      </w:r>
      <w:r>
        <w:rPr>
          <w:rFonts w:hint="eastAsia"/>
          <w:b/>
          <w:bCs/>
          <w:szCs w:val="21"/>
        </w:rPr>
        <w:t>的中小企业划分标准所属行业为</w:t>
      </w:r>
      <w:r>
        <w:rPr>
          <w:rFonts w:hint="eastAsia"/>
          <w:b/>
          <w:bCs/>
          <w:szCs w:val="21"/>
          <w:u w:val="single"/>
        </w:rPr>
        <w:t>工业</w:t>
      </w:r>
      <w:r>
        <w:rPr>
          <w:rFonts w:hint="eastAsia"/>
          <w:b/>
          <w:bCs/>
          <w:szCs w:val="21"/>
        </w:rPr>
        <w:t>。</w:t>
      </w:r>
    </w:p>
    <w:p>
      <w:pPr>
        <w:tabs>
          <w:tab w:val="clear" w:pos="426"/>
        </w:tabs>
        <w:spacing w:line="300" w:lineRule="auto"/>
        <w:ind w:firstLine="420" w:firstLineChars="200"/>
        <w:rPr>
          <w:rFonts w:hint="eastAsia"/>
          <w:szCs w:val="21"/>
        </w:rPr>
      </w:pPr>
      <w: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b/>
          <w:bCs/>
        </w:rPr>
        <w:t>扣除</w:t>
      </w:r>
      <w:r>
        <w:rPr>
          <w:rFonts w:hint="eastAsia"/>
          <w:b/>
          <w:bCs/>
          <w:u w:val="single"/>
        </w:rPr>
        <w:t>10</w:t>
      </w:r>
      <w:r>
        <w:rPr>
          <w:b/>
          <w:bCs/>
          <w:u w:val="single"/>
        </w:rPr>
        <w:t>%</w:t>
      </w:r>
      <w:r>
        <w:t>后参与评审。对于同时属于小微企业、监狱</w:t>
      </w:r>
      <w:r>
        <w:rPr>
          <w:szCs w:val="21"/>
        </w:rPr>
        <w:t>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rFonts w:hint="eastAsia"/>
          <w:szCs w:val="21"/>
        </w:rPr>
      </w:pPr>
      <w:r>
        <w:rPr>
          <w:rFonts w:hint="eastAsia"/>
          <w:szCs w:val="21"/>
        </w:rPr>
        <w:t>2.5</w:t>
      </w:r>
      <w:r>
        <w:rPr>
          <w:szCs w:val="21"/>
        </w:rPr>
        <w:t>其他需要落实的政府采购政策</w:t>
      </w:r>
    </w:p>
    <w:p>
      <w:pPr>
        <w:tabs>
          <w:tab w:val="clear" w:pos="426"/>
        </w:tabs>
        <w:spacing w:line="300" w:lineRule="auto"/>
        <w:ind w:firstLine="420" w:firstLineChars="200"/>
        <w:rPr>
          <w:rFonts w:hint="eastAsia"/>
          <w:szCs w:val="21"/>
        </w:rPr>
      </w:pPr>
      <w:r>
        <w:rPr>
          <w:szCs w:val="21"/>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tabs>
          <w:tab w:val="clear" w:pos="426"/>
        </w:tabs>
        <w:spacing w:line="300" w:lineRule="auto"/>
        <w:ind w:firstLine="420" w:firstLineChars="200"/>
        <w:rPr>
          <w:rFonts w:hint="eastAsia"/>
          <w:szCs w:val="21"/>
        </w:rPr>
      </w:pPr>
      <w:r>
        <w:rPr>
          <w:szCs w:val="21"/>
        </w:rPr>
        <w:t>根据财政部《关于在政府采购活动中查询及使用信用记录有关问题的通知》（财库〔2016〕125号），供应商信用信息的查询渠道为“信用中国（https：//www.creditchina.gov.cn/）”中的“信用服务”栏的“重大税收违法案件当事人名单”“失信被执行人”、“中国政府采购网（http：//www.ccgp.gov.cn/）” 中的“政府采购严重违法失信行为记录名单”，相关信息以开标当日的查询结果为准。</w:t>
      </w:r>
    </w:p>
    <w:p>
      <w:pPr>
        <w:tabs>
          <w:tab w:val="clear" w:pos="426"/>
        </w:tabs>
        <w:spacing w:line="300" w:lineRule="auto"/>
        <w:ind w:firstLine="420" w:firstLineChars="200"/>
        <w:rPr>
          <w:rFonts w:hint="eastAsia"/>
          <w:szCs w:val="21"/>
        </w:rPr>
      </w:pPr>
      <w:r>
        <w:rPr>
          <w:rFonts w:hint="eastAsia"/>
          <w:szCs w:val="21"/>
        </w:rPr>
        <w:t>2.6</w:t>
      </w:r>
      <w:r>
        <w:rPr>
          <w:szCs w:val="21"/>
        </w:rPr>
        <w:t>评标专家应对通过投标文件初审进入评标程序的投标文件先评技术标、再评商务标；</w:t>
      </w:r>
    </w:p>
    <w:p>
      <w:pPr>
        <w:tabs>
          <w:tab w:val="clear" w:pos="426"/>
        </w:tabs>
        <w:spacing w:line="300" w:lineRule="auto"/>
        <w:ind w:firstLine="420" w:firstLineChars="200"/>
        <w:rPr>
          <w:rFonts w:hint="eastAsia"/>
          <w:szCs w:val="21"/>
        </w:rPr>
      </w:pPr>
      <w:r>
        <w:rPr>
          <w:rFonts w:hint="eastAsia"/>
          <w:szCs w:val="21"/>
        </w:rPr>
        <w:t>2.7</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pPr>
        <w:tabs>
          <w:tab w:val="clear" w:pos="426"/>
        </w:tabs>
        <w:spacing w:line="300" w:lineRule="auto"/>
        <w:ind w:firstLine="420" w:firstLineChars="200"/>
        <w:rPr>
          <w:rFonts w:hint="eastAsia"/>
        </w:rPr>
      </w:pPr>
      <w:r>
        <w:rPr>
          <w:rFonts w:hint="eastAsia"/>
          <w:szCs w:val="21"/>
        </w:rPr>
        <w:t>2.8评标委员会在评标时，应按照“前附表（三）综合评分法评分因素和权重分值表”量化的评审因素，对各投标文件进行分析和比较。</w:t>
      </w:r>
    </w:p>
    <w:p>
      <w:pPr>
        <w:adjustRightInd/>
        <w:snapToGrid/>
        <w:spacing w:before="280" w:after="290" w:line="377" w:lineRule="auto"/>
        <w:jc w:val="left"/>
        <w:outlineLvl w:val="2"/>
        <w:rPr>
          <w:rFonts w:hint="eastAsia"/>
          <w:b/>
          <w:sz w:val="24"/>
        </w:rPr>
      </w:pPr>
      <w:bookmarkStart w:id="69" w:name="_Toc16831"/>
      <w:r>
        <w:rPr>
          <w:rFonts w:hint="eastAsia"/>
          <w:b/>
          <w:sz w:val="24"/>
        </w:rPr>
        <w:t>3.符合性审查</w:t>
      </w:r>
      <w:bookmarkEnd w:id="69"/>
    </w:p>
    <w:p>
      <w:pPr>
        <w:tabs>
          <w:tab w:val="clear" w:pos="426"/>
        </w:tabs>
        <w:spacing w:line="300" w:lineRule="auto"/>
        <w:ind w:firstLine="420" w:firstLineChars="200"/>
        <w:rPr>
          <w:rFonts w:hint="eastAsia"/>
        </w:rPr>
      </w:pPr>
      <w:r>
        <w:rPr>
          <w:rFonts w:hint="eastAsia"/>
        </w:rPr>
        <w:t>依据招标文件的规定，从投标文件的有效性、完整性和对招标文件的响应程度等进行审查，以确定是否对招标文件的实质性要求作出响应。审查内容请详见“前附表（二）符合性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0" w:name="_Toc29518"/>
      <w:r>
        <w:rPr>
          <w:rFonts w:hint="eastAsia"/>
          <w:b/>
          <w:sz w:val="24"/>
        </w:rPr>
        <w:t>4.比较与评价</w:t>
      </w:r>
      <w:bookmarkEnd w:id="70"/>
    </w:p>
    <w:p>
      <w:pPr>
        <w:tabs>
          <w:tab w:val="clear" w:pos="426"/>
        </w:tabs>
        <w:spacing w:line="300" w:lineRule="auto"/>
        <w:ind w:firstLine="420" w:firstLineChars="200"/>
        <w:rPr>
          <w:rFonts w:hint="eastAsia"/>
        </w:rPr>
      </w:pPr>
      <w:r>
        <w:rPr>
          <w:rFonts w:hint="eastAsia"/>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作出评审结论。经采购人同意后，确定排名第一的中标候选人为中标人。</w:t>
      </w:r>
    </w:p>
    <w:p>
      <w:pPr>
        <w:tabs>
          <w:tab w:val="clear" w:pos="426"/>
        </w:tabs>
        <w:spacing w:line="300" w:lineRule="auto"/>
        <w:ind w:firstLine="420" w:firstLineChars="200"/>
        <w:rPr>
          <w:rFonts w:hint="eastAsia"/>
        </w:rPr>
      </w:pPr>
      <w:r>
        <w:rPr>
          <w:rFonts w:hint="eastAsia"/>
        </w:rPr>
        <w:t>候选中标人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人推荐资格。</w:t>
      </w:r>
    </w:p>
    <w:p>
      <w:pPr>
        <w:tabs>
          <w:tab w:val="clear" w:pos="426"/>
        </w:tabs>
        <w:spacing w:line="300" w:lineRule="auto"/>
        <w:ind w:firstLine="420" w:firstLineChars="200"/>
        <w:rPr>
          <w:rFonts w:hint="eastAsia"/>
        </w:rPr>
      </w:pPr>
      <w:r>
        <w:rPr>
          <w:rFonts w:hint="eastAsia"/>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adjustRightInd/>
        <w:snapToGrid/>
        <w:spacing w:before="280" w:after="290" w:line="377" w:lineRule="auto"/>
        <w:jc w:val="left"/>
        <w:outlineLvl w:val="2"/>
        <w:rPr>
          <w:rFonts w:hint="eastAsia"/>
          <w:b/>
          <w:sz w:val="24"/>
        </w:rPr>
      </w:pPr>
      <w:bookmarkStart w:id="71" w:name="_Toc13196"/>
      <w:r>
        <w:rPr>
          <w:rFonts w:hint="eastAsia"/>
          <w:b/>
          <w:sz w:val="24"/>
        </w:rPr>
        <w:t>5.编写评标报告</w:t>
      </w:r>
      <w:bookmarkEnd w:id="71"/>
    </w:p>
    <w:p>
      <w:pPr>
        <w:tabs>
          <w:tab w:val="clear" w:pos="426"/>
        </w:tabs>
        <w:spacing w:line="300" w:lineRule="auto"/>
        <w:ind w:firstLine="420" w:firstLineChars="200"/>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rPr>
      </w:pPr>
    </w:p>
    <w:p>
      <w:pPr>
        <w:adjustRightInd/>
        <w:snapToGrid/>
        <w:spacing w:before="280" w:after="290" w:line="377" w:lineRule="auto"/>
        <w:jc w:val="left"/>
        <w:outlineLvl w:val="2"/>
        <w:rPr>
          <w:rFonts w:hint="eastAsia"/>
          <w:b/>
          <w:sz w:val="24"/>
        </w:rPr>
      </w:pPr>
      <w:bookmarkStart w:id="72" w:name="_Toc15875"/>
      <w:r>
        <w:rPr>
          <w:rFonts w:hint="eastAsia"/>
          <w:b/>
          <w:sz w:val="24"/>
        </w:rPr>
        <w:t>6.评标委员会对招标失败的论证意见</w:t>
      </w:r>
      <w:bookmarkEnd w:id="72"/>
    </w:p>
    <w:p>
      <w:pPr>
        <w:tabs>
          <w:tab w:val="clear" w:pos="426"/>
        </w:tabs>
        <w:spacing w:line="300" w:lineRule="auto"/>
        <w:ind w:firstLine="422" w:firstLineChars="200"/>
        <w:rPr>
          <w:rFonts w:hint="eastAsia"/>
          <w:b/>
          <w:bCs/>
        </w:rPr>
      </w:pPr>
      <w:r>
        <w:rPr>
          <w:rFonts w:hint="eastAsia"/>
          <w:b/>
          <w:bCs/>
        </w:rPr>
        <w:t>根据《财库〔2012〕69号财政部关于进一步规范政府采购评审工作有关问题的通知》的规定，评审委员会要在采购项目招标失败时，出具招标文件是否存在不合理条款的论证意见，论证意见写进评审报告中。</w:t>
      </w:r>
      <w:bookmarkEnd w:id="64"/>
      <w:bookmarkStart w:id="73" w:name="_Toc432592812"/>
    </w:p>
    <w:bookmarkEnd w:id="73"/>
    <w:p>
      <w:pPr>
        <w:rPr>
          <w:rFonts w:hint="eastAsia"/>
        </w:rPr>
      </w:pPr>
      <w:bookmarkStart w:id="74" w:name="_Toc432592814"/>
      <w:r>
        <w:br w:type="page"/>
      </w:r>
      <w:bookmarkEnd w:id="74"/>
      <w:bookmarkStart w:id="75" w:name="_Toc530152519"/>
      <w:bookmarkStart w:id="76" w:name="_Toc432592816"/>
      <w:bookmarkStart w:id="77" w:name="_Toc398220525"/>
    </w:p>
    <w:bookmarkEnd w:id="75"/>
    <w:p>
      <w:pPr>
        <w:pStyle w:val="62"/>
      </w:pPr>
      <w:bookmarkStart w:id="78" w:name="_Toc7991"/>
      <w:r>
        <w:rPr>
          <w:rFonts w:hint="eastAsia"/>
        </w:rPr>
        <w:t>第五章 合同文本</w:t>
      </w:r>
      <w:bookmarkEnd w:id="78"/>
    </w:p>
    <w:bookmarkEnd w:id="76"/>
    <w:bookmarkEnd w:id="77"/>
    <w:p>
      <w:pPr>
        <w:pStyle w:val="425"/>
        <w:rPr>
          <w:rFonts w:hint="eastAsia" w:hAnsi="宋体"/>
          <w:b/>
          <w:bCs/>
          <w:sz w:val="28"/>
          <w:szCs w:val="28"/>
        </w:rPr>
      </w:pPr>
      <w:bookmarkStart w:id="79" w:name="_Toc398220526"/>
      <w:bookmarkStart w:id="80" w:name="_Toc432592818"/>
      <w:r>
        <w:rPr>
          <w:rFonts w:hint="eastAsia" w:hAnsi="宋体"/>
          <w:b/>
          <w:bCs/>
          <w:sz w:val="28"/>
          <w:szCs w:val="28"/>
        </w:rPr>
        <w:t>本合同实际签订将根据供应商响应情况对合同进行删减调整</w:t>
      </w:r>
    </w:p>
    <w:p>
      <w:pPr>
        <w:pStyle w:val="425"/>
        <w:rPr>
          <w:rFonts w:eastAsia="方正小标宋_GBK"/>
          <w:sz w:val="36"/>
          <w:szCs w:val="36"/>
        </w:rPr>
      </w:pPr>
      <w:r>
        <w:rPr>
          <w:rFonts w:hint="eastAsia" w:eastAsia="方正小标宋_GBK"/>
          <w:sz w:val="36"/>
          <w:szCs w:val="36"/>
        </w:rPr>
        <w:t>深圳海关动植物检验检疫技术中心“全自动高通量核酸质谱检测系统”设备采购项目</w:t>
      </w:r>
      <w:r>
        <w:rPr>
          <w:rFonts w:eastAsia="方正小标宋_GBK"/>
          <w:sz w:val="36"/>
          <w:szCs w:val="36"/>
        </w:rPr>
        <w:t>合同书</w:t>
      </w:r>
    </w:p>
    <w:p>
      <w:pPr>
        <w:rPr>
          <w:rFonts w:hint="eastAsia"/>
          <w:sz w:val="24"/>
        </w:rPr>
      </w:pPr>
    </w:p>
    <w:p>
      <w:pPr>
        <w:rPr>
          <w:rFonts w:hint="eastAsia"/>
          <w:sz w:val="24"/>
        </w:rPr>
      </w:pPr>
      <w:r>
        <w:rPr>
          <w:sz w:val="24"/>
        </w:rPr>
        <w:t>甲方（采购人）:</w:t>
      </w:r>
      <w:r>
        <w:rPr>
          <w:rFonts w:hint="eastAsia"/>
          <w:sz w:val="24"/>
        </w:rPr>
        <w:t>深圳海关动植物检验检疫技术中心</w:t>
      </w:r>
    </w:p>
    <w:p>
      <w:pPr>
        <w:rPr>
          <w:rFonts w:hint="eastAsia"/>
          <w:sz w:val="24"/>
        </w:rPr>
      </w:pPr>
      <w:r>
        <w:rPr>
          <w:sz w:val="24"/>
        </w:rPr>
        <w:t xml:space="preserve">乙方（供应商）:                                  </w:t>
      </w:r>
    </w:p>
    <w:p>
      <w:pPr>
        <w:widowControl w:val="0"/>
        <w:shd w:val="clear" w:color="auto" w:fill="auto"/>
        <w:tabs>
          <w:tab w:val="clear" w:pos="426"/>
        </w:tabs>
        <w:adjustRightInd/>
        <w:snapToGrid/>
        <w:spacing w:line="240" w:lineRule="auto"/>
        <w:ind w:firstLine="480" w:firstLineChars="200"/>
        <w:rPr>
          <w:rFonts w:hint="eastAsia"/>
          <w:sz w:val="24"/>
        </w:rPr>
      </w:pPr>
      <w:r>
        <w:rPr>
          <w:sz w:val="24"/>
        </w:rPr>
        <w:t>根据</w:t>
      </w:r>
      <w:r>
        <w:rPr>
          <w:snapToGrid w:val="0"/>
          <w:sz w:val="24"/>
        </w:rPr>
        <w:t>《中华人民共和国民法典（合同编）》、</w:t>
      </w:r>
      <w:r>
        <w:rPr>
          <w:sz w:val="24"/>
        </w:rPr>
        <w:t>《中华人民共和国政府采购法》等相关法律规定，甲方对</w:t>
      </w:r>
      <w:r>
        <w:rPr>
          <w:rFonts w:hint="eastAsia"/>
          <w:sz w:val="24"/>
          <w:u w:val="single"/>
        </w:rPr>
        <w:t>深圳海关动植物检验检疫技术中心“全自动高通量核酸质谱检测系统”设备采购项目</w:t>
      </w:r>
      <w:r>
        <w:rPr>
          <w:sz w:val="24"/>
        </w:rPr>
        <w:t>以</w:t>
      </w:r>
      <w:r>
        <w:rPr>
          <w:rFonts w:hint="eastAsia"/>
          <w:sz w:val="24"/>
          <w:u w:val="single"/>
        </w:rPr>
        <w:t>公开招标</w:t>
      </w:r>
      <w:r>
        <w:rPr>
          <w:sz w:val="24"/>
        </w:rPr>
        <w:t>方式进行采购</w:t>
      </w:r>
      <w:r>
        <w:rPr>
          <w:rFonts w:hint="eastAsia"/>
          <w:sz w:val="24"/>
        </w:rPr>
        <w:t>，</w:t>
      </w:r>
      <w:r>
        <w:rPr>
          <w:sz w:val="24"/>
        </w:rPr>
        <w:t>确定乙方为中标人（成交商），现依照招标文件、投标文件等相关文件的内容，双方达成如下协议：</w:t>
      </w:r>
    </w:p>
    <w:p>
      <w:pPr>
        <w:ind w:firstLine="482" w:firstLineChars="200"/>
        <w:rPr>
          <w:rFonts w:hint="eastAsia"/>
          <w:b/>
          <w:bCs/>
          <w:sz w:val="24"/>
        </w:rPr>
      </w:pPr>
      <w:r>
        <w:rPr>
          <w:b/>
          <w:bCs/>
          <w:sz w:val="24"/>
        </w:rPr>
        <w:t>第一条 采购货物清单</w:t>
      </w:r>
    </w:p>
    <w:tbl>
      <w:tblPr>
        <w:tblStyle w:val="85"/>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pPr>
              <w:pStyle w:val="584"/>
              <w:autoSpaceDN w:val="0"/>
              <w:jc w:val="center"/>
              <w:rPr>
                <w:rFonts w:ascii="Times New Roman"/>
                <w:b/>
                <w:bCs/>
                <w:sz w:val="24"/>
                <w:szCs w:val="24"/>
              </w:rPr>
            </w:pPr>
            <w:r>
              <w:rPr>
                <w:rFonts w:ascii="Times New Roman"/>
                <w:b/>
                <w:bCs/>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5"/>
              <w:autoSpaceDN w:val="0"/>
              <w:jc w:val="center"/>
              <w:rPr>
                <w:rFonts w:ascii="Times New Roman"/>
                <w:b/>
                <w:bCs/>
                <w:sz w:val="24"/>
                <w:szCs w:val="24"/>
              </w:rPr>
            </w:pPr>
            <w:r>
              <w:rPr>
                <w:rFonts w:ascii="Times New Roman"/>
                <w:b/>
                <w:bCs/>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6"/>
              <w:autoSpaceDN w:val="0"/>
              <w:jc w:val="center"/>
              <w:rPr>
                <w:rFonts w:ascii="Times New Roman" w:hAnsi="Times New Roman"/>
                <w:b/>
                <w:bCs/>
                <w:sz w:val="24"/>
                <w:szCs w:val="24"/>
              </w:rPr>
            </w:pPr>
            <w:r>
              <w:rPr>
                <w:rFonts w:ascii="Times New Roman" w:hAnsi="Times New Roman"/>
                <w:b/>
                <w:bCs/>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ascii="Times New Roman"/>
                <w:b/>
                <w:bCs/>
                <w:sz w:val="24"/>
                <w:szCs w:val="24"/>
              </w:rPr>
              <w:t>单价（元）</w:t>
            </w:r>
          </w:p>
        </w:tc>
        <w:tc>
          <w:tcPr>
            <w:tcW w:w="1509"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sz w:val="24"/>
                <w:szCs w:val="24"/>
              </w:rPr>
            </w:pPr>
            <w:r>
              <w:rPr>
                <w:rFonts w:ascii="Times New Roman"/>
                <w:b/>
                <w:bCs/>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0"/>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1"/>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2"/>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595"/>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6"/>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7"/>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0"/>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pPr>
              <w:pStyle w:val="602"/>
              <w:autoSpaceDN w:val="0"/>
              <w:jc w:val="center"/>
              <w:rPr>
                <w:rFonts w:ascii="Times New Roman"/>
                <w:b/>
                <w:bCs/>
                <w:sz w:val="24"/>
                <w:szCs w:val="24"/>
              </w:rPr>
            </w:pPr>
            <w:r>
              <w:rPr>
                <w:rFonts w:ascii="Times New Roman"/>
                <w:b/>
                <w:bCs/>
                <w:sz w:val="24"/>
                <w:szCs w:val="24"/>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pPr>
              <w:pStyle w:val="536"/>
              <w:autoSpaceDN w:val="0"/>
              <w:adjustRightInd w:val="0"/>
              <w:snapToGrid w:val="0"/>
              <w:spacing w:line="360" w:lineRule="auto"/>
              <w:jc w:val="center"/>
              <w:rPr>
                <w:b/>
                <w:bCs/>
                <w:sz w:val="24"/>
              </w:rPr>
            </w:pPr>
          </w:p>
        </w:tc>
      </w:tr>
    </w:tbl>
    <w:p>
      <w:pPr>
        <w:ind w:firstLine="482" w:firstLineChars="200"/>
        <w:rPr>
          <w:rFonts w:hint="eastAsia"/>
          <w:b/>
          <w:bCs/>
          <w:sz w:val="24"/>
        </w:rPr>
      </w:pPr>
      <w:r>
        <w:rPr>
          <w:b/>
          <w:bCs/>
          <w:sz w:val="24"/>
        </w:rPr>
        <w:t>第二条 合同总价款</w:t>
      </w:r>
    </w:p>
    <w:p>
      <w:pPr>
        <w:pStyle w:val="620"/>
        <w:spacing w:line="360" w:lineRule="auto"/>
        <w:ind w:firstLine="480" w:firstLineChars="200"/>
        <w:rPr>
          <w:rFonts w:eastAsia="宋体"/>
          <w:sz w:val="24"/>
          <w:szCs w:val="24"/>
        </w:rPr>
      </w:pPr>
      <w:r>
        <w:rPr>
          <w:rFonts w:eastAsia="宋体"/>
          <w:sz w:val="24"/>
          <w:szCs w:val="24"/>
        </w:rPr>
        <w:t>甲方以支付总价款__________元，（人民币大写</w:t>
      </w:r>
      <w:r>
        <w:rPr>
          <w:rFonts w:hint="eastAsia" w:eastAsia="宋体"/>
          <w:sz w:val="24"/>
          <w:szCs w:val="24"/>
        </w:rPr>
        <w:t xml:space="preserve">：         </w:t>
      </w:r>
      <w:r>
        <w:rPr>
          <w:rFonts w:eastAsia="宋体"/>
          <w:sz w:val="24"/>
          <w:szCs w:val="24"/>
        </w:rPr>
        <w:t>）接受乙方对上述货物的供货和</w:t>
      </w:r>
      <w:r>
        <w:rPr>
          <w:rFonts w:hint="eastAsia" w:eastAsia="宋体"/>
          <w:sz w:val="24"/>
          <w:szCs w:val="24"/>
        </w:rPr>
        <w:t>伴随</w:t>
      </w:r>
      <w:r>
        <w:rPr>
          <w:rFonts w:eastAsia="宋体"/>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p>
    <w:p>
      <w:pPr>
        <w:pStyle w:val="621"/>
        <w:spacing w:line="360" w:lineRule="auto"/>
        <w:ind w:firstLine="482" w:firstLineChars="200"/>
        <w:rPr>
          <w:rFonts w:ascii="Times New Roman" w:eastAsia="宋体"/>
          <w:color w:val="auto"/>
          <w:sz w:val="24"/>
          <w:szCs w:val="24"/>
        </w:rPr>
      </w:pPr>
      <w:r>
        <w:rPr>
          <w:rFonts w:ascii="Times New Roman" w:eastAsia="宋体"/>
          <w:b/>
          <w:bCs/>
          <w:color w:val="auto"/>
          <w:sz w:val="24"/>
          <w:szCs w:val="24"/>
        </w:rPr>
        <w:t>第三条 付款条件</w:t>
      </w:r>
    </w:p>
    <w:p>
      <w:pPr>
        <w:ind w:firstLine="480" w:firstLineChars="200"/>
        <w:rPr>
          <w:rFonts w:hint="eastAsia"/>
          <w:sz w:val="24"/>
        </w:rPr>
      </w:pPr>
      <w:r>
        <w:rPr>
          <w:sz w:val="24"/>
        </w:rPr>
        <w:t>（一）本合同以人民币付款。</w:t>
      </w:r>
    </w:p>
    <w:p>
      <w:pPr>
        <w:ind w:firstLine="480" w:firstLineChars="200"/>
        <w:rPr>
          <w:rFonts w:hint="eastAsia"/>
          <w:sz w:val="24"/>
        </w:rPr>
      </w:pPr>
      <w:bookmarkStart w:id="81" w:name="_Hlk180276630"/>
      <w:r>
        <w:rPr>
          <w:sz w:val="24"/>
        </w:rPr>
        <w:t>（二）付款办法：</w:t>
      </w:r>
    </w:p>
    <w:p>
      <w:pPr>
        <w:ind w:firstLine="480" w:firstLineChars="200"/>
        <w:rPr>
          <w:rFonts w:hint="eastAsia"/>
          <w:sz w:val="24"/>
        </w:rPr>
      </w:pPr>
      <w:r>
        <w:rPr>
          <w:sz w:val="24"/>
        </w:rPr>
        <w:t>1.乙方向甲方交付履约保</w:t>
      </w:r>
      <w:r>
        <w:rPr>
          <w:rFonts w:hint="eastAsia"/>
          <w:sz w:val="24"/>
        </w:rPr>
        <w:t>函或保证金，比例等于合同金额的10%</w:t>
      </w:r>
      <w:r>
        <w:rPr>
          <w:sz w:val="24"/>
        </w:rPr>
        <w:t>，并提交下列单据之日起10个工作日内，甲方向乙方支付合同总价</w:t>
      </w:r>
      <w:r>
        <w:rPr>
          <w:rFonts w:hint="eastAsia"/>
          <w:sz w:val="24"/>
          <w:u w:val="single"/>
        </w:rPr>
        <w:t>50</w:t>
      </w:r>
      <w:r>
        <w:rPr>
          <w:sz w:val="24"/>
        </w:rPr>
        <w:t>%合同款（金额</w:t>
      </w:r>
      <w:r>
        <w:rPr>
          <w:rFonts w:hint="eastAsia"/>
          <w:sz w:val="24"/>
        </w:rPr>
        <w:t xml:space="preserve">大写：         </w:t>
      </w:r>
      <w:r>
        <w:rPr>
          <w:sz w:val="24"/>
        </w:rPr>
        <w:t>）。</w:t>
      </w:r>
    </w:p>
    <w:p>
      <w:pPr>
        <w:ind w:firstLine="480" w:firstLineChars="200"/>
        <w:rPr>
          <w:rFonts w:hint="eastAsia"/>
          <w:sz w:val="24"/>
        </w:rPr>
      </w:pPr>
      <w:r>
        <w:rPr>
          <w:sz w:val="24"/>
        </w:rPr>
        <w:t>乙方提交单据：合同（正文部分复印件）、中标通知书（或成交通知书复印件）、发票（原件）、履约保</w:t>
      </w:r>
      <w:r>
        <w:rPr>
          <w:rFonts w:hint="eastAsia"/>
          <w:sz w:val="24"/>
        </w:rPr>
        <w:t>函或保证金</w:t>
      </w:r>
      <w:r>
        <w:rPr>
          <w:sz w:val="24"/>
        </w:rPr>
        <w:t>单据复印件</w:t>
      </w:r>
      <w:r>
        <w:rPr>
          <w:rFonts w:hint="eastAsia"/>
          <w:sz w:val="24"/>
        </w:rPr>
        <w:t>（如有）</w:t>
      </w:r>
      <w:r>
        <w:rPr>
          <w:sz w:val="24"/>
        </w:rPr>
        <w:t>。</w:t>
      </w:r>
    </w:p>
    <w:p>
      <w:pPr>
        <w:ind w:firstLine="480" w:firstLineChars="200"/>
        <w:rPr>
          <w:rFonts w:hint="eastAsia"/>
          <w:sz w:val="24"/>
        </w:rPr>
      </w:pPr>
      <w:r>
        <w:rPr>
          <w:sz w:val="24"/>
        </w:rPr>
        <w:t>2.设备全部到货并经甲方（用户）签收后，乙方向甲方提交下列单据之日起10个工作日内，甲方向乙方支付合同总价</w:t>
      </w:r>
      <w:r>
        <w:rPr>
          <w:rFonts w:hint="eastAsia"/>
          <w:sz w:val="24"/>
          <w:u w:val="single"/>
        </w:rPr>
        <w:t>50</w:t>
      </w:r>
      <w:r>
        <w:rPr>
          <w:sz w:val="24"/>
        </w:rPr>
        <w:t>%合同款（金额</w:t>
      </w:r>
      <w:r>
        <w:rPr>
          <w:rFonts w:hint="eastAsia"/>
          <w:sz w:val="24"/>
        </w:rPr>
        <w:t xml:space="preserve">大写：            </w:t>
      </w:r>
      <w:r>
        <w:rPr>
          <w:sz w:val="24"/>
        </w:rPr>
        <w:t>）。</w:t>
      </w:r>
    </w:p>
    <w:p>
      <w:pPr>
        <w:ind w:firstLine="480" w:firstLineChars="200"/>
        <w:rPr>
          <w:rFonts w:hint="eastAsia"/>
          <w:sz w:val="24"/>
        </w:rPr>
      </w:pPr>
      <w:r>
        <w:rPr>
          <w:sz w:val="24"/>
        </w:rPr>
        <w:t>乙方提交单据：合同(正文部分复印件）、中标通知书（或成交通知书复印件）、发票（原件）、设备到</w:t>
      </w:r>
      <w:r>
        <w:rPr>
          <w:rFonts w:hint="eastAsia"/>
          <w:sz w:val="24"/>
        </w:rPr>
        <w:t>货</w:t>
      </w:r>
      <w:r>
        <w:rPr>
          <w:sz w:val="24"/>
        </w:rPr>
        <w:t>签收单（复印件）。</w:t>
      </w:r>
    </w:p>
    <w:p>
      <w:pPr>
        <w:ind w:firstLine="480" w:firstLineChars="200"/>
        <w:rPr>
          <w:rFonts w:hint="eastAsia"/>
          <w:sz w:val="24"/>
        </w:rPr>
      </w:pPr>
      <w:r>
        <w:rPr>
          <w:sz w:val="24"/>
        </w:rPr>
        <w:t>3.设备全部安装调试，并经甲方（用户）验收合格后，乙方向甲方提交下列单据之日起</w:t>
      </w:r>
      <w:r>
        <w:rPr>
          <w:rFonts w:hint="eastAsia"/>
          <w:sz w:val="24"/>
        </w:rPr>
        <w:t>30日</w:t>
      </w:r>
      <w:r>
        <w:rPr>
          <w:sz w:val="24"/>
        </w:rPr>
        <w:t>内，甲方向乙方</w:t>
      </w:r>
      <w:r>
        <w:rPr>
          <w:rFonts w:hint="eastAsia"/>
          <w:sz w:val="24"/>
        </w:rPr>
        <w:t>无息退还履约保函或保证金</w:t>
      </w:r>
      <w:r>
        <w:rPr>
          <w:sz w:val="24"/>
        </w:rPr>
        <w:t>。</w:t>
      </w:r>
    </w:p>
    <w:p>
      <w:pPr>
        <w:ind w:firstLine="480" w:firstLineChars="200"/>
        <w:rPr>
          <w:rFonts w:hint="eastAsia"/>
          <w:sz w:val="24"/>
        </w:rPr>
      </w:pPr>
      <w:r>
        <w:rPr>
          <w:sz w:val="24"/>
        </w:rPr>
        <w:t>乙方提交单据：</w:t>
      </w:r>
      <w:r>
        <w:rPr>
          <w:rFonts w:hint="eastAsia"/>
          <w:sz w:val="24"/>
        </w:rPr>
        <w:t>退还申请（原件）、</w:t>
      </w:r>
      <w:r>
        <w:rPr>
          <w:sz w:val="24"/>
        </w:rPr>
        <w:t>安装调试验收合格报告（复印件）。</w:t>
      </w:r>
    </w:p>
    <w:p>
      <w:pPr>
        <w:ind w:firstLine="480" w:firstLineChars="200"/>
        <w:rPr>
          <w:rFonts w:hint="eastAsia"/>
          <w:sz w:val="24"/>
        </w:rPr>
      </w:pPr>
      <w:r>
        <w:rPr>
          <w:sz w:val="24"/>
        </w:rPr>
        <w:t>4.因财政集中支付延误时间不计算在内</w:t>
      </w:r>
      <w:r>
        <w:rPr>
          <w:rFonts w:hint="eastAsia"/>
          <w:sz w:val="24"/>
        </w:rPr>
        <w:t>。</w:t>
      </w:r>
      <w:r>
        <w:rPr>
          <w:sz w:val="24"/>
        </w:rPr>
        <w:t>乙方提交付款单据延迟、缺失及账户信息错误的，甲方有权相应顺延付款期限，且甲方不承担延误付款责任。</w:t>
      </w:r>
    </w:p>
    <w:bookmarkEnd w:id="81"/>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乙方全称</w:t>
            </w:r>
          </w:p>
        </w:tc>
        <w:tc>
          <w:tcPr>
            <w:tcW w:w="6051" w:type="dxa"/>
            <w:vAlign w:val="center"/>
          </w:tcPr>
          <w:p>
            <w:pPr>
              <w:pStyle w:val="603"/>
              <w:autoSpaceDN w:val="0"/>
              <w:spacing w:line="240" w:lineRule="auto"/>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开户银行</w:t>
            </w:r>
          </w:p>
        </w:tc>
        <w:tc>
          <w:tcPr>
            <w:tcW w:w="6051" w:type="dxa"/>
            <w:vAlign w:val="center"/>
          </w:tcPr>
          <w:p>
            <w:pPr>
              <w:pStyle w:val="603"/>
              <w:autoSpaceDN w:val="0"/>
              <w:spacing w:line="240" w:lineRule="auto"/>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账号</w:t>
            </w:r>
          </w:p>
        </w:tc>
        <w:tc>
          <w:tcPr>
            <w:tcW w:w="6051" w:type="dxa"/>
            <w:vAlign w:val="center"/>
          </w:tcPr>
          <w:p>
            <w:pPr>
              <w:pStyle w:val="603"/>
              <w:autoSpaceDN w:val="0"/>
              <w:spacing w:line="240" w:lineRule="auto"/>
              <w:ind w:firstLine="480" w:firstLineChars="200"/>
              <w:jc w:val="left"/>
              <w:rPr>
                <w:snapToGrid w:val="0"/>
                <w:sz w:val="24"/>
                <w:szCs w:val="24"/>
              </w:rPr>
            </w:pPr>
          </w:p>
        </w:tc>
      </w:tr>
    </w:tbl>
    <w:p>
      <w:pPr>
        <w:ind w:firstLine="482" w:firstLineChars="200"/>
        <w:rPr>
          <w:rFonts w:hint="eastAsia"/>
          <w:b/>
          <w:bCs/>
          <w:sz w:val="24"/>
        </w:rPr>
      </w:pPr>
      <w:r>
        <w:rPr>
          <w:b/>
          <w:bCs/>
          <w:sz w:val="24"/>
        </w:rPr>
        <w:t>第四条 履约保证金</w:t>
      </w:r>
    </w:p>
    <w:p>
      <w:pPr>
        <w:pStyle w:val="622"/>
        <w:spacing w:line="360" w:lineRule="auto"/>
        <w:ind w:firstLine="480" w:firstLineChars="200"/>
        <w:rPr>
          <w:rFonts w:eastAsia="宋体"/>
          <w:sz w:val="24"/>
          <w:szCs w:val="24"/>
        </w:rPr>
      </w:pPr>
      <w:r>
        <w:rPr>
          <w:rFonts w:eastAsia="宋体"/>
          <w:sz w:val="24"/>
          <w:szCs w:val="24"/>
        </w:rPr>
        <w:t>（一）合同签订之日起</w:t>
      </w:r>
      <w:r>
        <w:rPr>
          <w:rFonts w:hint="eastAsia" w:eastAsia="宋体"/>
          <w:sz w:val="24"/>
          <w:szCs w:val="24"/>
          <w:u w:val="single"/>
        </w:rPr>
        <w:t xml:space="preserve"> 10 </w:t>
      </w:r>
      <w:r>
        <w:rPr>
          <w:rFonts w:eastAsia="宋体"/>
          <w:sz w:val="24"/>
          <w:szCs w:val="24"/>
        </w:rPr>
        <w:t>个工作日内，乙方须按合同金额的_</w:t>
      </w:r>
      <w:r>
        <w:rPr>
          <w:rFonts w:hint="eastAsia" w:eastAsia="宋体"/>
          <w:sz w:val="24"/>
          <w:szCs w:val="24"/>
        </w:rPr>
        <w:t>10</w:t>
      </w:r>
      <w:r>
        <w:rPr>
          <w:rFonts w:eastAsia="宋体"/>
          <w:sz w:val="24"/>
          <w:szCs w:val="24"/>
        </w:rPr>
        <w:t>_%向甲方交纳履约保证金</w:t>
      </w:r>
      <w:r>
        <w:rPr>
          <w:rFonts w:hint="eastAsia" w:eastAsia="宋体"/>
          <w:sz w:val="24"/>
          <w:szCs w:val="24"/>
        </w:rPr>
        <w:t>或保函</w:t>
      </w:r>
      <w:r>
        <w:rPr>
          <w:rFonts w:eastAsia="宋体"/>
          <w:sz w:val="24"/>
          <w:szCs w:val="24"/>
        </w:rPr>
        <w:t>。如果乙方未按照约定时间交付履约保证金的，甲方有权单方面解除合同。</w:t>
      </w:r>
    </w:p>
    <w:p>
      <w:pPr>
        <w:pStyle w:val="623"/>
        <w:autoSpaceDN w:val="0"/>
        <w:spacing w:line="360" w:lineRule="auto"/>
        <w:ind w:firstLine="480" w:firstLineChars="20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23"/>
              <w:autoSpaceDN w:val="0"/>
              <w:jc w:val="left"/>
              <w:rPr>
                <w:snapToGrid w:val="0"/>
                <w:kern w:val="0"/>
                <w:sz w:val="24"/>
                <w:szCs w:val="24"/>
              </w:rPr>
            </w:pPr>
            <w:r>
              <w:rPr>
                <w:snapToGrid w:val="0"/>
                <w:kern w:val="0"/>
                <w:sz w:val="24"/>
                <w:szCs w:val="24"/>
              </w:rPr>
              <w:t>收款单位全称</w:t>
            </w:r>
          </w:p>
        </w:tc>
        <w:tc>
          <w:tcPr>
            <w:tcW w:w="5469" w:type="dxa"/>
            <w:vAlign w:val="center"/>
          </w:tcPr>
          <w:p>
            <w:pPr>
              <w:pStyle w:val="623"/>
              <w:autoSpaceDN w:val="0"/>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23"/>
              <w:autoSpaceDN w:val="0"/>
              <w:jc w:val="left"/>
              <w:rPr>
                <w:snapToGrid w:val="0"/>
                <w:kern w:val="0"/>
                <w:sz w:val="24"/>
                <w:szCs w:val="24"/>
              </w:rPr>
            </w:pPr>
            <w:r>
              <w:rPr>
                <w:snapToGrid w:val="0"/>
                <w:kern w:val="0"/>
                <w:sz w:val="24"/>
                <w:szCs w:val="24"/>
              </w:rPr>
              <w:t>开户银行</w:t>
            </w:r>
          </w:p>
        </w:tc>
        <w:tc>
          <w:tcPr>
            <w:tcW w:w="5469" w:type="dxa"/>
            <w:vAlign w:val="center"/>
          </w:tcPr>
          <w:p>
            <w:pPr>
              <w:pStyle w:val="623"/>
              <w:autoSpaceDN w:val="0"/>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23"/>
              <w:autoSpaceDN w:val="0"/>
              <w:jc w:val="left"/>
              <w:rPr>
                <w:snapToGrid w:val="0"/>
                <w:kern w:val="0"/>
                <w:sz w:val="24"/>
                <w:szCs w:val="24"/>
              </w:rPr>
            </w:pPr>
            <w:r>
              <w:rPr>
                <w:snapToGrid w:val="0"/>
                <w:kern w:val="0"/>
                <w:sz w:val="24"/>
                <w:szCs w:val="24"/>
              </w:rPr>
              <w:t>账号</w:t>
            </w:r>
          </w:p>
        </w:tc>
        <w:tc>
          <w:tcPr>
            <w:tcW w:w="5469" w:type="dxa"/>
            <w:vAlign w:val="center"/>
          </w:tcPr>
          <w:p>
            <w:pPr>
              <w:pStyle w:val="623"/>
              <w:autoSpaceDN w:val="0"/>
              <w:ind w:firstLine="480" w:firstLineChars="200"/>
              <w:jc w:val="left"/>
              <w:rPr>
                <w:snapToGrid w:val="0"/>
                <w:kern w:val="0"/>
                <w:sz w:val="24"/>
                <w:szCs w:val="24"/>
              </w:rPr>
            </w:pPr>
          </w:p>
        </w:tc>
      </w:tr>
    </w:tbl>
    <w:p>
      <w:pPr>
        <w:pStyle w:val="622"/>
        <w:spacing w:after="231" w:line="360" w:lineRule="auto"/>
        <w:ind w:firstLine="480" w:firstLineChars="200"/>
        <w:rPr>
          <w:rFonts w:eastAsia="宋体"/>
          <w:sz w:val="24"/>
          <w:szCs w:val="24"/>
        </w:rPr>
      </w:pPr>
      <w:r>
        <w:rPr>
          <w:rFonts w:eastAsia="宋体"/>
          <w:sz w:val="24"/>
          <w:szCs w:val="24"/>
        </w:rPr>
        <w:t>（二）履约保证金以银行保函、银行电汇向甲方提供。</w:t>
      </w:r>
    </w:p>
    <w:p>
      <w:pPr>
        <w:ind w:firstLine="480" w:firstLineChars="200"/>
        <w:rPr>
          <w:rFonts w:hint="eastAsia"/>
          <w:sz w:val="24"/>
        </w:rPr>
      </w:pPr>
      <w:r>
        <w:rPr>
          <w:sz w:val="24"/>
        </w:rPr>
        <w:t>（</w:t>
      </w:r>
      <w:r>
        <w:rPr>
          <w:rFonts w:hint="eastAsia"/>
          <w:sz w:val="24"/>
        </w:rPr>
        <w:t>三</w:t>
      </w:r>
      <w:r>
        <w:rPr>
          <w:sz w:val="24"/>
        </w:rPr>
        <w:t>）</w:t>
      </w:r>
      <w:bookmarkStart w:id="82" w:name="_Hlk180276674"/>
      <w:r>
        <w:rPr>
          <w:sz w:val="24"/>
        </w:rPr>
        <w:t>如乙方未能履行合同规定的义务，甲方有权按照本合同的约定从履约保证金中进行相应扣除。乙方应在甲方扣除履约保证金之日起10个工作日内，及时补充扣除部分金额</w:t>
      </w:r>
      <w:bookmarkEnd w:id="82"/>
      <w:r>
        <w:rPr>
          <w:sz w:val="24"/>
        </w:rPr>
        <w:t>。</w:t>
      </w:r>
    </w:p>
    <w:p>
      <w:pPr>
        <w:ind w:firstLine="480" w:firstLineChars="200"/>
        <w:rPr>
          <w:rFonts w:hint="eastAsia"/>
          <w:sz w:val="24"/>
        </w:rPr>
      </w:pPr>
      <w:r>
        <w:rPr>
          <w:sz w:val="24"/>
        </w:rPr>
        <w:t>（</w:t>
      </w:r>
      <w:r>
        <w:rPr>
          <w:rFonts w:hint="eastAsia"/>
          <w:sz w:val="24"/>
        </w:rPr>
        <w:t>四</w:t>
      </w:r>
      <w:r>
        <w:rPr>
          <w:sz w:val="24"/>
        </w:rPr>
        <w:t>）如乙方不履行合同，或履行合同义务不符合约定使得合同目的不能实现，履约保证金不予退还。</w:t>
      </w:r>
    </w:p>
    <w:p>
      <w:pPr>
        <w:ind w:firstLine="482" w:firstLineChars="200"/>
        <w:rPr>
          <w:rFonts w:hint="eastAsia"/>
          <w:b/>
          <w:bCs/>
          <w:sz w:val="24"/>
        </w:rPr>
      </w:pPr>
      <w:r>
        <w:rPr>
          <w:b/>
          <w:bCs/>
          <w:sz w:val="24"/>
        </w:rPr>
        <w:t>第五条 包装</w:t>
      </w:r>
    </w:p>
    <w:p>
      <w:pPr>
        <w:pStyle w:val="624"/>
        <w:spacing w:line="360" w:lineRule="auto"/>
        <w:ind w:firstLine="480" w:firstLineChars="200"/>
        <w:rPr>
          <w:rFonts w:eastAsia="宋体"/>
          <w:sz w:val="24"/>
          <w:szCs w:val="24"/>
        </w:rPr>
      </w:pPr>
      <w:r>
        <w:rPr>
          <w:rFonts w:eastAsia="宋体"/>
          <w:sz w:val="24"/>
          <w:szCs w:val="24"/>
        </w:rPr>
        <w:t>（一）除合同另有规定外，乙方提供的全部货物均应按标准</w:t>
      </w:r>
      <w:r>
        <w:rPr>
          <w:rFonts w:eastAsia="宋体"/>
          <w:snapToGrid w:val="0"/>
          <w:kern w:val="0"/>
          <w:sz w:val="24"/>
          <w:szCs w:val="24"/>
        </w:rPr>
        <w:t>保护措施进行包装，这类包装应适应于远距离运输、防潮、防震、</w:t>
      </w:r>
      <w:r>
        <w:rPr>
          <w:rFonts w:eastAsia="宋体"/>
          <w:sz w:val="24"/>
          <w:szCs w:val="24"/>
        </w:rPr>
        <w:t>防锈和防野蛮装卸，以确保货物安全无损运抵指定交货地点。</w:t>
      </w:r>
    </w:p>
    <w:p>
      <w:pPr>
        <w:pStyle w:val="624"/>
        <w:spacing w:line="360" w:lineRule="auto"/>
        <w:ind w:firstLine="480" w:firstLineChars="200"/>
        <w:rPr>
          <w:rFonts w:eastAsia="宋体"/>
          <w:sz w:val="24"/>
          <w:szCs w:val="24"/>
        </w:rPr>
      </w:pPr>
      <w:r>
        <w:rPr>
          <w:rFonts w:eastAsia="宋体"/>
          <w:sz w:val="24"/>
          <w:szCs w:val="24"/>
        </w:rPr>
        <w:t>（二）乙方应在包装箱外标明产品名称、型号，包装箱内随附一份详细装箱单和质量证书。</w:t>
      </w:r>
    </w:p>
    <w:p>
      <w:pPr>
        <w:ind w:firstLine="480" w:firstLineChars="200"/>
        <w:rPr>
          <w:rFonts w:hint="eastAsia"/>
          <w:sz w:val="24"/>
        </w:rPr>
      </w:pPr>
      <w:r>
        <w:rPr>
          <w:sz w:val="24"/>
        </w:rPr>
        <w:t>（三）乙方应承担由于其包装或防护措施不当而引起的货物损坏和丢失的任何损失责任和费用。</w:t>
      </w:r>
    </w:p>
    <w:p>
      <w:pPr>
        <w:ind w:firstLine="482" w:firstLineChars="200"/>
        <w:rPr>
          <w:rFonts w:hint="eastAsia"/>
          <w:b/>
          <w:bCs/>
          <w:sz w:val="24"/>
        </w:rPr>
      </w:pPr>
      <w:r>
        <w:rPr>
          <w:b/>
          <w:bCs/>
          <w:sz w:val="24"/>
        </w:rPr>
        <w:t>第六条 交货时间、地点、交货方法（运输方式）</w:t>
      </w:r>
    </w:p>
    <w:p>
      <w:pPr>
        <w:pStyle w:val="625"/>
        <w:spacing w:line="360" w:lineRule="auto"/>
        <w:ind w:firstLine="480" w:firstLineChars="200"/>
        <w:rPr>
          <w:rFonts w:eastAsia="宋体"/>
          <w:sz w:val="24"/>
          <w:szCs w:val="24"/>
        </w:rPr>
      </w:pPr>
      <w:r>
        <w:rPr>
          <w:rFonts w:eastAsia="宋体"/>
          <w:sz w:val="24"/>
          <w:szCs w:val="24"/>
        </w:rPr>
        <w:t>（一</w:t>
      </w:r>
      <w:r>
        <w:rPr>
          <w:rFonts w:eastAsia="宋体"/>
          <w:snapToGrid w:val="0"/>
          <w:kern w:val="0"/>
          <w:sz w:val="24"/>
          <w:szCs w:val="24"/>
        </w:rPr>
        <w:t>）交</w:t>
      </w:r>
      <w:r>
        <w:rPr>
          <w:rFonts w:eastAsia="宋体"/>
          <w:sz w:val="24"/>
          <w:szCs w:val="24"/>
        </w:rPr>
        <w:t>货时间：合同签订后</w:t>
      </w:r>
      <w:r>
        <w:rPr>
          <w:rFonts w:hint="eastAsia" w:eastAsia="宋体"/>
          <w:sz w:val="24"/>
          <w:szCs w:val="24"/>
          <w:u w:val="single"/>
        </w:rPr>
        <w:t>30</w:t>
      </w:r>
      <w:r>
        <w:rPr>
          <w:rFonts w:eastAsia="宋体"/>
          <w:sz w:val="24"/>
          <w:szCs w:val="24"/>
        </w:rPr>
        <w:t>日内完成交货。</w:t>
      </w:r>
    </w:p>
    <w:p>
      <w:pPr>
        <w:pStyle w:val="626"/>
        <w:spacing w:line="360" w:lineRule="auto"/>
        <w:ind w:firstLine="480" w:firstLineChars="200"/>
        <w:rPr>
          <w:rFonts w:eastAsia="宋体"/>
          <w:sz w:val="24"/>
          <w:szCs w:val="24"/>
        </w:rPr>
      </w:pPr>
      <w:r>
        <w:rPr>
          <w:rFonts w:eastAsia="宋体"/>
          <w:sz w:val="24"/>
          <w:szCs w:val="24"/>
        </w:rPr>
        <w:t>（二）交货地点：</w:t>
      </w:r>
      <w:r>
        <w:rPr>
          <w:rFonts w:hint="eastAsia" w:eastAsia="宋体"/>
          <w:sz w:val="24"/>
          <w:szCs w:val="24"/>
        </w:rPr>
        <w:t>甲方指定地点</w:t>
      </w:r>
      <w:r>
        <w:rPr>
          <w:rFonts w:eastAsia="宋体"/>
          <w:sz w:val="24"/>
          <w:szCs w:val="24"/>
        </w:rPr>
        <w:t>。</w:t>
      </w:r>
    </w:p>
    <w:p>
      <w:pPr>
        <w:pStyle w:val="627"/>
        <w:spacing w:line="360" w:lineRule="auto"/>
        <w:ind w:firstLine="480" w:firstLineChars="200"/>
        <w:rPr>
          <w:rFonts w:eastAsia="宋体"/>
          <w:sz w:val="24"/>
          <w:szCs w:val="24"/>
        </w:rPr>
      </w:pPr>
      <w:r>
        <w:rPr>
          <w:rFonts w:eastAsia="宋体"/>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pStyle w:val="628"/>
        <w:spacing w:line="360" w:lineRule="auto"/>
        <w:ind w:firstLine="480" w:firstLineChars="200"/>
        <w:rPr>
          <w:rFonts w:eastAsia="宋体"/>
          <w:sz w:val="24"/>
          <w:szCs w:val="24"/>
        </w:rPr>
      </w:pPr>
      <w:r>
        <w:rPr>
          <w:rFonts w:eastAsia="宋体"/>
          <w:sz w:val="24"/>
          <w:szCs w:val="24"/>
        </w:rPr>
        <w:t>（四）风险责任承担：货物的风险责任和所有权在双方签署设备到货验收签收单/安装调试验收合格报告后由甲方承担和享有，此前的风险责任由乙方承担。</w:t>
      </w:r>
    </w:p>
    <w:p>
      <w:pPr>
        <w:pStyle w:val="629"/>
        <w:spacing w:line="360" w:lineRule="auto"/>
        <w:ind w:firstLine="482" w:firstLineChars="200"/>
        <w:rPr>
          <w:sz w:val="24"/>
          <w:szCs w:val="24"/>
        </w:rPr>
      </w:pPr>
      <w:r>
        <w:rPr>
          <w:b/>
          <w:bCs/>
          <w:sz w:val="24"/>
          <w:szCs w:val="24"/>
        </w:rPr>
        <w:t>第七条 货物验收</w:t>
      </w:r>
    </w:p>
    <w:p>
      <w:pPr>
        <w:pStyle w:val="630"/>
        <w:ind w:firstLine="480" w:firstLineChars="200"/>
        <w:rPr>
          <w:sz w:val="24"/>
          <w:szCs w:val="24"/>
        </w:rPr>
      </w:pPr>
      <w:r>
        <w:rPr>
          <w:sz w:val="24"/>
          <w:szCs w:val="24"/>
        </w:rPr>
        <w:t>（一）货物运至甲方（用户）指定地点后，由甲乙双方指派人员按照本合同规定对货物进行验收，乙方应提供交货清单等文件供甲方（用户）审查，甲方（用户）将按合同清单进行规格、数量、外观的检查。</w:t>
      </w:r>
    </w:p>
    <w:p>
      <w:pPr>
        <w:pStyle w:val="631"/>
        <w:spacing w:line="360" w:lineRule="auto"/>
        <w:ind w:firstLine="480" w:firstLineChars="200"/>
        <w:rPr>
          <w:rFonts w:eastAsia="宋体"/>
          <w:sz w:val="24"/>
          <w:szCs w:val="24"/>
        </w:rPr>
      </w:pPr>
      <w:r>
        <w:rPr>
          <w:rFonts w:eastAsia="宋体"/>
          <w:sz w:val="24"/>
          <w:szCs w:val="24"/>
        </w:rPr>
        <w:t>（二）收货后</w:t>
      </w:r>
      <w:r>
        <w:rPr>
          <w:rFonts w:hint="eastAsia" w:eastAsia="宋体"/>
          <w:sz w:val="24"/>
          <w:szCs w:val="24"/>
          <w:u w:val="single"/>
        </w:rPr>
        <w:t xml:space="preserve"> 30 </w:t>
      </w:r>
      <w:r>
        <w:rPr>
          <w:rFonts w:eastAsia="宋体"/>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sz w:val="24"/>
          <w:szCs w:val="24"/>
          <w:u w:val="single"/>
        </w:rPr>
        <w:t xml:space="preserve">  10 </w:t>
      </w:r>
      <w:r>
        <w:rPr>
          <w:rFonts w:eastAsia="宋体"/>
          <w:sz w:val="24"/>
          <w:szCs w:val="24"/>
        </w:rPr>
        <w:t>个工作日内提供解决方案。</w:t>
      </w:r>
    </w:p>
    <w:p>
      <w:pPr>
        <w:pStyle w:val="630"/>
        <w:ind w:firstLine="480" w:firstLineChars="200"/>
        <w:rPr>
          <w:sz w:val="24"/>
          <w:szCs w:val="24"/>
        </w:rPr>
      </w:pPr>
      <w:r>
        <w:rPr>
          <w:sz w:val="24"/>
          <w:szCs w:val="24"/>
        </w:rPr>
        <w:t>（三）在验收工作中，发现数量不足或有质量、技术等问题，乙方应按照合同要求采取补足、更换或退货等处理措施，并承担由此发生的一切费用和损失。</w:t>
      </w:r>
    </w:p>
    <w:p>
      <w:pPr>
        <w:pStyle w:val="630"/>
        <w:ind w:firstLine="480" w:firstLineChars="200"/>
        <w:rPr>
          <w:sz w:val="24"/>
          <w:szCs w:val="24"/>
        </w:rPr>
      </w:pPr>
      <w:r>
        <w:rPr>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0"/>
        <w:ind w:firstLine="480" w:firstLineChars="200"/>
        <w:rPr>
          <w:sz w:val="24"/>
          <w:szCs w:val="24"/>
        </w:rPr>
      </w:pPr>
      <w:r>
        <w:rPr>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pPr>
        <w:pStyle w:val="630"/>
        <w:ind w:firstLine="480" w:firstLineChars="200"/>
        <w:rPr>
          <w:sz w:val="24"/>
          <w:szCs w:val="24"/>
        </w:rPr>
      </w:pPr>
      <w:r>
        <w:rPr>
          <w:sz w:val="24"/>
          <w:szCs w:val="24"/>
        </w:rPr>
        <w:t>（六）为验核货物内在功能是否完备，甲方（用户）有权组织对货物进行随机抽样，并委托有关检测单位进行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对乙方可能涉嫌提供虚假材料或虚假响应的行为，甲方有权依法向监管部门反映并追究乙方法律责任。</w:t>
      </w:r>
    </w:p>
    <w:p>
      <w:pPr>
        <w:pStyle w:val="632"/>
        <w:spacing w:line="360" w:lineRule="auto"/>
        <w:ind w:firstLine="480" w:firstLineChars="200"/>
        <w:rPr>
          <w:rFonts w:eastAsia="宋体"/>
          <w:sz w:val="24"/>
          <w:szCs w:val="24"/>
        </w:rPr>
      </w:pPr>
      <w:r>
        <w:rPr>
          <w:rFonts w:eastAsia="宋体"/>
          <w:sz w:val="24"/>
          <w:szCs w:val="24"/>
        </w:rPr>
        <w:t>（</w:t>
      </w:r>
      <w:r>
        <w:rPr>
          <w:rFonts w:hint="eastAsia" w:eastAsia="宋体"/>
          <w:sz w:val="24"/>
          <w:szCs w:val="24"/>
        </w:rPr>
        <w:t>七</w:t>
      </w:r>
      <w:r>
        <w:rPr>
          <w:rFonts w:eastAsia="宋体"/>
          <w:sz w:val="24"/>
          <w:szCs w:val="24"/>
        </w:rPr>
        <w:t>）甲方（用户）认为必要时，对大型或者复杂的货物采购项目，可以邀请国家认可的质量检测机构参加验收工作，相关验收意见作为验收报告的参考资料，相关费用由乙方承担。</w:t>
      </w:r>
    </w:p>
    <w:p>
      <w:pPr>
        <w:pStyle w:val="632"/>
        <w:spacing w:line="360" w:lineRule="auto"/>
        <w:ind w:firstLine="480" w:firstLineChars="200"/>
        <w:rPr>
          <w:rFonts w:eastAsia="宋体"/>
          <w:sz w:val="24"/>
          <w:szCs w:val="24"/>
        </w:rPr>
      </w:pPr>
      <w:r>
        <w:rPr>
          <w:rFonts w:eastAsia="宋体"/>
          <w:sz w:val="24"/>
          <w:szCs w:val="24"/>
        </w:rPr>
        <w:t>（</w:t>
      </w:r>
      <w:r>
        <w:rPr>
          <w:rFonts w:hint="eastAsia" w:eastAsia="宋体"/>
          <w:sz w:val="24"/>
          <w:szCs w:val="24"/>
        </w:rPr>
        <w:t>八</w:t>
      </w:r>
      <w:r>
        <w:rPr>
          <w:rFonts w:eastAsia="宋体"/>
          <w:sz w:val="24"/>
          <w:szCs w:val="24"/>
        </w:rPr>
        <w:t>）验收标准以双方达成的对质量和技术标准的约定、乙方承诺的质量和技术标准、国家或行业规定的相关质量和技术标准中最高者为准，且应充分满足甲方使用要求。</w:t>
      </w:r>
    </w:p>
    <w:p>
      <w:pPr>
        <w:pStyle w:val="630"/>
        <w:ind w:firstLine="482" w:firstLineChars="200"/>
        <w:rPr>
          <w:sz w:val="24"/>
          <w:szCs w:val="24"/>
        </w:rPr>
      </w:pPr>
      <w:r>
        <w:rPr>
          <w:b/>
          <w:bCs/>
          <w:sz w:val="24"/>
          <w:szCs w:val="24"/>
        </w:rPr>
        <w:t>第八条 质量保证</w:t>
      </w:r>
    </w:p>
    <w:p>
      <w:pPr>
        <w:ind w:firstLine="480" w:firstLineChars="200"/>
        <w:rPr>
          <w:rFonts w:hint="eastAsia"/>
          <w:sz w:val="24"/>
        </w:rPr>
      </w:pPr>
      <w:r>
        <w:rPr>
          <w:sz w:val="24"/>
        </w:rPr>
        <w:t>（一）乙方应保证所供货物为</w:t>
      </w:r>
      <w:r>
        <w:rPr>
          <w:rFonts w:hint="eastAsia"/>
          <w:sz w:val="24"/>
          <w:u w:val="single"/>
        </w:rPr>
        <w:t xml:space="preserve">              </w:t>
      </w:r>
      <w:r>
        <w:rPr>
          <w:sz w:val="24"/>
        </w:rPr>
        <w:t>公司制造生产、原包装、全新未使用过的产品，与投标文件/应答文件承诺一致，并完全符合或高于合同要求的质量、规格和技术性能。</w:t>
      </w:r>
    </w:p>
    <w:p>
      <w:pPr>
        <w:ind w:firstLine="480" w:firstLineChars="200"/>
        <w:rPr>
          <w:rFonts w:hint="eastAsia"/>
          <w:sz w:val="24"/>
        </w:rPr>
      </w:pPr>
      <w:r>
        <w:rPr>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sz w:val="24"/>
        </w:rPr>
      </w:pPr>
      <w:r>
        <w:rPr>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sz w:val="24"/>
        </w:rPr>
      </w:pPr>
      <w:r>
        <w:rPr>
          <w:sz w:val="24"/>
        </w:rPr>
        <w:t>（四）在质量保证期内所发现的缺陷，甲方（用户）应尽快以书面形式通知乙方。乙方收到通知后应10日内维修或更换有缺陷的货物或部件</w:t>
      </w:r>
      <w:r>
        <w:rPr>
          <w:rFonts w:hint="eastAsia"/>
          <w:sz w:val="24"/>
        </w:rPr>
        <w:t>（不额外收费）</w:t>
      </w:r>
      <w:r>
        <w:rPr>
          <w:sz w:val="24"/>
        </w:rPr>
        <w:t>。</w:t>
      </w:r>
    </w:p>
    <w:p>
      <w:pPr>
        <w:ind w:firstLine="480" w:firstLineChars="200"/>
        <w:rPr>
          <w:rFonts w:hint="eastAsia"/>
          <w:sz w:val="24"/>
        </w:rPr>
      </w:pPr>
      <w:r>
        <w:rPr>
          <w:sz w:val="24"/>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sz w:val="24"/>
        </w:rPr>
      </w:pPr>
      <w:r>
        <w:rPr>
          <w:sz w:val="24"/>
        </w:rPr>
        <w:t>（六）本合同项目所有货物质量保证期为：自双方签署设备到货验收签收单/安装调试验收合格报告之日起计算</w:t>
      </w:r>
      <w:r>
        <w:rPr>
          <w:sz w:val="24"/>
          <w:u w:val="single"/>
        </w:rPr>
        <w:t xml:space="preserve">  </w:t>
      </w:r>
      <w:r>
        <w:rPr>
          <w:rFonts w:hint="eastAsia"/>
          <w:sz w:val="24"/>
          <w:u w:val="single"/>
        </w:rPr>
        <w:t>1</w:t>
      </w:r>
      <w:r>
        <w:rPr>
          <w:sz w:val="24"/>
          <w:u w:val="single"/>
        </w:rPr>
        <w:t xml:space="preserve">  </w:t>
      </w:r>
      <w:r>
        <w:rPr>
          <w:sz w:val="24"/>
        </w:rPr>
        <w:t>年。</w:t>
      </w:r>
    </w:p>
    <w:p>
      <w:pPr>
        <w:ind w:firstLine="482" w:firstLineChars="200"/>
        <w:rPr>
          <w:rFonts w:hint="eastAsia"/>
          <w:b/>
          <w:bCs/>
          <w:sz w:val="24"/>
        </w:rPr>
      </w:pPr>
      <w:r>
        <w:rPr>
          <w:b/>
          <w:bCs/>
          <w:sz w:val="24"/>
        </w:rPr>
        <w:t>第九条 培训</w:t>
      </w:r>
    </w:p>
    <w:p>
      <w:pPr>
        <w:ind w:firstLine="480" w:firstLineChars="200"/>
        <w:rPr>
          <w:rFonts w:hint="eastAsia"/>
          <w:b/>
          <w:bCs/>
          <w:sz w:val="24"/>
        </w:rPr>
      </w:pPr>
      <w:r>
        <w:rPr>
          <w:bCs/>
          <w:sz w:val="24"/>
        </w:rPr>
        <w:t>本合同所包括的培训详见附件培训方案。</w:t>
      </w:r>
    </w:p>
    <w:p>
      <w:pPr>
        <w:ind w:firstLine="482" w:firstLineChars="200"/>
        <w:rPr>
          <w:rFonts w:hint="eastAsia"/>
          <w:b/>
          <w:bCs/>
          <w:sz w:val="24"/>
        </w:rPr>
      </w:pPr>
      <w:bookmarkStart w:id="83" w:name="_Hlk180276769"/>
      <w:r>
        <w:rPr>
          <w:b/>
          <w:bCs/>
          <w:sz w:val="24"/>
        </w:rPr>
        <w:t>第十条 售后服务</w:t>
      </w:r>
      <w:bookmarkEnd w:id="83"/>
    </w:p>
    <w:p>
      <w:pPr>
        <w:ind w:firstLine="480" w:firstLineChars="200"/>
        <w:rPr>
          <w:rFonts w:hint="eastAsia"/>
          <w:sz w:val="24"/>
        </w:rPr>
      </w:pPr>
      <w:r>
        <w:rPr>
          <w:sz w:val="24"/>
        </w:rPr>
        <w:t>（一）供应商（制造商）在质量保证期内提供</w:t>
      </w:r>
      <w:r>
        <w:rPr>
          <w:rFonts w:hint="eastAsia"/>
          <w:sz w:val="24"/>
          <w:u w:val="single"/>
        </w:rPr>
        <w:t xml:space="preserve">   7×24   </w:t>
      </w:r>
      <w:r>
        <w:rPr>
          <w:sz w:val="24"/>
        </w:rPr>
        <w:t>小时的技术支持与售后服务，提供专线电话支持服务，</w:t>
      </w:r>
      <w:r>
        <w:rPr>
          <w:rFonts w:hint="eastAsia"/>
          <w:sz w:val="24"/>
          <w:u w:val="single"/>
        </w:rPr>
        <w:t xml:space="preserve">  4  </w:t>
      </w:r>
      <w:r>
        <w:rPr>
          <w:sz w:val="24"/>
        </w:rPr>
        <w:t>小时内响应，保证__</w:t>
      </w:r>
      <w:r>
        <w:rPr>
          <w:rFonts w:hint="eastAsia"/>
          <w:sz w:val="24"/>
        </w:rPr>
        <w:t xml:space="preserve">48 </w:t>
      </w:r>
      <w:r>
        <w:rPr>
          <w:sz w:val="24"/>
        </w:rPr>
        <w:t>_小时内到达现场并解决故障</w:t>
      </w:r>
      <w:bookmarkStart w:id="84" w:name="_Hlk180278659"/>
      <w:r>
        <w:rPr>
          <w:rFonts w:hint="eastAsia"/>
          <w:sz w:val="24"/>
        </w:rPr>
        <w:t>（不额外收费）</w:t>
      </w:r>
      <w:bookmarkEnd w:id="84"/>
      <w:r>
        <w:rPr>
          <w:sz w:val="24"/>
        </w:rPr>
        <w:t>。</w:t>
      </w:r>
    </w:p>
    <w:p>
      <w:pPr>
        <w:ind w:firstLine="480" w:firstLineChars="200"/>
        <w:rPr>
          <w:rFonts w:hint="eastAsia"/>
          <w:sz w:val="24"/>
        </w:rPr>
      </w:pPr>
      <w:r>
        <w:rPr>
          <w:sz w:val="24"/>
        </w:rPr>
        <w:t>（二）本合同所包含的售后服务，包含制造商售后服务和代理商售后服务，具体见附件技术支持及售后服务方案。</w:t>
      </w:r>
    </w:p>
    <w:p>
      <w:pPr>
        <w:ind w:firstLine="482" w:firstLineChars="200"/>
        <w:rPr>
          <w:rFonts w:hint="eastAsia"/>
          <w:b/>
          <w:bCs/>
          <w:sz w:val="24"/>
        </w:rPr>
      </w:pPr>
      <w:r>
        <w:rPr>
          <w:b/>
          <w:bCs/>
          <w:sz w:val="24"/>
        </w:rPr>
        <w:t>第十一条 违约责任</w:t>
      </w:r>
    </w:p>
    <w:p>
      <w:pPr>
        <w:ind w:firstLine="480" w:firstLineChars="200"/>
        <w:rPr>
          <w:rFonts w:hint="eastAsia"/>
          <w:sz w:val="24"/>
        </w:rPr>
      </w:pPr>
      <w:r>
        <w:rPr>
          <w:sz w:val="24"/>
        </w:rPr>
        <w:t>（一）因乙方原因未能按照本合同要求交付合格的货物或提供相关服务的违约责任。</w:t>
      </w:r>
    </w:p>
    <w:p>
      <w:pPr>
        <w:ind w:firstLine="480" w:firstLineChars="200"/>
        <w:rPr>
          <w:rFonts w:hint="eastAsia"/>
          <w:sz w:val="24"/>
        </w:rPr>
      </w:pPr>
      <w:r>
        <w:rPr>
          <w:sz w:val="24"/>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sz w:val="24"/>
        </w:rPr>
      </w:pPr>
      <w:r>
        <w:rPr>
          <w:sz w:val="24"/>
        </w:rPr>
        <w:t>（1）退货：甲方将货物退回乙方，乙方将合同货款退还给甲方，并承担由此发生的一切损失和费用。</w:t>
      </w:r>
    </w:p>
    <w:p>
      <w:pPr>
        <w:ind w:firstLine="480" w:firstLineChars="200"/>
        <w:rPr>
          <w:rFonts w:hint="eastAsia"/>
          <w:sz w:val="24"/>
        </w:rPr>
      </w:pPr>
      <w:r>
        <w:rPr>
          <w:sz w:val="24"/>
        </w:rPr>
        <w:t>（2）退货重新制作：甲方将货物退回乙方，乙方按照技术标准要求重新制作，并承担由此发生的一切损失和费用。</w:t>
      </w:r>
    </w:p>
    <w:p>
      <w:pPr>
        <w:ind w:firstLine="480" w:firstLineChars="200"/>
        <w:rPr>
          <w:rFonts w:hint="eastAsia"/>
          <w:sz w:val="24"/>
        </w:rPr>
      </w:pPr>
      <w:r>
        <w:rPr>
          <w:sz w:val="24"/>
        </w:rPr>
        <w:t>（3）新货替换：乙方用满足技术标准要求的货物替换存在缺陷的产品，承担甲方蒙受的全部损失和费用，并承担由此引发的一切风险，且相应延长所换货物的质量保证期。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sz w:val="24"/>
        </w:rPr>
      </w:pPr>
      <w:r>
        <w:rPr>
          <w:sz w:val="24"/>
        </w:rPr>
        <w:t>2.</w:t>
      </w:r>
      <w:r>
        <w:rPr>
          <w:bCs/>
          <w:sz w:val="24"/>
        </w:rPr>
        <w:t>如果乙方</w:t>
      </w:r>
      <w:r>
        <w:rPr>
          <w:sz w:val="24"/>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3"/>
        <w:spacing w:line="360" w:lineRule="auto"/>
        <w:ind w:firstLine="480" w:firstLineChars="200"/>
        <w:rPr>
          <w:rFonts w:eastAsia="宋体"/>
          <w:sz w:val="24"/>
          <w:szCs w:val="24"/>
        </w:rPr>
      </w:pPr>
      <w:r>
        <w:rPr>
          <w:rFonts w:eastAsia="宋体"/>
          <w:sz w:val="24"/>
          <w:szCs w:val="24"/>
        </w:rPr>
        <w:t>3.对于未能按合同要求提供服务或被证实未提供应当承担的服务的，甲方有权要求限期整改。无合理理由不进行整改的视为根本违约。</w:t>
      </w:r>
    </w:p>
    <w:p>
      <w:pPr>
        <w:ind w:firstLine="480" w:firstLineChars="200"/>
        <w:rPr>
          <w:rFonts w:hint="eastAsia"/>
          <w:sz w:val="24"/>
        </w:rPr>
      </w:pPr>
      <w:r>
        <w:rPr>
          <w:sz w:val="24"/>
        </w:rPr>
        <w:t>（二）乙方未按照本合同规定的时间交货和提供服务的违约责任。</w:t>
      </w:r>
    </w:p>
    <w:p>
      <w:pPr>
        <w:pStyle w:val="634"/>
        <w:spacing w:line="360" w:lineRule="auto"/>
        <w:ind w:firstLine="480" w:firstLineChars="200"/>
        <w:rPr>
          <w:rFonts w:eastAsia="宋体"/>
          <w:sz w:val="24"/>
          <w:szCs w:val="24"/>
        </w:rPr>
      </w:pPr>
      <w:r>
        <w:rPr>
          <w:rFonts w:eastAsia="宋体"/>
          <w:sz w:val="24"/>
          <w:szCs w:val="24"/>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4"/>
        <w:spacing w:line="360" w:lineRule="auto"/>
        <w:ind w:firstLine="480" w:firstLineChars="200"/>
        <w:rPr>
          <w:rFonts w:eastAsia="宋体"/>
          <w:sz w:val="24"/>
          <w:szCs w:val="24"/>
        </w:rPr>
      </w:pPr>
      <w:r>
        <w:rPr>
          <w:rFonts w:eastAsia="宋体"/>
          <w:sz w:val="24"/>
          <w:szCs w:val="24"/>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pPr>
        <w:pStyle w:val="634"/>
        <w:spacing w:line="360" w:lineRule="auto"/>
        <w:ind w:firstLine="480" w:firstLineChars="200"/>
        <w:rPr>
          <w:rFonts w:eastAsia="宋体"/>
          <w:sz w:val="24"/>
          <w:szCs w:val="24"/>
        </w:rPr>
      </w:pPr>
      <w:r>
        <w:rPr>
          <w:rFonts w:eastAsia="宋体"/>
          <w:sz w:val="24"/>
          <w:szCs w:val="24"/>
        </w:rPr>
        <w:t>3.出现上述没有按照合同规定的时间交货和提供服务的情形时，甲方也可以选择解除合同，要求乙方退回甲方已支付货款、扣除履约保证金并追究乙方相应违约责任、赔偿甲方（用户）的全部损失。</w:t>
      </w:r>
    </w:p>
    <w:p>
      <w:pPr>
        <w:pStyle w:val="634"/>
        <w:spacing w:line="360" w:lineRule="auto"/>
        <w:ind w:firstLine="480" w:firstLineChars="200"/>
        <w:rPr>
          <w:rFonts w:eastAsia="宋体"/>
          <w:sz w:val="24"/>
          <w:szCs w:val="24"/>
        </w:rPr>
      </w:pPr>
      <w:r>
        <w:rPr>
          <w:rFonts w:eastAsia="宋体"/>
          <w:sz w:val="24"/>
          <w:szCs w:val="24"/>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4"/>
        <w:spacing w:line="360" w:lineRule="auto"/>
        <w:ind w:firstLine="480" w:firstLineChars="200"/>
        <w:rPr>
          <w:rFonts w:eastAsia="宋体"/>
          <w:sz w:val="24"/>
          <w:szCs w:val="24"/>
        </w:rPr>
      </w:pPr>
      <w:r>
        <w:rPr>
          <w:rFonts w:eastAsia="宋体"/>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5"/>
        <w:spacing w:line="360" w:lineRule="auto"/>
        <w:ind w:firstLine="480" w:firstLineChars="200"/>
        <w:rPr>
          <w:rFonts w:eastAsia="宋体"/>
          <w:sz w:val="24"/>
          <w:szCs w:val="24"/>
        </w:rPr>
      </w:pPr>
      <w:r>
        <w:rPr>
          <w:rFonts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6"/>
        <w:spacing w:line="360" w:lineRule="auto"/>
        <w:ind w:firstLine="482" w:firstLineChars="200"/>
        <w:rPr>
          <w:rFonts w:eastAsia="宋体"/>
          <w:b/>
          <w:bCs/>
          <w:sz w:val="24"/>
          <w:szCs w:val="24"/>
        </w:rPr>
      </w:pPr>
      <w:r>
        <w:rPr>
          <w:rFonts w:eastAsia="宋体"/>
          <w:b/>
          <w:bCs/>
          <w:sz w:val="24"/>
          <w:szCs w:val="24"/>
        </w:rPr>
        <w:t>第十二条 异议的期限和方法</w:t>
      </w:r>
    </w:p>
    <w:p>
      <w:pPr>
        <w:pStyle w:val="636"/>
        <w:spacing w:line="360" w:lineRule="auto"/>
        <w:ind w:firstLine="480" w:firstLineChars="200"/>
        <w:rPr>
          <w:rFonts w:eastAsia="宋体"/>
          <w:sz w:val="24"/>
          <w:szCs w:val="24"/>
        </w:rPr>
      </w:pPr>
      <w:r>
        <w:rPr>
          <w:rFonts w:eastAsia="宋体"/>
          <w:sz w:val="24"/>
          <w:szCs w:val="24"/>
        </w:rPr>
        <w:t>（一）异议期限自质量保证期开始之日起3个月内。如果属于产品设计、材料、工艺或其他潜在的质量缺陷，甲方（用户）以书面形式提出异议及其处理意见。</w:t>
      </w:r>
    </w:p>
    <w:p>
      <w:pPr>
        <w:pStyle w:val="636"/>
        <w:spacing w:line="360" w:lineRule="auto"/>
        <w:ind w:firstLine="480" w:firstLineChars="200"/>
        <w:rPr>
          <w:rFonts w:eastAsia="宋体"/>
          <w:sz w:val="24"/>
          <w:szCs w:val="24"/>
        </w:rPr>
      </w:pPr>
      <w:r>
        <w:rPr>
          <w:rFonts w:eastAsia="宋体"/>
          <w:sz w:val="24"/>
          <w:szCs w:val="24"/>
        </w:rPr>
        <w:t>（二）乙方接到甲方（用户）书面异议及其处理意见后，应在10日内到甲方（用户）项目现场处理，否则即视为默认甲方（用户）提出的异议和处理意见。</w:t>
      </w:r>
    </w:p>
    <w:p>
      <w:pPr>
        <w:pStyle w:val="636"/>
        <w:spacing w:line="360" w:lineRule="auto"/>
        <w:ind w:firstLine="482" w:firstLineChars="200"/>
        <w:rPr>
          <w:rFonts w:eastAsia="宋体"/>
          <w:b/>
          <w:bCs/>
          <w:sz w:val="24"/>
          <w:szCs w:val="24"/>
        </w:rPr>
      </w:pPr>
      <w:r>
        <w:rPr>
          <w:rFonts w:eastAsia="宋体"/>
          <w:b/>
          <w:bCs/>
          <w:sz w:val="24"/>
          <w:szCs w:val="24"/>
        </w:rPr>
        <w:t>第十三条 使用合同文件和资料</w:t>
      </w:r>
    </w:p>
    <w:p>
      <w:pPr>
        <w:pStyle w:val="636"/>
        <w:spacing w:line="360" w:lineRule="auto"/>
        <w:ind w:firstLine="480" w:firstLineChars="200"/>
        <w:rPr>
          <w:rFonts w:eastAsia="宋体"/>
          <w:sz w:val="24"/>
          <w:szCs w:val="24"/>
        </w:rPr>
      </w:pPr>
      <w:r>
        <w:rPr>
          <w:rFonts w:eastAsia="宋体"/>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6"/>
        <w:spacing w:line="360" w:lineRule="auto"/>
        <w:ind w:firstLine="480" w:firstLineChars="200"/>
        <w:rPr>
          <w:rFonts w:eastAsia="宋体"/>
          <w:sz w:val="24"/>
          <w:szCs w:val="24"/>
        </w:rPr>
      </w:pPr>
      <w:r>
        <w:rPr>
          <w:rFonts w:eastAsia="宋体"/>
          <w:sz w:val="24"/>
          <w:szCs w:val="24"/>
        </w:rPr>
        <w:t>（二）没有甲方（用户）事先书面同意，除了履行本合同之外，乙方不应使用、传播与本合同相关的任何文件、资料。</w:t>
      </w:r>
    </w:p>
    <w:p>
      <w:pPr>
        <w:ind w:firstLine="482" w:firstLineChars="200"/>
        <w:rPr>
          <w:rFonts w:hint="eastAsia"/>
          <w:b/>
          <w:bCs/>
          <w:sz w:val="24"/>
        </w:rPr>
      </w:pPr>
      <w:r>
        <w:rPr>
          <w:b/>
          <w:bCs/>
          <w:sz w:val="24"/>
        </w:rPr>
        <w:t>第十四条 知识产权</w:t>
      </w:r>
    </w:p>
    <w:p>
      <w:pPr>
        <w:ind w:firstLine="480" w:firstLineChars="200"/>
        <w:rPr>
          <w:rFonts w:hint="eastAsia"/>
          <w:sz w:val="24"/>
        </w:rPr>
      </w:pPr>
      <w:r>
        <w:rPr>
          <w:sz w:val="24"/>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pPr>
        <w:ind w:firstLine="480" w:firstLineChars="200"/>
        <w:rPr>
          <w:rFonts w:hint="eastAsia"/>
          <w:sz w:val="24"/>
        </w:rPr>
      </w:pPr>
      <w:r>
        <w:rPr>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sz w:val="24"/>
        </w:rPr>
      </w:pPr>
      <w:r>
        <w:rPr>
          <w:sz w:val="24"/>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sz w:val="24"/>
        </w:rPr>
      </w:pPr>
      <w:r>
        <w:rPr>
          <w:b/>
          <w:bCs/>
          <w:sz w:val="24"/>
        </w:rPr>
        <w:t>第十五条 权利瑕疵担保</w:t>
      </w:r>
    </w:p>
    <w:p>
      <w:pPr>
        <w:ind w:firstLine="480" w:firstLineChars="200"/>
        <w:rPr>
          <w:rFonts w:hint="eastAsia"/>
          <w:sz w:val="24"/>
        </w:rPr>
      </w:pPr>
      <w:r>
        <w:rPr>
          <w:sz w:val="24"/>
        </w:rPr>
        <w:t>（一）乙方保证对其所提供的货物享有完全的所有权等合法权利，不存在任何未曾向甲方（用户）透露的担保物权（如抵押权、质押权、留置权等）或其他任何权利负担或争议。</w:t>
      </w:r>
    </w:p>
    <w:p>
      <w:pPr>
        <w:pStyle w:val="637"/>
        <w:spacing w:line="360" w:lineRule="auto"/>
        <w:ind w:firstLine="480" w:firstLineChars="200"/>
        <w:rPr>
          <w:rFonts w:eastAsia="宋体"/>
          <w:sz w:val="24"/>
          <w:szCs w:val="24"/>
        </w:rPr>
      </w:pPr>
      <w:r>
        <w:rPr>
          <w:rFonts w:eastAsia="宋体"/>
          <w:sz w:val="24"/>
          <w:szCs w:val="24"/>
        </w:rPr>
        <w:t>（二）乙方应保证所提供的货物免受第三方提出的任何权利主张，如因第三方提出权利主张给甲方（用户）造成损失的，乙方应予以赔偿。</w:t>
      </w:r>
    </w:p>
    <w:p>
      <w:pPr>
        <w:ind w:firstLine="480" w:firstLineChars="200"/>
        <w:rPr>
          <w:rFonts w:hint="eastAsia"/>
          <w:sz w:val="24"/>
        </w:rPr>
      </w:pPr>
      <w:r>
        <w:rPr>
          <w:sz w:val="24"/>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sz w:val="24"/>
        </w:rPr>
      </w:pPr>
      <w:r>
        <w:rPr>
          <w:b/>
          <w:bCs/>
          <w:sz w:val="24"/>
        </w:rPr>
        <w:t>第十六条 不可抗力及其免责</w:t>
      </w:r>
    </w:p>
    <w:p>
      <w:pPr>
        <w:ind w:firstLine="480" w:firstLineChars="200"/>
        <w:rPr>
          <w:rFonts w:hint="eastAsia"/>
          <w:sz w:val="24"/>
        </w:rPr>
      </w:pPr>
      <w:r>
        <w:rPr>
          <w:sz w:val="24"/>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sz w:val="24"/>
        </w:rPr>
      </w:pPr>
      <w:r>
        <w:rPr>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sz w:val="24"/>
        </w:rPr>
      </w:pPr>
      <w:r>
        <w:rPr>
          <w:sz w:val="24"/>
        </w:rPr>
        <w:t>（三）乙方在延迟履行合同期间由于不可抗力而不能履行合同的，不能被免除责任。</w:t>
      </w:r>
    </w:p>
    <w:p>
      <w:pPr>
        <w:ind w:firstLine="480" w:firstLineChars="200"/>
        <w:rPr>
          <w:rFonts w:hint="eastAsia"/>
          <w:sz w:val="24"/>
        </w:rPr>
      </w:pPr>
      <w:r>
        <w:rPr>
          <w:sz w:val="24"/>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sz w:val="24"/>
        </w:rPr>
      </w:pPr>
      <w:r>
        <w:rPr>
          <w:sz w:val="24"/>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sz w:val="24"/>
        </w:rPr>
      </w:pPr>
      <w:r>
        <w:rPr>
          <w:b/>
          <w:bCs/>
          <w:sz w:val="24"/>
        </w:rPr>
        <w:t>第十七条 争议的解决</w:t>
      </w:r>
    </w:p>
    <w:p>
      <w:pPr>
        <w:ind w:firstLine="480" w:firstLineChars="200"/>
        <w:rPr>
          <w:rFonts w:hint="eastAsia"/>
          <w:sz w:val="24"/>
        </w:rPr>
      </w:pPr>
      <w:r>
        <w:rPr>
          <w:sz w:val="24"/>
        </w:rPr>
        <w:t>合同实施或与合同有关的一切争议应通过双方友好协商解决。如果友好协商开始还不能解决，</w:t>
      </w:r>
      <w:r>
        <w:rPr>
          <w:rFonts w:hint="eastAsia"/>
          <w:sz w:val="24"/>
        </w:rPr>
        <w:t>合同双方均可向甲方所在地人民法院提起诉讼。</w:t>
      </w:r>
      <w:r>
        <w:rPr>
          <w:sz w:val="24"/>
        </w:rPr>
        <w:t>在</w:t>
      </w:r>
      <w:r>
        <w:rPr>
          <w:rFonts w:hint="eastAsia"/>
          <w:sz w:val="24"/>
        </w:rPr>
        <w:t>诉讼</w:t>
      </w:r>
      <w:r>
        <w:rPr>
          <w:sz w:val="24"/>
        </w:rPr>
        <w:t>期间，除正在进行</w:t>
      </w:r>
      <w:r>
        <w:rPr>
          <w:rFonts w:hint="eastAsia"/>
          <w:sz w:val="24"/>
        </w:rPr>
        <w:t>诉讼</w:t>
      </w:r>
      <w:r>
        <w:rPr>
          <w:sz w:val="24"/>
        </w:rPr>
        <w:t>的部分外，本合同其他部分应继续履行。</w:t>
      </w:r>
    </w:p>
    <w:p>
      <w:pPr>
        <w:ind w:firstLine="482" w:firstLineChars="200"/>
        <w:rPr>
          <w:rFonts w:hint="eastAsia"/>
          <w:b/>
          <w:bCs/>
          <w:sz w:val="24"/>
        </w:rPr>
      </w:pPr>
      <w:r>
        <w:rPr>
          <w:b/>
          <w:bCs/>
          <w:sz w:val="24"/>
        </w:rPr>
        <w:t>第十八条 合同修改或变更</w:t>
      </w:r>
    </w:p>
    <w:p>
      <w:pPr>
        <w:ind w:firstLine="480" w:firstLineChars="200"/>
        <w:rPr>
          <w:rFonts w:hint="eastAsia"/>
          <w:sz w:val="24"/>
        </w:rPr>
      </w:pPr>
      <w:r>
        <w:rPr>
          <w:sz w:val="24"/>
        </w:rPr>
        <w:t>（一）如无重大变故，甲乙双方不得擅自变更合同。</w:t>
      </w:r>
    </w:p>
    <w:p>
      <w:pPr>
        <w:ind w:firstLine="480" w:firstLineChars="200"/>
        <w:rPr>
          <w:rFonts w:hint="eastAsia"/>
          <w:sz w:val="24"/>
        </w:rPr>
      </w:pPr>
      <w:r>
        <w:rPr>
          <w:sz w:val="24"/>
        </w:rPr>
        <w:t>（二）如确需变更合同，甲乙双方应签署书面变更协议。变更协议为本合同不可分割的一部分。</w:t>
      </w:r>
    </w:p>
    <w:p>
      <w:pPr>
        <w:ind w:firstLine="480" w:firstLineChars="200"/>
        <w:rPr>
          <w:rFonts w:hint="eastAsia"/>
          <w:sz w:val="24"/>
        </w:rPr>
      </w:pPr>
      <w:r>
        <w:rPr>
          <w:sz w:val="24"/>
        </w:rPr>
        <w:t>（三）在不改变合同其他条款的前提下，甲方（用户）有权在合同价款10%的范围内追加与合同标的相同的货物或服务，并就此与乙方签订补充合同，乙方不得拒绝。</w:t>
      </w:r>
    </w:p>
    <w:p>
      <w:pPr>
        <w:ind w:firstLine="482" w:firstLineChars="200"/>
        <w:rPr>
          <w:rFonts w:hint="eastAsia"/>
          <w:b/>
          <w:bCs/>
          <w:sz w:val="24"/>
        </w:rPr>
      </w:pPr>
      <w:r>
        <w:rPr>
          <w:b/>
          <w:bCs/>
          <w:sz w:val="24"/>
        </w:rPr>
        <w:t>第十九条 合同中止</w:t>
      </w:r>
    </w:p>
    <w:p>
      <w:pPr>
        <w:ind w:firstLine="480" w:firstLineChars="200"/>
        <w:rPr>
          <w:rFonts w:hint="eastAsia"/>
          <w:sz w:val="24"/>
        </w:rPr>
      </w:pPr>
      <w:r>
        <w:rPr>
          <w:sz w:val="24"/>
        </w:rPr>
        <w:t>（一）合同在履行过程中，因采购计划调整，甲方（用户）可以要求中止履行，待计划确定后继续履行。</w:t>
      </w:r>
    </w:p>
    <w:p>
      <w:pPr>
        <w:ind w:firstLine="480" w:firstLineChars="200"/>
        <w:rPr>
          <w:rFonts w:hint="eastAsia"/>
          <w:sz w:val="24"/>
        </w:rPr>
      </w:pPr>
      <w:r>
        <w:rPr>
          <w:sz w:val="24"/>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sz w:val="24"/>
        </w:rPr>
      </w:pPr>
      <w:r>
        <w:rPr>
          <w:b/>
          <w:bCs/>
          <w:sz w:val="24"/>
        </w:rPr>
        <w:t>第二十条 合同解除</w:t>
      </w:r>
    </w:p>
    <w:p>
      <w:pPr>
        <w:ind w:firstLine="480" w:firstLineChars="200"/>
        <w:rPr>
          <w:rFonts w:hint="eastAsia"/>
          <w:sz w:val="24"/>
        </w:rPr>
      </w:pPr>
      <w:r>
        <w:rPr>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sz w:val="24"/>
        </w:rPr>
      </w:pPr>
      <w:r>
        <w:rPr>
          <w:sz w:val="24"/>
        </w:rPr>
        <w:t>（一）因违约解除合同</w:t>
      </w:r>
    </w:p>
    <w:p>
      <w:pPr>
        <w:ind w:firstLine="480" w:firstLineChars="200"/>
        <w:rPr>
          <w:rFonts w:hint="eastAsia"/>
          <w:sz w:val="24"/>
        </w:rPr>
      </w:pPr>
      <w:r>
        <w:rPr>
          <w:sz w:val="24"/>
        </w:rPr>
        <w:t>1.在甲方（用户）对乙方违约而采取的任何补救措施不受影响的情况下，甲方（用户）可向乙方发出书面违约通知书，提出解除部分或全部合同：</w:t>
      </w:r>
    </w:p>
    <w:p>
      <w:pPr>
        <w:ind w:firstLine="480" w:firstLineChars="200"/>
        <w:rPr>
          <w:rFonts w:hint="eastAsia"/>
          <w:sz w:val="24"/>
        </w:rPr>
      </w:pPr>
      <w:r>
        <w:rPr>
          <w:sz w:val="24"/>
        </w:rPr>
        <w:t>（1）如果乙方未能在合同规定的期限或甲方（用户）根据合同条款的规定同意延长的限期内提供部分或全部的货物或服务，达到合同所规定的要求；</w:t>
      </w:r>
    </w:p>
    <w:p>
      <w:pPr>
        <w:pStyle w:val="638"/>
        <w:spacing w:line="360" w:lineRule="auto"/>
        <w:ind w:firstLine="480" w:firstLineChars="200"/>
        <w:rPr>
          <w:rFonts w:eastAsia="宋体"/>
          <w:sz w:val="24"/>
          <w:szCs w:val="24"/>
        </w:rPr>
      </w:pPr>
      <w:r>
        <w:rPr>
          <w:rFonts w:eastAsia="宋体"/>
          <w:sz w:val="24"/>
          <w:szCs w:val="24"/>
        </w:rPr>
        <w:t>（2）如果甲方（用户）发现乙方在本合同的竞争或实施中有欺诈行为。</w:t>
      </w:r>
    </w:p>
    <w:p>
      <w:pPr>
        <w:ind w:firstLine="480" w:firstLineChars="200"/>
        <w:rPr>
          <w:rFonts w:hint="eastAsia"/>
          <w:sz w:val="24"/>
        </w:rPr>
      </w:pPr>
      <w:r>
        <w:rPr>
          <w:sz w:val="24"/>
        </w:rPr>
        <w:t>（3）如果乙方未能履行合同规定的其他任何义务。</w:t>
      </w:r>
    </w:p>
    <w:p>
      <w:pPr>
        <w:ind w:firstLine="480" w:firstLineChars="200"/>
        <w:rPr>
          <w:rFonts w:hint="eastAsia"/>
          <w:sz w:val="24"/>
        </w:rPr>
      </w:pPr>
      <w:r>
        <w:rPr>
          <w:sz w:val="24"/>
        </w:rPr>
        <w:t>2.如果甲方（用户）根据上述规定与乙方全部或部分解除合同，</w:t>
      </w:r>
      <w:r>
        <w:rPr>
          <w:bCs/>
          <w:sz w:val="24"/>
        </w:rPr>
        <w:t>甲方（用户）可以依其认为适当的条件和方法购买乙方未能提供的货物或服务，乙方应对甲方购买类似货物或服务所超出的费用负责</w:t>
      </w:r>
      <w:r>
        <w:rPr>
          <w:sz w:val="24"/>
        </w:rPr>
        <w:t>。</w:t>
      </w:r>
      <w:r>
        <w:rPr>
          <w:bCs/>
          <w:sz w:val="24"/>
        </w:rPr>
        <w:t>同时，乙方应继续执行合同中未解除的部分。</w:t>
      </w:r>
    </w:p>
    <w:p>
      <w:pPr>
        <w:ind w:firstLine="480" w:firstLineChars="200"/>
        <w:rPr>
          <w:rFonts w:hint="eastAsia"/>
          <w:sz w:val="24"/>
        </w:rPr>
      </w:pPr>
      <w:r>
        <w:rPr>
          <w:sz w:val="24"/>
        </w:rPr>
        <w:t>（二）因破产而解除合同</w:t>
      </w:r>
    </w:p>
    <w:p>
      <w:pPr>
        <w:ind w:firstLine="480" w:firstLineChars="200"/>
        <w:rPr>
          <w:rFonts w:hint="eastAsia"/>
          <w:sz w:val="24"/>
        </w:rPr>
      </w:pPr>
      <w:r>
        <w:rPr>
          <w:sz w:val="24"/>
        </w:rPr>
        <w:t>1.如果乙方破产或无清偿能力，甲方（用户）可在任何时候以书面形式通知乙方，提出解除合同而不给乙方补偿，并有权要求乙方退回甲方（用户）已支付的合同货款。</w:t>
      </w:r>
    </w:p>
    <w:p>
      <w:pPr>
        <w:ind w:firstLine="480" w:firstLineChars="200"/>
        <w:rPr>
          <w:rFonts w:hint="eastAsia"/>
          <w:sz w:val="24"/>
        </w:rPr>
      </w:pPr>
      <w:r>
        <w:rPr>
          <w:sz w:val="24"/>
        </w:rPr>
        <w:t>2.该解除合同将不损害或影响甲方已经采取或将要采取的任何行动或补救措施的权利。</w:t>
      </w:r>
    </w:p>
    <w:p>
      <w:pPr>
        <w:ind w:firstLine="480" w:firstLineChars="200"/>
        <w:rPr>
          <w:rFonts w:hint="eastAsia"/>
          <w:sz w:val="24"/>
        </w:rPr>
      </w:pPr>
      <w:r>
        <w:rPr>
          <w:sz w:val="24"/>
        </w:rPr>
        <w:t>（三）其他解除合同情况</w:t>
      </w:r>
    </w:p>
    <w:p>
      <w:pPr>
        <w:ind w:firstLine="480" w:firstLineChars="200"/>
        <w:rPr>
          <w:rFonts w:hint="eastAsia"/>
          <w:sz w:val="24"/>
        </w:rPr>
      </w:pPr>
      <w:r>
        <w:rPr>
          <w:sz w:val="24"/>
        </w:rPr>
        <w:t>1.若合同继续履行将给甲方造成重大损失的，甲方（用户）可以解除合同而不给予乙方任何补偿。</w:t>
      </w:r>
    </w:p>
    <w:p>
      <w:pPr>
        <w:ind w:firstLine="480" w:firstLineChars="200"/>
        <w:rPr>
          <w:rFonts w:hint="eastAsia"/>
          <w:sz w:val="24"/>
        </w:rPr>
      </w:pPr>
      <w:r>
        <w:rPr>
          <w:sz w:val="24"/>
        </w:rPr>
        <w:t>2.乙方在执行合同的过程中发生重大变故，对履行合同有影响的，甲方（用户）可以解除合同而不给予乙方任何补偿。</w:t>
      </w:r>
    </w:p>
    <w:p>
      <w:pPr>
        <w:ind w:firstLine="480" w:firstLineChars="200"/>
        <w:rPr>
          <w:rFonts w:hint="eastAsia"/>
          <w:sz w:val="24"/>
        </w:rPr>
      </w:pPr>
      <w:r>
        <w:rPr>
          <w:sz w:val="24"/>
        </w:rPr>
        <w:t>3.甲方（用户）因重大变故取消或部分取消原来的采购任务，导致合同全部或部分内容无需继续履行的，可以解除合同而不给予乙方任何补偿。</w:t>
      </w:r>
    </w:p>
    <w:p>
      <w:pPr>
        <w:ind w:firstLine="482" w:firstLineChars="200"/>
        <w:rPr>
          <w:rFonts w:hint="eastAsia"/>
          <w:b/>
          <w:bCs/>
          <w:sz w:val="24"/>
        </w:rPr>
      </w:pPr>
      <w:r>
        <w:rPr>
          <w:b/>
          <w:bCs/>
          <w:sz w:val="24"/>
        </w:rPr>
        <w:t>第二十一条 合同终止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（一）本合同因下列原因而终止：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1.本合同正常履行完毕；</w:t>
      </w:r>
    </w:p>
    <w:p>
      <w:pPr>
        <w:pStyle w:val="639"/>
        <w:autoSpaceDN w:val="0"/>
        <w:spacing w:line="360" w:lineRule="auto"/>
        <w:ind w:firstLine="480" w:firstLineChars="200"/>
        <w:jc w:val="left"/>
        <w:rPr>
          <w:snapToGrid w:val="0"/>
          <w:kern w:val="0"/>
          <w:sz w:val="24"/>
          <w:szCs w:val="24"/>
        </w:rPr>
      </w:pPr>
      <w:r>
        <w:rPr>
          <w:snapToGrid w:val="0"/>
          <w:kern w:val="0"/>
          <w:sz w:val="24"/>
          <w:szCs w:val="24"/>
        </w:rPr>
        <w:t>2.合同双方协议终止本合同的履行；</w:t>
      </w:r>
    </w:p>
    <w:p>
      <w:pPr>
        <w:pStyle w:val="639"/>
        <w:autoSpaceDN w:val="0"/>
        <w:spacing w:line="360" w:lineRule="auto"/>
        <w:ind w:firstLine="480" w:firstLineChars="200"/>
        <w:jc w:val="left"/>
        <w:rPr>
          <w:snapToGrid w:val="0"/>
          <w:kern w:val="0"/>
          <w:sz w:val="24"/>
          <w:szCs w:val="24"/>
        </w:rPr>
      </w:pPr>
      <w:r>
        <w:rPr>
          <w:snapToGrid w:val="0"/>
          <w:kern w:val="0"/>
          <w:sz w:val="24"/>
          <w:szCs w:val="24"/>
        </w:rPr>
        <w:t>3.不可抗力事件导致本合同无法履行或履行不必要；</w:t>
      </w:r>
    </w:p>
    <w:p>
      <w:pPr>
        <w:pStyle w:val="639"/>
        <w:autoSpaceDN w:val="0"/>
        <w:spacing w:line="360" w:lineRule="auto"/>
        <w:ind w:firstLine="480" w:firstLineChars="200"/>
        <w:jc w:val="left"/>
        <w:rPr>
          <w:snapToGrid w:val="0"/>
          <w:kern w:val="0"/>
          <w:sz w:val="24"/>
          <w:szCs w:val="24"/>
        </w:rPr>
      </w:pPr>
      <w:r>
        <w:rPr>
          <w:snapToGrid w:val="0"/>
          <w:kern w:val="0"/>
          <w:sz w:val="24"/>
          <w:szCs w:val="24"/>
        </w:rPr>
        <w:t>4.任何一方行使解除权，解除本合同；</w:t>
      </w:r>
    </w:p>
    <w:p>
      <w:pPr>
        <w:pStyle w:val="639"/>
        <w:autoSpaceDN w:val="0"/>
        <w:spacing w:line="360" w:lineRule="auto"/>
        <w:ind w:firstLine="480" w:firstLineChars="200"/>
        <w:jc w:val="left"/>
        <w:rPr>
          <w:snapToGrid w:val="0"/>
          <w:kern w:val="0"/>
          <w:sz w:val="24"/>
          <w:szCs w:val="24"/>
        </w:rPr>
      </w:pPr>
      <w:r>
        <w:rPr>
          <w:snapToGrid w:val="0"/>
          <w:kern w:val="0"/>
          <w:sz w:val="24"/>
          <w:szCs w:val="24"/>
        </w:rPr>
        <w:t>（二）对本合同终止有过错的一方应赔偿另一方因合同终止而受到的损失。</w:t>
      </w:r>
    </w:p>
    <w:p>
      <w:pPr>
        <w:ind w:firstLine="482" w:firstLineChars="200"/>
        <w:rPr>
          <w:rFonts w:hint="eastAsia"/>
          <w:b/>
          <w:bCs/>
          <w:sz w:val="24"/>
        </w:rPr>
      </w:pPr>
      <w:r>
        <w:rPr>
          <w:b/>
          <w:bCs/>
          <w:sz w:val="24"/>
        </w:rPr>
        <w:t>第二十二条 其他</w:t>
      </w:r>
    </w:p>
    <w:p>
      <w:pPr>
        <w:ind w:firstLine="480" w:firstLineChars="200"/>
        <w:rPr>
          <w:rFonts w:hint="eastAsia"/>
          <w:sz w:val="24"/>
        </w:rPr>
      </w:pPr>
      <w:r>
        <w:rPr>
          <w:sz w:val="24"/>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sz w:val="24"/>
        </w:rPr>
      </w:pPr>
      <w:r>
        <w:rPr>
          <w:b/>
          <w:bCs/>
          <w:sz w:val="24"/>
        </w:rPr>
        <w:t>第二十四条 合同生效</w:t>
      </w:r>
    </w:p>
    <w:p>
      <w:pPr>
        <w:ind w:firstLine="480" w:firstLineChars="200"/>
        <w:rPr>
          <w:rFonts w:hint="eastAsia"/>
          <w:sz w:val="24"/>
        </w:rPr>
      </w:pPr>
      <w:r>
        <w:rPr>
          <w:sz w:val="24"/>
        </w:rPr>
        <w:t>本合同一式___份，甲方执___份，乙方执___份；自甲乙双方签字盖章之日起生效。对本合同的任何更改及补充，均需双方共同协商，并以书面形式盖章确认。</w:t>
      </w:r>
    </w:p>
    <w:p>
      <w:pPr>
        <w:rPr>
          <w:rFonts w:hint="eastAsia"/>
          <w:sz w:val="24"/>
        </w:rPr>
      </w:pPr>
    </w:p>
    <w:p>
      <w:pPr>
        <w:rPr>
          <w:rFonts w:hint="eastAsia"/>
          <w:sz w:val="24"/>
        </w:rPr>
      </w:pPr>
      <w:r>
        <w:rPr>
          <w:sz w:val="24"/>
        </w:rPr>
        <w:t>甲方（公章</w:t>
      </w:r>
      <w:r>
        <w:rPr>
          <w:snapToGrid w:val="0"/>
          <w:sz w:val="24"/>
        </w:rPr>
        <w:t>或合同章</w:t>
      </w:r>
      <w:r>
        <w:rPr>
          <w:sz w:val="24"/>
        </w:rPr>
        <w:t>）：            乙方（公章</w:t>
      </w:r>
      <w:r>
        <w:rPr>
          <w:snapToGrid w:val="0"/>
          <w:sz w:val="24"/>
        </w:rPr>
        <w:t>或合同章</w:t>
      </w:r>
      <w:r>
        <w:rPr>
          <w:sz w:val="24"/>
        </w:rPr>
        <w:t>）：</w:t>
      </w:r>
    </w:p>
    <w:p>
      <w:pPr>
        <w:rPr>
          <w:rFonts w:hint="eastAsia"/>
          <w:sz w:val="24"/>
        </w:rPr>
      </w:pPr>
      <w:r>
        <w:rPr>
          <w:rFonts w:hint="eastAsia"/>
          <w:sz w:val="24"/>
        </w:rPr>
        <w:t>甲方代表</w:t>
      </w:r>
      <w:r>
        <w:rPr>
          <w:sz w:val="24"/>
        </w:rPr>
        <w:t xml:space="preserve">或授权人签字：            </w:t>
      </w:r>
      <w:r>
        <w:rPr>
          <w:rFonts w:hint="eastAsia"/>
          <w:sz w:val="24"/>
        </w:rPr>
        <w:t>乙方代表</w:t>
      </w:r>
      <w:r>
        <w:rPr>
          <w:sz w:val="24"/>
        </w:rPr>
        <w:t>或授权人签字：</w:t>
      </w:r>
    </w:p>
    <w:p>
      <w:pPr>
        <w:rPr>
          <w:rFonts w:hint="eastAsia"/>
          <w:sz w:val="24"/>
        </w:rPr>
      </w:pPr>
      <w:r>
        <w:rPr>
          <w:sz w:val="24"/>
        </w:rPr>
        <w:t xml:space="preserve">日期： 年  月  日                 日期：   年   月   日    </w:t>
      </w:r>
    </w:p>
    <w:p>
      <w:pPr>
        <w:rPr>
          <w:rFonts w:hint="eastAsia"/>
          <w:sz w:val="24"/>
        </w:rPr>
      </w:pPr>
      <w:r>
        <w:rPr>
          <w:sz w:val="24"/>
        </w:rPr>
        <w:t>联系人:                           联系人：</w:t>
      </w:r>
    </w:p>
    <w:p>
      <w:pPr>
        <w:rPr>
          <w:rFonts w:hint="eastAsia"/>
          <w:sz w:val="24"/>
        </w:rPr>
      </w:pPr>
      <w:r>
        <w:rPr>
          <w:sz w:val="24"/>
        </w:rPr>
        <w:t>电话:                             电话：</w:t>
      </w:r>
    </w:p>
    <w:p>
      <w:pPr>
        <w:rPr>
          <w:rFonts w:hint="eastAsia"/>
          <w:sz w:val="24"/>
        </w:rPr>
      </w:pPr>
      <w:r>
        <w:rPr>
          <w:sz w:val="24"/>
        </w:rPr>
        <w:t>地址：                            地址：</w:t>
      </w:r>
    </w:p>
    <w:p>
      <w:pPr>
        <w:rPr>
          <w:rFonts w:hint="eastAsia"/>
          <w:sz w:val="24"/>
        </w:rPr>
      </w:pPr>
      <w:bookmarkStart w:id="85" w:name="孔子"/>
      <w:bookmarkEnd w:id="85"/>
    </w:p>
    <w:p>
      <w:pPr>
        <w:shd w:val="clear" w:color="auto" w:fill="auto"/>
        <w:tabs>
          <w:tab w:val="clear" w:pos="426"/>
        </w:tabs>
        <w:adjustRightInd/>
        <w:snapToGrid/>
        <w:spacing w:line="240" w:lineRule="auto"/>
        <w:jc w:val="left"/>
        <w:rPr>
          <w:rFonts w:hint="eastAsia"/>
          <w:sz w:val="24"/>
        </w:rPr>
      </w:pPr>
      <w:r>
        <w:rPr>
          <w:rFonts w:hint="eastAsia"/>
          <w:sz w:val="24"/>
        </w:rPr>
        <w:br w:type="page"/>
      </w:r>
    </w:p>
    <w:p>
      <w:pPr>
        <w:rPr>
          <w:rFonts w:hint="eastAsia"/>
          <w:sz w:val="24"/>
        </w:rPr>
      </w:pPr>
      <w:r>
        <w:rPr>
          <w:rFonts w:hint="eastAsia"/>
          <w:sz w:val="24"/>
        </w:rPr>
        <w:t>附件1：</w:t>
      </w:r>
      <w:r>
        <w:rPr>
          <w:rFonts w:hint="eastAsia"/>
          <w:bCs/>
          <w:sz w:val="24"/>
        </w:rPr>
        <w:t>分项报价表、设备配置清单和技术偏离表</w:t>
      </w:r>
    </w:p>
    <w:p>
      <w:pPr>
        <w:shd w:val="clear" w:color="auto" w:fill="auto"/>
        <w:tabs>
          <w:tab w:val="clear" w:pos="426"/>
        </w:tabs>
        <w:adjustRightInd/>
        <w:snapToGrid/>
        <w:spacing w:line="240" w:lineRule="auto"/>
        <w:jc w:val="left"/>
        <w:rPr>
          <w:rFonts w:hint="eastAsia"/>
          <w:bCs/>
          <w:sz w:val="24"/>
        </w:rPr>
      </w:pPr>
      <w:r>
        <w:rPr>
          <w:rFonts w:hint="eastAsia"/>
          <w:bCs/>
          <w:sz w:val="24"/>
        </w:rPr>
        <w:br w:type="page"/>
      </w:r>
    </w:p>
    <w:p>
      <w:pPr>
        <w:rPr>
          <w:rFonts w:hint="eastAsia"/>
          <w:bCs/>
          <w:sz w:val="24"/>
        </w:rPr>
      </w:pPr>
      <w:r>
        <w:rPr>
          <w:bCs/>
          <w:sz w:val="24"/>
        </w:rPr>
        <w:t>附件</w:t>
      </w:r>
      <w:r>
        <w:rPr>
          <w:rFonts w:hint="eastAsia"/>
          <w:bCs/>
          <w:sz w:val="24"/>
        </w:rPr>
        <w:t>2：</w:t>
      </w:r>
      <w:r>
        <w:rPr>
          <w:bCs/>
          <w:sz w:val="24"/>
        </w:rPr>
        <w:t>培训方案</w:t>
      </w:r>
    </w:p>
    <w:p>
      <w:pPr>
        <w:shd w:val="clear" w:color="auto" w:fill="auto"/>
        <w:tabs>
          <w:tab w:val="clear" w:pos="426"/>
        </w:tabs>
        <w:adjustRightInd/>
        <w:snapToGrid/>
        <w:spacing w:line="240" w:lineRule="auto"/>
        <w:jc w:val="left"/>
        <w:rPr>
          <w:rFonts w:hint="eastAsia"/>
          <w:bCs/>
          <w:sz w:val="24"/>
        </w:rPr>
      </w:pPr>
      <w:r>
        <w:rPr>
          <w:rFonts w:hint="eastAsia"/>
          <w:bCs/>
          <w:sz w:val="24"/>
        </w:rPr>
        <w:br w:type="page"/>
      </w:r>
    </w:p>
    <w:p>
      <w:pPr>
        <w:rPr>
          <w:rFonts w:hint="eastAsia"/>
          <w:bCs/>
          <w:sz w:val="24"/>
        </w:rPr>
      </w:pPr>
      <w:r>
        <w:rPr>
          <w:rFonts w:hint="eastAsia"/>
          <w:bCs/>
          <w:sz w:val="24"/>
        </w:rPr>
        <w:t>附件3：技术支持及售后服务方案</w:t>
      </w:r>
    </w:p>
    <w:p>
      <w:pPr>
        <w:widowControl w:val="0"/>
        <w:shd w:val="clear" w:color="auto" w:fill="auto"/>
        <w:tabs>
          <w:tab w:val="clear" w:pos="426"/>
        </w:tabs>
        <w:adjustRightInd/>
        <w:snapToGrid/>
        <w:spacing w:line="240" w:lineRule="auto"/>
        <w:rPr>
          <w:rFonts w:ascii="Calibri" w:hAnsi="Calibri" w:cs="Times New Roman"/>
          <w:kern w:val="2"/>
        </w:rPr>
      </w:pPr>
    </w:p>
    <w:p>
      <w:pPr>
        <w:pStyle w:val="62"/>
      </w:pPr>
      <w:r>
        <w:br w:type="page"/>
      </w:r>
      <w:bookmarkEnd w:id="79"/>
      <w:bookmarkEnd w:id="80"/>
      <w:bookmarkStart w:id="86" w:name="_Toc4933"/>
      <w:r>
        <w:rPr>
          <w:rFonts w:hint="eastAsia"/>
        </w:rPr>
        <w:t>第六章 投标资料表</w:t>
      </w:r>
      <w:bookmarkEnd w:id="86"/>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投标文件组成：</w:t>
      </w: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密封袋封条格式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投标文件封面格式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目录（目录格式自定）</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评标指引表</w:t>
      </w:r>
    </w:p>
    <w:p>
      <w:pPr>
        <w:pStyle w:val="315"/>
        <w:numPr>
          <w:ilvl w:val="255"/>
          <w:numId w:val="0"/>
        </w:numPr>
        <w:spacing w:line="240" w:lineRule="auto"/>
        <w:ind w:left="567" w:leftChars="27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格式1：投标函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格式2：法定代表人（单位负责人）证明书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格式3：授权委托书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格式4：资格条款偏离表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格式5：法人或者其他组织的营业执照等证明文件</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格式6：投标人资格声明函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格式7：开标一览表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格式8：投标分项报价表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格式9：技术规格偏离表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格式10：技术保障措施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格式11：售后服务方案</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格式12：商务条款偏离表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格式13：投标人综合概况简表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格式14：企业类型声明函（可选）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格式15：残疾人福利性单位声明函（可选）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格式16：同类项目业绩情况</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格式17：相关认证情况</w:t>
      </w:r>
      <w:r>
        <w:rPr>
          <w:rFonts w:hint="eastAsia" w:asciiTheme="minorEastAsia" w:hAnsiTheme="minorEastAsia" w:eastAsiaTheme="minorEastAsia"/>
          <w:sz w:val="21"/>
          <w:szCs w:val="21"/>
        </w:rPr>
        <w:cr/>
      </w:r>
    </w:p>
    <w:p>
      <w:pPr>
        <w:adjustRightInd/>
        <w:snapToGrid/>
        <w:spacing w:before="280" w:after="290" w:line="377" w:lineRule="auto"/>
        <w:jc w:val="center"/>
        <w:rPr>
          <w:rFonts w:hint="eastAsia"/>
        </w:rPr>
      </w:pPr>
      <w:r>
        <w:br w:type="page"/>
      </w:r>
      <w:bookmarkStart w:id="87" w:name="_Toc518464366"/>
      <w:bookmarkStart w:id="88" w:name="_Toc528170806"/>
      <w:bookmarkStart w:id="89" w:name="_Toc528675178"/>
    </w:p>
    <w:p>
      <w:pPr>
        <w:pStyle w:val="62"/>
      </w:pPr>
      <w:bookmarkStart w:id="90" w:name="_Toc25551"/>
      <w:r>
        <w:rPr>
          <w:rFonts w:hint="eastAsia"/>
        </w:rPr>
        <w:t>第七章 投标文件格式</w:t>
      </w:r>
      <w:bookmarkEnd w:id="90"/>
    </w:p>
    <w:p>
      <w:pPr>
        <w:adjustRightInd/>
        <w:snapToGrid/>
        <w:spacing w:before="280" w:after="290" w:line="377" w:lineRule="auto"/>
        <w:jc w:val="center"/>
        <w:outlineLvl w:val="2"/>
        <w:rPr>
          <w:rFonts w:hint="eastAsia"/>
          <w:b/>
          <w:sz w:val="24"/>
        </w:rPr>
      </w:pPr>
      <w:bookmarkStart w:id="91" w:name="_Toc20740"/>
      <w:r>
        <w:rPr>
          <w:rFonts w:hint="eastAsia"/>
          <w:b/>
          <w:sz w:val="24"/>
        </w:rPr>
        <w:t>投标文件编制说明</w:t>
      </w:r>
      <w:bookmarkEnd w:id="91"/>
    </w:p>
    <w:p>
      <w:pPr>
        <w:tabs>
          <w:tab w:val="clear" w:pos="426"/>
        </w:tabs>
        <w:spacing w:line="276" w:lineRule="auto"/>
        <w:ind w:firstLine="420" w:firstLineChars="200"/>
        <w:rPr>
          <w:rFonts w:hint="eastAsia"/>
        </w:rPr>
      </w:pPr>
      <w:r>
        <w:rPr>
          <w:rFonts w:hint="eastAsia"/>
        </w:rPr>
        <w:t>投标供应商在编辑投标文件时，应严格按照招标文件提供的格式进行编写，因未按要求编写导致投标文件不予受理、无效标或废标的，一切后果由供应商自行承担。</w:t>
      </w:r>
    </w:p>
    <w:p>
      <w:pPr>
        <w:adjustRightInd/>
        <w:snapToGrid/>
        <w:spacing w:before="280" w:after="290" w:line="377" w:lineRule="auto"/>
        <w:jc w:val="center"/>
        <w:rPr>
          <w:rFonts w:hint="eastAsia"/>
          <w:b/>
          <w:sz w:val="24"/>
        </w:rPr>
      </w:pPr>
    </w:p>
    <w:p>
      <w:pPr>
        <w:rPr>
          <w:rFonts w:hint="eastAsia"/>
          <w:b/>
          <w:sz w:val="24"/>
        </w:rPr>
      </w:pPr>
      <w:r>
        <w:rPr>
          <w:rFonts w:hint="eastAsia"/>
          <w:b/>
          <w:sz w:val="24"/>
        </w:rPr>
        <w:br w:type="page"/>
      </w:r>
    </w:p>
    <w:p>
      <w:pPr>
        <w:adjustRightInd/>
        <w:snapToGrid/>
        <w:spacing w:before="280" w:after="290" w:line="377" w:lineRule="auto"/>
        <w:jc w:val="center"/>
        <w:rPr>
          <w:rFonts w:hint="eastAsia"/>
          <w:b/>
          <w:sz w:val="24"/>
        </w:rPr>
      </w:pPr>
      <w:r>
        <w:rPr>
          <w:rFonts w:hint="eastAsia"/>
          <w:b/>
          <w:sz w:val="24"/>
        </w:rPr>
        <w:t>密封袋封条格式</w:t>
      </w:r>
      <w:bookmarkEnd w:id="87"/>
      <w:bookmarkEnd w:id="88"/>
      <w:bookmarkEnd w:id="89"/>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深圳海关动植物检验检疫技术中心“全自动高通量核酸质谱检测系统”设备采购项目</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sz w:val="52"/>
          <w:szCs w:val="52"/>
        </w:rPr>
      </w:pPr>
      <w:r>
        <w:rPr>
          <w:rFonts w:hint="eastAsia"/>
          <w:sz w:val="52"/>
          <w:szCs w:val="52"/>
        </w:rPr>
        <w:t>□开标信封</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708" w:leftChars="337" w:right="706" w:rightChars="336"/>
        <w:rPr>
          <w:rFonts w:hint="eastAsia"/>
          <w:sz w:val="28"/>
          <w:szCs w:val="28"/>
        </w:rPr>
      </w:pPr>
      <w:r>
        <w:rPr>
          <w:rFonts w:hint="eastAsia"/>
          <w:sz w:val="28"/>
          <w:szCs w:val="28"/>
        </w:rPr>
        <w:t>项目编号：</w:t>
      </w:r>
    </w:p>
    <w:p>
      <w:pPr>
        <w:tabs>
          <w:tab w:val="clear" w:pos="426"/>
        </w:tabs>
        <w:ind w:left="708" w:leftChars="337"/>
        <w:rPr>
          <w:rFonts w:hint="eastAsia"/>
          <w:sz w:val="28"/>
          <w:szCs w:val="28"/>
        </w:rPr>
      </w:pPr>
      <w:r>
        <w:rPr>
          <w:rFonts w:hint="eastAsia"/>
          <w:sz w:val="28"/>
          <w:szCs w:val="28"/>
        </w:rPr>
        <w:t>投标供应商名称（公章)：</w:t>
      </w:r>
    </w:p>
    <w:p>
      <w:pPr>
        <w:tabs>
          <w:tab w:val="clear" w:pos="426"/>
        </w:tabs>
        <w:ind w:left="708" w:leftChars="337"/>
        <w:rPr>
          <w:rFonts w:hint="eastAsia"/>
          <w:sz w:val="28"/>
          <w:szCs w:val="28"/>
        </w:rPr>
      </w:pPr>
      <w:r>
        <w:rPr>
          <w:rFonts w:hint="eastAsia"/>
          <w:sz w:val="28"/>
          <w:szCs w:val="28"/>
        </w:rPr>
        <w:t>投标供应商代表（签字或盖章）：</w:t>
      </w:r>
    </w:p>
    <w:p>
      <w:pPr>
        <w:tabs>
          <w:tab w:val="clear" w:pos="426"/>
        </w:tabs>
        <w:ind w:left="708" w:leftChars="337"/>
        <w:rPr>
          <w:rFonts w:hint="eastAsia"/>
          <w:sz w:val="28"/>
          <w:szCs w:val="28"/>
        </w:rPr>
      </w:pPr>
      <w:r>
        <w:rPr>
          <w:rFonts w:hint="eastAsia"/>
          <w:sz w:val="28"/>
          <w:szCs w:val="28"/>
        </w:rPr>
        <w:t>投标截止日期：_</w:t>
      </w:r>
      <w:r>
        <w:rPr>
          <w:sz w:val="28"/>
          <w:szCs w:val="28"/>
        </w:rPr>
        <w:t>___</w:t>
      </w:r>
      <w:r>
        <w:rPr>
          <w:rFonts w:hint="eastAsia"/>
          <w:sz w:val="28"/>
          <w:szCs w:val="28"/>
        </w:rPr>
        <w:t>______年____月____日____时____分（</w:t>
      </w:r>
      <w:r>
        <w:rPr>
          <w:sz w:val="28"/>
          <w:szCs w:val="28"/>
        </w:rPr>
        <w:t>前不得开封</w:t>
      </w:r>
      <w:r>
        <w:rPr>
          <w:rFonts w:hint="eastAsia"/>
          <w:sz w:val="28"/>
          <w:szCs w:val="28"/>
        </w:rPr>
        <w:t>）</w:t>
      </w:r>
    </w:p>
    <w:p>
      <w:pPr>
        <w:adjustRightInd/>
        <w:snapToGrid/>
        <w:spacing w:before="280" w:after="290" w:line="377" w:lineRule="auto"/>
        <w:jc w:val="center"/>
        <w:rPr>
          <w:rFonts w:hint="eastAsia"/>
          <w:b/>
          <w:sz w:val="24"/>
        </w:rPr>
      </w:pPr>
      <w:r>
        <w:br w:type="page"/>
      </w:r>
      <w:bookmarkStart w:id="92" w:name="_Toc528675179"/>
      <w:bookmarkStart w:id="93" w:name="_Toc518464367"/>
      <w:bookmarkStart w:id="94" w:name="_Toc528170807"/>
      <w:r>
        <w:rPr>
          <w:rFonts w:hint="eastAsia"/>
          <w:b/>
          <w:sz w:val="24"/>
        </w:rPr>
        <w:t>投标文件封面格式</w:t>
      </w:r>
      <w:bookmarkEnd w:id="92"/>
      <w:bookmarkEnd w:id="93"/>
      <w:bookmarkEnd w:id="94"/>
    </w:p>
    <w:p>
      <w:pPr>
        <w:tabs>
          <w:tab w:val="clear" w:pos="426"/>
        </w:tabs>
        <w:jc w:val="right"/>
        <w:rPr>
          <w:rFonts w:hint="eastAsia"/>
          <w:sz w:val="44"/>
          <w:szCs w:val="44"/>
          <w:u w:val="single"/>
        </w:rPr>
      </w:pPr>
      <w:r>
        <w:rPr>
          <w:rFonts w:hint="eastAsia"/>
          <w:sz w:val="44"/>
          <w:szCs w:val="44"/>
          <w:u w:val="single"/>
        </w:rPr>
        <w:t>正/副本</w:t>
      </w:r>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深圳海关动植物检验检疫技术中心“全自动高通量核酸质谱检测系统”设备采购项目</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rPr>
      </w:pPr>
    </w:p>
    <w:p>
      <w:pPr>
        <w:tabs>
          <w:tab w:val="clear" w:pos="426"/>
        </w:tabs>
        <w:jc w:val="center"/>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1275" w:leftChars="607"/>
        <w:rPr>
          <w:rFonts w:hint="eastAsia"/>
          <w:sz w:val="28"/>
          <w:szCs w:val="28"/>
        </w:rPr>
      </w:pPr>
      <w:r>
        <w:rPr>
          <w:rFonts w:hint="eastAsia"/>
          <w:sz w:val="28"/>
          <w:szCs w:val="28"/>
        </w:rPr>
        <w:t>项目编号：</w:t>
      </w:r>
    </w:p>
    <w:p>
      <w:pPr>
        <w:tabs>
          <w:tab w:val="clear" w:pos="426"/>
        </w:tabs>
        <w:ind w:left="1275" w:leftChars="607"/>
        <w:rPr>
          <w:rFonts w:hint="eastAsia"/>
          <w:sz w:val="28"/>
          <w:szCs w:val="28"/>
        </w:rPr>
      </w:pPr>
      <w:r>
        <w:rPr>
          <w:rFonts w:hint="eastAsia"/>
          <w:sz w:val="28"/>
          <w:szCs w:val="28"/>
        </w:rPr>
        <w:t>投标供应商名称（公章)：</w:t>
      </w:r>
    </w:p>
    <w:p>
      <w:pPr>
        <w:tabs>
          <w:tab w:val="clear" w:pos="426"/>
        </w:tabs>
        <w:ind w:left="1275" w:leftChars="607"/>
        <w:rPr>
          <w:rFonts w:hint="eastAsia"/>
          <w:sz w:val="28"/>
          <w:szCs w:val="28"/>
        </w:rPr>
      </w:pPr>
      <w:r>
        <w:rPr>
          <w:rFonts w:hint="eastAsia"/>
          <w:sz w:val="28"/>
          <w:szCs w:val="28"/>
        </w:rPr>
        <w:t>投标供应商代表（签字或盖章）：</w:t>
      </w:r>
    </w:p>
    <w:p>
      <w:pPr>
        <w:tabs>
          <w:tab w:val="clear" w:pos="426"/>
        </w:tabs>
        <w:ind w:left="1275" w:leftChars="607"/>
        <w:rPr>
          <w:rFonts w:hint="eastAsia"/>
          <w:sz w:val="28"/>
          <w:szCs w:val="28"/>
        </w:rPr>
      </w:pPr>
      <w:r>
        <w:rPr>
          <w:rFonts w:hint="eastAsia"/>
          <w:sz w:val="28"/>
          <w:szCs w:val="28"/>
        </w:rPr>
        <w:t>投标日期：_</w:t>
      </w:r>
      <w:r>
        <w:rPr>
          <w:sz w:val="28"/>
          <w:szCs w:val="28"/>
        </w:rPr>
        <w:t>___</w:t>
      </w:r>
      <w:r>
        <w:rPr>
          <w:rFonts w:hint="eastAsia"/>
          <w:sz w:val="28"/>
          <w:szCs w:val="28"/>
        </w:rPr>
        <w:t>______年____月____日</w:t>
      </w: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95" w:name="_Toc518464368"/>
      <w:bookmarkStart w:id="96" w:name="_Toc528675180"/>
      <w:bookmarkStart w:id="97" w:name="_Toc528170808"/>
      <w:r>
        <w:rPr>
          <w:rFonts w:hint="eastAsia"/>
          <w:b/>
          <w:sz w:val="24"/>
        </w:rPr>
        <w:t>投标文件目录（目录格式自定）</w:t>
      </w:r>
      <w:bookmarkEnd w:id="95"/>
      <w:bookmarkEnd w:id="96"/>
      <w:bookmarkEnd w:id="97"/>
    </w:p>
    <w:p>
      <w:pPr>
        <w:tabs>
          <w:tab w:val="clear" w:pos="426"/>
        </w:tabs>
        <w:rPr>
          <w:rFonts w:hint="eastAsia"/>
        </w:rPr>
      </w:pPr>
      <w:r>
        <w:rPr>
          <w:rFonts w:hint="eastAsia"/>
        </w:rPr>
        <w:t>按照招标文件的要求编制投标文件相应内容，请标明各部分内容的页码。</w:t>
      </w:r>
    </w:p>
    <w:p>
      <w:pPr>
        <w:tabs>
          <w:tab w:val="clear" w:pos="426"/>
        </w:tabs>
        <w:rPr>
          <w:rFonts w:hint="eastAsia"/>
        </w:rPr>
      </w:pP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98" w:name="_Toc528170809"/>
      <w:bookmarkStart w:id="99" w:name="_Toc528675181"/>
      <w:bookmarkStart w:id="100" w:name="_Toc518464369"/>
      <w:r>
        <w:rPr>
          <w:rFonts w:hint="eastAsia"/>
          <w:b/>
          <w:sz w:val="24"/>
        </w:rPr>
        <w:t>评标指引表</w:t>
      </w:r>
      <w:bookmarkEnd w:id="98"/>
      <w:bookmarkEnd w:id="99"/>
      <w:bookmarkEnd w:id="100"/>
    </w:p>
    <w:p>
      <w:pPr>
        <w:tabs>
          <w:tab w:val="clear" w:pos="426"/>
        </w:tabs>
        <w:jc w:val="center"/>
        <w:rPr>
          <w:rFonts w:hint="eastAsia"/>
          <w:b/>
        </w:rPr>
      </w:pPr>
      <w:r>
        <w:rPr>
          <w:rFonts w:hint="eastAsia"/>
          <w:b/>
        </w:rPr>
        <w:t>（置于投标文件的首页）</w:t>
      </w:r>
    </w:p>
    <w:p>
      <w:pPr>
        <w:tabs>
          <w:tab w:val="clear" w:pos="426"/>
        </w:tabs>
        <w:ind w:firstLine="420" w:firstLineChars="200"/>
        <w:rPr>
          <w:rFonts w:hint="eastAsia"/>
        </w:rPr>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项目编号：</w:t>
      </w:r>
    </w:p>
    <w:p>
      <w:pPr>
        <w:tabs>
          <w:tab w:val="clear" w:pos="426"/>
        </w:tabs>
        <w:jc w:val="center"/>
        <w:rPr>
          <w:rFonts w:hint="eastAsia"/>
          <w:b/>
        </w:rPr>
      </w:pPr>
      <w:r>
        <w:rPr>
          <w:rFonts w:hint="eastAsia"/>
          <w:b/>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rFonts w:hint="eastAsia"/>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rPr>
            </w:pPr>
            <w:r>
              <w:rPr>
                <w:rFonts w:hint="eastAsia"/>
                <w:b/>
              </w:rPr>
              <w:t>序号</w:t>
            </w:r>
          </w:p>
        </w:tc>
        <w:tc>
          <w:tcPr>
            <w:tcW w:w="4203" w:type="dxa"/>
            <w:gridSpan w:val="2"/>
            <w:vAlign w:val="center"/>
          </w:tcPr>
          <w:p>
            <w:pPr>
              <w:tabs>
                <w:tab w:val="clear" w:pos="426"/>
              </w:tabs>
              <w:adjustRightInd/>
              <w:snapToGrid/>
              <w:spacing w:line="240" w:lineRule="auto"/>
              <w:ind w:firstLine="422"/>
              <w:jc w:val="center"/>
              <w:rPr>
                <w:rFonts w:hint="eastAsia"/>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rFonts w:hint="eastAsia"/>
                <w:b/>
              </w:rPr>
            </w:pPr>
            <w:r>
              <w:rPr>
                <w:rFonts w:hint="eastAsia"/>
                <w:b/>
              </w:rPr>
              <w:t>证明文件</w:t>
            </w:r>
          </w:p>
        </w:tc>
        <w:tc>
          <w:tcPr>
            <w:tcW w:w="1397" w:type="dxa"/>
            <w:vAlign w:val="center"/>
          </w:tcPr>
          <w:p>
            <w:pPr>
              <w:tabs>
                <w:tab w:val="clear" w:pos="426"/>
              </w:tabs>
              <w:adjustRightInd/>
              <w:snapToGrid/>
              <w:spacing w:line="240" w:lineRule="auto"/>
              <w:jc w:val="center"/>
              <w:rPr>
                <w:rFonts w:hint="eastAsia"/>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rFonts w:hint="eastAsia"/>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rFonts w:hint="eastAsia"/>
                <w:b/>
                <w:kern w:val="2"/>
              </w:rPr>
            </w:pPr>
            <w:r>
              <w:rPr>
                <w:rFonts w:hint="eastAsia"/>
              </w:rPr>
              <w:t>申请人的资格要求</w:t>
            </w:r>
          </w:p>
        </w:tc>
        <w:tc>
          <w:tcPr>
            <w:tcW w:w="3105" w:type="dxa"/>
            <w:gridSpan w:val="3"/>
            <w:vAlign w:val="center"/>
          </w:tcPr>
          <w:p>
            <w:pPr>
              <w:tabs>
                <w:tab w:val="clear" w:pos="426"/>
              </w:tabs>
              <w:adjustRightInd/>
              <w:snapToGrid/>
              <w:spacing w:line="240" w:lineRule="auto"/>
              <w:jc w:val="center"/>
              <w:rPr>
                <w:rFonts w:hint="eastAsia"/>
                <w:kern w:val="2"/>
              </w:rPr>
            </w:pPr>
            <w:r>
              <w:rPr>
                <w:rFonts w:hint="eastAsia"/>
              </w:rPr>
              <w:t>营业执照</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r>
              <w:rPr>
                <w:rFonts w:hint="eastAsia"/>
              </w:rPr>
              <w:t>…</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rFonts w:hint="eastAsia"/>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rFonts w:hint="eastAsia"/>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w:t>
            </w:r>
          </w:p>
        </w:tc>
        <w:tc>
          <w:tcPr>
            <w:tcW w:w="5943" w:type="dxa"/>
            <w:gridSpan w:val="4"/>
            <w:vAlign w:val="center"/>
          </w:tcPr>
          <w:p>
            <w:pPr>
              <w:tabs>
                <w:tab w:val="clear" w:pos="426"/>
              </w:tabs>
              <w:adjustRightInd/>
              <w:snapToGrid/>
              <w:spacing w:line="240" w:lineRule="auto"/>
              <w:rPr>
                <w:rFonts w:hint="eastAsia"/>
              </w:rPr>
            </w:pPr>
            <w:r>
              <w:rPr>
                <w:rFonts w:hint="eastAsia"/>
              </w:rPr>
              <w:t>未出现将一个包或一个标段的内容拆开投标；</w:t>
            </w:r>
          </w:p>
        </w:tc>
        <w:tc>
          <w:tcPr>
            <w:tcW w:w="2762" w:type="dxa"/>
            <w:gridSpan w:val="2"/>
            <w:vAlign w:val="center"/>
          </w:tcPr>
          <w:p>
            <w:pPr>
              <w:tabs>
                <w:tab w:val="clear" w:pos="426"/>
              </w:tabs>
              <w:adjustRightInd/>
              <w:snapToGrid/>
              <w:spacing w:line="240" w:lineRule="auto"/>
              <w:jc w:val="center"/>
              <w:rPr>
                <w:rFonts w:hint="eastAsia"/>
                <w:kern w:val="2"/>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2</w:t>
            </w:r>
          </w:p>
        </w:tc>
        <w:tc>
          <w:tcPr>
            <w:tcW w:w="5943" w:type="dxa"/>
            <w:gridSpan w:val="4"/>
            <w:vAlign w:val="center"/>
          </w:tcPr>
          <w:p>
            <w:pPr>
              <w:tabs>
                <w:tab w:val="clear" w:pos="426"/>
              </w:tabs>
              <w:adjustRightInd/>
              <w:snapToGrid/>
              <w:spacing w:line="240" w:lineRule="auto"/>
              <w:rPr>
                <w:rFonts w:hint="eastAsia"/>
              </w:rPr>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3</w:t>
            </w:r>
          </w:p>
        </w:tc>
        <w:tc>
          <w:tcPr>
            <w:tcW w:w="5943" w:type="dxa"/>
            <w:gridSpan w:val="4"/>
            <w:vAlign w:val="center"/>
          </w:tcPr>
          <w:p>
            <w:pPr>
              <w:tabs>
                <w:tab w:val="clear" w:pos="426"/>
              </w:tabs>
              <w:adjustRightInd/>
              <w:snapToGrid/>
              <w:spacing w:line="240" w:lineRule="auto"/>
              <w:rPr>
                <w:rFonts w:hint="eastAsia"/>
              </w:rPr>
            </w:pPr>
            <w:r>
              <w:rPr>
                <w:rFonts w:hint="eastAsia"/>
              </w:rPr>
              <w:t>除招标文件规定允许有替代方案外，对同一项目投标时，未提供两套或两套以上的投标方案(招标文件另有规定的除外)；</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4</w:t>
            </w:r>
          </w:p>
        </w:tc>
        <w:tc>
          <w:tcPr>
            <w:tcW w:w="5943" w:type="dxa"/>
            <w:gridSpan w:val="4"/>
            <w:vAlign w:val="center"/>
          </w:tcPr>
          <w:p>
            <w:pPr>
              <w:tabs>
                <w:tab w:val="clear" w:pos="426"/>
              </w:tabs>
              <w:adjustRightInd/>
              <w:snapToGrid/>
              <w:spacing w:line="240" w:lineRule="auto"/>
              <w:rPr>
                <w:rFonts w:hint="eastAsia"/>
              </w:rPr>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5</w:t>
            </w:r>
          </w:p>
        </w:tc>
        <w:tc>
          <w:tcPr>
            <w:tcW w:w="5943" w:type="dxa"/>
            <w:gridSpan w:val="4"/>
            <w:vAlign w:val="center"/>
          </w:tcPr>
          <w:p>
            <w:pPr>
              <w:tabs>
                <w:tab w:val="clear" w:pos="426"/>
              </w:tabs>
              <w:adjustRightInd/>
              <w:snapToGrid/>
              <w:spacing w:line="240" w:lineRule="auto"/>
              <w:rPr>
                <w:rFonts w:hint="eastAsia"/>
              </w:rPr>
            </w:pPr>
            <w:r>
              <w:rPr>
                <w:rFonts w:hint="eastAsia"/>
              </w:rPr>
              <w:t>按招标文件所提供的样式填写</w:t>
            </w:r>
            <w:r>
              <w:t>《</w:t>
            </w:r>
            <w:r>
              <w:rPr>
                <w:rFonts w:hint="eastAsia"/>
              </w:rPr>
              <w:t>投标函》；按招标文件所提供的《投标人资格声明函》进行承诺；</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6</w:t>
            </w:r>
          </w:p>
        </w:tc>
        <w:tc>
          <w:tcPr>
            <w:tcW w:w="5943" w:type="dxa"/>
            <w:gridSpan w:val="4"/>
            <w:vAlign w:val="center"/>
          </w:tcPr>
          <w:p>
            <w:pPr>
              <w:tabs>
                <w:tab w:val="clear" w:pos="426"/>
              </w:tabs>
              <w:adjustRightInd/>
              <w:snapToGrid/>
              <w:spacing w:line="240" w:lineRule="auto"/>
              <w:rPr>
                <w:rFonts w:hint="eastAsia"/>
              </w:rPr>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7</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8</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9</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10</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投标文件载明的质保期未低于招标文件规定的期限；</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11</w:t>
            </w:r>
          </w:p>
        </w:tc>
        <w:tc>
          <w:tcPr>
            <w:tcW w:w="5943" w:type="dxa"/>
            <w:gridSpan w:val="4"/>
            <w:vAlign w:val="center"/>
          </w:tcPr>
          <w:p>
            <w:pPr>
              <w:tabs>
                <w:tab w:val="clear" w:pos="426"/>
              </w:tabs>
              <w:adjustRightInd/>
              <w:snapToGrid/>
              <w:spacing w:line="240" w:lineRule="auto"/>
              <w:rPr>
                <w:rFonts w:hint="eastAsia"/>
              </w:rPr>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12</w:t>
            </w:r>
          </w:p>
        </w:tc>
        <w:tc>
          <w:tcPr>
            <w:tcW w:w="5943" w:type="dxa"/>
            <w:gridSpan w:val="4"/>
            <w:vAlign w:val="center"/>
          </w:tcPr>
          <w:p>
            <w:pPr>
              <w:tabs>
                <w:tab w:val="clear" w:pos="426"/>
              </w:tabs>
              <w:adjustRightInd/>
              <w:snapToGrid/>
              <w:spacing w:line="240" w:lineRule="auto"/>
              <w:rPr>
                <w:rFonts w:hint="eastAsia"/>
              </w:rPr>
            </w:pPr>
            <w:r>
              <w:rPr>
                <w:rFonts w:hint="eastAsia"/>
              </w:rPr>
              <w:t>投标报价没有严重缺漏项目；投标报价没有对招标文件规定的货物清单项目及数量进行修改；采购标的响应齐全；</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3</w:t>
            </w:r>
          </w:p>
        </w:tc>
        <w:tc>
          <w:tcPr>
            <w:tcW w:w="5943" w:type="dxa"/>
            <w:gridSpan w:val="4"/>
            <w:vAlign w:val="center"/>
          </w:tcPr>
          <w:p>
            <w:pPr>
              <w:tabs>
                <w:tab w:val="clear" w:pos="426"/>
              </w:tabs>
              <w:adjustRightInd/>
              <w:snapToGrid/>
              <w:spacing w:line="240" w:lineRule="auto"/>
              <w:rPr>
                <w:rFonts w:hint="eastAsia"/>
              </w:rPr>
            </w:pPr>
            <w:r>
              <w:rPr>
                <w:rFonts w:hint="eastAsia"/>
              </w:rPr>
              <w:t>《技术规格偏离表》或《商务条款偏离表》未出现填写不全、不明或不实；</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4</w:t>
            </w:r>
          </w:p>
        </w:tc>
        <w:tc>
          <w:tcPr>
            <w:tcW w:w="5943" w:type="dxa"/>
            <w:gridSpan w:val="4"/>
            <w:vAlign w:val="center"/>
          </w:tcPr>
          <w:p>
            <w:pPr>
              <w:tabs>
                <w:tab w:val="clear" w:pos="426"/>
              </w:tabs>
              <w:adjustRightInd/>
              <w:snapToGrid/>
              <w:spacing w:line="240" w:lineRule="auto"/>
              <w:rPr>
                <w:rFonts w:hint="eastAsia"/>
              </w:rPr>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15</w:t>
            </w:r>
          </w:p>
        </w:tc>
        <w:tc>
          <w:tcPr>
            <w:tcW w:w="5943" w:type="dxa"/>
            <w:gridSpan w:val="4"/>
            <w:vAlign w:val="center"/>
          </w:tcPr>
          <w:p>
            <w:pPr>
              <w:tabs>
                <w:tab w:val="clear" w:pos="426"/>
              </w:tabs>
              <w:adjustRightInd/>
              <w:snapToGrid/>
              <w:spacing w:line="240" w:lineRule="auto"/>
              <w:rPr>
                <w:rFonts w:ascii="Times New Roman" w:hAnsi="Times New Roman" w:cs="Times New Roman"/>
                <w:szCs w:val="21"/>
              </w:rPr>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rFonts w:hint="eastAsia"/>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rFonts w:hint="eastAsia"/>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rFonts w:hint="eastAsia"/>
                <w:b/>
                <w:kern w:val="2"/>
              </w:rPr>
            </w:pPr>
            <w:r>
              <w:rPr>
                <w:rFonts w:hint="eastAsia"/>
                <w:b/>
              </w:rPr>
              <w:t>对应章节</w:t>
            </w:r>
          </w:p>
        </w:tc>
        <w:tc>
          <w:tcPr>
            <w:tcW w:w="1397" w:type="dxa"/>
            <w:vAlign w:val="center"/>
          </w:tcPr>
          <w:p>
            <w:pPr>
              <w:tabs>
                <w:tab w:val="clear" w:pos="426"/>
              </w:tabs>
              <w:adjustRightInd/>
              <w:snapToGrid/>
              <w:spacing w:line="240" w:lineRule="auto"/>
              <w:jc w:val="center"/>
              <w:rPr>
                <w:rFonts w:hint="eastAsia"/>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bl>
    <w:p>
      <w:pPr>
        <w:tabs>
          <w:tab w:val="clear" w:pos="426"/>
        </w:tabs>
        <w:rPr>
          <w:rFonts w:hint="eastAsia"/>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adjustRightInd/>
        <w:snapToGrid/>
        <w:spacing w:before="280" w:after="290" w:line="377" w:lineRule="auto"/>
        <w:outlineLvl w:val="2"/>
        <w:rPr>
          <w:rFonts w:hint="eastAsia"/>
          <w:b/>
          <w:sz w:val="24"/>
        </w:rPr>
      </w:pPr>
      <w:bookmarkStart w:id="101" w:name="_Toc150960251"/>
      <w:bookmarkStart w:id="102" w:name="_Toc151386161"/>
      <w:bookmarkStart w:id="103" w:name="_Toc32283"/>
      <w:bookmarkStart w:id="104" w:name="_Toc50703730"/>
      <w:bookmarkStart w:id="105" w:name="_Toc43264525"/>
      <w:bookmarkStart w:id="106" w:name="_Toc43264518"/>
      <w:bookmarkStart w:id="107" w:name="_Toc50691037"/>
      <w:r>
        <w:rPr>
          <w:rFonts w:hint="eastAsia"/>
          <w:b/>
          <w:sz w:val="24"/>
        </w:rPr>
        <w:t>格式1：投标函</w:t>
      </w:r>
      <w:bookmarkEnd w:id="101"/>
      <w:bookmarkEnd w:id="102"/>
      <w:bookmarkEnd w:id="103"/>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08" w:name="_Toc201743120"/>
      <w:bookmarkStart w:id="109" w:name="_Toc201719122"/>
      <w:bookmarkStart w:id="110" w:name="_Toc201742865"/>
      <w:bookmarkStart w:id="111" w:name="_Toc201997950"/>
      <w:r>
        <w:rPr>
          <w:rFonts w:hint="eastAsia" w:cs="Times New Roman"/>
          <w:bCs/>
          <w:kern w:val="2"/>
          <w:sz w:val="32"/>
          <w:szCs w:val="32"/>
        </w:rPr>
        <w:t>投标函</w:t>
      </w:r>
      <w:bookmarkEnd w:id="108"/>
      <w:bookmarkEnd w:id="109"/>
      <w:bookmarkEnd w:id="110"/>
      <w:bookmarkEnd w:id="111"/>
    </w:p>
    <w:p>
      <w:pPr>
        <w:tabs>
          <w:tab w:val="clear" w:pos="426"/>
        </w:tabs>
        <w:spacing w:line="300" w:lineRule="auto"/>
        <w:rPr>
          <w:rFonts w:hint="eastAsia"/>
          <w:szCs w:val="21"/>
        </w:rPr>
      </w:pPr>
    </w:p>
    <w:p>
      <w:pPr>
        <w:tabs>
          <w:tab w:val="clear" w:pos="426"/>
        </w:tabs>
        <w:spacing w:line="300" w:lineRule="auto"/>
        <w:rPr>
          <w:rFonts w:hint="eastAsia"/>
          <w:szCs w:val="21"/>
        </w:rPr>
      </w:pPr>
      <w:r>
        <w:rPr>
          <w:rFonts w:hint="eastAsia"/>
          <w:szCs w:val="21"/>
        </w:rPr>
        <w:t>致：</w:t>
      </w:r>
      <w:r>
        <w:rPr>
          <w:rFonts w:hint="eastAsia"/>
          <w:szCs w:val="21"/>
          <w:u w:val="single"/>
        </w:rPr>
        <w:t>深圳市深水水务咨询有限公司</w:t>
      </w:r>
    </w:p>
    <w:p>
      <w:pPr>
        <w:spacing w:after="231" w:afterLines="50"/>
        <w:ind w:firstLine="420" w:firstLineChars="200"/>
        <w:rPr>
          <w:rFonts w:hint="eastAsia"/>
          <w:szCs w:val="21"/>
        </w:rPr>
      </w:pPr>
      <w:r>
        <w:rPr>
          <w:rFonts w:hint="eastAsia"/>
          <w:szCs w:val="21"/>
        </w:rPr>
        <w:t>1.根据已收到贵方的项目编号为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pPr>
        <w:spacing w:after="231" w:afterLines="50"/>
        <w:ind w:firstLine="420" w:firstLineChars="200"/>
        <w:rPr>
          <w:rFonts w:hAnsi="Times New Roman"/>
          <w:szCs w:val="21"/>
        </w:rPr>
      </w:pPr>
      <w:r>
        <w:rPr>
          <w:rFonts w:hAnsi="Times New Roman"/>
          <w:szCs w:val="21"/>
        </w:rPr>
        <w:t>2.</w:t>
      </w:r>
      <w:r>
        <w:rPr>
          <w:rFonts w:hint="eastAsia" w:hAnsi="Times New Roman"/>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rFonts w:hAnsi="Times New Roman"/>
          <w:szCs w:val="21"/>
        </w:rPr>
      </w:pPr>
      <w:r>
        <w:rPr>
          <w:rFonts w:hAnsi="Times New Roman"/>
          <w:szCs w:val="21"/>
        </w:rPr>
        <w:t>3.</w:t>
      </w:r>
      <w:r>
        <w:rPr>
          <w:rFonts w:hint="eastAsia" w:hAnsi="Times New Roman"/>
          <w:szCs w:val="21"/>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rFonts w:hAnsi="Times New Roman"/>
          <w:szCs w:val="21"/>
        </w:rPr>
      </w:pPr>
      <w:r>
        <w:rPr>
          <w:rFonts w:hAnsi="Times New Roman"/>
          <w:szCs w:val="21"/>
        </w:rPr>
        <w:t>4.</w:t>
      </w:r>
      <w:r>
        <w:rPr>
          <w:rFonts w:hint="eastAsia" w:hAnsi="Times New Roman"/>
          <w:szCs w:val="21"/>
        </w:rPr>
        <w:t>除非另外达成协议并生效，贵方的中标通知书和本投标文件将构成约束我们双方的合同。</w:t>
      </w:r>
    </w:p>
    <w:p>
      <w:pPr>
        <w:spacing w:after="231" w:afterLines="50"/>
        <w:ind w:firstLine="420" w:firstLineChars="200"/>
        <w:rPr>
          <w:rFonts w:hAnsi="Times New Roman"/>
          <w:szCs w:val="21"/>
        </w:rPr>
      </w:pPr>
      <w:r>
        <w:rPr>
          <w:rFonts w:hAnsi="Times New Roman"/>
          <w:szCs w:val="21"/>
        </w:rPr>
        <w:t>5.</w:t>
      </w:r>
      <w:r>
        <w:rPr>
          <w:rFonts w:hint="eastAsia" w:hAnsi="Times New Roman"/>
          <w:szCs w:val="21"/>
        </w:rPr>
        <w:t>我方理解贵方将不受必须接受你们所收到的最低标价或其它任何投标文件的约束。</w:t>
      </w: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pPr>
        <w:tabs>
          <w:tab w:val="clear" w:pos="426"/>
        </w:tabs>
        <w:spacing w:line="300" w:lineRule="auto"/>
        <w:ind w:left="424" w:leftChars="202"/>
        <w:rPr>
          <w:rFonts w:hint="eastAsia"/>
          <w:szCs w:val="21"/>
          <w:u w:val="single"/>
        </w:rPr>
      </w:pPr>
      <w:r>
        <w:rPr>
          <w:rFonts w:hint="eastAsia"/>
          <w:szCs w:val="21"/>
        </w:rPr>
        <w:t>投标人名称（公章）：</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 xml:space="preserve">投标人代表（签字或盖章)： </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日期：</w:t>
      </w:r>
      <w:r>
        <w:rPr>
          <w:rFonts w:hint="eastAsia"/>
          <w:szCs w:val="21"/>
          <w:u w:val="single"/>
        </w:rPr>
        <w:t>___________________________________________________________</w:t>
      </w:r>
    </w:p>
    <w:p>
      <w:pPr>
        <w:tabs>
          <w:tab w:val="clear" w:pos="426"/>
        </w:tabs>
        <w:spacing w:line="300" w:lineRule="auto"/>
        <w:rPr>
          <w:rFonts w:hint="eastAsia"/>
        </w:rPr>
      </w:pPr>
    </w:p>
    <w:p>
      <w:pPr>
        <w:tabs>
          <w:tab w:val="clear" w:pos="426"/>
        </w:tabs>
        <w:rPr>
          <w:rFonts w:hint="eastAsia"/>
        </w:rPr>
      </w:pPr>
      <w:r>
        <w:br w:type="page"/>
      </w:r>
      <w:bookmarkStart w:id="112" w:name="_Toc151386163"/>
      <w:bookmarkStart w:id="113" w:name="_Toc150960253"/>
      <w:bookmarkStart w:id="114" w:name="_Toc275865607"/>
      <w:bookmarkStart w:id="115" w:name="_Toc50737329"/>
      <w:bookmarkStart w:id="116" w:name="_Toc480754205"/>
      <w:bookmarkStart w:id="117" w:name="_Toc50737297"/>
      <w:bookmarkStart w:id="118" w:name="_Toc50736477"/>
      <w:bookmarkStart w:id="119" w:name="_Toc52165081"/>
      <w:bookmarkStart w:id="120" w:name="_Toc52165080"/>
      <w:bookmarkStart w:id="121" w:name="_Toc50736476"/>
      <w:bookmarkStart w:id="122" w:name="_Toc50691034"/>
      <w:bookmarkStart w:id="123" w:name="_Toc50737328"/>
      <w:bookmarkStart w:id="124" w:name="_Toc50737296"/>
    </w:p>
    <w:p>
      <w:pPr>
        <w:adjustRightInd/>
        <w:snapToGrid/>
        <w:spacing w:before="280" w:after="290" w:line="377" w:lineRule="auto"/>
        <w:outlineLvl w:val="2"/>
        <w:rPr>
          <w:rFonts w:hint="eastAsia"/>
          <w:b/>
          <w:sz w:val="24"/>
        </w:rPr>
      </w:pPr>
      <w:bookmarkStart w:id="125" w:name="_Toc9501"/>
      <w:r>
        <w:rPr>
          <w:rFonts w:hint="eastAsia"/>
          <w:b/>
          <w:sz w:val="24"/>
        </w:rPr>
        <w:t>格式2：</w:t>
      </w:r>
      <w:bookmarkEnd w:id="112"/>
      <w:bookmarkEnd w:id="113"/>
      <w:r>
        <w:rPr>
          <w:rFonts w:hint="eastAsia"/>
          <w:b/>
          <w:sz w:val="24"/>
        </w:rPr>
        <w:t>法定代表人（单位负责人）证明书</w:t>
      </w:r>
      <w:bookmarkEnd w:id="125"/>
    </w:p>
    <w:bookmarkEnd w:id="114"/>
    <w:bookmarkEnd w:id="115"/>
    <w:bookmarkEnd w:id="116"/>
    <w:bookmarkEnd w:id="117"/>
    <w:bookmarkEnd w:id="118"/>
    <w:bookmarkEnd w:id="119"/>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法定代表人（单位负责人）证明书</w:t>
      </w:r>
    </w:p>
    <w:p>
      <w:pPr>
        <w:tabs>
          <w:tab w:val="clear" w:pos="426"/>
        </w:tabs>
        <w:spacing w:line="480" w:lineRule="auto"/>
        <w:ind w:firstLine="424" w:firstLineChars="202"/>
        <w:rPr>
          <w:rFonts w:hint="eastAsia"/>
          <w:u w:val="single"/>
        </w:rPr>
      </w:pPr>
    </w:p>
    <w:p>
      <w:pPr>
        <w:tabs>
          <w:tab w:val="clear" w:pos="426"/>
        </w:tabs>
        <w:spacing w:line="480" w:lineRule="auto"/>
        <w:ind w:firstLine="424" w:firstLineChars="202"/>
        <w:rPr>
          <w:rFonts w:hint="eastAsia"/>
        </w:rPr>
      </w:pPr>
      <w:r>
        <w:rPr>
          <w:rFonts w:hint="eastAsia"/>
          <w:u w:val="single"/>
        </w:rPr>
        <w:t>__________</w:t>
      </w:r>
      <w:r>
        <w:rPr>
          <w:rFonts w:hint="eastAsia"/>
        </w:rPr>
        <w:t>同志，现任我单位</w:t>
      </w:r>
      <w:r>
        <w:rPr>
          <w:u w:val="single"/>
        </w:rPr>
        <w:t>_________</w:t>
      </w:r>
      <w:r>
        <w:rPr>
          <w:rFonts w:hint="eastAsia"/>
        </w:rPr>
        <w:t>职务，为法定代表人（单位负责人），特此证明。</w:t>
      </w:r>
    </w:p>
    <w:p>
      <w:pPr>
        <w:tabs>
          <w:tab w:val="clear" w:pos="426"/>
        </w:tabs>
        <w:spacing w:line="480" w:lineRule="auto"/>
        <w:ind w:firstLine="424" w:firstLineChars="202"/>
        <w:rPr>
          <w:rFonts w:hint="eastAsia"/>
        </w:rPr>
      </w:pPr>
      <w:r>
        <w:rPr>
          <w:rFonts w:hint="eastAsia"/>
        </w:rPr>
        <w:t>本证明书自签发之日起生效，有效期与本公司投标文件中标注的投标有效期相同。</w:t>
      </w:r>
    </w:p>
    <w:p>
      <w:pPr>
        <w:tabs>
          <w:tab w:val="clear" w:pos="426"/>
        </w:tabs>
        <w:spacing w:line="480" w:lineRule="auto"/>
        <w:ind w:firstLine="424" w:firstLineChars="202"/>
        <w:rPr>
          <w:rFonts w:hint="eastAsia"/>
        </w:rPr>
      </w:pPr>
      <w:r>
        <w:rPr>
          <w:rFonts w:hint="eastAsia"/>
        </w:rPr>
        <w:t>附：</w:t>
      </w:r>
    </w:p>
    <w:p>
      <w:pPr>
        <w:tabs>
          <w:tab w:val="clear" w:pos="426"/>
        </w:tabs>
        <w:spacing w:line="480" w:lineRule="auto"/>
        <w:ind w:firstLine="424" w:firstLineChars="202"/>
        <w:rPr>
          <w:rFonts w:hint="eastAsia"/>
        </w:rPr>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rFonts w:hint="eastAsia"/>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rFonts w:hint="eastAsia"/>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rFonts w:hint="eastAsia"/>
          <w:u w:val="single"/>
        </w:rPr>
      </w:pPr>
      <w:r>
        <w:rPr>
          <w:rFonts w:hint="eastAsia"/>
        </w:rPr>
        <w:t>兼营（产）：</w:t>
      </w:r>
      <w:r>
        <w:rPr>
          <w:rFonts w:hint="eastAsia"/>
          <w:u w:val="single"/>
        </w:rPr>
        <w:t>_______________________________________________________</w:t>
      </w:r>
    </w:p>
    <w:p>
      <w:pPr>
        <w:tabs>
          <w:tab w:val="clear" w:pos="426"/>
        </w:tabs>
        <w:ind w:firstLine="424" w:firstLineChars="202"/>
        <w:rPr>
          <w:rFonts w:hint="eastAsia"/>
        </w:rPr>
      </w:pPr>
    </w:p>
    <w:p>
      <w:pPr>
        <w:tabs>
          <w:tab w:val="clear" w:pos="426"/>
        </w:tabs>
        <w:ind w:firstLine="424" w:firstLineChars="202"/>
        <w:rPr>
          <w:rFonts w:hint="eastAsia"/>
          <w:szCs w:val="21"/>
        </w:rPr>
      </w:pPr>
      <w:r>
        <w:rPr>
          <w:rFonts w:hint="eastAsia"/>
          <w:szCs w:val="21"/>
        </w:rPr>
        <w:t>附：法定代表人（单位负责人）身份证正反面复印件：</w:t>
      </w: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spacing w:line="500" w:lineRule="exact"/>
        <w:ind w:left="3826" w:leftChars="1822"/>
        <w:rPr>
          <w:rFonts w:hint="eastAsia"/>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left="3826" w:leftChars="1822"/>
        <w:rPr>
          <w:rFonts w:hint="eastAsia"/>
          <w:u w:val="single"/>
        </w:rPr>
      </w:pPr>
      <w:r>
        <w:rPr>
          <w:rFonts w:hint="eastAsia"/>
        </w:rPr>
        <w:t>地址：</w:t>
      </w:r>
      <w:r>
        <w:rPr>
          <w:rFonts w:hint="eastAsia"/>
          <w:u w:val="single"/>
        </w:rPr>
        <w:t>___________________________________________</w:t>
      </w:r>
    </w:p>
    <w:p>
      <w:pPr>
        <w:tabs>
          <w:tab w:val="clear" w:pos="426"/>
        </w:tabs>
        <w:spacing w:line="500" w:lineRule="exact"/>
        <w:ind w:left="3826" w:leftChars="1822"/>
        <w:rPr>
          <w:rFonts w:hint="eastAsia"/>
          <w:u w:val="single"/>
        </w:rPr>
      </w:pPr>
      <w:r>
        <w:rPr>
          <w:rFonts w:hint="eastAsia"/>
        </w:rPr>
        <w:t>签发日期：</w:t>
      </w:r>
      <w:r>
        <w:rPr>
          <w:rFonts w:hint="eastAsia"/>
          <w:u w:val="single"/>
        </w:rPr>
        <w:t>_______________________________________</w:t>
      </w:r>
    </w:p>
    <w:p>
      <w:pPr>
        <w:tabs>
          <w:tab w:val="clear" w:pos="426"/>
        </w:tabs>
        <w:spacing w:line="500" w:lineRule="exact"/>
        <w:ind w:left="3826" w:leftChars="1822"/>
        <w:rPr>
          <w:rFonts w:hint="eastAsia"/>
          <w:b/>
          <w:bCs/>
          <w:u w:val="single"/>
        </w:rPr>
      </w:pPr>
    </w:p>
    <w:bookmarkEnd w:id="120"/>
    <w:bookmarkEnd w:id="121"/>
    <w:bookmarkEnd w:id="122"/>
    <w:bookmarkEnd w:id="123"/>
    <w:bookmarkEnd w:id="124"/>
    <w:p>
      <w:pPr>
        <w:tabs>
          <w:tab w:val="clear" w:pos="426"/>
        </w:tabs>
        <w:spacing w:line="300" w:lineRule="auto"/>
        <w:jc w:val="center"/>
        <w:rPr>
          <w:rFonts w:hint="eastAsia"/>
        </w:rPr>
      </w:pPr>
      <w:r>
        <w:br w:type="page"/>
      </w:r>
    </w:p>
    <w:p>
      <w:pPr>
        <w:adjustRightInd/>
        <w:snapToGrid/>
        <w:spacing w:before="280" w:after="290" w:line="377" w:lineRule="auto"/>
        <w:outlineLvl w:val="2"/>
        <w:rPr>
          <w:rFonts w:hint="eastAsia"/>
          <w:b/>
          <w:sz w:val="24"/>
        </w:rPr>
      </w:pPr>
      <w:bookmarkStart w:id="126" w:name="_Toc16372"/>
      <w:r>
        <w:rPr>
          <w:rFonts w:hint="eastAsia"/>
          <w:b/>
          <w:sz w:val="24"/>
        </w:rPr>
        <w:t>格式3：授权委托书</w:t>
      </w:r>
      <w:bookmarkEnd w:id="126"/>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授权委托书</w:t>
      </w:r>
    </w:p>
    <w:p>
      <w:pPr>
        <w:tabs>
          <w:tab w:val="clear" w:pos="426"/>
        </w:tabs>
        <w:ind w:firstLine="420" w:firstLineChars="200"/>
        <w:rPr>
          <w:rFonts w:hAnsi="Courier New" w:cs="Times New Roman"/>
          <w:kern w:val="2"/>
          <w:szCs w:val="20"/>
        </w:rPr>
      </w:pPr>
    </w:p>
    <w:p>
      <w:pPr>
        <w:tabs>
          <w:tab w:val="clear" w:pos="426"/>
        </w:tabs>
        <w:ind w:firstLine="420" w:firstLineChars="200"/>
        <w:rPr>
          <w:rFonts w:hAnsi="Courier New" w:cs="Times New Roman"/>
          <w:kern w:val="2"/>
          <w:szCs w:val="20"/>
        </w:rPr>
      </w:pPr>
      <w:r>
        <w:rPr>
          <w:rFonts w:hint="eastAsia" w:hAnsi="Courier New" w:cs="Times New Roman"/>
          <w:kern w:val="2"/>
          <w:szCs w:val="20"/>
        </w:rPr>
        <w:t>本授权委托书声明：注册于</w:t>
      </w:r>
      <w:r>
        <w:rPr>
          <w:rFonts w:hint="eastAsia" w:hAnsi="Courier New" w:cs="Times New Roman"/>
          <w:kern w:val="2"/>
          <w:szCs w:val="20"/>
          <w:u w:val="single"/>
        </w:rPr>
        <w:t>（投标人地址）</w:t>
      </w:r>
      <w:r>
        <w:rPr>
          <w:rFonts w:hint="eastAsia" w:hAnsi="Courier New" w:cs="Times New Roman"/>
          <w:kern w:val="2"/>
          <w:szCs w:val="20"/>
        </w:rPr>
        <w:t>的</w:t>
      </w:r>
      <w:r>
        <w:rPr>
          <w:rFonts w:hint="eastAsia" w:hAnsi="Courier New" w:cs="Times New Roman"/>
          <w:kern w:val="2"/>
          <w:szCs w:val="20"/>
          <w:u w:val="single"/>
        </w:rPr>
        <w:t>（投标人名称）</w:t>
      </w:r>
      <w:r>
        <w:rPr>
          <w:rFonts w:hint="eastAsia" w:hAnsi="Courier New" w:cs="Times New Roman"/>
          <w:kern w:val="2"/>
          <w:szCs w:val="20"/>
        </w:rPr>
        <w:t>在下面签名的</w:t>
      </w:r>
      <w:r>
        <w:rPr>
          <w:rFonts w:hint="eastAsia" w:hAnsi="Courier New" w:cs="Times New Roman"/>
          <w:kern w:val="2"/>
          <w:szCs w:val="20"/>
          <w:u w:val="single"/>
        </w:rPr>
        <w:t>（法定代表人（单位负责人）姓名、职务）</w:t>
      </w:r>
      <w:r>
        <w:rPr>
          <w:rFonts w:hint="eastAsia" w:hAnsi="Courier New" w:cs="Times New Roman"/>
          <w:kern w:val="2"/>
          <w:szCs w:val="20"/>
        </w:rPr>
        <w:t>在此授权</w:t>
      </w:r>
      <w:r>
        <w:rPr>
          <w:rFonts w:hint="eastAsia" w:hAnsi="Courier New" w:cs="Times New Roman"/>
          <w:kern w:val="2"/>
          <w:szCs w:val="20"/>
          <w:u w:val="single"/>
        </w:rPr>
        <w:t>（被授权人姓名、职务）</w:t>
      </w:r>
      <w:r>
        <w:rPr>
          <w:rFonts w:hint="eastAsia" w:hAnsi="Courier New" w:cs="Times New Roman"/>
          <w:kern w:val="2"/>
          <w:szCs w:val="20"/>
        </w:rPr>
        <w:t>作为我公司的合法代理人，就</w:t>
      </w:r>
      <w:r>
        <w:rPr>
          <w:rFonts w:hint="eastAsia" w:hAnsi="Courier New" w:cs="Times New Roman"/>
          <w:kern w:val="2"/>
          <w:szCs w:val="20"/>
          <w:u w:val="single"/>
        </w:rPr>
        <w:t>（项目名称、项目编号</w:t>
      </w:r>
      <w:r>
        <w:rPr>
          <w:rFonts w:hint="eastAsia" w:hAnsi="Courier New" w:cs="Times New Roman"/>
          <w:kern w:val="2"/>
          <w:szCs w:val="20"/>
        </w:rPr>
        <w:t>）的招投标活动，采购合同的签订、执行、完成和售后服务，作为投标人代表以我方的名义处理一切与之有关的事务。</w:t>
      </w:r>
    </w:p>
    <w:p>
      <w:pPr>
        <w:tabs>
          <w:tab w:val="clear" w:pos="426"/>
        </w:tabs>
        <w:ind w:firstLine="420" w:firstLineChars="200"/>
        <w:rPr>
          <w:rFonts w:hAnsi="Courier New" w:cs="Times New Roman"/>
          <w:kern w:val="2"/>
          <w:szCs w:val="20"/>
        </w:rPr>
      </w:pPr>
      <w:r>
        <w:rPr>
          <w:rFonts w:hint="eastAsia" w:hAnsi="Courier New" w:cs="Times New Roman"/>
          <w:kern w:val="2"/>
          <w:szCs w:val="20"/>
        </w:rPr>
        <w:t>被授权人（投标人授权代表）无转委托权限。</w:t>
      </w:r>
    </w:p>
    <w:p>
      <w:pPr>
        <w:tabs>
          <w:tab w:val="clear" w:pos="426"/>
        </w:tabs>
        <w:ind w:firstLine="420" w:firstLineChars="200"/>
        <w:rPr>
          <w:rFonts w:hint="eastAsia"/>
          <w:szCs w:val="21"/>
        </w:rPr>
      </w:pPr>
      <w:r>
        <w:rPr>
          <w:rFonts w:hint="eastAsia"/>
          <w:szCs w:val="21"/>
        </w:rPr>
        <w:t>本授权书自法定代表人（单位负责人）签字之日起生效，特此声明。</w:t>
      </w: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4" w:firstLineChars="202"/>
        <w:rPr>
          <w:rFonts w:hint="eastAsia"/>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pPr>
        <w:tabs>
          <w:tab w:val="clear" w:pos="426"/>
        </w:tabs>
        <w:ind w:firstLine="424" w:firstLineChars="202"/>
        <w:rPr>
          <w:rFonts w:hint="eastAsia"/>
          <w:szCs w:val="21"/>
          <w:u w:val="single"/>
        </w:rPr>
      </w:pPr>
      <w:r>
        <w:rPr>
          <w:rFonts w:hint="eastAsia"/>
          <w:szCs w:val="21"/>
        </w:rPr>
        <w:t>地      址：</w:t>
      </w:r>
      <w:r>
        <w:rPr>
          <w:rFonts w:hint="eastAsia"/>
          <w:szCs w:val="21"/>
          <w:u w:val="single"/>
        </w:rPr>
        <w:t>___________________________________________________________________</w:t>
      </w:r>
    </w:p>
    <w:p>
      <w:pPr>
        <w:tabs>
          <w:tab w:val="clear" w:pos="426"/>
        </w:tabs>
        <w:ind w:firstLine="424" w:firstLineChars="202"/>
        <w:rPr>
          <w:rFonts w:hint="eastAsia"/>
          <w:szCs w:val="21"/>
        </w:rPr>
      </w:pPr>
      <w:r>
        <w:rPr>
          <w:rFonts w:hint="eastAsia"/>
          <w:szCs w:val="21"/>
        </w:rPr>
        <w:t>法定代表人（单位负责人）（签字或盖章）：</w:t>
      </w:r>
      <w:r>
        <w:rPr>
          <w:rFonts w:hint="eastAsia"/>
          <w:szCs w:val="21"/>
          <w:u w:val="single"/>
        </w:rPr>
        <w:t>______________________</w:t>
      </w:r>
      <w:r>
        <w:rPr>
          <w:rFonts w:hint="eastAsia"/>
          <w:szCs w:val="21"/>
        </w:rPr>
        <w:t xml:space="preserve"> </w:t>
      </w:r>
    </w:p>
    <w:p>
      <w:pPr>
        <w:tabs>
          <w:tab w:val="clear" w:pos="426"/>
        </w:tabs>
        <w:ind w:firstLine="424" w:firstLineChars="202"/>
        <w:rPr>
          <w:rFonts w:hint="eastAsia"/>
          <w:szCs w:val="21"/>
        </w:rPr>
      </w:pPr>
      <w:r>
        <w:rPr>
          <w:rFonts w:hint="eastAsia"/>
          <w:szCs w:val="21"/>
        </w:rPr>
        <w:t>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pPr>
        <w:tabs>
          <w:tab w:val="clear" w:pos="426"/>
        </w:tabs>
        <w:ind w:firstLine="424" w:firstLineChars="202"/>
        <w:rPr>
          <w:rFonts w:hint="eastAsia"/>
          <w:szCs w:val="21"/>
        </w:rPr>
      </w:pPr>
      <w:r>
        <w:rPr>
          <w:rFonts w:hint="eastAsia"/>
          <w:szCs w:val="21"/>
        </w:rPr>
        <w:t>被授权人（投标人授权代表）（签字或盖章）：</w:t>
      </w:r>
      <w:r>
        <w:rPr>
          <w:rFonts w:hint="eastAsia"/>
          <w:szCs w:val="21"/>
          <w:u w:val="single"/>
        </w:rPr>
        <w:t>____________________________________</w:t>
      </w:r>
    </w:p>
    <w:p>
      <w:pPr>
        <w:tabs>
          <w:tab w:val="clear" w:pos="426"/>
        </w:tabs>
        <w:ind w:firstLine="424" w:firstLineChars="202"/>
        <w:rPr>
          <w:rFonts w:hint="eastAsia"/>
          <w:szCs w:val="21"/>
        </w:rPr>
      </w:pPr>
    </w:p>
    <w:p>
      <w:pPr>
        <w:tabs>
          <w:tab w:val="clear" w:pos="426"/>
        </w:tabs>
        <w:ind w:firstLine="424" w:firstLineChars="202"/>
        <w:rPr>
          <w:rFonts w:hint="eastAsia"/>
          <w:szCs w:val="21"/>
        </w:rPr>
      </w:pPr>
      <w:r>
        <w:rPr>
          <w:rFonts w:hint="eastAsia"/>
          <w:szCs w:val="21"/>
        </w:rPr>
        <w:t>附：被授权人身份证复印正反面件：</w:t>
      </w:r>
    </w:p>
    <w:p>
      <w:pPr>
        <w:tabs>
          <w:tab w:val="clear" w:pos="426"/>
        </w:tabs>
        <w:ind w:firstLine="424" w:firstLineChars="202"/>
        <w:rPr>
          <w:rFonts w:hint="eastAsia"/>
          <w:szCs w:val="21"/>
        </w:rPr>
      </w:pPr>
    </w:p>
    <w:p>
      <w:pPr>
        <w:rPr>
          <w:rFonts w:hint="eastAsia"/>
        </w:rPr>
      </w:pPr>
    </w:p>
    <w:p>
      <w:pPr>
        <w:adjustRightInd/>
        <w:snapToGrid/>
        <w:spacing w:before="280" w:after="290" w:line="377" w:lineRule="auto"/>
        <w:outlineLvl w:val="2"/>
        <w:rPr>
          <w:rFonts w:hint="eastAsia"/>
          <w:b/>
          <w:sz w:val="24"/>
        </w:rPr>
      </w:pPr>
      <w:r>
        <w:br w:type="page"/>
      </w:r>
      <w:bookmarkStart w:id="127" w:name="_Toc12237"/>
      <w:r>
        <w:rPr>
          <w:rFonts w:hint="eastAsia"/>
          <w:b/>
          <w:sz w:val="24"/>
        </w:rPr>
        <w:t>格式4：资格条款偏离表</w:t>
      </w:r>
      <w:bookmarkEnd w:id="127"/>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资格条款偏离表</w:t>
      </w:r>
    </w:p>
    <w:p>
      <w:pPr>
        <w:tabs>
          <w:tab w:val="clear" w:pos="426"/>
        </w:tabs>
        <w:rPr>
          <w:rFonts w:ascii="Times New Roman" w:hAnsi="Times New Roman" w:cs="Times New Roman"/>
        </w:rPr>
      </w:pPr>
    </w:p>
    <w:p>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Style w:val="8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603"/>
        <w:gridCol w:w="2218"/>
        <w:gridCol w:w="94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48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资格条款</w:t>
            </w:r>
          </w:p>
        </w:tc>
        <w:tc>
          <w:tcPr>
            <w:tcW w:w="148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响应</w:t>
            </w:r>
            <w:r>
              <w:rPr>
                <w:rFonts w:hint="eastAsia" w:ascii="Times New Roman" w:hAnsi="Times New Roman" w:cs="Times New Roman"/>
                <w:bCs/>
              </w:rPr>
              <w:t>情况</w:t>
            </w:r>
          </w:p>
        </w:tc>
        <w:tc>
          <w:tcPr>
            <w:tcW w:w="7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12"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满足《中华人民共和国政府采购法》第二十二条规定（由供应商在《投标人资格声明函》中作出声明）。</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 xml:space="preserve">本项目不属于专门面向中小企业采购的项目。 </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4</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本项目不接受投标人选用进口产品参与投标。（进口产品是指通过中国海关报关验收进入中国境内且产自境外的产品）。</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5</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根据财库〔2016〕125号文的有关规定，投标人需未被列入失信被执行人、重大税收违法案件当事人名单、政府采购严重违法失信行为记录名单（提供书面《投标人资格声明函》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6</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投标人参与本项目投标前三年内，在经营活动中没有重大违法记录（提供《投标人资格声明函》，并加盖投标人公章）。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7</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投标人参与本项目投标近三年内，在经营活动中没有发生重大安全和质量事故（提供《投标人资格声明函》，并加盖投标人公章）。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8</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投标人参与本项目政府采购活动时不存在被有关部门禁止参与政府采购活动且在有效期内的情况（提供《投标人资格声明函》，并加盖投标人公章）。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9</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10</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参与本项目政府采购活动不存在与其他采购参加人串通投标，隐瞒真实情况，提供虚假资料等违法违规情形（提供《投标人资格声明函》，并加盖投标人公章）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本项目不接受联合体形式进行投标，不允许转包及分包。</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资格条款</w:t>
      </w:r>
      <w:r>
        <w:rPr>
          <w:rFonts w:ascii="Times New Roman" w:hAnsi="Times New Roman" w:cs="Times New Roman"/>
          <w:bCs/>
        </w:rPr>
        <w:t>”一栏应填写招标文件</w:t>
      </w:r>
      <w:r>
        <w:rPr>
          <w:rFonts w:hint="eastAsia" w:ascii="Times New Roman" w:hAnsi="Times New Roman" w:cs="Times New Roman"/>
          <w:bCs/>
        </w:rPr>
        <w:t xml:space="preserve">第一册 </w:t>
      </w:r>
      <w:r>
        <w:rPr>
          <w:rFonts w:ascii="Times New Roman" w:hAnsi="Times New Roman" w:cs="Times New Roman"/>
          <w:bCs/>
        </w:rPr>
        <w:t>第</w:t>
      </w:r>
      <w:r>
        <w:rPr>
          <w:rFonts w:hint="eastAsia" w:ascii="Times New Roman" w:hAnsi="Times New Roman" w:cs="Times New Roman"/>
          <w:bCs/>
        </w:rPr>
        <w:t>一</w:t>
      </w:r>
      <w:r>
        <w:rPr>
          <w:rFonts w:ascii="Times New Roman" w:hAnsi="Times New Roman" w:cs="Times New Roman"/>
          <w:bCs/>
        </w:rPr>
        <w:t>章“</w:t>
      </w:r>
      <w:r>
        <w:rPr>
          <w:rFonts w:hint="eastAsia" w:ascii="Times New Roman" w:hAnsi="Times New Roman" w:cs="Times New Roman"/>
          <w:bCs/>
        </w:rPr>
        <w:t>二、申请人的资格要求</w:t>
      </w:r>
      <w:r>
        <w:rPr>
          <w:rFonts w:ascii="Times New Roman" w:hAnsi="Times New Roman" w:cs="Times New Roman"/>
          <w:bCs/>
        </w:rPr>
        <w:t>”的内容；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响应情况</w:t>
      </w:r>
      <w:r>
        <w:rPr>
          <w:rFonts w:ascii="Times New Roman" w:hAnsi="Times New Roman" w:cs="Times New Roman"/>
          <w:bCs/>
        </w:rPr>
        <w:t>”一栏必须</w:t>
      </w:r>
      <w:r>
        <w:rPr>
          <w:rFonts w:hint="eastAsia" w:ascii="Times New Roman" w:hAnsi="Times New Roman" w:cs="Times New Roman"/>
          <w:bCs/>
        </w:rPr>
        <w:t>如实填写投标人自身情况</w:t>
      </w:r>
      <w:r>
        <w:rPr>
          <w:rFonts w:ascii="Times New Roman" w:hAnsi="Times New Roman" w:cs="Times New Roman"/>
          <w:bCs/>
        </w:rPr>
        <w:t>，并应对照</w:t>
      </w:r>
      <w:r>
        <w:rPr>
          <w:rFonts w:hint="eastAsia" w:ascii="Times New Roman" w:hAnsi="Times New Roman" w:cs="Times New Roman"/>
          <w:bCs/>
        </w:rPr>
        <w:t>资格条款</w:t>
      </w:r>
      <w:r>
        <w:rPr>
          <w:rFonts w:ascii="Times New Roman" w:hAnsi="Times New Roman" w:cs="Times New Roman"/>
          <w:bCs/>
        </w:rPr>
        <w:t>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r>
        <w:rPr>
          <w:rFonts w:hint="eastAsia" w:ascii="Times New Roman" w:hAnsi="Times New Roman" w:cs="Times New Roman"/>
          <w:bCs/>
        </w:rPr>
        <w:t>，</w:t>
      </w:r>
      <w:r>
        <w:rPr>
          <w:rFonts w:ascii="Times New Roman" w:hAnsi="Times New Roman" w:cs="Times New Roman"/>
          <w:bCs/>
        </w:rPr>
        <w:t>负偏离视为未实质性满足招标文件要求作投标无效处理。</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“说明”</w:t>
      </w:r>
      <w:r>
        <w:rPr>
          <w:rFonts w:ascii="Times New Roman" w:hAnsi="Times New Roman" w:cs="Times New Roman"/>
          <w:bCs/>
        </w:rPr>
        <w:t>一栏</w:t>
      </w:r>
      <w:r>
        <w:rPr>
          <w:rFonts w:hint="eastAsia" w:ascii="Times New Roman" w:hAnsi="Times New Roman" w:cs="Times New Roman"/>
          <w:bCs/>
        </w:rPr>
        <w:t>填写所要求的证明材料（如有）的对应页码或阐明其他补充内容。</w:t>
      </w:r>
    </w:p>
    <w:p>
      <w:pPr>
        <w:tabs>
          <w:tab w:val="clear" w:pos="426"/>
        </w:tabs>
        <w:spacing w:line="240" w:lineRule="auto"/>
        <w:ind w:firstLine="424" w:firstLineChars="202"/>
        <w:rPr>
          <w:rFonts w:ascii="Times New Roman" w:hAnsi="Times New Roman" w:cs="Times New Roman"/>
          <w:bCs/>
        </w:rPr>
      </w:pPr>
      <w:r>
        <w:rPr>
          <w:rFonts w:hint="eastAsia" w:ascii="Times New Roman" w:hAnsi="Times New Roman" w:cs="Times New Roman"/>
          <w:bCs/>
        </w:rPr>
        <w:t>5.投标人所填写的“偏离情况”与评审委员会判定不一致时，以评审委员会意见为主。</w:t>
      </w:r>
    </w:p>
    <w:p>
      <w:pPr>
        <w:rPr>
          <w:rFonts w:hint="eastAsia"/>
        </w:rPr>
      </w:pP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28" w:name="_Toc3927"/>
      <w:r>
        <w:rPr>
          <w:rFonts w:hint="eastAsia"/>
          <w:b/>
          <w:sz w:val="24"/>
        </w:rPr>
        <w:t>格式5：法人或者其他组织的营业执照等证明文件</w:t>
      </w:r>
      <w:bookmarkEnd w:id="128"/>
    </w:p>
    <w:p>
      <w:pPr>
        <w:tabs>
          <w:tab w:val="clear" w:pos="426"/>
        </w:tabs>
        <w:spacing w:before="231" w:beforeLines="50"/>
        <w:ind w:firstLine="424" w:firstLineChars="201"/>
        <w:rPr>
          <w:rFonts w:hint="eastAsia"/>
          <w:b/>
        </w:rPr>
      </w:pPr>
      <w:r>
        <w:rPr>
          <w:rFonts w:hint="eastAsia"/>
          <w:b/>
        </w:rPr>
        <w:t>投标人须按本招标文件第一章投标邀请 “申请人的资格要求”提供相关的资质证明，且已接受报名的单位，不代表资格审查通过。投标文件中未提供或提供不完整、不符合要求的，投标文件将按无效标的情形处理。</w:t>
      </w:r>
    </w:p>
    <w:p>
      <w:pPr>
        <w:rPr>
          <w:rFonts w:hint="eastAsia"/>
          <w:b/>
          <w:sz w:val="24"/>
        </w:rPr>
      </w:pPr>
      <w:bookmarkStart w:id="129" w:name="_Toc151386165"/>
      <w:bookmarkStart w:id="130" w:name="_Toc150960255"/>
      <w:r>
        <w:rPr>
          <w:rFonts w:hint="eastAsia"/>
          <w:b/>
          <w:sz w:val="24"/>
        </w:rPr>
        <w:br w:type="page"/>
      </w:r>
    </w:p>
    <w:p>
      <w:pPr>
        <w:adjustRightInd/>
        <w:snapToGrid/>
        <w:spacing w:before="280" w:after="290" w:line="377" w:lineRule="auto"/>
        <w:outlineLvl w:val="2"/>
        <w:rPr>
          <w:rFonts w:hint="eastAsia"/>
          <w:b/>
          <w:sz w:val="24"/>
        </w:rPr>
      </w:pPr>
      <w:bookmarkStart w:id="131" w:name="_Toc21226"/>
      <w:r>
        <w:rPr>
          <w:rFonts w:hint="eastAsia"/>
          <w:b/>
          <w:sz w:val="24"/>
        </w:rPr>
        <w:t>格式6：投标人资格声明函</w:t>
      </w:r>
      <w:bookmarkEnd w:id="131"/>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投标人资格声明函</w:t>
      </w:r>
    </w:p>
    <w:p>
      <w:pPr>
        <w:tabs>
          <w:tab w:val="clear" w:pos="426"/>
        </w:tabs>
        <w:rPr>
          <w:rFonts w:hint="eastAsia"/>
        </w:rPr>
      </w:pPr>
    </w:p>
    <w:p>
      <w:pPr>
        <w:tabs>
          <w:tab w:val="clear" w:pos="426"/>
        </w:tabs>
        <w:rPr>
          <w:rFonts w:hint="eastAsia"/>
        </w:rPr>
      </w:pPr>
      <w:r>
        <w:rPr>
          <w:rFonts w:hint="eastAsia"/>
        </w:rPr>
        <w:t>深圳市深水水务咨询有限公司：</w:t>
      </w:r>
    </w:p>
    <w:p>
      <w:pPr>
        <w:ind w:firstLine="424" w:firstLineChars="202"/>
        <w:rPr>
          <w:rFonts w:hAnsi="Times New Roman"/>
        </w:rPr>
      </w:pPr>
      <w:r>
        <w:rPr>
          <w:rFonts w:hint="eastAsia" w:hAnsi="Times New Roman"/>
        </w:rPr>
        <w:t>关于贵公司发布</w:t>
      </w:r>
      <w:r>
        <w:rPr>
          <w:rFonts w:hint="eastAsia" w:hAnsi="Times New Roman"/>
          <w:szCs w:val="21"/>
          <w:u w:val="single"/>
        </w:rPr>
        <w:t>（项目名称</w:t>
      </w:r>
      <w:r>
        <w:rPr>
          <w:rFonts w:hAnsi="Times New Roman"/>
          <w:szCs w:val="21"/>
          <w:u w:val="single"/>
        </w:rPr>
        <w:t>)</w:t>
      </w:r>
      <w:r>
        <w:rPr>
          <w:rFonts w:hint="eastAsia" w:hAnsi="Times New Roman"/>
        </w:rPr>
        <w:t>项目（项目编号：</w:t>
      </w:r>
      <w:r>
        <w:rPr>
          <w:rFonts w:hint="eastAsia" w:hAnsi="Times New Roman"/>
          <w:u w:val="single"/>
        </w:rPr>
        <w:t>（项目编号）</w:t>
      </w:r>
      <w:r>
        <w:rPr>
          <w:rFonts w:hint="eastAsia" w:hAnsi="Times New Roman"/>
        </w:rPr>
        <w:t>）的招标公告，本公司（企业）愿意参加投标，并声明：</w:t>
      </w:r>
    </w:p>
    <w:p>
      <w:pPr>
        <w:ind w:firstLine="424" w:firstLineChars="202"/>
        <w:rPr>
          <w:rFonts w:hAnsi="Times New Roman"/>
        </w:rPr>
      </w:pPr>
      <w:r>
        <w:rPr>
          <w:rFonts w:hint="eastAsia" w:hAnsi="Times New Roman"/>
        </w:rPr>
        <w:t>我单位承诺：</w:t>
      </w:r>
    </w:p>
    <w:p>
      <w:pPr>
        <w:ind w:firstLine="424" w:firstLineChars="202"/>
        <w:rPr>
          <w:rFonts w:hAnsi="Times New Roman"/>
        </w:rPr>
      </w:pPr>
      <w:r>
        <w:rPr>
          <w:rFonts w:hint="eastAsia" w:hAnsi="Times New Roman"/>
        </w:rPr>
        <w:t>1.我单位参与本项目所投标（响应）的货物、工程或服务，不存在侵犯知识产权的情况；已知悉并同意中标（成交）结果信息公示（公开）的内容。</w:t>
      </w:r>
    </w:p>
    <w:p>
      <w:pPr>
        <w:ind w:firstLine="424" w:firstLineChars="202"/>
        <w:rPr>
          <w:rFonts w:hAnsi="Times New Roman"/>
        </w:rPr>
      </w:pPr>
      <w:r>
        <w:rPr>
          <w:rFonts w:hint="eastAsia" w:hAnsi="Times New Roman"/>
        </w:rPr>
        <w:t>2.我单位参与该项目投标，符合招标文件关于联合体及进口产品的相关资格要求。</w:t>
      </w:r>
    </w:p>
    <w:p>
      <w:pPr>
        <w:ind w:firstLine="424" w:firstLineChars="202"/>
        <w:rPr>
          <w:rFonts w:hAnsi="Times New Roman"/>
        </w:rPr>
      </w:pPr>
      <w:r>
        <w:rPr>
          <w:rFonts w:hint="eastAsia" w:hAnsi="Times New Roman"/>
        </w:rPr>
        <w:t>3.我单位参与本项目政府采购活动时不存在被有关部门禁止参与政府采购活动且在有效期内的情况。</w:t>
      </w:r>
    </w:p>
    <w:p>
      <w:pPr>
        <w:ind w:firstLine="424" w:firstLineChars="202"/>
        <w:rPr>
          <w:rFonts w:hAnsi="Times New Roman"/>
        </w:rPr>
      </w:pPr>
      <w:r>
        <w:rPr>
          <w:rFonts w:hint="eastAsia" w:hAnsi="Times New Roman"/>
        </w:rPr>
        <w:t>4</w:t>
      </w:r>
      <w:r>
        <w:rPr>
          <w:rFonts w:hAnsi="Times New Roman"/>
        </w:rPr>
        <w:t>.</w:t>
      </w:r>
      <w:r>
        <w:rPr>
          <w:rFonts w:hint="eastAsia" w:hAnsi="Times New Roman"/>
        </w:rPr>
        <w:t>我单位参与本项目投标前三年内，在经营活动中没有重大违法记录。</w:t>
      </w:r>
    </w:p>
    <w:p>
      <w:pPr>
        <w:ind w:firstLine="424" w:firstLineChars="202"/>
        <w:rPr>
          <w:rFonts w:hAnsi="Times New Roman"/>
        </w:rPr>
      </w:pPr>
      <w:r>
        <w:rPr>
          <w:rFonts w:hAnsi="Times New Roman"/>
        </w:rPr>
        <w:t>5</w:t>
      </w:r>
      <w:r>
        <w:rPr>
          <w:rFonts w:hint="eastAsia" w:hAnsi="Times New Roman"/>
        </w:rPr>
        <w:t>.我单位参与本项目投标近三年内，在经营活动中没有发生重大安全和质量事故。</w:t>
      </w:r>
    </w:p>
    <w:p>
      <w:pPr>
        <w:ind w:firstLine="424" w:firstLineChars="202"/>
        <w:rPr>
          <w:rFonts w:hAnsi="Times New Roman"/>
        </w:rPr>
      </w:pPr>
      <w:r>
        <w:rPr>
          <w:rFonts w:hAnsi="Times New Roman"/>
        </w:rPr>
        <w:t>6.</w:t>
      </w:r>
      <w:r>
        <w:rPr>
          <w:rFonts w:hint="eastAsia" w:hAnsi="Times New Roman"/>
        </w:rPr>
        <w:t>我单位具备《中华人民共和国政府采购法》第二十二条的条件。</w:t>
      </w:r>
    </w:p>
    <w:p>
      <w:pPr>
        <w:ind w:firstLine="424" w:firstLineChars="202"/>
        <w:rPr>
          <w:rFonts w:hAnsi="Times New Roman"/>
        </w:rPr>
      </w:pPr>
      <w:r>
        <w:rPr>
          <w:rFonts w:hAnsi="Times New Roman"/>
        </w:rPr>
        <w:t>7</w:t>
      </w:r>
      <w:r>
        <w:rPr>
          <w:rFonts w:hint="eastAsia" w:hAnsi="Times New Roman"/>
        </w:rPr>
        <w:t>.我单位未被列入失信被执行人、重大税收违法案件当事人名单（重大税收违法失信主体）、政府采购严重违法失信行为记录名单</w:t>
      </w:r>
    </w:p>
    <w:p>
      <w:pPr>
        <w:ind w:firstLine="424" w:firstLineChars="202"/>
        <w:rPr>
          <w:rFonts w:hAnsi="Times New Roman"/>
        </w:rPr>
      </w:pPr>
      <w:r>
        <w:rPr>
          <w:rFonts w:hAnsi="Times New Roman"/>
        </w:rPr>
        <w:t>8</w:t>
      </w:r>
      <w:r>
        <w:rPr>
          <w:rFonts w:hint="eastAsia" w:hAnsi="Times New Roma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4" w:firstLineChars="202"/>
        <w:rPr>
          <w:rFonts w:hAnsi="Times New Roman"/>
        </w:rPr>
      </w:pPr>
      <w:r>
        <w:rPr>
          <w:rFonts w:hAnsi="Times New Roman"/>
        </w:rPr>
        <w:t>9</w:t>
      </w:r>
      <w:r>
        <w:rPr>
          <w:rFonts w:hint="eastAsia" w:hAnsi="Times New Roma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4" w:firstLineChars="202"/>
        <w:rPr>
          <w:rFonts w:hAnsi="Times New Roman"/>
        </w:rPr>
      </w:pPr>
      <w:r>
        <w:rPr>
          <w:rFonts w:hint="eastAsia" w:hAnsi="Times New Roma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hAnsi="Times New Roman"/>
        </w:rPr>
      </w:pPr>
      <w:r>
        <w:rPr>
          <w:rFonts w:hAnsi="Times New Roman"/>
        </w:rPr>
        <w:t>10</w:t>
      </w:r>
      <w:r>
        <w:rPr>
          <w:rFonts w:hint="eastAsia" w:hAnsi="Times New Roma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hAnsi="Times New Roman"/>
        </w:rPr>
      </w:pPr>
      <w:r>
        <w:rPr>
          <w:rFonts w:hAnsi="Times New Roman"/>
        </w:rPr>
        <w:t>11</w:t>
      </w:r>
      <w:r>
        <w:rPr>
          <w:rFonts w:hint="eastAsia" w:hAnsi="Times New Roman"/>
        </w:rPr>
        <w:t>.我单位承诺中标后项目不转包，未经采购人同意不进行分包。</w:t>
      </w:r>
    </w:p>
    <w:p>
      <w:pPr>
        <w:ind w:firstLine="424" w:firstLineChars="202"/>
        <w:rPr>
          <w:rFonts w:hAnsi="Times New Roman"/>
        </w:rPr>
      </w:pPr>
      <w:r>
        <w:rPr>
          <w:rFonts w:hint="eastAsia" w:hAnsi="Times New Roman"/>
        </w:rPr>
        <w:t>1</w:t>
      </w:r>
      <w:r>
        <w:rPr>
          <w:rFonts w:hAnsi="Times New Roman"/>
        </w:rPr>
        <w:t>2</w:t>
      </w:r>
      <w:r>
        <w:rPr>
          <w:rFonts w:hint="eastAsia" w:hAnsi="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4" w:firstLineChars="202"/>
        <w:rPr>
          <w:rFonts w:hAnsi="Times New Roman"/>
        </w:rPr>
      </w:pPr>
      <w:r>
        <w:rPr>
          <w:rFonts w:hint="eastAsia" w:hAnsi="Times New Roman"/>
        </w:rPr>
        <w:t>1</w:t>
      </w:r>
      <w:r>
        <w:rPr>
          <w:rFonts w:hAnsi="Times New Roman"/>
        </w:rPr>
        <w:t>3</w:t>
      </w:r>
      <w:r>
        <w:rPr>
          <w:rFonts w:hint="eastAsia" w:hAnsi="Times New Roman"/>
        </w:rPr>
        <w:t>.我单位保证，若所投货物涉及《财政部生态环境部关于印发节能产品政府采购品目清单的通知》（财库〔2019〕19号）列明的政府采购强制产品，则所投该产品符合节能产品的认证要求。</w:t>
      </w:r>
    </w:p>
    <w:p>
      <w:pPr>
        <w:ind w:firstLine="424" w:firstLineChars="202"/>
        <w:rPr>
          <w:rFonts w:hAnsi="Times New Roman"/>
        </w:rPr>
      </w:pPr>
      <w:r>
        <w:rPr>
          <w:rFonts w:hint="eastAsia" w:hAnsi="Times New Roman"/>
        </w:rPr>
        <w:t>1</w:t>
      </w:r>
      <w:r>
        <w:rPr>
          <w:rFonts w:hAnsi="Times New Roman"/>
        </w:rPr>
        <w:t>4</w:t>
      </w:r>
      <w:r>
        <w:rPr>
          <w:rFonts w:hint="eastAsia" w:hAnsi="Times New Roman"/>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420"/>
        <w:rPr>
          <w:rFonts w:hAnsi="Times New Roman"/>
        </w:rPr>
      </w:pPr>
      <w:r>
        <w:rPr>
          <w:rFonts w:hint="eastAsia" w:hAnsi="Times New Roman"/>
        </w:rPr>
        <w:t>15.我单位保证，参与本项目政府采购活动不存在与其他采购参加人串通投标、隐瞒真实情况、提供虚假资料等违法违规情形。</w:t>
      </w:r>
    </w:p>
    <w:p>
      <w:pPr>
        <w:ind w:firstLine="424" w:firstLineChars="202"/>
        <w:rPr>
          <w:rFonts w:hAnsi="Times New Roman"/>
        </w:rPr>
      </w:pPr>
      <w:r>
        <w:rPr>
          <w:rFonts w:hint="eastAsia" w:hAnsi="Times New Roman"/>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4" w:firstLineChars="202"/>
        <w:rPr>
          <w:rFonts w:hAnsi="Times New Roman"/>
        </w:rPr>
      </w:pPr>
      <w:r>
        <w:rPr>
          <w:rFonts w:hint="eastAsia" w:hAnsi="Times New Roman"/>
        </w:rPr>
        <w:t>以上承诺，如有违反，愿依照国家相关法律处理，并承担由此给采购人带来的损失。</w:t>
      </w:r>
    </w:p>
    <w:p>
      <w:pPr>
        <w:ind w:firstLine="420"/>
        <w:rPr>
          <w:rFonts w:hAnsi="Times New Roman"/>
        </w:rPr>
      </w:pPr>
      <w:r>
        <w:rPr>
          <w:rFonts w:hint="eastAsia" w:hAnsi="Times New Roman"/>
        </w:rPr>
        <w:t>特此声明！</w:t>
      </w:r>
    </w:p>
    <w:p>
      <w:pPr>
        <w:tabs>
          <w:tab w:val="clear" w:pos="426"/>
        </w:tabs>
        <w:ind w:firstLine="420"/>
        <w:rPr>
          <w:rFonts w:hint="eastAsia"/>
        </w:rPr>
      </w:pPr>
    </w:p>
    <w:p>
      <w:pPr>
        <w:tabs>
          <w:tab w:val="clear" w:pos="426"/>
        </w:tabs>
        <w:ind w:firstLine="420"/>
        <w:rPr>
          <w:rFonts w:hint="eastAsia"/>
          <w:u w:val="single"/>
        </w:rPr>
      </w:pPr>
      <w:r>
        <w:rPr>
          <w:rFonts w:hint="eastAsia"/>
        </w:rPr>
        <w:t>单位名称：</w:t>
      </w:r>
      <w:r>
        <w:rPr>
          <w:rFonts w:hint="eastAsia"/>
          <w:u w:val="single"/>
        </w:rPr>
        <w:t>_____________________________________________________________</w:t>
      </w:r>
    </w:p>
    <w:p>
      <w:pPr>
        <w:tabs>
          <w:tab w:val="clear" w:pos="426"/>
        </w:tabs>
        <w:ind w:firstLine="420"/>
        <w:rPr>
          <w:rFonts w:hint="eastAsia"/>
          <w:u w:val="single"/>
        </w:rPr>
      </w:pPr>
      <w:r>
        <w:rPr>
          <w:rFonts w:hint="eastAsia"/>
        </w:rPr>
        <w:t>法定代表人或投标人授权代表（签字或盖章）：</w:t>
      </w:r>
      <w:r>
        <w:rPr>
          <w:rFonts w:hint="eastAsia"/>
          <w:u w:val="single"/>
        </w:rPr>
        <w:t>_____________________________</w:t>
      </w:r>
    </w:p>
    <w:p>
      <w:pPr>
        <w:tabs>
          <w:tab w:val="clear" w:pos="426"/>
        </w:tabs>
        <w:ind w:firstLine="420"/>
        <w:rPr>
          <w:rFonts w:hint="eastAsia"/>
          <w:u w:val="single"/>
        </w:rPr>
      </w:pPr>
      <w:r>
        <w:rPr>
          <w:rFonts w:hint="eastAsia"/>
        </w:rPr>
        <w:t>单位地址：</w:t>
      </w:r>
      <w:r>
        <w:rPr>
          <w:rFonts w:hint="eastAsia"/>
          <w:u w:val="single"/>
        </w:rPr>
        <w:t>_____________________________________________________________</w:t>
      </w:r>
    </w:p>
    <w:p>
      <w:pPr>
        <w:tabs>
          <w:tab w:val="clear" w:pos="426"/>
        </w:tabs>
        <w:ind w:firstLine="420"/>
        <w:rPr>
          <w:rFonts w:hint="eastAsia"/>
          <w:u w:val="single"/>
        </w:rPr>
      </w:pPr>
      <w:r>
        <w:rPr>
          <w:rFonts w:hint="eastAsia"/>
        </w:rPr>
        <w:t>单位公章：</w:t>
      </w:r>
      <w:r>
        <w:rPr>
          <w:rFonts w:hint="eastAsia"/>
          <w:u w:val="single"/>
        </w:rPr>
        <w:t>_____________________________________________________________</w:t>
      </w:r>
    </w:p>
    <w:p>
      <w:pPr>
        <w:tabs>
          <w:tab w:val="clear" w:pos="426"/>
        </w:tabs>
        <w:ind w:firstLine="420"/>
        <w:rPr>
          <w:rFonts w:hint="eastAsia"/>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firstLineChars="200"/>
        <w:rPr>
          <w:rFonts w:hint="eastAsia"/>
          <w:u w:val="single"/>
        </w:rPr>
      </w:pPr>
      <w:r>
        <w:rPr>
          <w:rFonts w:hint="eastAsia"/>
        </w:rPr>
        <w:t>联系电话：</w:t>
      </w:r>
      <w:r>
        <w:rPr>
          <w:rFonts w:hint="eastAsia"/>
          <w:u w:val="single"/>
        </w:rPr>
        <w:t>_____________________________________________________________</w:t>
      </w:r>
    </w:p>
    <w:p>
      <w:pPr>
        <w:rPr>
          <w:rFonts w:hint="eastAsia"/>
        </w:rPr>
      </w:pP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32" w:name="_Toc21325"/>
      <w:r>
        <w:rPr>
          <w:rFonts w:hint="eastAsia"/>
          <w:b/>
          <w:sz w:val="24"/>
        </w:rPr>
        <w:t>格式7：开标一览表</w:t>
      </w:r>
      <w:bookmarkEnd w:id="129"/>
      <w:bookmarkEnd w:id="130"/>
      <w:bookmarkEnd w:id="132"/>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33" w:name="_Toc480756075"/>
      <w:bookmarkStart w:id="134" w:name="_Toc480754208"/>
      <w:bookmarkStart w:id="135" w:name="_Toc480755929"/>
      <w:bookmarkStart w:id="136" w:name="_Toc480789479"/>
      <w:r>
        <w:rPr>
          <w:rFonts w:hint="eastAsia" w:cs="Times New Roman"/>
          <w:bCs/>
          <w:kern w:val="2"/>
          <w:sz w:val="32"/>
          <w:szCs w:val="32"/>
        </w:rPr>
        <w:t>开标一览表</w:t>
      </w:r>
      <w:bookmarkEnd w:id="133"/>
      <w:bookmarkEnd w:id="134"/>
      <w:bookmarkEnd w:id="135"/>
      <w:bookmarkEnd w:id="136"/>
    </w:p>
    <w:p>
      <w:pPr>
        <w:tabs>
          <w:tab w:val="clear" w:pos="426"/>
        </w:tabs>
        <w:jc w:val="left"/>
        <w:rPr>
          <w:rFonts w:hint="eastAsia"/>
        </w:rPr>
      </w:pPr>
    </w:p>
    <w:p>
      <w:pPr>
        <w:tabs>
          <w:tab w:val="clear" w:pos="426"/>
        </w:tabs>
        <w:jc w:val="left"/>
        <w:rPr>
          <w:rFonts w:hint="eastAsia"/>
          <w:u w:val="single"/>
        </w:rPr>
      </w:pPr>
      <w:r>
        <w:rPr>
          <w:rFonts w:hint="eastAsia"/>
        </w:rPr>
        <w:t>项目名称：</w:t>
      </w:r>
      <w:r>
        <w:rPr>
          <w:rFonts w:hint="eastAsia"/>
          <w:u w:val="single"/>
        </w:rPr>
        <w:t>__________________________________________</w:t>
      </w:r>
      <w:r>
        <w:rPr>
          <w:rFonts w:hint="eastAsia"/>
        </w:rPr>
        <w:t>项目编号：</w:t>
      </w:r>
      <w:r>
        <w:rPr>
          <w:rFonts w:hint="eastAsia"/>
          <w:u w:val="single"/>
        </w:rPr>
        <w:t>_________________________</w:t>
      </w:r>
    </w:p>
    <w:tbl>
      <w:tblPr>
        <w:tblStyle w:val="85"/>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629"/>
        <w:gridCol w:w="221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0" w:type="pct"/>
            <w:vAlign w:val="center"/>
          </w:tcPr>
          <w:p>
            <w:pPr>
              <w:jc w:val="center"/>
              <w:rPr>
                <w:rFonts w:hint="eastAsia"/>
                <w:b/>
                <w:szCs w:val="21"/>
              </w:rPr>
            </w:pPr>
            <w:r>
              <w:rPr>
                <w:rFonts w:hint="eastAsia"/>
                <w:b/>
                <w:szCs w:val="21"/>
              </w:rPr>
              <w:t>序号</w:t>
            </w:r>
          </w:p>
        </w:tc>
        <w:tc>
          <w:tcPr>
            <w:tcW w:w="2480" w:type="pct"/>
            <w:vAlign w:val="center"/>
          </w:tcPr>
          <w:p>
            <w:pPr>
              <w:jc w:val="center"/>
              <w:rPr>
                <w:rFonts w:hint="eastAsia"/>
                <w:b/>
                <w:szCs w:val="21"/>
              </w:rPr>
            </w:pPr>
            <w:r>
              <w:rPr>
                <w:rFonts w:hint="eastAsia"/>
                <w:b/>
                <w:szCs w:val="21"/>
              </w:rPr>
              <w:t>项目名称</w:t>
            </w:r>
          </w:p>
        </w:tc>
        <w:tc>
          <w:tcPr>
            <w:tcW w:w="1186" w:type="pct"/>
            <w:vAlign w:val="center"/>
          </w:tcPr>
          <w:p>
            <w:pPr>
              <w:jc w:val="center"/>
              <w:rPr>
                <w:rFonts w:hint="eastAsia"/>
                <w:b/>
                <w:szCs w:val="21"/>
              </w:rPr>
            </w:pPr>
            <w:r>
              <w:rPr>
                <w:rFonts w:hint="eastAsia"/>
                <w:b/>
                <w:szCs w:val="21"/>
              </w:rPr>
              <w:t>投标总价（元）</w:t>
            </w:r>
          </w:p>
        </w:tc>
        <w:tc>
          <w:tcPr>
            <w:tcW w:w="711" w:type="pct"/>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20" w:type="pct"/>
            <w:vAlign w:val="center"/>
          </w:tcPr>
          <w:p>
            <w:pPr>
              <w:jc w:val="center"/>
              <w:rPr>
                <w:rFonts w:hint="eastAsia"/>
                <w:bCs/>
                <w:szCs w:val="21"/>
              </w:rPr>
            </w:pPr>
          </w:p>
        </w:tc>
        <w:tc>
          <w:tcPr>
            <w:tcW w:w="2480" w:type="pct"/>
            <w:vAlign w:val="center"/>
          </w:tcPr>
          <w:p>
            <w:pPr>
              <w:jc w:val="center"/>
              <w:rPr>
                <w:rFonts w:hint="eastAsia"/>
                <w:b/>
                <w:szCs w:val="21"/>
              </w:rPr>
            </w:pPr>
          </w:p>
        </w:tc>
        <w:tc>
          <w:tcPr>
            <w:tcW w:w="1186" w:type="pct"/>
            <w:vAlign w:val="center"/>
          </w:tcPr>
          <w:p>
            <w:pPr>
              <w:jc w:val="left"/>
              <w:rPr>
                <w:rFonts w:hint="eastAsia"/>
                <w:b/>
                <w:szCs w:val="21"/>
              </w:rPr>
            </w:pPr>
            <w:r>
              <w:rPr>
                <w:rFonts w:hint="eastAsia"/>
                <w:b/>
                <w:szCs w:val="21"/>
              </w:rPr>
              <w:t>大写：</w:t>
            </w:r>
          </w:p>
          <w:p>
            <w:pPr>
              <w:jc w:val="left"/>
              <w:rPr>
                <w:rFonts w:hint="eastAsia"/>
                <w:b/>
                <w:szCs w:val="21"/>
              </w:rPr>
            </w:pPr>
            <w:r>
              <w:rPr>
                <w:rFonts w:hint="eastAsia"/>
                <w:b/>
                <w:szCs w:val="21"/>
              </w:rPr>
              <w:t>小写：</w:t>
            </w:r>
          </w:p>
        </w:tc>
        <w:tc>
          <w:tcPr>
            <w:tcW w:w="711" w:type="pct"/>
            <w:vAlign w:val="center"/>
          </w:tcPr>
          <w:p>
            <w:pPr>
              <w:jc w:val="center"/>
              <w:rPr>
                <w:rFonts w:hint="eastAsia"/>
                <w:b/>
                <w:szCs w:val="21"/>
              </w:rPr>
            </w:pPr>
          </w:p>
        </w:tc>
      </w:tr>
    </w:tbl>
    <w:p>
      <w:pPr>
        <w:tabs>
          <w:tab w:val="clear" w:pos="426"/>
        </w:tabs>
        <w:jc w:val="left"/>
        <w:rPr>
          <w:rFonts w:hint="eastAsia"/>
          <w:u w:val="single"/>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rPr>
      </w:pPr>
      <w:r>
        <w:rPr>
          <w:rFonts w:hint="eastAsia"/>
        </w:rPr>
        <w:t>法定代表人或投标人授权代表（签字或盖章）：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rFonts w:hint="eastAsia"/>
          <w:b/>
          <w:bCs/>
          <w:szCs w:val="21"/>
        </w:rPr>
      </w:pPr>
    </w:p>
    <w:p>
      <w:pPr>
        <w:tabs>
          <w:tab w:val="clear" w:pos="426"/>
        </w:tabs>
        <w:spacing w:line="400" w:lineRule="exact"/>
        <w:rPr>
          <w:rFonts w:hint="eastAsia"/>
          <w:b/>
          <w:bCs/>
          <w:szCs w:val="21"/>
        </w:rPr>
      </w:pPr>
      <w:r>
        <w:rPr>
          <w:rFonts w:hint="eastAsia"/>
          <w:b/>
          <w:bCs/>
          <w:szCs w:val="21"/>
        </w:rPr>
        <w:t>备注：</w:t>
      </w:r>
    </w:p>
    <w:p>
      <w:pPr>
        <w:numPr>
          <w:ilvl w:val="1"/>
          <w:numId w:val="6"/>
        </w:numPr>
        <w:tabs>
          <w:tab w:val="left" w:pos="0"/>
        </w:tabs>
        <w:ind w:left="0" w:firstLine="424" w:firstLineChars="201"/>
        <w:rPr>
          <w:rFonts w:hAnsi="Times New Roman"/>
          <w:b/>
          <w:bCs/>
          <w:szCs w:val="21"/>
        </w:rPr>
      </w:pPr>
      <w:r>
        <w:rPr>
          <w:rFonts w:hAnsi="Times New Roman"/>
          <w:b/>
        </w:rPr>
        <w:t>此表</w:t>
      </w:r>
      <w:r>
        <w:rPr>
          <w:rFonts w:hint="eastAsia" w:hAnsi="Times New Roman"/>
          <w:b/>
        </w:rPr>
        <w:t>为投标文件的组成部分，</w:t>
      </w:r>
      <w:r>
        <w:rPr>
          <w:rFonts w:hAnsi="Times New Roman"/>
          <w:b/>
        </w:rPr>
        <w:t>须附在正、副本的投标文件中，并另封装一份于开标信封中</w:t>
      </w:r>
      <w:r>
        <w:rPr>
          <w:rFonts w:hint="eastAsia" w:hAnsi="Times New Roman"/>
          <w:b/>
        </w:rPr>
        <w:t>（信封中须同时提供法定代表人（单位负责人）证明书、授权委托书、被授权人身份证复印件）。</w:t>
      </w:r>
    </w:p>
    <w:p>
      <w:pPr>
        <w:numPr>
          <w:ilvl w:val="1"/>
          <w:numId w:val="6"/>
        </w:numPr>
        <w:tabs>
          <w:tab w:val="left" w:pos="0"/>
        </w:tabs>
        <w:ind w:left="0" w:firstLine="424" w:firstLineChars="201"/>
        <w:rPr>
          <w:rFonts w:hAnsi="Times New Roman"/>
          <w:b/>
          <w:bCs/>
          <w:szCs w:val="21"/>
        </w:rPr>
      </w:pPr>
      <w:r>
        <w:rPr>
          <w:rFonts w:hint="eastAsia" w:hAnsi="Times New Roman"/>
          <w:b/>
        </w:rPr>
        <w:t>此表内投标报价为最终价，开标信封及投标文件内不得含有任何对本报价进行修改的其他说明或资料，否则为无效投标</w:t>
      </w:r>
      <w:r>
        <w:rPr>
          <w:rFonts w:hint="eastAsia" w:hAnsi="Times New Roman"/>
          <w:b/>
          <w:bCs/>
          <w:szCs w:val="21"/>
        </w:rPr>
        <w:t>。</w:t>
      </w:r>
    </w:p>
    <w:p>
      <w:pPr>
        <w:numPr>
          <w:ilvl w:val="1"/>
          <w:numId w:val="6"/>
        </w:numPr>
        <w:tabs>
          <w:tab w:val="left" w:pos="0"/>
        </w:tabs>
        <w:ind w:left="0" w:firstLine="424" w:firstLineChars="201"/>
        <w:rPr>
          <w:rFonts w:hAnsi="Times New Roman"/>
          <w:b/>
        </w:rPr>
      </w:pPr>
      <w:r>
        <w:rPr>
          <w:rFonts w:hint="eastAsia" w:hAnsi="Times New Roman"/>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1"/>
          <w:numId w:val="6"/>
        </w:numPr>
        <w:tabs>
          <w:tab w:val="left" w:pos="0"/>
        </w:tabs>
        <w:ind w:left="0" w:firstLine="424" w:firstLineChars="201"/>
        <w:rPr>
          <w:rFonts w:hAnsi="Times New Roman"/>
          <w:b/>
        </w:rPr>
      </w:pPr>
      <w:r>
        <w:rPr>
          <w:rFonts w:hint="eastAsia" w:hAnsi="Times New Roman"/>
          <w:b/>
        </w:rPr>
        <w:t>投标报价得分四舍五入后，小数点后保留两位有效数。</w:t>
      </w: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adjustRightInd/>
        <w:snapToGrid/>
        <w:spacing w:before="280" w:after="290" w:line="377" w:lineRule="auto"/>
        <w:outlineLvl w:val="2"/>
        <w:rPr>
          <w:rFonts w:hint="eastAsia"/>
          <w:b/>
          <w:sz w:val="24"/>
        </w:rPr>
      </w:pPr>
      <w:r>
        <w:rPr>
          <w:b/>
        </w:rPr>
        <w:br w:type="page"/>
      </w:r>
      <w:bookmarkStart w:id="137" w:name="_Toc23484"/>
      <w:r>
        <w:rPr>
          <w:rFonts w:hint="eastAsia"/>
          <w:b/>
          <w:sz w:val="24"/>
        </w:rPr>
        <w:t>格式8：投标分项报价表</w:t>
      </w:r>
      <w:bookmarkEnd w:id="137"/>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（一）项目报价表</w:t>
      </w:r>
    </w:p>
    <w:p>
      <w:pPr>
        <w:tabs>
          <w:tab w:val="clear" w:pos="426"/>
        </w:tabs>
        <w:wordWrap w:val="0"/>
        <w:rPr>
          <w:rFonts w:hint="eastAsia"/>
        </w:rPr>
      </w:pPr>
      <w:r>
        <w:rPr>
          <w:rFonts w:hint="eastAsia"/>
        </w:rPr>
        <w:t>项目名称：</w:t>
      </w:r>
      <w:r>
        <w:rPr>
          <w:rFonts w:hint="eastAsia"/>
          <w:u w:val="single"/>
        </w:rPr>
        <w:t>_____________________________________</w:t>
      </w:r>
      <w:r>
        <w:rPr>
          <w:rFonts w:hint="eastAsia"/>
        </w:rPr>
        <w:t>项目编号：</w:t>
      </w:r>
      <w:r>
        <w:rPr>
          <w:rFonts w:hint="eastAsia" w:ascii="ˎ̥" w:hAnsi="ˎ̥"/>
          <w:sz w:val="18"/>
          <w:szCs w:val="18"/>
          <w:u w:val="single"/>
        </w:rPr>
        <w:t>________________________________</w:t>
      </w:r>
    </w:p>
    <w:tbl>
      <w:tblPr>
        <w:tblStyle w:val="8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1057"/>
        <w:gridCol w:w="12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Cs w:val="21"/>
              </w:rPr>
            </w:pPr>
            <w:r>
              <w:rPr>
                <w:rFonts w:hint="eastAsia"/>
                <w:szCs w:val="21"/>
              </w:rPr>
              <w:t>序号</w:t>
            </w:r>
          </w:p>
        </w:tc>
        <w:tc>
          <w:tcPr>
            <w:tcW w:w="1347" w:type="dxa"/>
            <w:vAlign w:val="center"/>
          </w:tcPr>
          <w:p>
            <w:pPr>
              <w:spacing w:line="240" w:lineRule="auto"/>
              <w:jc w:val="center"/>
              <w:rPr>
                <w:rFonts w:hint="eastAsia"/>
                <w:szCs w:val="21"/>
              </w:rPr>
            </w:pPr>
            <w:r>
              <w:rPr>
                <w:rFonts w:hint="eastAsia"/>
                <w:szCs w:val="21"/>
              </w:rPr>
              <w:t>货物名称</w:t>
            </w:r>
          </w:p>
        </w:tc>
        <w:tc>
          <w:tcPr>
            <w:tcW w:w="1417" w:type="dxa"/>
            <w:vAlign w:val="center"/>
          </w:tcPr>
          <w:p>
            <w:pPr>
              <w:spacing w:line="240" w:lineRule="auto"/>
              <w:jc w:val="center"/>
              <w:rPr>
                <w:rFonts w:hint="eastAsia"/>
                <w:szCs w:val="21"/>
              </w:rPr>
            </w:pPr>
            <w:r>
              <w:rPr>
                <w:rFonts w:hint="eastAsia"/>
                <w:szCs w:val="21"/>
              </w:rPr>
              <w:t>规格/型号</w:t>
            </w:r>
          </w:p>
        </w:tc>
        <w:tc>
          <w:tcPr>
            <w:tcW w:w="851" w:type="dxa"/>
            <w:vAlign w:val="center"/>
          </w:tcPr>
          <w:p>
            <w:pPr>
              <w:spacing w:line="240" w:lineRule="auto"/>
              <w:jc w:val="center"/>
              <w:rPr>
                <w:rFonts w:hint="eastAsia"/>
                <w:b/>
                <w:szCs w:val="21"/>
              </w:rPr>
            </w:pPr>
            <w:r>
              <w:rPr>
                <w:rFonts w:hint="eastAsia"/>
                <w:b/>
                <w:szCs w:val="21"/>
              </w:rPr>
              <w:t>原产地</w:t>
            </w:r>
          </w:p>
        </w:tc>
        <w:tc>
          <w:tcPr>
            <w:tcW w:w="992" w:type="dxa"/>
            <w:vAlign w:val="center"/>
          </w:tcPr>
          <w:p>
            <w:pPr>
              <w:spacing w:line="240" w:lineRule="auto"/>
              <w:jc w:val="center"/>
              <w:rPr>
                <w:rFonts w:hint="eastAsia"/>
                <w:szCs w:val="21"/>
              </w:rPr>
            </w:pPr>
            <w:r>
              <w:rPr>
                <w:rFonts w:hint="eastAsia"/>
                <w:szCs w:val="21"/>
              </w:rPr>
              <w:t>制造商名称</w:t>
            </w:r>
          </w:p>
        </w:tc>
        <w:tc>
          <w:tcPr>
            <w:tcW w:w="709" w:type="dxa"/>
            <w:vAlign w:val="center"/>
          </w:tcPr>
          <w:p>
            <w:pPr>
              <w:spacing w:line="240" w:lineRule="auto"/>
              <w:jc w:val="center"/>
              <w:rPr>
                <w:rFonts w:hint="eastAsia"/>
                <w:szCs w:val="21"/>
              </w:rPr>
            </w:pPr>
            <w:r>
              <w:rPr>
                <w:rFonts w:hint="eastAsia"/>
                <w:szCs w:val="21"/>
              </w:rPr>
              <w:t>数量</w:t>
            </w:r>
          </w:p>
        </w:tc>
        <w:tc>
          <w:tcPr>
            <w:tcW w:w="737" w:type="dxa"/>
            <w:vAlign w:val="center"/>
          </w:tcPr>
          <w:p>
            <w:pPr>
              <w:spacing w:line="240" w:lineRule="auto"/>
              <w:jc w:val="center"/>
              <w:rPr>
                <w:rFonts w:hint="eastAsia"/>
                <w:szCs w:val="21"/>
              </w:rPr>
            </w:pPr>
            <w:r>
              <w:rPr>
                <w:rFonts w:hint="eastAsia"/>
                <w:szCs w:val="21"/>
              </w:rPr>
              <w:t>单位</w:t>
            </w:r>
          </w:p>
        </w:tc>
        <w:tc>
          <w:tcPr>
            <w:tcW w:w="1057" w:type="dxa"/>
            <w:vAlign w:val="center"/>
          </w:tcPr>
          <w:p>
            <w:pPr>
              <w:spacing w:line="240" w:lineRule="auto"/>
              <w:jc w:val="center"/>
              <w:rPr>
                <w:rFonts w:hint="eastAsia"/>
                <w:szCs w:val="21"/>
              </w:rPr>
            </w:pPr>
            <w:r>
              <w:rPr>
                <w:rFonts w:hint="eastAsia"/>
                <w:szCs w:val="21"/>
              </w:rPr>
              <w:t>单价(元)</w:t>
            </w:r>
          </w:p>
        </w:tc>
        <w:tc>
          <w:tcPr>
            <w:tcW w:w="1276" w:type="dxa"/>
            <w:vAlign w:val="center"/>
          </w:tcPr>
          <w:p>
            <w:pPr>
              <w:spacing w:line="240" w:lineRule="auto"/>
              <w:jc w:val="center"/>
              <w:rPr>
                <w:rFonts w:hint="eastAsia"/>
                <w:szCs w:val="21"/>
              </w:rPr>
            </w:pPr>
            <w:r>
              <w:rPr>
                <w:rFonts w:hint="eastAsia"/>
                <w:szCs w:val="21"/>
              </w:rPr>
              <w:t>合价(元)</w:t>
            </w:r>
          </w:p>
        </w:tc>
        <w:tc>
          <w:tcPr>
            <w:tcW w:w="1082" w:type="dxa"/>
            <w:vAlign w:val="center"/>
          </w:tcPr>
          <w:p>
            <w:pPr>
              <w:spacing w:line="240" w:lineRule="auto"/>
              <w:jc w:val="center"/>
              <w:rPr>
                <w:rFonts w:hint="eastAsia"/>
                <w:szCs w:val="21"/>
              </w:rPr>
            </w:pPr>
            <w:r>
              <w:rPr>
                <w:rFonts w:hint="eastAsia"/>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0" w:type="dxa"/>
            <w:gridSpan w:val="8"/>
            <w:vAlign w:val="center"/>
          </w:tcPr>
          <w:p>
            <w:pPr>
              <w:spacing w:line="240" w:lineRule="auto"/>
              <w:jc w:val="left"/>
              <w:rPr>
                <w:rFonts w:hint="eastAsia"/>
                <w:sz w:val="24"/>
              </w:rPr>
            </w:pPr>
            <w:r>
              <w:rPr>
                <w:rFonts w:hint="eastAsia"/>
                <w:sz w:val="24"/>
              </w:rPr>
              <w:t>合计（即：投标总价；币种：人民币；单位：元）：大写：</w:t>
            </w: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bl>
    <w:p>
      <w:pPr>
        <w:spacing w:line="240" w:lineRule="auto"/>
        <w:rPr>
          <w:rFonts w:hint="eastAsia"/>
          <w:b/>
          <w:sz w:val="24"/>
        </w:rPr>
      </w:pPr>
    </w:p>
    <w:p>
      <w:pPr>
        <w:spacing w:line="240" w:lineRule="auto"/>
        <w:rPr>
          <w:rFonts w:hint="eastAsia"/>
          <w:b/>
          <w:sz w:val="24"/>
        </w:rPr>
      </w:pPr>
      <w:r>
        <w:rPr>
          <w:rFonts w:hint="eastAsia"/>
          <w:b/>
          <w:sz w:val="24"/>
        </w:rPr>
        <w:t>备注：</w:t>
      </w:r>
    </w:p>
    <w:p>
      <w:pPr>
        <w:spacing w:line="240" w:lineRule="auto"/>
        <w:ind w:firstLine="424" w:firstLineChars="176"/>
        <w:rPr>
          <w:rFonts w:hint="eastAsia"/>
          <w:b/>
          <w:sz w:val="24"/>
        </w:rPr>
      </w:pPr>
      <w:r>
        <w:rPr>
          <w:rFonts w:hint="eastAsia"/>
          <w:b/>
          <w:sz w:val="24"/>
        </w:rPr>
        <w:t>1.请根据“第二章</w:t>
      </w:r>
      <w:r>
        <w:rPr>
          <w:b/>
          <w:sz w:val="24"/>
        </w:rPr>
        <w:t xml:space="preserve"> 项目需求” “</w:t>
      </w:r>
      <w:r>
        <w:rPr>
          <w:rFonts w:hint="eastAsia"/>
          <w:b/>
          <w:sz w:val="24"/>
        </w:rPr>
        <w:t>一</w:t>
      </w:r>
      <w:r>
        <w:rPr>
          <w:b/>
          <w:sz w:val="24"/>
        </w:rPr>
        <w:t>、货物清单</w:t>
      </w:r>
      <w:r>
        <w:rPr>
          <w:rFonts w:hint="eastAsia"/>
          <w:b/>
          <w:sz w:val="24"/>
        </w:rPr>
        <w:t>一览表</w:t>
      </w:r>
      <w:r>
        <w:rPr>
          <w:b/>
          <w:sz w:val="24"/>
        </w:rPr>
        <w:t>”填写；本表格式不得修改。</w:t>
      </w:r>
    </w:p>
    <w:p>
      <w:pPr>
        <w:spacing w:line="240" w:lineRule="auto"/>
        <w:ind w:firstLine="424" w:firstLineChars="176"/>
        <w:rPr>
          <w:rFonts w:hint="eastAsia"/>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所有价格应按“招标文件”中规定的货币单位填写；投标总价应为以上各分项价格之和；投标单价均不得超过对应的单项限价，否则将导致无效投标。</w:t>
      </w:r>
    </w:p>
    <w:p>
      <w:pPr>
        <w:spacing w:line="240" w:lineRule="auto"/>
        <w:ind w:firstLine="424" w:firstLineChars="176"/>
        <w:rPr>
          <w:rFonts w:hint="eastAsia"/>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rFonts w:hint="eastAsia"/>
          <w:b/>
          <w:sz w:val="24"/>
        </w:rPr>
      </w:pPr>
      <w:r>
        <w:rPr>
          <w:rFonts w:hint="eastAsia"/>
          <w:b/>
          <w:sz w:val="24"/>
        </w:rPr>
        <w:t>4.“原产地”是指该产品的实际生产加工地，而非品牌总公司所在地。</w:t>
      </w:r>
    </w:p>
    <w:p>
      <w:pPr>
        <w:spacing w:line="240" w:lineRule="auto"/>
        <w:ind w:firstLine="424" w:firstLineChars="176"/>
        <w:rPr>
          <w:rFonts w:hint="eastAsia"/>
          <w:b/>
          <w:sz w:val="24"/>
        </w:rPr>
      </w:pPr>
      <w:r>
        <w:rPr>
          <w:b/>
          <w:sz w:val="24"/>
        </w:rPr>
        <w:t>5.详细填写所投货物的制造商名称；若如所投产品属于定制类的非量产货物或无具体型号的货物，可以不填写型号等信息，但应当标注投标产品为定制产品。</w:t>
      </w:r>
    </w:p>
    <w:p>
      <w:pPr>
        <w:spacing w:line="240" w:lineRule="auto"/>
        <w:ind w:firstLine="424" w:firstLineChars="176"/>
        <w:rPr>
          <w:rFonts w:hint="eastAsia"/>
          <w:b/>
          <w:sz w:val="24"/>
        </w:rPr>
      </w:pPr>
      <w:r>
        <w:rPr>
          <w:b/>
          <w:sz w:val="24"/>
        </w:rPr>
        <w:t>6.</w:t>
      </w:r>
      <w:r>
        <w:rPr>
          <w:rFonts w:hint="eastAsia"/>
          <w:b/>
          <w:sz w:val="24"/>
        </w:rPr>
        <w:t>上述报价最多保留两位小数。</w:t>
      </w: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（二）可选配件报价清单（不包括在总报价内）</w:t>
      </w:r>
    </w:p>
    <w:p>
      <w:pPr>
        <w:tabs>
          <w:tab w:val="clear" w:pos="426"/>
        </w:tabs>
        <w:spacing w:line="500" w:lineRule="exact"/>
        <w:rPr>
          <w:rFonts w:hint="eastAsia"/>
          <w:b/>
          <w:sz w:val="24"/>
        </w:rPr>
      </w:pPr>
      <w:r>
        <w:rPr>
          <w:rFonts w:hint="eastAsia"/>
          <w:b/>
          <w:sz w:val="24"/>
        </w:rPr>
        <w:t>备注：格式参照《（一）项目报价表》表格，但须提供相应的品牌、规格型号、原产地、单价等详细信息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hint="eastAsia" w:cs="Times New Roman"/>
          <w:b/>
          <w:bCs/>
          <w:kern w:val="2"/>
          <w:sz w:val="32"/>
          <w:szCs w:val="32"/>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（三）供应商认为需要涉及的其他内容报价清单</w:t>
      </w:r>
    </w:p>
    <w:p>
      <w:pPr>
        <w:tabs>
          <w:tab w:val="clear" w:pos="426"/>
        </w:tabs>
        <w:spacing w:line="500" w:lineRule="exact"/>
        <w:rPr>
          <w:rFonts w:hint="eastAsia"/>
          <w:spacing w:val="4"/>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u w:val="single"/>
        </w:rPr>
      </w:pPr>
      <w:r>
        <w:rPr>
          <w:rFonts w:hint="eastAsia"/>
        </w:rPr>
        <w:t>法定代表人或投标人授权代表（签字或盖章）：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38" w:name="_Toc9437"/>
      <w:r>
        <w:rPr>
          <w:rFonts w:hint="eastAsia"/>
          <w:b/>
          <w:sz w:val="24"/>
        </w:rPr>
        <w:t>格式9：</w:t>
      </w:r>
      <w:bookmarkEnd w:id="138"/>
      <w:r>
        <w:rPr>
          <w:rFonts w:hint="eastAsia"/>
          <w:b/>
          <w:sz w:val="24"/>
        </w:rPr>
        <w:t>技术规格偏离表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139" w:name="OLE_LINK1"/>
      <w:r>
        <w:rPr>
          <w:rFonts w:hint="eastAsia" w:ascii="Times New Roman" w:hAnsi="Times New Roman" w:cs="Times New Roman"/>
          <w:bCs/>
          <w:kern w:val="2"/>
          <w:sz w:val="32"/>
          <w:szCs w:val="32"/>
        </w:rPr>
        <w:t>技术规格偏离表</w:t>
      </w:r>
    </w:p>
    <w:bookmarkEnd w:id="139"/>
    <w:p>
      <w:pPr>
        <w:tabs>
          <w:tab w:val="clear" w:pos="426"/>
        </w:tabs>
        <w:rPr>
          <w:rFonts w:ascii="Times New Roman" w:hAnsi="Times New Roman" w:cs="Times New Roman"/>
        </w:rPr>
      </w:pPr>
    </w:p>
    <w:p>
      <w:pPr>
        <w:tabs>
          <w:tab w:val="clear" w:pos="426"/>
        </w:tabs>
        <w:rPr>
          <w:rFonts w:ascii="Times New Roman" w:hAnsi="Times New Roman" w:cs="Times New Roman"/>
        </w:rPr>
      </w:pPr>
      <w:bookmarkStart w:id="140" w:name="_Hlk66188946"/>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bookmarkEnd w:id="140"/>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09"/>
        <w:gridCol w:w="1791"/>
        <w:gridCol w:w="1829"/>
        <w:gridCol w:w="139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101"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货物名称</w:t>
            </w:r>
          </w:p>
        </w:tc>
        <w:tc>
          <w:tcPr>
            <w:tcW w:w="9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招标技术要求</w:t>
            </w:r>
          </w:p>
        </w:tc>
        <w:tc>
          <w:tcPr>
            <w:tcW w:w="95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投标技术响应</w:t>
            </w:r>
          </w:p>
        </w:tc>
        <w:tc>
          <w:tcPr>
            <w:tcW w:w="728"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03"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p>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1.“招标技术要求”一栏应填写招标文件第</w:t>
      </w:r>
      <w:r>
        <w:rPr>
          <w:rFonts w:hint="eastAsia" w:ascii="Times New Roman" w:hAnsi="Times New Roman" w:cs="Times New Roman"/>
          <w:bCs/>
        </w:rPr>
        <w:t>二</w:t>
      </w:r>
      <w:r>
        <w:rPr>
          <w:rFonts w:ascii="Times New Roman" w:hAnsi="Times New Roman" w:cs="Times New Roman"/>
          <w:bCs/>
        </w:rPr>
        <w:t>章“技术要求”的内容；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2.“投标技术响应”一栏必须详细填写投标产品的具体参数，并应对照招标技术要求一一对应响应；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4.投标人在《</w:t>
      </w:r>
      <w:r>
        <w:rPr>
          <w:rFonts w:hint="eastAsia" w:ascii="Times New Roman" w:hAnsi="Times New Roman" w:cs="Times New Roman"/>
          <w:bCs/>
        </w:rPr>
        <w:t>技术规格偏离表</w:t>
      </w:r>
      <w:r>
        <w:rPr>
          <w:rFonts w:ascii="Times New Roman" w:hAnsi="Times New Roman" w:cs="Times New Roman"/>
          <w:bCs/>
        </w:rPr>
        <w:t>》填写的“投标技术响应”与“招标技术要求”存在填写不全的情况，将被视为未实质性满足招标文件要求作投标无效处理。示例，“招标技术要求”共有10项参数，投标人只响应了9项，填写不全，则视为未实质性满足招标文件要求作投标无效处理。</w:t>
      </w:r>
      <w:bookmarkStart w:id="141" w:name="OLE_LINK2"/>
      <w:r>
        <w:rPr>
          <w:rFonts w:hint="eastAsia" w:ascii="Times New Roman" w:hAnsi="Times New Roman" w:cs="Times New Roman"/>
          <w:bCs/>
        </w:rPr>
        <w:t>带★招标技术要求，不允许有任何负偏离，否则将作投标无效处理。</w:t>
      </w:r>
    </w:p>
    <w:bookmarkEnd w:id="141"/>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5.投标人所填写的“偏离情况”与评审委员会判定不一致时，以评审委员会意见为主。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6.投标产品的技术参数应按《</w:t>
      </w:r>
      <w:r>
        <w:rPr>
          <w:rFonts w:hint="eastAsia" w:ascii="Times New Roman" w:hAnsi="Times New Roman" w:cs="Times New Roman"/>
          <w:bCs/>
        </w:rPr>
        <w:t>技术规格偏离表</w:t>
      </w:r>
      <w:r>
        <w:rPr>
          <w:rFonts w:ascii="Times New Roman" w:hAnsi="Times New Roman" w:cs="Times New Roman"/>
          <w:bCs/>
        </w:rPr>
        <w:t>》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若《</w:t>
      </w:r>
      <w:r>
        <w:rPr>
          <w:rFonts w:hint="eastAsia" w:ascii="Times New Roman" w:hAnsi="Times New Roman" w:cs="Times New Roman"/>
          <w:bCs/>
        </w:rPr>
        <w:t>技术规格偏离表</w:t>
      </w:r>
      <w:r>
        <w:rPr>
          <w:rFonts w:ascii="Times New Roman" w:hAnsi="Times New Roman" w:cs="Times New Roman"/>
          <w:bCs/>
        </w:rPr>
        <w:t>》中未要求提供相应证明材料的，投标人可以不提供。</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7.证明资料（均为扫描件）的提供要求：</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（2）我国政府机构出具的产品检验和核准证件应为证件正面、背面和附件标注的全部具体内容；产品检验和核准证件的尺寸和清晰度应该能够在电脑上被阅读、识别和判断。</w:t>
      </w:r>
    </w:p>
    <w:p>
      <w:pPr>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2" w:name="_Toc25758"/>
      <w:r>
        <w:rPr>
          <w:rFonts w:hint="eastAsia"/>
          <w:b/>
          <w:sz w:val="24"/>
        </w:rPr>
        <w:t>格式10：技术保障措施</w:t>
      </w:r>
      <w:bookmarkEnd w:id="142"/>
    </w:p>
    <w:p>
      <w:pPr>
        <w:adjustRightInd/>
        <w:snapToGrid/>
        <w:spacing w:before="280" w:after="290" w:line="377" w:lineRule="auto"/>
        <w:outlineLvl w:val="2"/>
        <w:rPr>
          <w:rFonts w:hint="eastAsia"/>
          <w:b/>
          <w:sz w:val="24"/>
        </w:rPr>
      </w:pPr>
      <w:bookmarkStart w:id="143" w:name="_Toc19609"/>
      <w:r>
        <w:rPr>
          <w:rFonts w:hint="eastAsia"/>
          <w:b/>
          <w:sz w:val="24"/>
        </w:rPr>
        <w:t>格式11：售后服务方案</w:t>
      </w:r>
      <w:bookmarkEnd w:id="143"/>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p>
    <w:p>
      <w:pPr>
        <w:rPr>
          <w:rFonts w:hint="eastAsia"/>
        </w:rPr>
      </w:pPr>
    </w:p>
    <w:p>
      <w:pPr>
        <w:tabs>
          <w:tab w:val="clear" w:pos="426"/>
        </w:tabs>
        <w:spacing w:line="240" w:lineRule="auto"/>
        <w:ind w:firstLine="424" w:firstLineChars="202"/>
        <w:rPr>
          <w:rFonts w:hint="eastAsia"/>
        </w:rPr>
      </w:pPr>
    </w:p>
    <w:p>
      <w:pPr>
        <w:tabs>
          <w:tab w:val="clear" w:pos="426"/>
        </w:tabs>
        <w:spacing w:line="240" w:lineRule="auto"/>
        <w:ind w:firstLine="424" w:firstLineChars="202"/>
        <w:rPr>
          <w:rFonts w:ascii="Times New Roman" w:hAnsi="Times New Roman" w:cs="Times New Roman"/>
          <w:bCs/>
        </w:rPr>
      </w:pPr>
    </w:p>
    <w:p>
      <w:pPr>
        <w:shd w:val="clear" w:color="auto" w:fill="auto"/>
        <w:tabs>
          <w:tab w:val="clear" w:pos="426"/>
        </w:tabs>
        <w:adjustRightInd/>
        <w:snapToGrid/>
        <w:spacing w:line="240" w:lineRule="auto"/>
        <w:jc w:val="left"/>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4" w:name="_Toc29923"/>
      <w:r>
        <w:rPr>
          <w:rFonts w:hint="eastAsia"/>
          <w:b/>
          <w:sz w:val="24"/>
        </w:rPr>
        <w:t>格式12：商务条款偏离表</w:t>
      </w:r>
      <w:bookmarkEnd w:id="144"/>
    </w:p>
    <w:p>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hint="eastAsia" w:ascii="Times New Roman" w:hAnsi="Times New Roman" w:cs="Times New Roman"/>
          <w:bCs/>
          <w:kern w:val="2"/>
          <w:sz w:val="32"/>
          <w:szCs w:val="32"/>
        </w:rPr>
        <w:t>商务条款偏离表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p>
    <w:p>
      <w:pPr>
        <w:rPr>
          <w:rFonts w:ascii="Times New Roman" w:hAnsi="Times New Roman" w:cs="Times New Roman"/>
          <w:b/>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项目编号：</w:t>
      </w:r>
      <w:r>
        <w:rPr>
          <w:rFonts w:ascii="Times New Roman" w:hAnsi="Times New Roman" w:cs="Times New Roman"/>
          <w:u w:val="single"/>
        </w:rPr>
        <w:t>_______________________</w:t>
      </w:r>
    </w:p>
    <w:tbl>
      <w:tblPr>
        <w:tblStyle w:val="8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58"/>
        <w:gridCol w:w="2123"/>
        <w:gridCol w:w="2123"/>
        <w:gridCol w:w="154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序号</w:t>
            </w:r>
          </w:p>
        </w:tc>
        <w:tc>
          <w:tcPr>
            <w:tcW w:w="605"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目录</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招标商务条款</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投标商务条款</w:t>
            </w:r>
          </w:p>
        </w:tc>
        <w:tc>
          <w:tcPr>
            <w:tcW w:w="806"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偏离情况</w:t>
            </w:r>
          </w:p>
        </w:tc>
        <w:tc>
          <w:tcPr>
            <w:tcW w:w="908"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bl>
    <w:p>
      <w:pPr>
        <w:tabs>
          <w:tab w:val="clear" w:pos="426"/>
        </w:tabs>
        <w:rPr>
          <w:rFonts w:ascii="Times New Roman" w:hAnsi="Times New Roman" w:cs="Times New Roman"/>
        </w:rPr>
      </w:pPr>
    </w:p>
    <w:p>
      <w:pPr>
        <w:tabs>
          <w:tab w:val="clear" w:pos="426"/>
        </w:tabs>
        <w:spacing w:line="240" w:lineRule="auto"/>
        <w:rPr>
          <w:rFonts w:ascii="Times New Roman" w:hAnsi="Times New Roman" w:cs="Times New Roman"/>
        </w:rPr>
      </w:pPr>
      <w:r>
        <w:rPr>
          <w:rFonts w:ascii="Times New Roman" w:hAnsi="Times New Roman" w:cs="Times New Roman"/>
        </w:rPr>
        <w:t>备注：</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1.“招标商务条款”一栏必须填写招标文件第</w:t>
      </w:r>
      <w:r>
        <w:rPr>
          <w:rFonts w:hint="eastAsia" w:ascii="Times New Roman" w:hAnsi="Times New Roman" w:cs="Times New Roman"/>
        </w:rPr>
        <w:t>二</w:t>
      </w:r>
      <w:r>
        <w:rPr>
          <w:rFonts w:ascii="Times New Roman" w:hAnsi="Times New Roman" w:cs="Times New Roman"/>
        </w:rPr>
        <w:t>章“商务</w:t>
      </w:r>
      <w:r>
        <w:rPr>
          <w:rFonts w:hint="eastAsia" w:ascii="Times New Roman" w:hAnsi="Times New Roman" w:cs="Times New Roman"/>
        </w:rPr>
        <w:t>要求</w:t>
      </w:r>
      <w:r>
        <w:rPr>
          <w:rFonts w:ascii="Times New Roman" w:hAnsi="Times New Roman" w:cs="Times New Roman"/>
        </w:rPr>
        <w:t>”的内容进行填写。</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2.“投标商务条款”一栏必须详细填写投标商务条款的内容。</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3.“偏离情况”栏中应如实填写“正偏离”、“负偏离”或“无偏离”。</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4．投标人在《商务条款偏离表》填写的“投标商务条款”与 “招标商务条款”存在填写不全的，将被视为未实质性满足招标文件要求作投标无效处理。示例，“招标商务条款”共有10项参数，投标人只响应了9项，填写不全，则视为未实质性满足招标文件要求作投标无效处理。</w:t>
      </w:r>
      <w:r>
        <w:rPr>
          <w:rFonts w:hint="eastAsia" w:ascii="Times New Roman" w:hAnsi="Times New Roman" w:cs="Times New Roman"/>
          <w:bCs/>
        </w:rPr>
        <w:t>带★招标商务要求，不允许有任何负偏离，否则将作投标无效处理。</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bCs/>
        </w:rPr>
        <w:t>5．</w:t>
      </w:r>
      <w:r>
        <w:rPr>
          <w:rFonts w:ascii="Times New Roman" w:hAnsi="Times New Roman" w:cs="Times New Roman"/>
        </w:rPr>
        <w:t>投标人所填写的“偏离情况”与评审委员会判定不一致时，以评审委员会意见为主。</w:t>
      </w:r>
    </w:p>
    <w:p>
      <w:pPr>
        <w:tabs>
          <w:tab w:val="clear" w:pos="426"/>
        </w:tabs>
        <w:spacing w:line="240" w:lineRule="auto"/>
        <w:ind w:firstLine="424" w:firstLineChars="202"/>
        <w:rPr>
          <w:rFonts w:hint="eastAsia"/>
        </w:rPr>
      </w:pPr>
      <w:r>
        <w:rPr>
          <w:rFonts w:ascii="Times New Roman" w:hAnsi="Times New Roman" w:cs="Times New Roman"/>
        </w:rPr>
        <w:t>6.交货期条款为不可负偏离条款，投标文件响应为“负偏离”的，投标文件将按无效投标处理。</w:t>
      </w: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45" w:name="_Toc6533"/>
      <w:r>
        <w:rPr>
          <w:rFonts w:hint="eastAsia"/>
          <w:b/>
          <w:sz w:val="24"/>
        </w:rPr>
        <w:t>格式13：投标人综合概况简表</w:t>
      </w:r>
      <w:bookmarkEnd w:id="145"/>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投标人综合概况简表</w:t>
      </w:r>
    </w:p>
    <w:p>
      <w:pPr>
        <w:widowControl w:val="0"/>
        <w:shd w:val="clear" w:color="auto" w:fill="auto"/>
        <w:tabs>
          <w:tab w:val="clear" w:pos="426"/>
        </w:tabs>
        <w:adjustRightInd/>
        <w:snapToGrid/>
        <w:rPr>
          <w:rFonts w:hint="eastAsia" w:cs="Arial"/>
          <w:b/>
          <w:szCs w:val="21"/>
        </w:rPr>
      </w:pPr>
      <w:r>
        <w:rPr>
          <w:rFonts w:hint="eastAsia" w:cs="Arial"/>
          <w:b/>
          <w:szCs w:val="21"/>
        </w:rPr>
        <w:t>一、</w:t>
      </w:r>
      <w:r>
        <w:rPr>
          <w:rFonts w:cs="Arial"/>
          <w:b/>
          <w:szCs w:val="21"/>
        </w:rPr>
        <w:t>公司基本情况</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hint="eastAsia" w:cs="Arial"/>
          <w:szCs w:val="21"/>
          <w:u w:val="single"/>
        </w:rPr>
        <w:t>___________________</w:t>
      </w:r>
      <w:r>
        <w:rPr>
          <w:rFonts w:cs="Arial"/>
          <w:szCs w:val="21"/>
          <w:u w:val="single"/>
        </w:rPr>
        <w:t>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公司开户银行名称及账号：</w:t>
      </w:r>
      <w:r>
        <w:rPr>
          <w:rFonts w:hint="eastAsia" w:cs="Arial"/>
          <w:szCs w:val="21"/>
          <w:u w:val="single"/>
        </w:rPr>
        <w:t>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营业注册执照号：</w:t>
      </w:r>
      <w:r>
        <w:rPr>
          <w:rFonts w:hint="eastAsia" w:cs="Arial"/>
          <w:szCs w:val="21"/>
          <w:u w:val="single"/>
        </w:rPr>
        <w:t>________________________________________________________________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公司简介</w:t>
      </w:r>
    </w:p>
    <w:p>
      <w:pPr>
        <w:tabs>
          <w:tab w:val="clear" w:pos="426"/>
        </w:tabs>
        <w:ind w:firstLine="426"/>
        <w:rPr>
          <w:rFonts w:hint="eastAsia"/>
        </w:rPr>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hint="eastAsia" w:cs="Arial"/>
          <w:szCs w:val="21"/>
        </w:rPr>
      </w:pPr>
      <w:r>
        <w:rPr>
          <w:rFonts w:hint="eastAsia"/>
        </w:rPr>
        <w:t>图片描述：</w:t>
      </w:r>
      <w:r>
        <w:rPr>
          <w:rFonts w:hint="eastAsia"/>
          <w:bCs/>
          <w:szCs w:val="21"/>
          <w:lang w:val="en-GB"/>
        </w:rPr>
        <w:t>经营场所、主要或关键产品介绍、生产场所及服务流程等。</w:t>
      </w:r>
    </w:p>
    <w:p>
      <w:pPr>
        <w:tabs>
          <w:tab w:val="clear" w:pos="426"/>
        </w:tabs>
        <w:spacing w:line="440" w:lineRule="exact"/>
        <w:rPr>
          <w:rFonts w:hint="eastAsia"/>
          <w:b/>
          <w:bCs/>
        </w:rPr>
      </w:pPr>
    </w:p>
    <w:p>
      <w:pPr>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6" w:name="_Toc22664"/>
      <w:r>
        <w:rPr>
          <w:rFonts w:hint="eastAsia"/>
          <w:b/>
          <w:sz w:val="24"/>
        </w:rPr>
        <w:t>格式14：企业类型声明函</w:t>
      </w:r>
      <w:bookmarkEnd w:id="146"/>
    </w:p>
    <w:p>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2.该部分内容填写需要参考的相关文件（</w:t>
      </w:r>
      <w:r>
        <w:rPr>
          <w:rStyle w:val="141"/>
          <w:rFonts w:ascii="Times New Roman" w:hAnsi="Times New Roman" w:cs="Times New Roman"/>
          <w:color w:val="auto"/>
        </w:rPr>
        <w:t>-</w:t>
      </w:r>
      <w:r>
        <w:fldChar w:fldCharType="begin"/>
      </w:r>
      <w:r>
        <w:instrText xml:space="preserve"> HYPERLINK "http://www.szsszx.com/Files/Editor/file/202106041655230146.rar" </w:instrText>
      </w:r>
      <w:r>
        <w:fldChar w:fldCharType="separate"/>
      </w:r>
      <w:r>
        <w:rPr>
          <w:rStyle w:val="141"/>
          <w:rFonts w:ascii="Times New Roman" w:hAnsi="Times New Roman" w:cs="Times New Roman"/>
          <w:bCs/>
          <w:color w:val="auto"/>
          <w:szCs w:val="21"/>
        </w:rPr>
        <w:t>点此下载</w:t>
      </w:r>
      <w:r>
        <w:rPr>
          <w:rStyle w:val="141"/>
          <w:rFonts w:ascii="Times New Roman" w:hAnsi="Times New Roman" w:cs="Times New Roman"/>
          <w:bCs/>
          <w:color w:val="auto"/>
          <w:szCs w:val="21"/>
        </w:rPr>
        <w:fldChar w:fldCharType="end"/>
      </w:r>
      <w:r>
        <w:rPr>
          <w:rStyle w:val="141"/>
          <w:rFonts w:ascii="Times New Roman" w:hAnsi="Times New Roman" w:cs="Times New Roman"/>
          <w:color w:val="auto"/>
        </w:rPr>
        <w:t>-</w:t>
      </w:r>
      <w:r>
        <w:rPr>
          <w:rFonts w:ascii="Times New Roman" w:hAnsi="Times New Roman" w:cs="Times New Roman"/>
          <w:bCs/>
          <w:szCs w:val="21"/>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（1）财政部《关于印发&lt;政府采购促进中小企业发展管理办法&gt;的通知》（财库〔2020〕46号）；</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2</w:t>
      </w:r>
      <w:r>
        <w:rPr>
          <w:rFonts w:ascii="Times New Roman" w:hAnsi="Times New Roman" w:cs="Times New Roman"/>
          <w:bCs/>
          <w:szCs w:val="21"/>
        </w:rPr>
        <w:t xml:space="preserve">）《工业和信息化部、国家统计局、国家发展和改革委员会、财政部关于印发中小企业划型标准规定的通知》（工信部联企业〔2011〕300号）。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3.请依照提供的格式和内容填写声明函，不要随意变更格式或增删内容；满足多项优惠政策的企业，不重复享受多项价格扣除政策。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4.声明函具体填写要求：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（1）声明是中小企业须填写《中小企业声明函》的以下五项内容（填写位置的字体已加粗）：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第一处，在下划线上如实填写中型或小型或微型；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第二处，在下划线上如实填写中型或小型或微型；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第三处，在“采购单位名称”下划线处填写本项目的实际采购单位名称（深圳市深水水务咨询有限公司不是本项目的采购单位，而是本项目的组织实施机构）；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第四处，在“采购项目名称”下划线处填写本项目的实际项目名称（项目名称可在招标公告处查看）；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第五处，在“□本企业制造的货物” 或“□提供其他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企业（请填写：中型、小型、微型）制造的货物”两处中选择一处打√；如选择在“□提供其他</w:t>
      </w:r>
      <w:r>
        <w:rPr>
          <w:rFonts w:ascii="Times New Roman" w:hAnsi="Times New Roman" w:cs="Times New Roman"/>
          <w:bCs/>
          <w:szCs w:val="21"/>
          <w:u w:val="single"/>
        </w:rPr>
        <w:t>______</w:t>
      </w:r>
      <w:r>
        <w:rPr>
          <w:rFonts w:ascii="Times New Roman" w:hAnsi="Times New Roman" w:cs="Times New Roman"/>
          <w:bCs/>
          <w:szCs w:val="21"/>
        </w:rPr>
        <w:t xml:space="preserve">企业（请填写：中型、小型、微型）制造的货物”一处打√，还须在此下划线处如实填写中型或小型或微型；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同时请注意：“□本企业制造的货物” 、“□提供其他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pacing w:line="240" w:lineRule="auto"/>
        <w:ind w:firstLine="422" w:firstLineChars="200"/>
        <w:rPr>
          <w:rFonts w:ascii="Times New Roman" w:hAnsi="Times New Roman" w:cs="Times New Roman"/>
          <w:b/>
          <w:bCs/>
        </w:rPr>
      </w:pPr>
      <w:r>
        <w:rPr>
          <w:rFonts w:ascii="Times New Roman" w:hAnsi="Times New Roman" w:cs="Times New Roman"/>
          <w:b/>
          <w:bCs/>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（2）声明是监狱企业须填写《监狱企业声明函》的三项内容（填写位置的字体已加粗），具体参照以上《中小企业声明函》填写要求执行。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5.声明函的有效性最终由评审委员会判定。</w:t>
      </w:r>
      <w:r>
        <w:rPr>
          <w:rFonts w:ascii="Times New Roman" w:hAnsi="Times New Roman" w:cs="Times New Roman"/>
          <w:szCs w:val="21"/>
        </w:rPr>
        <w:br w:type="page"/>
      </w: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（一）中小企业声明函（样表）</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本公司郑重声明，根据《关于印发&lt;政府采购促进中小企业发展管理办法&gt;的通知》（财库〔2020〕46号）的规定，本公司（联合体）参加</w:t>
      </w:r>
      <w:r>
        <w:rPr>
          <w:rFonts w:hint="eastAsia" w:ascii="Times New Roman" w:hAnsi="Times New Roman" w:cs="Times New Roman"/>
          <w:b/>
          <w:bCs/>
          <w:szCs w:val="21"/>
          <w:u w:val="single"/>
        </w:rPr>
        <w:t xml:space="preserve"> </w:t>
      </w:r>
      <w:r>
        <w:rPr>
          <w:rFonts w:ascii="Times New Roman" w:hAnsi="Times New Roman" w:cs="Times New Roman"/>
          <w:b/>
          <w:bCs/>
          <w:szCs w:val="21"/>
          <w:u w:val="single"/>
        </w:rPr>
        <w:t xml:space="preserve">(采购单位名称) </w:t>
      </w:r>
      <w:r>
        <w:rPr>
          <w:rFonts w:ascii="Times New Roman" w:hAnsi="Times New Roman" w:cs="Times New Roman"/>
          <w:szCs w:val="21"/>
        </w:rPr>
        <w:t>的</w:t>
      </w:r>
      <w:r>
        <w:rPr>
          <w:rFonts w:ascii="Times New Roman" w:hAnsi="Times New Roman" w:cs="Times New Roman"/>
          <w:b/>
          <w:bCs/>
          <w:szCs w:val="21"/>
          <w:u w:val="single"/>
        </w:rPr>
        <w:t>（采购项目名称）</w:t>
      </w:r>
      <w:r>
        <w:rPr>
          <w:rFonts w:hint="eastAsia" w:ascii="Times New Roman" w:hAnsi="Times New Roman" w:cs="Times New Roman"/>
          <w:b/>
          <w:bCs/>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w:t>
      </w:r>
      <w:r>
        <w:rPr>
          <w:rFonts w:ascii="Times New Roman" w:hAnsi="Times New Roman" w:cs="Times New Roman"/>
          <w:b/>
          <w:bCs/>
          <w:szCs w:val="21"/>
        </w:rPr>
        <w:t>货物类：提供的货物全部由符合政策要求的中小企业制造。</w:t>
      </w:r>
      <w:r>
        <w:rPr>
          <w:rFonts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万元1，属于（中型企业、小型企业、微型企业）；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企业名称（盖章）：</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日期：</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备注：1、从业人员、营业收入、资产总额填报上一年度数据，无上一年度数据的新成立企业可不填报。</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二</w:t>
      </w:r>
      <w:r>
        <w:rPr>
          <w:rFonts w:ascii="Times New Roman" w:hAnsi="Times New Roman" w:cs="Times New Roman"/>
          <w:b/>
          <w:sz w:val="32"/>
          <w:szCs w:val="32"/>
        </w:rPr>
        <w:t>）省级以上监狱管理局、戒毒管理局（含新疆生产建设兵团）出具的属于监狱企业的证明文件（样表）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w:t>
      </w:r>
      <w:r>
        <w:rPr>
          <w:rFonts w:ascii="Times New Roman" w:hAnsi="Times New Roman" w:cs="Times New Roman"/>
          <w:b/>
          <w:bCs/>
          <w:szCs w:val="21"/>
        </w:rPr>
        <w:t>;□提供其他监狱企业制造的货物（承诺人在□处打√）</w:t>
      </w:r>
      <w:r>
        <w:rPr>
          <w:rFonts w:ascii="Times New Roman" w:hAnsi="Times New Roman" w:cs="Times New Roman"/>
          <w:szCs w:val="21"/>
        </w:rPr>
        <w:t>。本条所称货物是指单一产品采购项目中的货物，或者非单一产品采购项目中的核心产品（货物）。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三</w:t>
      </w:r>
      <w:r>
        <w:rPr>
          <w:rFonts w:ascii="Times New Roman" w:hAnsi="Times New Roman" w:cs="Times New Roman"/>
          <w:b/>
          <w:sz w:val="32"/>
          <w:szCs w:val="32"/>
        </w:rPr>
        <w:t>）含有小型、微型企业的联合体声明函（样表）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（供应商名称、供应商名称）</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（请填写：中型、小型、微型）企业；□联合体各方均为小微企业（承诺人在□处打√）。</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2.本联合体参加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%（该合同金额为：</w:t>
      </w:r>
      <w:r>
        <w:rPr>
          <w:rFonts w:ascii="Times New Roman" w:hAnsi="Times New Roman" w:cs="Times New Roman"/>
          <w:b/>
          <w:bCs/>
          <w:szCs w:val="21"/>
        </w:rPr>
        <w:t>□小微企业制造的货物</w:t>
      </w:r>
      <w:r>
        <w:rPr>
          <w:rFonts w:ascii="Times New Roman" w:hAnsi="Times New Roman" w:cs="Times New Roman"/>
          <w:szCs w:val="21"/>
        </w:rPr>
        <w:t>，□小微企业承担的工程、提供服务，</w:t>
      </w:r>
      <w:r>
        <w:rPr>
          <w:rFonts w:ascii="Times New Roman" w:hAnsi="Times New Roman" w:cs="Times New Roman"/>
          <w:b/>
          <w:bCs/>
          <w:szCs w:val="21"/>
        </w:rPr>
        <w:t>□提供其他小微企业制造的货物；不包括使用大型企业注册商标的货物</w:t>
      </w:r>
      <w:r>
        <w:rPr>
          <w:rFonts w:ascii="Times New Roman" w:hAnsi="Times New Roman" w:cs="Times New Roman"/>
          <w:szCs w:val="21"/>
        </w:rPr>
        <w:t>；请承诺人在□处打√），符合《政府采购促进中小企业发展暂行办法》(财库〔2011〕181</w:t>
      </w:r>
      <w:r>
        <w:rPr>
          <w:rFonts w:ascii="Times New Roman" w:hAnsi="Times New Roman" w:cs="Times New Roman"/>
          <w:szCs w:val="21"/>
          <w:u w:val="single"/>
        </w:rPr>
        <w:t>_</w:t>
      </w:r>
      <w:r>
        <w:rPr>
          <w:rFonts w:ascii="Times New Roman" w:hAnsi="Times New Roman" w:cs="Times New Roman"/>
          <w:szCs w:val="21"/>
        </w:rPr>
        <w:t>号)第六条规定的优惠政策。本联合体对上述声明的真实性负责。如有虚假，将依法承担相应责任。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企业1名称（盖章）：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企业2名称（盖章）：</w:t>
      </w:r>
      <w:r>
        <w:rPr>
          <w:rFonts w:ascii="Times New Roman" w:hAnsi="Times New Roman" w:cs="Times New Roman"/>
          <w:szCs w:val="21"/>
          <w:u w:val="single"/>
        </w:rPr>
        <w:t>_______________________</w:t>
      </w:r>
    </w:p>
    <w:p>
      <w:pPr>
        <w:tabs>
          <w:tab w:val="clear" w:pos="426"/>
        </w:tabs>
        <w:spacing w:line="240" w:lineRule="auto"/>
        <w:ind w:left="424" w:leftChars="202"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pPr>
        <w:rPr>
          <w:rFonts w:hint="eastAsia"/>
          <w:szCs w:val="21"/>
        </w:rPr>
      </w:pPr>
      <w:r>
        <w:rPr>
          <w:rFonts w:hint="eastAsia"/>
          <w:szCs w:val="21"/>
        </w:rPr>
        <w:br w:type="page"/>
      </w:r>
    </w:p>
    <w:p>
      <w:pPr>
        <w:adjustRightInd/>
        <w:snapToGrid/>
        <w:spacing w:before="280" w:after="290" w:line="377" w:lineRule="auto"/>
        <w:outlineLvl w:val="2"/>
        <w:rPr>
          <w:rFonts w:hint="eastAsia"/>
          <w:b/>
          <w:sz w:val="24"/>
        </w:rPr>
      </w:pPr>
      <w:bookmarkStart w:id="147" w:name="_Toc17528"/>
      <w:r>
        <w:rPr>
          <w:rFonts w:hint="eastAsia"/>
          <w:b/>
          <w:sz w:val="24"/>
        </w:rPr>
        <w:t>格式15：残疾人福利性单位声明函</w:t>
      </w:r>
      <w:bookmarkEnd w:id="147"/>
    </w:p>
    <w:p>
      <w:pPr>
        <w:tabs>
          <w:tab w:val="clear" w:pos="426"/>
        </w:tabs>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填写指引：声明是残疾人福利性单位须填写《残疾人福利性单位声明函》的三项内容（填写位置的字体已加粗），具体参照以上《中小企业声明函》填写要求执行。</w:t>
      </w:r>
    </w:p>
    <w:p>
      <w:pPr>
        <w:rPr>
          <w:rFonts w:hint="eastAsia"/>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残疾人福利性单位声明函（样表）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本单位郑重声明，根据《财政部民政部中国残疾人联合会关于促进残疾人就业政府采购政策的通知》（财库〔2017〕141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tabs>
          <w:tab w:val="clear" w:pos="426"/>
        </w:tabs>
        <w:spacing w:line="440" w:lineRule="exact"/>
        <w:rPr>
          <w:rFonts w:hint="eastAsia"/>
          <w:b/>
          <w:bCs/>
        </w:rPr>
      </w:pP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8" w:name="_Toc14001"/>
      <w:r>
        <w:rPr>
          <w:rFonts w:hint="eastAsia"/>
          <w:b/>
          <w:sz w:val="24"/>
        </w:rPr>
        <w:t>格式16：同类项目业绩情况</w:t>
      </w:r>
      <w:bookmarkEnd w:id="148"/>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21"/>
        <w:gridCol w:w="1487"/>
        <w:gridCol w:w="14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序号</w:t>
            </w:r>
          </w:p>
        </w:tc>
        <w:tc>
          <w:tcPr>
            <w:tcW w:w="2021" w:type="dxa"/>
            <w:vAlign w:val="center"/>
          </w:tcPr>
          <w:p>
            <w:pPr>
              <w:widowControl w:val="0"/>
              <w:shd w:val="clear" w:color="auto" w:fill="auto"/>
              <w:tabs>
                <w:tab w:val="clear" w:pos="426"/>
              </w:tabs>
              <w:spacing w:line="240" w:lineRule="auto"/>
              <w:jc w:val="center"/>
              <w:rPr>
                <w:rFonts w:hint="eastAsia"/>
                <w:b/>
                <w:bCs/>
              </w:rPr>
            </w:pPr>
            <w:r>
              <w:rPr>
                <w:rFonts w:hint="eastAsia"/>
                <w:b/>
                <w:bCs/>
              </w:rPr>
              <w:t>项目名称</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合同金额</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签约日期</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完工验收结果</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1</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2</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3</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bl>
    <w:p>
      <w:pPr>
        <w:tabs>
          <w:tab w:val="clear" w:pos="426"/>
        </w:tabs>
        <w:spacing w:line="440" w:lineRule="exact"/>
        <w:rPr>
          <w:rFonts w:hint="eastAsia"/>
          <w:b/>
          <w:bCs/>
        </w:rPr>
      </w:pPr>
      <w:r>
        <w:rPr>
          <w:rFonts w:hint="eastAsia"/>
          <w:b/>
          <w:bCs/>
        </w:rPr>
        <w:t>备注：1.以上表格格式可根据评审表的要求调整，业绩证明材料及其他相关资料附后。</w:t>
      </w: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9" w:name="_Toc27416"/>
      <w:r>
        <w:rPr>
          <w:rFonts w:hint="eastAsia"/>
          <w:b/>
          <w:sz w:val="24"/>
        </w:rPr>
        <w:t>格式17：相关认证情况</w:t>
      </w:r>
      <w:bookmarkEnd w:id="149"/>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bookmarkEnd w:id="104"/>
      <w:bookmarkEnd w:id="105"/>
      <w:bookmarkEnd w:id="106"/>
      <w:bookmarkEnd w:id="107"/>
    </w:p>
    <w:p>
      <w:pPr>
        <w:pStyle w:val="81"/>
        <w:tabs>
          <w:tab w:val="clear" w:pos="426"/>
        </w:tabs>
      </w:pPr>
      <w:r>
        <w:br w:type="page"/>
      </w:r>
      <w:bookmarkStart w:id="150" w:name="_Toc530152521"/>
      <w:bookmarkStart w:id="151" w:name="_Toc14427253"/>
      <w:bookmarkStart w:id="152" w:name="_Toc25882"/>
      <w:r>
        <w:rPr>
          <w:rFonts w:hint="eastAsia"/>
        </w:rPr>
        <w:t>招标文件第二册（通用</w:t>
      </w:r>
      <w:bookmarkEnd w:id="150"/>
      <w:bookmarkEnd w:id="151"/>
      <w:r>
        <w:rPr>
          <w:rFonts w:hint="eastAsia"/>
        </w:rPr>
        <w:t>部分）</w:t>
      </w:r>
      <w:bookmarkEnd w:id="152"/>
    </w:p>
    <w:p>
      <w:pPr>
        <w:jc w:val="center"/>
        <w:rPr>
          <w:rFonts w:hint="eastAsia"/>
          <w:b/>
        </w:rPr>
      </w:pPr>
      <w:r>
        <w:rPr>
          <w:rFonts w:hint="eastAsia"/>
          <w:b/>
        </w:rPr>
        <w:t>（投标供应商须知）</w:t>
      </w:r>
    </w:p>
    <w:p>
      <w:pPr>
        <w:pStyle w:val="5"/>
        <w:rPr>
          <w:rFonts w:hint="eastAsia"/>
        </w:rPr>
      </w:pPr>
      <w:bookmarkStart w:id="153" w:name="_Toc14427254"/>
      <w:bookmarkStart w:id="154" w:name="_Toc529280581"/>
      <w:bookmarkStart w:id="155" w:name="_Toc18466"/>
      <w:bookmarkStart w:id="156" w:name="_Toc530152522"/>
      <w:r>
        <w:rPr>
          <w:rFonts w:hint="eastAsia"/>
        </w:rPr>
        <w:t>第一章 总则</w:t>
      </w:r>
      <w:bookmarkEnd w:id="153"/>
      <w:bookmarkEnd w:id="154"/>
      <w:bookmarkEnd w:id="155"/>
      <w:bookmarkEnd w:id="156"/>
    </w:p>
    <w:p>
      <w:pPr>
        <w:tabs>
          <w:tab w:val="clear" w:pos="426"/>
        </w:tabs>
        <w:rPr>
          <w:rFonts w:hint="eastAsia"/>
        </w:rPr>
      </w:pPr>
      <w:r>
        <w:rPr>
          <w:rFonts w:hint="eastAsia"/>
        </w:rPr>
        <w:t>1.通用条款说明</w:t>
      </w:r>
    </w:p>
    <w:p>
      <w:pPr>
        <w:tabs>
          <w:tab w:val="clear" w:pos="426"/>
        </w:tabs>
        <w:rPr>
          <w:rFonts w:hint="eastAsia"/>
        </w:rPr>
      </w:pPr>
      <w:r>
        <w:rPr>
          <w:rFonts w:hint="eastAsia"/>
        </w:rPr>
        <w:t>1.1采购代理机构发出招标文件通用条款版本，列出采购项目进行招标采购所适用的通用条款内容。如有需要，采购代理机构可以对这些条款增加附录或补充内容。</w:t>
      </w:r>
    </w:p>
    <w:p>
      <w:pPr>
        <w:tabs>
          <w:tab w:val="clear" w:pos="426"/>
        </w:tabs>
        <w:rPr>
          <w:rFonts w:hint="eastAsia"/>
        </w:rPr>
      </w:pPr>
      <w:r>
        <w:rPr>
          <w:rFonts w:hint="eastAsia"/>
        </w:rPr>
        <w:t>2</w:t>
      </w:r>
      <w:r>
        <w:t>．</w:t>
      </w:r>
      <w:r>
        <w:rPr>
          <w:rFonts w:hint="eastAsia"/>
        </w:rPr>
        <w:t>招标说明</w:t>
      </w:r>
    </w:p>
    <w:p>
      <w:pPr>
        <w:tabs>
          <w:tab w:val="clear" w:pos="426"/>
        </w:tabs>
        <w:rPr>
          <w:rFonts w:hint="eastAsia"/>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pPr>
        <w:tabs>
          <w:tab w:val="clear" w:pos="426"/>
        </w:tabs>
        <w:rPr>
          <w:rFonts w:hint="eastAsia"/>
          <w:szCs w:val="21"/>
        </w:rPr>
      </w:pPr>
      <w:r>
        <w:rPr>
          <w:rFonts w:hint="eastAsia"/>
          <w:szCs w:val="21"/>
        </w:rPr>
        <w:t>本招标文件的解释权归属深圳市深水水务咨询有限公司。</w:t>
      </w:r>
    </w:p>
    <w:p>
      <w:pPr>
        <w:tabs>
          <w:tab w:val="clear" w:pos="426"/>
        </w:tabs>
        <w:rPr>
          <w:rFonts w:hint="eastAsia"/>
        </w:rPr>
      </w:pPr>
      <w:r>
        <w:t>3．定义</w:t>
      </w:r>
    </w:p>
    <w:p>
      <w:pPr>
        <w:tabs>
          <w:tab w:val="clear" w:pos="426"/>
        </w:tabs>
        <w:rPr>
          <w:rFonts w:hint="eastAsia"/>
        </w:rPr>
      </w:pPr>
      <w:r>
        <w:t>招标文件中下列术语应解释为：</w:t>
      </w:r>
    </w:p>
    <w:p>
      <w:pPr>
        <w:tabs>
          <w:tab w:val="clear" w:pos="426"/>
        </w:tabs>
        <w:rPr>
          <w:rFonts w:hint="eastAsia"/>
        </w:rPr>
      </w:pPr>
      <w:r>
        <w:rPr>
          <w:szCs w:val="21"/>
        </w:rPr>
        <w:t>3.1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rPr>
          <w:rFonts w:hint="eastAsia"/>
        </w:rPr>
      </w:pPr>
      <w:r>
        <w:t xml:space="preserve">3.2“采购人”或“采购单位”：系指利用财政性资金依法进行采购的国家机关、事业单位、团体组织； </w:t>
      </w:r>
    </w:p>
    <w:p>
      <w:pPr>
        <w:tabs>
          <w:tab w:val="clear" w:pos="426"/>
        </w:tabs>
        <w:rPr>
          <w:rFonts w:hint="eastAsia"/>
        </w:rPr>
      </w:pPr>
      <w:r>
        <w:t>3.3“投标供应商”或“投标方”，即供应商，是指参加投标竞争并愿意按照招标文件要求向采购人提供货物、工程或者服务的依法成立的法人、其他组织或者自然人；</w:t>
      </w:r>
    </w:p>
    <w:p>
      <w:pPr>
        <w:tabs>
          <w:tab w:val="clear" w:pos="426"/>
        </w:tabs>
        <w:rPr>
          <w:rFonts w:hint="eastAsia"/>
        </w:rPr>
      </w:pPr>
      <w:r>
        <w:t>3.4“评标委员会”和“谈判小组”是依据有关规定组建的专门负责本次招标其评标（谈判）工作的临时性机构；</w:t>
      </w:r>
    </w:p>
    <w:p>
      <w:pPr>
        <w:tabs>
          <w:tab w:val="clear" w:pos="426"/>
        </w:tabs>
        <w:rPr>
          <w:rFonts w:hint="eastAsia"/>
        </w:rPr>
      </w:pPr>
      <w:r>
        <w:t>3.5“日期”指</w:t>
      </w:r>
      <w:r>
        <w:rPr>
          <w:rFonts w:hint="eastAsia"/>
        </w:rPr>
        <w:t>公历日；</w:t>
      </w:r>
    </w:p>
    <w:p>
      <w:pPr>
        <w:tabs>
          <w:tab w:val="clear" w:pos="426"/>
        </w:tabs>
        <w:rPr>
          <w:rFonts w:hint="eastAsia"/>
        </w:rPr>
      </w:pPr>
      <w:r>
        <w:t>3.6“合同”指由本次招标所产生的合同或合约文件；</w:t>
      </w:r>
    </w:p>
    <w:p>
      <w:pPr>
        <w:tabs>
          <w:tab w:val="clear" w:pos="426"/>
        </w:tabs>
        <w:rPr>
          <w:rFonts w:hint="eastAsia"/>
        </w:rPr>
      </w:pPr>
      <w:r>
        <w:t>3.7招标文件中的标题或题名仅起引导作用，而不应视为对招标文件内容的理解和解释。</w:t>
      </w:r>
    </w:p>
    <w:p>
      <w:pPr>
        <w:tabs>
          <w:tab w:val="clear" w:pos="426"/>
        </w:tabs>
        <w:rPr>
          <w:rFonts w:hint="eastAsia"/>
        </w:rPr>
      </w:pPr>
      <w:r>
        <w:t>4.</w:t>
      </w:r>
      <w:r>
        <w:rPr>
          <w:rFonts w:hint="eastAsia"/>
        </w:rPr>
        <w:t>供应商责任</w:t>
      </w:r>
    </w:p>
    <w:p>
      <w:pPr>
        <w:tabs>
          <w:tab w:val="clear" w:pos="426"/>
        </w:tabs>
        <w:rPr>
          <w:rFonts w:hint="eastAsia"/>
        </w:rPr>
      </w:pPr>
      <w:r>
        <w:t>4.1欢迎诚信、有实力和有社会责任心的供应商参与采购事业。</w:t>
      </w:r>
    </w:p>
    <w:p>
      <w:pPr>
        <w:tabs>
          <w:tab w:val="clear" w:pos="426"/>
        </w:tabs>
        <w:rPr>
          <w:rFonts w:hint="eastAsia"/>
        </w:rPr>
      </w:pPr>
      <w: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rFonts w:hint="eastAsia"/>
        </w:rPr>
      </w:pPr>
      <w:r>
        <w:t>5．合格的投标供应商</w:t>
      </w:r>
    </w:p>
    <w:p>
      <w:pPr>
        <w:widowControl w:val="0"/>
        <w:shd w:val="clear" w:color="auto" w:fill="auto"/>
        <w:tabs>
          <w:tab w:val="clear" w:pos="426"/>
        </w:tabs>
        <w:autoSpaceDE w:val="0"/>
        <w:autoSpaceDN w:val="0"/>
        <w:rPr>
          <w:rFonts w:hint="eastAsia"/>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rFonts w:hint="eastAsia"/>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rFonts w:hint="eastAsia"/>
          <w:szCs w:val="21"/>
        </w:rPr>
      </w:pPr>
      <w:r>
        <w:rPr>
          <w:szCs w:val="21"/>
        </w:rPr>
        <w:t>5.2.1 具有独立承担民事责任的能力。</w:t>
      </w:r>
    </w:p>
    <w:p>
      <w:pPr>
        <w:widowControl w:val="0"/>
        <w:shd w:val="clear" w:color="auto" w:fill="auto"/>
        <w:tabs>
          <w:tab w:val="clear" w:pos="426"/>
        </w:tabs>
        <w:autoSpaceDE w:val="0"/>
        <w:autoSpaceDN w:val="0"/>
        <w:rPr>
          <w:rFonts w:hint="eastAsia"/>
          <w:szCs w:val="21"/>
        </w:rPr>
      </w:pPr>
      <w:r>
        <w:rPr>
          <w:szCs w:val="21"/>
        </w:rPr>
        <w:t>5.2.2 具有良好的商业信誉和健全的财务会计制度</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5.2.3 具有履行合同所必需的</w:t>
      </w:r>
      <w:r>
        <w:rPr>
          <w:rFonts w:hint="eastAsia"/>
          <w:szCs w:val="21"/>
        </w:rPr>
        <w:t>设备</w:t>
      </w:r>
      <w:r>
        <w:rPr>
          <w:szCs w:val="21"/>
        </w:rPr>
        <w:t>和专业技术能力</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5.2.4 有依法缴纳税收和社会保障资金的良好记录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5.2.5 参加采购活动前三年内，在经营活动中没有重大违法记录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5.2.6 法律、行政法规规定的其他条件</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rFonts w:hint="eastAsia"/>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rFonts w:hint="eastAsia"/>
          <w:szCs w:val="21"/>
        </w:rPr>
      </w:pPr>
      <w:r>
        <w:rPr>
          <w:szCs w:val="21"/>
        </w:rPr>
        <w:t xml:space="preserve">5.2.9 </w:t>
      </w:r>
      <w:r>
        <w:rPr>
          <w:rFonts w:hint="eastAsia"/>
          <w:szCs w:val="21"/>
        </w:rPr>
        <w:t>符合</w:t>
      </w:r>
      <w:r>
        <w:rPr>
          <w:rFonts w:hint="eastAsia" w:cs="黑体"/>
          <w:szCs w:val="21"/>
        </w:rPr>
        <w:t>第一章采购公告“投标供应商资格要求”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rFonts w:hint="eastAsia"/>
          <w:szCs w:val="21"/>
        </w:rPr>
      </w:pPr>
      <w:r>
        <w:rPr>
          <w:szCs w:val="21"/>
        </w:rPr>
        <w:t xml:space="preserve">5.3 </w:t>
      </w:r>
      <w:r>
        <w:rPr>
          <w:rFonts w:hint="eastAsia"/>
          <w:szCs w:val="21"/>
        </w:rPr>
        <w:t>中标供应商是指经法定程序确定并授予合同的投标供应商。</w:t>
      </w:r>
    </w:p>
    <w:p>
      <w:pPr>
        <w:tabs>
          <w:tab w:val="clear" w:pos="426"/>
        </w:tabs>
        <w:rPr>
          <w:rFonts w:hint="eastAsia"/>
        </w:rPr>
      </w:pPr>
      <w:r>
        <w:t>6．联合体投标</w:t>
      </w:r>
    </w:p>
    <w:p>
      <w:pPr>
        <w:tabs>
          <w:tab w:val="clear" w:pos="426"/>
        </w:tabs>
        <w:rPr>
          <w:rFonts w:hint="eastAsia"/>
        </w:rPr>
      </w:pPr>
      <w:r>
        <w:t>6.1　以下有关联合体投标的条款仅适用于允许投标供应商组成联合体投标的项目。</w:t>
      </w:r>
    </w:p>
    <w:p>
      <w:pPr>
        <w:tabs>
          <w:tab w:val="clear" w:pos="426"/>
        </w:tabs>
        <w:rPr>
          <w:rFonts w:hint="eastAsia"/>
        </w:rPr>
      </w:pPr>
      <w:r>
        <w:t>6.2　由两个或两个以上的自然人、法人或者其他组织可以组成一个联合体，以一个供应商的身份共同投标时，应符合以下原则：</w:t>
      </w:r>
    </w:p>
    <w:p>
      <w:pPr>
        <w:tabs>
          <w:tab w:val="clear" w:pos="426"/>
        </w:tabs>
        <w:rPr>
          <w:rFonts w:hint="eastAsia"/>
        </w:rPr>
      </w:pPr>
      <w:r>
        <w:t>6.2.</w:t>
      </w:r>
      <w:r>
        <w:rPr>
          <w:bCs/>
        </w:rPr>
        <w:t>1投标联合体应满足采购公告有关投标供应商资格要求中对联合体的要求；</w:t>
      </w:r>
    </w:p>
    <w:p>
      <w:pPr>
        <w:tabs>
          <w:tab w:val="clear" w:pos="426"/>
        </w:tabs>
        <w:rPr>
          <w:rFonts w:hint="eastAsia"/>
        </w:rPr>
      </w:pPr>
      <w:r>
        <w:t>6.2.2对于采购公告中所要求投标供应商应具有的某一资质，若联合体各方均具有，则将以联合体各方中最低的资质等级作为联合体在这一资质条件上的资质等级；联合体各方的不同资质可优势互补。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rFonts w:hint="eastAsia"/>
        </w:rPr>
      </w:pPr>
      <w:r>
        <w:t>6.2.3投标供应商的投标文件及中标后签署的合同协议对联合体各方均具法律约束力；</w:t>
      </w:r>
    </w:p>
    <w:p>
      <w:pPr>
        <w:tabs>
          <w:tab w:val="clear" w:pos="426"/>
        </w:tabs>
        <w:rPr>
          <w:rFonts w:hint="eastAsia"/>
        </w:rPr>
      </w:pPr>
      <w:r>
        <w:t>6.2.4联合体各方应当签订共同投标协议，明确约定各方拟承担的工作和责任，并将该共同投标协议随投标文件一并递交给代理机构；</w:t>
      </w:r>
    </w:p>
    <w:p>
      <w:pPr>
        <w:tabs>
          <w:tab w:val="clear" w:pos="426"/>
        </w:tabs>
        <w:rPr>
          <w:rFonts w:hint="eastAsia"/>
        </w:rPr>
      </w:pPr>
      <w:r>
        <w:t>6.2.5联合体的各方应当共同推荐一联合体投标授权代表人，由联合体各方提交一份授权书，证明其有资格代表联合体各方签署投标文件，该授权书作为投标文件的组成部分一并提交给代理机构；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rFonts w:hint="eastAsia"/>
        </w:rPr>
      </w:pPr>
      <w: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rFonts w:hint="eastAsia"/>
        </w:rPr>
      </w:pPr>
      <w:r>
        <w:t>6.2.7除非另有规定或说明，本须知中“投标供应商”一词亦指联合体各方。</w:t>
      </w:r>
    </w:p>
    <w:p>
      <w:pPr>
        <w:tabs>
          <w:tab w:val="clear" w:pos="426"/>
        </w:tabs>
        <w:rPr>
          <w:rFonts w:hint="eastAsia"/>
        </w:rPr>
      </w:pPr>
      <w:r>
        <w:t xml:space="preserve">7. </w:t>
      </w:r>
      <w:r>
        <w:rPr>
          <w:rFonts w:hint="eastAsia"/>
        </w:rPr>
        <w:t>合格的服务和货物</w:t>
      </w:r>
    </w:p>
    <w:p>
      <w:pPr>
        <w:widowControl w:val="0"/>
        <w:shd w:val="clear" w:color="auto" w:fill="auto"/>
        <w:tabs>
          <w:tab w:val="clear" w:pos="426"/>
        </w:tabs>
        <w:autoSpaceDE w:val="0"/>
        <w:autoSpaceDN w:val="0"/>
        <w:rPr>
          <w:rFonts w:hint="eastAsia"/>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hint="eastAsia"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rFonts w:hint="eastAsia"/>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rFonts w:hint="eastAsia"/>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rFonts w:hint="eastAsia"/>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rFonts w:hint="eastAsia"/>
        </w:rPr>
      </w:pPr>
      <w:r>
        <w:t>8．投标费用</w:t>
      </w:r>
    </w:p>
    <w:p>
      <w:pPr>
        <w:tabs>
          <w:tab w:val="clear" w:pos="426"/>
        </w:tabs>
        <w:rPr>
          <w:rFonts w:hint="eastAsia"/>
        </w:rPr>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rPr>
          <w:rFonts w:hint="eastAsia"/>
        </w:rPr>
      </w:pPr>
      <w:r>
        <w:t>9．踏勘现场</w:t>
      </w:r>
    </w:p>
    <w:p>
      <w:pPr>
        <w:tabs>
          <w:tab w:val="clear" w:pos="426"/>
        </w:tabs>
        <w:rPr>
          <w:rFonts w:hint="eastAsia"/>
        </w:rPr>
      </w:pPr>
      <w: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rPr>
          <w:rFonts w:hint="eastAsia"/>
        </w:rPr>
      </w:pPr>
      <w:r>
        <w:t>9.2投标供应商及其人员经过采购单位的允许，可以踏勘目的进入采购单位的项目现场。若本项目招标文件要求投标供应商于统一时间地点踏勘现场的，投标供应商按时前往。</w:t>
      </w:r>
    </w:p>
    <w:p>
      <w:pPr>
        <w:tabs>
          <w:tab w:val="clear" w:pos="426"/>
        </w:tabs>
        <w:rPr>
          <w:rFonts w:hint="eastAsia"/>
        </w:rPr>
      </w:pPr>
      <w:r>
        <w:t>9.3采购单位必须通过采购代理机构向投标供应商提供有关现场的资料和数据。</w:t>
      </w:r>
    </w:p>
    <w:p>
      <w:pPr>
        <w:tabs>
          <w:tab w:val="clear" w:pos="426"/>
        </w:tabs>
        <w:rPr>
          <w:rFonts w:hint="eastAsia"/>
        </w:rPr>
      </w:pPr>
      <w: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rFonts w:hint="eastAsia"/>
        </w:rPr>
      </w:pPr>
      <w:r>
        <w:t xml:space="preserve">9.5 </w:t>
      </w:r>
      <w:r>
        <w:rPr>
          <w:rFonts w:hint="eastAsia"/>
        </w:rPr>
        <w:t>未参与现场踏勘不作为否定投标供应商资格的理由。</w:t>
      </w:r>
    </w:p>
    <w:p>
      <w:pPr>
        <w:tabs>
          <w:tab w:val="clear" w:pos="426"/>
        </w:tabs>
        <w:rPr>
          <w:rFonts w:hint="eastAsia"/>
        </w:rPr>
      </w:pPr>
      <w:r>
        <w:t>10．招标答疑</w:t>
      </w:r>
    </w:p>
    <w:p>
      <w:pPr>
        <w:tabs>
          <w:tab w:val="clear" w:pos="426"/>
        </w:tabs>
        <w:rPr>
          <w:rFonts w:hint="eastAsia"/>
        </w:rPr>
      </w:pPr>
      <w:r>
        <w:t>10.1招标答疑的目的是澄清、解答投标供应商在查阅招标文件后或现场踏勘中可能提出的与投标有关的疑问或询问。</w:t>
      </w:r>
    </w:p>
    <w:p>
      <w:pPr>
        <w:tabs>
          <w:tab w:val="clear" w:pos="426"/>
        </w:tabs>
        <w:rPr>
          <w:rFonts w:hint="eastAsia"/>
        </w:rPr>
      </w:pPr>
      <w:r>
        <w:t xml:space="preserve">10.2投标供应商提出的与投标有关的问题须在招标文件规定的答疑截止时间前以 </w:t>
      </w:r>
      <w:r>
        <w:rPr>
          <w:rFonts w:hint="eastAsia"/>
        </w:rPr>
        <w:t>“质疑函</w:t>
      </w:r>
      <w:r>
        <w:t>”</w:t>
      </w:r>
      <w:r>
        <w:rPr>
          <w:rFonts w:hint="eastAsia"/>
        </w:rPr>
        <w:t>的形式提交给采购代理机构，质疑函应该加盖质疑单位公章。</w:t>
      </w:r>
    </w:p>
    <w:p>
      <w:pPr>
        <w:tabs>
          <w:tab w:val="clear" w:pos="426"/>
        </w:tabs>
        <w:rPr>
          <w:rFonts w:hint="eastAsia"/>
        </w:rPr>
      </w:pPr>
      <w:r>
        <w:t>10.3采购代理机构对疑问所做出的澄清和解答，以书面答复（包括网站发布信息）为准。答疑纪要的有效性规定按照本通用条款第13.3</w:t>
      </w:r>
      <w:r>
        <w:rPr>
          <w:rFonts w:hint="eastAsia"/>
        </w:rPr>
        <w:t>、</w:t>
      </w:r>
      <w:r>
        <w:t>13.4</w:t>
      </w:r>
      <w:r>
        <w:rPr>
          <w:rFonts w:hint="eastAsia"/>
        </w:rPr>
        <w:t>款规定执行。</w:t>
      </w:r>
    </w:p>
    <w:p>
      <w:pPr>
        <w:tabs>
          <w:tab w:val="clear" w:pos="426"/>
        </w:tabs>
        <w:rPr>
          <w:rFonts w:hint="eastAsia"/>
        </w:rPr>
      </w:pPr>
      <w:r>
        <w:t>10.4如采购代理机构认为有必要组织现场答疑会，投标供应商应按照招标文件规定的时间或采购代理机构另行书面通知（包括网站发布的通知）的时间和地点，参与现场答疑会。</w:t>
      </w:r>
    </w:p>
    <w:p>
      <w:pPr>
        <w:tabs>
          <w:tab w:val="clear" w:pos="426"/>
        </w:tabs>
        <w:rPr>
          <w:rFonts w:hint="eastAsia"/>
        </w:rPr>
      </w:pPr>
      <w:r>
        <w:t>10.5未参与招标答疑不作为否定投标供应商资格的理由。</w:t>
      </w:r>
    </w:p>
    <w:p>
      <w:pPr>
        <w:pStyle w:val="5"/>
        <w:tabs>
          <w:tab w:val="clear" w:pos="426"/>
        </w:tabs>
        <w:rPr>
          <w:rFonts w:hint="eastAsia"/>
        </w:rPr>
      </w:pPr>
      <w:bookmarkStart w:id="157" w:name="_Toc530152523"/>
      <w:bookmarkStart w:id="158" w:name="_Toc529280582"/>
      <w:bookmarkStart w:id="159" w:name="_Toc10191"/>
      <w:bookmarkStart w:id="160" w:name="_Toc14427255"/>
      <w:r>
        <w:rPr>
          <w:rFonts w:hint="eastAsia"/>
        </w:rPr>
        <w:t>第二章 招标文件</w:t>
      </w:r>
      <w:bookmarkEnd w:id="157"/>
      <w:bookmarkEnd w:id="158"/>
      <w:bookmarkEnd w:id="159"/>
      <w:bookmarkEnd w:id="160"/>
    </w:p>
    <w:p>
      <w:pPr>
        <w:tabs>
          <w:tab w:val="clear" w:pos="426"/>
        </w:tabs>
        <w:rPr>
          <w:rFonts w:hint="eastAsia"/>
        </w:rPr>
      </w:pPr>
      <w:r>
        <w:t>11．招标文件的编制与组成</w:t>
      </w:r>
    </w:p>
    <w:p>
      <w:pPr>
        <w:tabs>
          <w:tab w:val="clear" w:pos="426"/>
        </w:tabs>
        <w:rPr>
          <w:rFonts w:hint="eastAsia"/>
        </w:rPr>
      </w:pPr>
      <w:r>
        <w:t>11.1招标文件除以下内容外，采购代理机构在招标（或谈判）期间发出的答疑纪要和其他补充修改函件，均是招标文件的组成部分，对投标供应商起约束作用；</w:t>
      </w:r>
    </w:p>
    <w:p>
      <w:pPr>
        <w:tabs>
          <w:tab w:val="clear" w:pos="426"/>
        </w:tabs>
        <w:rPr>
          <w:rFonts w:hint="eastAsia"/>
        </w:rPr>
      </w:pPr>
      <w:r>
        <w:rPr>
          <w:rFonts w:hint="eastAsia"/>
        </w:rPr>
        <w:t>招标文件包括下列内容：</w:t>
      </w:r>
    </w:p>
    <w:p>
      <w:pPr>
        <w:tabs>
          <w:tab w:val="clear" w:pos="426"/>
        </w:tabs>
        <w:rPr>
          <w:rFonts w:hint="eastAsia"/>
        </w:rPr>
      </w:pPr>
      <w:r>
        <w:rPr>
          <w:rFonts w:hint="eastAsia"/>
        </w:rPr>
        <w:t>项目关键信息</w:t>
      </w:r>
    </w:p>
    <w:p>
      <w:pPr>
        <w:tabs>
          <w:tab w:val="clear" w:pos="426"/>
        </w:tabs>
        <w:rPr>
          <w:rFonts w:hint="eastAsia"/>
        </w:rPr>
      </w:pPr>
      <w:r>
        <w:rPr>
          <w:rFonts w:hint="eastAsia"/>
        </w:rPr>
        <w:t>招标文件第一册（专用部分）</w:t>
      </w:r>
    </w:p>
    <w:p>
      <w:pPr>
        <w:tabs>
          <w:tab w:val="clear" w:pos="426"/>
        </w:tabs>
        <w:rPr>
          <w:rFonts w:hint="eastAsia"/>
        </w:rPr>
      </w:pPr>
      <w:r>
        <w:rPr>
          <w:rFonts w:hint="eastAsia"/>
        </w:rPr>
        <w:t>第一章 投标邀请</w:t>
      </w:r>
    </w:p>
    <w:p>
      <w:pPr>
        <w:tabs>
          <w:tab w:val="clear" w:pos="426"/>
        </w:tabs>
        <w:rPr>
          <w:rFonts w:hint="eastAsia"/>
        </w:rPr>
      </w:pPr>
      <w:r>
        <w:rPr>
          <w:rFonts w:hint="eastAsia"/>
        </w:rPr>
        <w:t>第二章 项目需求</w:t>
      </w:r>
    </w:p>
    <w:p>
      <w:pPr>
        <w:tabs>
          <w:tab w:val="clear" w:pos="426"/>
        </w:tabs>
        <w:rPr>
          <w:rFonts w:hint="eastAsia"/>
        </w:rPr>
      </w:pPr>
      <w:r>
        <w:rPr>
          <w:rFonts w:hint="eastAsia"/>
        </w:rPr>
        <w:t>第三章 定价方式、合同类型和风险管理措施</w:t>
      </w:r>
    </w:p>
    <w:p>
      <w:pPr>
        <w:tabs>
          <w:tab w:val="clear" w:pos="426"/>
        </w:tabs>
        <w:rPr>
          <w:rFonts w:hint="eastAsia"/>
        </w:rPr>
      </w:pPr>
      <w:r>
        <w:rPr>
          <w:rFonts w:hint="eastAsia"/>
        </w:rPr>
        <w:t>第四章 资格审查和评标方法</w:t>
      </w:r>
    </w:p>
    <w:p>
      <w:pPr>
        <w:tabs>
          <w:tab w:val="clear" w:pos="426"/>
        </w:tabs>
        <w:rPr>
          <w:rFonts w:hint="eastAsia"/>
        </w:rPr>
      </w:pPr>
      <w:r>
        <w:rPr>
          <w:rFonts w:hint="eastAsia"/>
        </w:rPr>
        <w:t>第五章 合同文本</w:t>
      </w:r>
    </w:p>
    <w:p>
      <w:pPr>
        <w:tabs>
          <w:tab w:val="clear" w:pos="426"/>
        </w:tabs>
        <w:rPr>
          <w:rFonts w:hint="eastAsia"/>
        </w:rPr>
      </w:pPr>
      <w:r>
        <w:rPr>
          <w:rFonts w:hint="eastAsia"/>
        </w:rPr>
        <w:t>第六章 投标资料表</w:t>
      </w:r>
    </w:p>
    <w:p>
      <w:pPr>
        <w:tabs>
          <w:tab w:val="clear" w:pos="426"/>
        </w:tabs>
        <w:rPr>
          <w:rFonts w:hint="eastAsia"/>
        </w:rPr>
      </w:pPr>
      <w:r>
        <w:rPr>
          <w:rFonts w:hint="eastAsia"/>
        </w:rPr>
        <w:t>第七章 投标文件格式</w:t>
      </w:r>
    </w:p>
    <w:p>
      <w:pPr>
        <w:tabs>
          <w:tab w:val="clear" w:pos="426"/>
        </w:tabs>
        <w:rPr>
          <w:rFonts w:hint="eastAsia"/>
        </w:rPr>
      </w:pPr>
      <w:r>
        <w:rPr>
          <w:rFonts w:hint="eastAsia"/>
        </w:rPr>
        <w:t>招标文件第二册（通用部分）</w:t>
      </w:r>
    </w:p>
    <w:p>
      <w:pPr>
        <w:tabs>
          <w:tab w:val="clear" w:pos="426"/>
        </w:tabs>
        <w:rPr>
          <w:rFonts w:hint="eastAsia"/>
        </w:rPr>
      </w:pPr>
      <w:r>
        <w:rPr>
          <w:rFonts w:hint="eastAsia"/>
        </w:rPr>
        <w:t>第一章 总则</w:t>
      </w:r>
    </w:p>
    <w:p>
      <w:pPr>
        <w:tabs>
          <w:tab w:val="clear" w:pos="426"/>
        </w:tabs>
        <w:rPr>
          <w:rFonts w:hint="eastAsia"/>
        </w:rPr>
      </w:pPr>
      <w:r>
        <w:rPr>
          <w:rFonts w:hint="eastAsia"/>
        </w:rPr>
        <w:t>第二章 招标文件</w:t>
      </w:r>
    </w:p>
    <w:p>
      <w:pPr>
        <w:tabs>
          <w:tab w:val="clear" w:pos="426"/>
        </w:tabs>
        <w:rPr>
          <w:rFonts w:hint="eastAsia"/>
        </w:rPr>
      </w:pPr>
      <w:r>
        <w:rPr>
          <w:rFonts w:hint="eastAsia"/>
        </w:rPr>
        <w:t>第三章 投标文件的编制与递交</w:t>
      </w:r>
    </w:p>
    <w:p>
      <w:pPr>
        <w:tabs>
          <w:tab w:val="clear" w:pos="426"/>
        </w:tabs>
        <w:rPr>
          <w:rFonts w:hint="eastAsia"/>
        </w:rPr>
      </w:pPr>
      <w:r>
        <w:rPr>
          <w:rFonts w:hint="eastAsia"/>
        </w:rPr>
        <w:t>第四章 开标</w:t>
      </w:r>
    </w:p>
    <w:p>
      <w:pPr>
        <w:tabs>
          <w:tab w:val="clear" w:pos="426"/>
        </w:tabs>
        <w:rPr>
          <w:rFonts w:hint="eastAsia"/>
        </w:rPr>
      </w:pPr>
      <w:r>
        <w:rPr>
          <w:rFonts w:hint="eastAsia"/>
        </w:rPr>
        <w:t>第五章 评标要求</w:t>
      </w:r>
    </w:p>
    <w:p>
      <w:pPr>
        <w:tabs>
          <w:tab w:val="clear" w:pos="426"/>
        </w:tabs>
        <w:rPr>
          <w:rFonts w:hint="eastAsia"/>
        </w:rPr>
      </w:pPr>
      <w:r>
        <w:rPr>
          <w:rFonts w:hint="eastAsia"/>
        </w:rPr>
        <w:t>第六章 评标程序及评标方法</w:t>
      </w:r>
    </w:p>
    <w:p>
      <w:pPr>
        <w:tabs>
          <w:tab w:val="clear" w:pos="426"/>
        </w:tabs>
        <w:rPr>
          <w:rFonts w:hint="eastAsia"/>
        </w:rPr>
      </w:pPr>
      <w:r>
        <w:rPr>
          <w:rFonts w:hint="eastAsia"/>
        </w:rPr>
        <w:t>第七章 定标及公示</w:t>
      </w:r>
    </w:p>
    <w:p>
      <w:pPr>
        <w:tabs>
          <w:tab w:val="clear" w:pos="426"/>
        </w:tabs>
        <w:rPr>
          <w:rFonts w:hint="eastAsia"/>
        </w:rPr>
      </w:pPr>
      <w:r>
        <w:rPr>
          <w:rFonts w:hint="eastAsia"/>
        </w:rPr>
        <w:t>第八章 公开招标失败的后续处理</w:t>
      </w:r>
    </w:p>
    <w:p>
      <w:pPr>
        <w:tabs>
          <w:tab w:val="clear" w:pos="426"/>
        </w:tabs>
        <w:rPr>
          <w:rFonts w:hint="eastAsia"/>
        </w:rPr>
      </w:pPr>
      <w:r>
        <w:rPr>
          <w:rFonts w:hint="eastAsia"/>
        </w:rPr>
        <w:t>第九章 合同的授予与备案</w:t>
      </w:r>
    </w:p>
    <w:p>
      <w:pPr>
        <w:tabs>
          <w:tab w:val="clear" w:pos="426"/>
        </w:tabs>
        <w:rPr>
          <w:rFonts w:hint="eastAsia"/>
        </w:rPr>
      </w:pPr>
      <w:r>
        <w:rPr>
          <w:rFonts w:hint="eastAsia"/>
        </w:rPr>
        <w:t>第十章 质疑受理</w:t>
      </w:r>
    </w:p>
    <w:p>
      <w:pPr>
        <w:tabs>
          <w:tab w:val="clear" w:pos="426"/>
        </w:tabs>
        <w:rPr>
          <w:rFonts w:hint="eastAsia"/>
        </w:rPr>
      </w:pPr>
      <w:r>
        <w:rPr>
          <w:rFonts w:hint="eastAsia"/>
        </w:rPr>
        <w:t>招标代理服务取费说明</w:t>
      </w:r>
    </w:p>
    <w:p>
      <w:pPr>
        <w:tabs>
          <w:tab w:val="clear" w:pos="426"/>
        </w:tabs>
        <w:rPr>
          <w:rFonts w:hint="eastAsia"/>
        </w:rPr>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rFonts w:hint="eastAsia"/>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rFonts w:hint="eastAsia"/>
        </w:rPr>
      </w:pPr>
      <w:r>
        <w:t>12．招标文件的澄清</w:t>
      </w:r>
    </w:p>
    <w:p>
      <w:pPr>
        <w:tabs>
          <w:tab w:val="clear" w:pos="426"/>
        </w:tabs>
        <w:rPr>
          <w:rFonts w:hint="eastAsia"/>
        </w:rPr>
      </w:pPr>
      <w: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rFonts w:hint="eastAsia"/>
        </w:rPr>
      </w:pPr>
      <w:r>
        <w:t>12.2对于没有提出澄清又参与了该项目投标的供应商将被视为完全认同该招标文件（含澄清纪要），投标截止期后不再受理针对招标文件的相关质疑或投诉。</w:t>
      </w:r>
    </w:p>
    <w:p>
      <w:pPr>
        <w:tabs>
          <w:tab w:val="clear" w:pos="426"/>
        </w:tabs>
        <w:rPr>
          <w:rFonts w:hint="eastAsia"/>
        </w:rPr>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rPr>
          <w:rFonts w:hint="eastAsia"/>
        </w:rPr>
      </w:pPr>
      <w:r>
        <w:t>13．招标文件的修改</w:t>
      </w:r>
    </w:p>
    <w:p>
      <w:pPr>
        <w:tabs>
          <w:tab w:val="clear" w:pos="426"/>
        </w:tabs>
        <w:rPr>
          <w:rFonts w:hint="eastAsia"/>
        </w:rPr>
      </w:pPr>
      <w:r>
        <w:t>13.1招标文件发出后，在投标截止日期前任何时候，确需要变更招标内容的，采购代理机构可主动地或在解答投标供应商提出的澄清问题时对招标文件进行修改；</w:t>
      </w:r>
    </w:p>
    <w:p>
      <w:pPr>
        <w:tabs>
          <w:tab w:val="clear" w:pos="426"/>
        </w:tabs>
        <w:rPr>
          <w:rFonts w:hint="eastAsia"/>
        </w:rPr>
      </w:pPr>
      <w:r>
        <w:t>13.2招标文件的修改以书面形式（包括网站公开发布方式）发送给所有投标供应商，招标文件的修改内容作为招标文件的组成部分，并具有约束力。</w:t>
      </w:r>
    </w:p>
    <w:p>
      <w:pPr>
        <w:tabs>
          <w:tab w:val="clear" w:pos="426"/>
        </w:tabs>
        <w:rPr>
          <w:rFonts w:hint="eastAsia"/>
        </w:rPr>
      </w:pPr>
      <w: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rFonts w:hint="eastAsia"/>
        </w:rPr>
      </w:pPr>
      <w: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tabs>
          <w:tab w:val="clear" w:pos="426"/>
        </w:tabs>
        <w:rPr>
          <w:rFonts w:hint="eastAsia"/>
        </w:rPr>
      </w:pPr>
      <w:bookmarkStart w:id="161" w:name="_Toc530152524"/>
      <w:bookmarkStart w:id="162" w:name="_Toc529280583"/>
      <w:bookmarkStart w:id="163" w:name="_Toc14427256"/>
      <w:bookmarkStart w:id="164" w:name="_Toc15015"/>
      <w:r>
        <w:rPr>
          <w:rFonts w:hint="eastAsia"/>
        </w:rPr>
        <w:t>第三章 投标文件的编制与递交</w:t>
      </w:r>
      <w:bookmarkEnd w:id="161"/>
      <w:bookmarkEnd w:id="162"/>
      <w:bookmarkEnd w:id="163"/>
      <w:bookmarkEnd w:id="164"/>
    </w:p>
    <w:p>
      <w:pPr>
        <w:tabs>
          <w:tab w:val="clear" w:pos="426"/>
        </w:tabs>
        <w:rPr>
          <w:rFonts w:hint="eastAsia"/>
        </w:rPr>
      </w:pPr>
      <w:r>
        <w:t>14．投标文件的语言及度量单位</w:t>
      </w:r>
    </w:p>
    <w:p>
      <w:pPr>
        <w:tabs>
          <w:tab w:val="clear" w:pos="426"/>
        </w:tabs>
        <w:rPr>
          <w:rFonts w:hint="eastAsia"/>
        </w:rPr>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rFonts w:hint="eastAsia"/>
        </w:rPr>
      </w:pPr>
      <w:r>
        <w:t xml:space="preserve">14.2 </w:t>
      </w:r>
      <w:r>
        <w:rPr>
          <w:rFonts w:hint="eastAsia"/>
        </w:rPr>
        <w:t>除技术规范另有规定外，投标文件使用的度量单位，均采用中华人民共和国法定计量单位。</w:t>
      </w:r>
    </w:p>
    <w:p>
      <w:pPr>
        <w:tabs>
          <w:tab w:val="clear" w:pos="426"/>
        </w:tabs>
        <w:rPr>
          <w:rFonts w:hint="eastAsia"/>
        </w:rPr>
      </w:pPr>
      <w:r>
        <w:t>15．投标文件的组成</w:t>
      </w:r>
    </w:p>
    <w:p>
      <w:pPr>
        <w:tabs>
          <w:tab w:val="clear" w:pos="426"/>
        </w:tabs>
        <w:rPr>
          <w:rFonts w:hint="eastAsia"/>
        </w:rPr>
      </w:pPr>
      <w:r>
        <w:rPr>
          <w:rFonts w:hint="eastAsia"/>
        </w:rPr>
        <w:t>具体内容请详见本项目专用条款的相关内容。</w:t>
      </w:r>
    </w:p>
    <w:p>
      <w:pPr>
        <w:tabs>
          <w:tab w:val="clear" w:pos="426"/>
        </w:tabs>
        <w:rPr>
          <w:rFonts w:hint="eastAsia"/>
        </w:rPr>
      </w:pPr>
      <w:r>
        <w:t xml:space="preserve">16. </w:t>
      </w:r>
      <w:r>
        <w:rPr>
          <w:rFonts w:hint="eastAsia"/>
        </w:rPr>
        <w:t>投标文件格式</w:t>
      </w:r>
    </w:p>
    <w:p>
      <w:pPr>
        <w:tabs>
          <w:tab w:val="clear" w:pos="426"/>
        </w:tabs>
        <w:rPr>
          <w:rFonts w:hint="eastAsia"/>
        </w:rPr>
      </w:pPr>
      <w:r>
        <w:t>16.1</w:t>
      </w:r>
      <w:r>
        <w:rPr>
          <w:rFonts w:hint="eastAsia"/>
        </w:rPr>
        <w:t>投标文件包括本通用条款第</w:t>
      </w:r>
      <w:r>
        <w:t>15条中规定的内容。如招标文件提供了投标文件格式，则投标供应商提交的投标文件必须毫无例外地使用招标文件所提供的相应格式并统一使用A4篇幅（表格可以按同样格式扩展）。</w:t>
      </w:r>
    </w:p>
    <w:p>
      <w:pPr>
        <w:tabs>
          <w:tab w:val="clear" w:pos="426"/>
        </w:tabs>
        <w:rPr>
          <w:rFonts w:hint="eastAsia"/>
        </w:rPr>
      </w:pPr>
      <w:r>
        <w:t>17．投标货币</w:t>
      </w:r>
    </w:p>
    <w:p>
      <w:pPr>
        <w:tabs>
          <w:tab w:val="clear" w:pos="426"/>
        </w:tabs>
        <w:rPr>
          <w:rFonts w:hint="eastAsia"/>
        </w:rPr>
      </w:pPr>
      <w:r>
        <w:rPr>
          <w:rFonts w:hint="eastAsia"/>
        </w:rPr>
        <w:t>本项目的投标应以人民币计。</w:t>
      </w:r>
    </w:p>
    <w:p>
      <w:pPr>
        <w:widowControl w:val="0"/>
        <w:shd w:val="clear" w:color="auto" w:fill="auto"/>
        <w:tabs>
          <w:tab w:val="clear" w:pos="426"/>
        </w:tabs>
        <w:autoSpaceDE w:val="0"/>
        <w:autoSpaceDN w:val="0"/>
        <w:rPr>
          <w:rFonts w:hint="eastAsia"/>
        </w:rPr>
      </w:pPr>
      <w:r>
        <w:t xml:space="preserve">18. </w:t>
      </w:r>
      <w:r>
        <w:rPr>
          <w:rFonts w:hint="eastAsia"/>
        </w:rPr>
        <w:t>证明投标供应商合格和资格的文件</w:t>
      </w:r>
    </w:p>
    <w:p>
      <w:pPr>
        <w:widowControl w:val="0"/>
        <w:shd w:val="clear" w:color="auto" w:fill="auto"/>
        <w:tabs>
          <w:tab w:val="clear" w:pos="426"/>
        </w:tabs>
        <w:autoSpaceDE w:val="0"/>
        <w:autoSpaceDN w:val="0"/>
        <w:rPr>
          <w:rFonts w:hint="eastAsia"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rFonts w:hint="eastAsia"/>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rPr>
          <w:rFonts w:hint="eastAsia"/>
        </w:rPr>
      </w:pPr>
      <w:r>
        <w:t>19．证明投标文件投标技术方案的合格性和符合招标文件规定的文件要求</w:t>
      </w:r>
    </w:p>
    <w:p>
      <w:pPr>
        <w:tabs>
          <w:tab w:val="clear" w:pos="426"/>
        </w:tabs>
        <w:rPr>
          <w:rFonts w:hint="eastAsia"/>
        </w:rPr>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rPr>
          <w:rFonts w:hint="eastAsia"/>
        </w:rPr>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rFonts w:hint="eastAsia"/>
        </w:rPr>
      </w:pPr>
      <w:r>
        <w:t>19.2.1主要技术指标和性能的详细说明。</w:t>
      </w:r>
    </w:p>
    <w:p>
      <w:pPr>
        <w:tabs>
          <w:tab w:val="clear" w:pos="426"/>
        </w:tabs>
        <w:rPr>
          <w:rFonts w:hint="eastAsia"/>
        </w:rPr>
      </w:pPr>
      <w:r>
        <w:t>19.2.2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rPr>
          <w:rFonts w:hint="eastAsia"/>
        </w:rPr>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rPr>
          <w:rFonts w:hint="eastAsia"/>
        </w:rPr>
      </w:pPr>
      <w: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rFonts w:hint="eastAsia"/>
        </w:rPr>
      </w:pPr>
      <w:r>
        <w:t>19.2.5我国政府机构出具的产品检验和核准证件应为证件正面、背面和附件标注的全部具体内容；产品检验和核准证件应能清晰的阅读、识别和判断，提供原件复印件。</w:t>
      </w:r>
    </w:p>
    <w:p>
      <w:pPr>
        <w:tabs>
          <w:tab w:val="clear" w:pos="426"/>
        </w:tabs>
        <w:rPr>
          <w:rFonts w:hint="eastAsia"/>
        </w:rPr>
      </w:pPr>
      <w:r>
        <w:t>19.3相关资料不符合19.2款要求的，评标委员会有权认定为投标技术方案不合格响应，其相关分数予以扣减或作废标处理。</w:t>
      </w:r>
    </w:p>
    <w:p>
      <w:pPr>
        <w:tabs>
          <w:tab w:val="clear" w:pos="426"/>
        </w:tabs>
        <w:rPr>
          <w:rFonts w:hint="eastAsia"/>
        </w:rPr>
      </w:pPr>
      <w: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rFonts w:hint="eastAsia"/>
        </w:rPr>
      </w:pPr>
      <w:r>
        <w:t>19.5投标供应商在阐述上述第18.2时应注意采购单位在技术规格中指出的工艺、材料和</w:t>
      </w:r>
      <w:r>
        <w:rPr>
          <w:rFonts w:hint="eastAsia"/>
        </w:rPr>
        <w:t>设备</w:t>
      </w:r>
      <w:r>
        <w:t>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rFonts w:hint="eastAsia"/>
        </w:rPr>
      </w:pPr>
      <w:r>
        <w:t>19.6为保证公平公正，除非另有规定或说明，投标供应商对同一货物或服务投标时，不得同时提供两套或两套以上的投标方案。</w:t>
      </w:r>
    </w:p>
    <w:p>
      <w:pPr>
        <w:tabs>
          <w:tab w:val="clear" w:pos="426"/>
        </w:tabs>
        <w:rPr>
          <w:rFonts w:hint="eastAsia"/>
        </w:rPr>
      </w:pPr>
      <w:r>
        <w:t>20．投标文件其他证明文件的要求</w:t>
      </w:r>
    </w:p>
    <w:p>
      <w:pPr>
        <w:tabs>
          <w:tab w:val="clear" w:pos="426"/>
        </w:tabs>
        <w:rPr>
          <w:rFonts w:hint="eastAsia"/>
        </w:rPr>
      </w:pPr>
      <w: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tabs>
          <w:tab w:val="clear" w:pos="426"/>
        </w:tabs>
        <w:rPr>
          <w:rFonts w:hint="eastAsia"/>
        </w:rPr>
      </w:pPr>
      <w:r>
        <w:t>20.2本项目涉及提供的有关资质证书，若原有资质证书处于年审期间，投标供应商提供年审证明的可按原资质投标；若投标供应商正在申报上一级别资质，在未获批准之前，仍按原级别资质投标。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rFonts w:hint="eastAsia"/>
        </w:rPr>
      </w:pPr>
      <w:r>
        <w:t>21．投标有效期</w:t>
      </w:r>
    </w:p>
    <w:p>
      <w:pPr>
        <w:tabs>
          <w:tab w:val="clear" w:pos="426"/>
        </w:tabs>
        <w:rPr>
          <w:rFonts w:hint="eastAsia"/>
        </w:rPr>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rPr>
          <w:rFonts w:hint="eastAsia"/>
        </w:rPr>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22条关于投标保证金的退还与没收的规定仍然适用；</w:t>
      </w:r>
    </w:p>
    <w:p>
      <w:pPr>
        <w:tabs>
          <w:tab w:val="clear" w:pos="426"/>
        </w:tabs>
        <w:rPr>
          <w:rFonts w:hint="eastAsia"/>
        </w:rPr>
      </w:pPr>
      <w:r>
        <w:t>21.3 中标单位的投标书有效期，截止于完成本招标文件规定的全部项目内容，并通过竣工验收及保修结束。</w:t>
      </w:r>
    </w:p>
    <w:p>
      <w:pPr>
        <w:tabs>
          <w:tab w:val="clear" w:pos="426"/>
        </w:tabs>
        <w:rPr>
          <w:rFonts w:hint="eastAsia"/>
        </w:rPr>
      </w:pPr>
      <w:r>
        <w:t>22．投标保证金</w:t>
      </w:r>
    </w:p>
    <w:p>
      <w:pPr>
        <w:tabs>
          <w:tab w:val="clear" w:pos="426"/>
        </w:tabs>
        <w:rPr>
          <w:rFonts w:hint="eastAsia"/>
        </w:rPr>
      </w:pPr>
      <w:r>
        <w:t>22.1投标保证金的缴纳：</w:t>
      </w:r>
      <w:r>
        <w:rPr>
          <w:rFonts w:hint="eastAsia"/>
          <w:b/>
        </w:rPr>
        <w:t>（本项目不适用）</w:t>
      </w:r>
    </w:p>
    <w:p>
      <w:pPr>
        <w:tabs>
          <w:tab w:val="clear" w:pos="426"/>
        </w:tabs>
        <w:rPr>
          <w:rFonts w:hint="eastAsia"/>
        </w:rPr>
      </w:pPr>
      <w:r>
        <w:t>22.1.1缴纳投标保证金的方式：参与投标前须缴纳</w:t>
      </w:r>
      <w:r>
        <w:rPr>
          <w:rFonts w:hint="eastAsia"/>
        </w:rPr>
        <w:t>/</w:t>
      </w:r>
      <w:r>
        <w:t>万元保证金，落标或中标项目完成后返还，参与投标前未缴纳的，其投标将不予受理。</w:t>
      </w:r>
    </w:p>
    <w:p>
      <w:pPr>
        <w:tabs>
          <w:tab w:val="clear" w:pos="426"/>
        </w:tabs>
        <w:rPr>
          <w:rFonts w:hint="eastAsia"/>
        </w:rPr>
      </w:pPr>
      <w:r>
        <w:t xml:space="preserve">22.1.2 </w:t>
      </w:r>
      <w:r>
        <w:rPr>
          <w:rFonts w:hint="eastAsia"/>
        </w:rPr>
        <w:t>若为重大项目，采购代理机构可自行决定另外收取投标保证金，不受</w:t>
      </w:r>
      <w:r>
        <w:t>22.1.1款限制。是否另外收取投标保证金，请见本招标文件专用条款《对通用条款的补充内容》中的相关要求。</w:t>
      </w:r>
    </w:p>
    <w:p>
      <w:pPr>
        <w:tabs>
          <w:tab w:val="clear" w:pos="426"/>
        </w:tabs>
        <w:rPr>
          <w:rFonts w:hint="eastAsia"/>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22.3款</w:t>
      </w:r>
      <w:r>
        <w:rPr>
          <w:rFonts w:hint="eastAsia"/>
        </w:rPr>
        <w:t>的规定没收投标供应商的投标保证金。</w:t>
      </w:r>
    </w:p>
    <w:p>
      <w:pPr>
        <w:tabs>
          <w:tab w:val="clear" w:pos="426"/>
        </w:tabs>
        <w:rPr>
          <w:rFonts w:hint="eastAsia"/>
        </w:rPr>
      </w:pPr>
      <w:r>
        <w:t>22.3如下列任何情况发生时，投标保证金将被没收。</w:t>
      </w:r>
    </w:p>
    <w:p>
      <w:pPr>
        <w:tabs>
          <w:tab w:val="clear" w:pos="426"/>
        </w:tabs>
        <w:rPr>
          <w:rFonts w:hint="eastAsia"/>
        </w:rPr>
      </w:pPr>
      <w:r>
        <w:t>1）投标供应商在招标文件中规定的投标有效期内撤回其投标；</w:t>
      </w:r>
    </w:p>
    <w:p>
      <w:pPr>
        <w:tabs>
          <w:tab w:val="clear" w:pos="426"/>
        </w:tabs>
        <w:rPr>
          <w:rFonts w:hint="eastAsia"/>
        </w:rPr>
      </w:pPr>
      <w:r>
        <w:t>2）中标供应商在规定期限内未能根据本项通用条款第47条规定签订合同；</w:t>
      </w:r>
    </w:p>
    <w:p>
      <w:pPr>
        <w:tabs>
          <w:tab w:val="clear" w:pos="426"/>
        </w:tabs>
        <w:rPr>
          <w:rFonts w:hint="eastAsia"/>
        </w:rPr>
      </w:pPr>
      <w:r>
        <w:t>3）投标供应商提供虚假投标文件或虚假补充文件：</w:t>
      </w:r>
    </w:p>
    <w:p>
      <w:pPr>
        <w:tabs>
          <w:tab w:val="clear" w:pos="426"/>
        </w:tabs>
        <w:rPr>
          <w:rFonts w:hint="eastAsia"/>
        </w:rPr>
      </w:pPr>
      <w:r>
        <w:t>4）投标供应商以谋取中标为目的的技术规格模糊响应（如有意照搬照抄招标文件的技术要求）或虚假响应的；</w:t>
      </w:r>
    </w:p>
    <w:p>
      <w:pPr>
        <w:tabs>
          <w:tab w:val="clear" w:pos="426"/>
        </w:tabs>
        <w:rPr>
          <w:rFonts w:hint="eastAsia"/>
        </w:rPr>
      </w:pPr>
      <w:r>
        <w:t>5）投标供应商质疑投诉提供虚假情况。</w:t>
      </w:r>
    </w:p>
    <w:p>
      <w:pPr>
        <w:tabs>
          <w:tab w:val="clear" w:pos="426"/>
        </w:tabs>
        <w:rPr>
          <w:rFonts w:hint="eastAsia"/>
        </w:rPr>
      </w:pPr>
      <w:r>
        <w:t>22.4</w:t>
      </w:r>
      <w:r>
        <w:rPr>
          <w:rFonts w:hint="eastAsia"/>
        </w:rPr>
        <w:t>不再收取</w:t>
      </w:r>
      <w:r>
        <w:t>投标保证金</w:t>
      </w:r>
      <w:r>
        <w:rPr>
          <w:rFonts w:hint="eastAsia"/>
        </w:rPr>
        <w:t>。</w:t>
      </w:r>
    </w:p>
    <w:p>
      <w:pPr>
        <w:tabs>
          <w:tab w:val="clear" w:pos="426"/>
        </w:tabs>
        <w:rPr>
          <w:rFonts w:hint="eastAsia"/>
        </w:rPr>
      </w:pPr>
      <w:r>
        <w:t>23．投标供应商的替代方案</w:t>
      </w:r>
    </w:p>
    <w:p>
      <w:pPr>
        <w:tabs>
          <w:tab w:val="clear" w:pos="426"/>
        </w:tabs>
        <w:rPr>
          <w:rFonts w:hint="eastAsia"/>
        </w:rPr>
      </w:pPr>
      <w: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rFonts w:hint="eastAsia"/>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rFonts w:hint="eastAsia"/>
        </w:rPr>
      </w:pPr>
      <w:r>
        <w:t xml:space="preserve">24． </w:t>
      </w:r>
      <w:r>
        <w:rPr>
          <w:rFonts w:hint="eastAsia"/>
        </w:rPr>
        <w:t>投标文件的密封、标记和装订</w:t>
      </w:r>
    </w:p>
    <w:p>
      <w:pPr>
        <w:widowControl w:val="0"/>
        <w:shd w:val="clear" w:color="auto" w:fill="auto"/>
        <w:tabs>
          <w:tab w:val="clear" w:pos="426"/>
        </w:tabs>
        <w:autoSpaceDE w:val="0"/>
        <w:autoSpaceDN w:val="0"/>
        <w:rPr>
          <w:rFonts w:hint="eastAsia"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(报价表)、法定代表人证明书或法定代表人授权委托书、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rFonts w:hint="eastAsia"/>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A4篇幅装订成一册，装订应牢固不可拆卸。装订好的投标文件密封包装在一个外密封袋中，并在外密封袋上注明：</w:t>
      </w:r>
    </w:p>
    <w:p>
      <w:pPr>
        <w:tabs>
          <w:tab w:val="clear" w:pos="426"/>
        </w:tabs>
        <w:rPr>
          <w:rFonts w:hint="eastAsia"/>
        </w:rPr>
      </w:pPr>
      <w:r>
        <w:rPr>
          <w:rFonts w:hint="eastAsia"/>
        </w:rPr>
        <w:t>投标文件</w:t>
      </w:r>
    </w:p>
    <w:p>
      <w:pPr>
        <w:tabs>
          <w:tab w:val="clear" w:pos="426"/>
        </w:tabs>
        <w:rPr>
          <w:rFonts w:hint="eastAsia"/>
        </w:rPr>
      </w:pPr>
      <w:r>
        <w:rPr>
          <w:rFonts w:hint="eastAsia"/>
        </w:rPr>
        <w:t>项目编号：</w:t>
      </w:r>
    </w:p>
    <w:p>
      <w:pPr>
        <w:tabs>
          <w:tab w:val="clear" w:pos="426"/>
        </w:tabs>
        <w:rPr>
          <w:rFonts w:hint="eastAsia"/>
        </w:rPr>
      </w:pPr>
      <w:r>
        <w:rPr>
          <w:rFonts w:hint="eastAsia"/>
        </w:rPr>
        <w:t>项目名称：</w:t>
      </w:r>
    </w:p>
    <w:p>
      <w:pPr>
        <w:tabs>
          <w:tab w:val="clear" w:pos="426"/>
        </w:tabs>
        <w:rPr>
          <w:rFonts w:hint="eastAsia"/>
        </w:rPr>
      </w:pPr>
      <w:r>
        <w:rPr>
          <w:rFonts w:hint="eastAsia"/>
        </w:rPr>
        <w:t>投标供应商名称（盖章）：</w:t>
      </w:r>
    </w:p>
    <w:p>
      <w:pPr>
        <w:tabs>
          <w:tab w:val="clear" w:pos="426"/>
        </w:tabs>
        <w:rPr>
          <w:rFonts w:hint="eastAsia"/>
        </w:rPr>
      </w:pPr>
      <w:r>
        <w:rPr>
          <w:rFonts w:hint="eastAsia"/>
        </w:rPr>
        <w:t>投标截止时间：</w:t>
      </w:r>
      <w:r>
        <w:rPr>
          <w:u w:val="single"/>
        </w:rPr>
        <w:t>_______年______月______日______时______分（前不得开封）</w:t>
      </w:r>
      <w:r>
        <w:rPr>
          <w:rFonts w:hint="eastAsia"/>
        </w:rPr>
        <w:t>。</w:t>
      </w:r>
    </w:p>
    <w:p>
      <w:pPr>
        <w:tabs>
          <w:tab w:val="clear" w:pos="426"/>
        </w:tabs>
        <w:rPr>
          <w:rFonts w:hint="eastAsia"/>
        </w:rPr>
      </w:pPr>
      <w:r>
        <w:t xml:space="preserve">24.3  </w:t>
      </w:r>
      <w:r>
        <w:rPr>
          <w:rFonts w:hint="eastAsia"/>
        </w:rPr>
        <w:t>所有投标文件的密封袋的封口处均应加盖投标供应商公章。</w:t>
      </w:r>
    </w:p>
    <w:p>
      <w:pPr>
        <w:tabs>
          <w:tab w:val="clear" w:pos="426"/>
        </w:tabs>
        <w:rPr>
          <w:rFonts w:hint="eastAsia"/>
        </w:rPr>
      </w:pPr>
      <w:r>
        <w:t xml:space="preserve">24.4  </w:t>
      </w:r>
      <w:r>
        <w:rPr>
          <w:rFonts w:hint="eastAsia"/>
        </w:rPr>
        <w:t>对于因标书标识不清、装订不牢、密封不严等导致的不利后果由该投标供应商自负。</w:t>
      </w:r>
    </w:p>
    <w:p>
      <w:pPr>
        <w:tabs>
          <w:tab w:val="clear" w:pos="426"/>
        </w:tabs>
        <w:rPr>
          <w:rFonts w:hint="eastAsia"/>
          <w:szCs w:val="21"/>
        </w:rPr>
      </w:pPr>
      <w:r>
        <w:rPr>
          <w:szCs w:val="21"/>
        </w:rPr>
        <w:t xml:space="preserve">24.5  </w:t>
      </w:r>
      <w:r>
        <w:rPr>
          <w:rFonts w:hint="eastAsia"/>
          <w:szCs w:val="21"/>
        </w:rPr>
        <w:t>投标方应将投标文件按</w:t>
      </w:r>
      <w:r>
        <w:rPr>
          <w:szCs w:val="21"/>
        </w:rPr>
        <w:t>24.1-24.2中的规定进行密封和标记后，按专用条款中采购公告注明的地址送至招标机构。</w:t>
      </w:r>
    </w:p>
    <w:p>
      <w:pPr>
        <w:tabs>
          <w:tab w:val="clear" w:pos="426"/>
        </w:tabs>
        <w:rPr>
          <w:rFonts w:hint="eastAsia"/>
          <w:szCs w:val="21"/>
        </w:rPr>
      </w:pPr>
      <w:r>
        <w:rPr>
          <w:szCs w:val="21"/>
        </w:rPr>
        <w:t xml:space="preserve">24.6  </w:t>
      </w:r>
      <w:r>
        <w:rPr>
          <w:rFonts w:hint="eastAsia"/>
          <w:szCs w:val="21"/>
        </w:rPr>
        <w:t>邮寄、电报、电话、传真形式的投标概不接受。</w:t>
      </w:r>
    </w:p>
    <w:p>
      <w:pPr>
        <w:tabs>
          <w:tab w:val="clear" w:pos="426"/>
        </w:tabs>
        <w:rPr>
          <w:rFonts w:hint="eastAsia"/>
          <w:b/>
          <w:szCs w:val="21"/>
        </w:rPr>
      </w:pPr>
      <w:r>
        <w:rPr>
          <w:b/>
          <w:szCs w:val="21"/>
        </w:rPr>
        <w:t xml:space="preserve">24.7  </w:t>
      </w:r>
      <w:r>
        <w:rPr>
          <w:rFonts w:hint="eastAsia"/>
          <w:b/>
          <w:bCs/>
          <w:szCs w:val="21"/>
        </w:rPr>
        <w:t>投标文件电子版：电子光盘一张或U盘一个（WORD及投标文件正本盖章后的彩色复印件，复印件要求为</w:t>
      </w:r>
      <w:r>
        <w:rPr>
          <w:b/>
          <w:bCs/>
          <w:szCs w:val="21"/>
        </w:rPr>
        <w:t>PDF格式），请将该光盘放在开标信封中，并在光盘上标明项目编号、项目名称及投标供应商名称。</w:t>
      </w:r>
    </w:p>
    <w:p>
      <w:pPr>
        <w:tabs>
          <w:tab w:val="clear" w:pos="426"/>
        </w:tabs>
        <w:rPr>
          <w:rFonts w:hint="eastAsia"/>
          <w:szCs w:val="21"/>
        </w:rPr>
      </w:pPr>
      <w:r>
        <w:rPr>
          <w:szCs w:val="21"/>
        </w:rPr>
        <w:t xml:space="preserve">25． </w:t>
      </w:r>
      <w:r>
        <w:rPr>
          <w:rFonts w:hint="eastAsia"/>
          <w:szCs w:val="21"/>
        </w:rPr>
        <w:t>投标截止时间</w:t>
      </w:r>
    </w:p>
    <w:p>
      <w:pPr>
        <w:tabs>
          <w:tab w:val="clear" w:pos="426"/>
        </w:tabs>
        <w:rPr>
          <w:rFonts w:hint="eastAsia"/>
          <w:szCs w:val="21"/>
        </w:rPr>
      </w:pPr>
      <w:r>
        <w:rPr>
          <w:rFonts w:hint="eastAsia"/>
          <w:szCs w:val="21"/>
        </w:rPr>
        <w:t>招标机构在投标供应商须知第</w:t>
      </w:r>
      <w:r>
        <w:rPr>
          <w:szCs w:val="21"/>
        </w:rPr>
        <w:t>24.5条规定的地址收到投标书的时间不得迟于“投标供应商须知前附表”第19</w:t>
      </w:r>
      <w:r>
        <w:rPr>
          <w:rFonts w:hint="eastAsia"/>
          <w:szCs w:val="21"/>
        </w:rPr>
        <w:t>项所规定的时间。</w:t>
      </w:r>
    </w:p>
    <w:p>
      <w:pPr>
        <w:tabs>
          <w:tab w:val="clear" w:pos="426"/>
        </w:tabs>
        <w:rPr>
          <w:rFonts w:hint="eastAsia"/>
          <w:szCs w:val="21"/>
        </w:rPr>
      </w:pPr>
      <w:r>
        <w:rPr>
          <w:szCs w:val="21"/>
        </w:rPr>
        <w:t>26．迟交的投标书</w:t>
      </w:r>
    </w:p>
    <w:p>
      <w:pPr>
        <w:tabs>
          <w:tab w:val="clear" w:pos="426"/>
        </w:tabs>
        <w:rPr>
          <w:rFonts w:hint="eastAsia"/>
          <w:szCs w:val="21"/>
        </w:rPr>
      </w:pPr>
      <w:r>
        <w:rPr>
          <w:szCs w:val="21"/>
        </w:rPr>
        <w:t xml:space="preserve">    按照本通用条款第25条规定，招标机构将拒绝并原封退回在其规定的投标截止期后收到的任何投标书。</w:t>
      </w:r>
    </w:p>
    <w:p>
      <w:pPr>
        <w:tabs>
          <w:tab w:val="clear" w:pos="426"/>
        </w:tabs>
        <w:rPr>
          <w:rFonts w:hint="eastAsia"/>
        </w:rPr>
      </w:pPr>
      <w:r>
        <w:t xml:space="preserve">27． </w:t>
      </w:r>
      <w:r>
        <w:rPr>
          <w:rFonts w:hint="eastAsia"/>
        </w:rPr>
        <w:t>投标文件的提交和截标时投标文件的数量要求</w:t>
      </w:r>
    </w:p>
    <w:p>
      <w:pPr>
        <w:tabs>
          <w:tab w:val="clear" w:pos="426"/>
        </w:tabs>
        <w:rPr>
          <w:rFonts w:hint="eastAsia"/>
        </w:rPr>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rFonts w:hint="eastAsia"/>
        </w:rPr>
      </w:pPr>
      <w:r>
        <w:t>27.2  截标时</w:t>
      </w:r>
      <w:r>
        <w:rPr>
          <w:rFonts w:hint="eastAsia"/>
        </w:rPr>
        <w:t>递</w:t>
      </w:r>
      <w:r>
        <w:t>交标书的投标供应商数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投标供应商</w:t>
      </w:r>
      <w:r>
        <w:rPr>
          <w:rFonts w:hint="eastAsia"/>
        </w:rPr>
        <w:t>造成的损失。</w:t>
      </w:r>
    </w:p>
    <w:p>
      <w:pPr>
        <w:tabs>
          <w:tab w:val="clear" w:pos="426"/>
        </w:tabs>
        <w:rPr>
          <w:rFonts w:hint="eastAsia"/>
        </w:rPr>
      </w:pPr>
      <w:r>
        <w:t xml:space="preserve">28．  </w:t>
      </w:r>
      <w:r>
        <w:rPr>
          <w:rFonts w:hint="eastAsia"/>
        </w:rPr>
        <w:t>投标文件的修改或撤回</w:t>
      </w:r>
    </w:p>
    <w:p>
      <w:pPr>
        <w:tabs>
          <w:tab w:val="clear" w:pos="426"/>
        </w:tabs>
        <w:rPr>
          <w:rFonts w:hint="eastAsia"/>
        </w:rPr>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pPr>
        <w:tabs>
          <w:tab w:val="clear" w:pos="426"/>
        </w:tabs>
        <w:rPr>
          <w:rFonts w:hint="eastAsia"/>
        </w:rPr>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rPr>
          <w:rFonts w:hint="eastAsia"/>
        </w:rPr>
      </w:pPr>
      <w:r>
        <w:t xml:space="preserve">28.3  </w:t>
      </w:r>
      <w:r>
        <w:rPr>
          <w:rFonts w:hint="eastAsia"/>
        </w:rPr>
        <w:t>投标供应商的修改文件应按照本招标文件的规定进行编制、密封、标记和提交，并在密封袋上注明“投标修改”。</w:t>
      </w:r>
    </w:p>
    <w:p>
      <w:pPr>
        <w:tabs>
          <w:tab w:val="clear" w:pos="426"/>
        </w:tabs>
        <w:rPr>
          <w:rFonts w:hint="eastAsia"/>
        </w:rPr>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rPr>
          <w:rFonts w:hint="eastAsia"/>
        </w:rPr>
      </w:pPr>
      <w:r>
        <w:t xml:space="preserve">28.5  </w:t>
      </w:r>
      <w:r>
        <w:rPr>
          <w:rFonts w:hint="eastAsia"/>
        </w:rPr>
        <w:t>评标结束后，不论中标与否，投标供应商均不得收回投标文件。</w:t>
      </w:r>
    </w:p>
    <w:p>
      <w:pPr>
        <w:pStyle w:val="5"/>
        <w:tabs>
          <w:tab w:val="clear" w:pos="426"/>
        </w:tabs>
        <w:rPr>
          <w:rFonts w:hint="eastAsia"/>
        </w:rPr>
      </w:pPr>
      <w:bookmarkStart w:id="165" w:name="_Toc18415"/>
      <w:bookmarkStart w:id="166" w:name="_Toc529280584"/>
      <w:bookmarkStart w:id="167" w:name="_Toc14427257"/>
      <w:bookmarkStart w:id="168" w:name="_Toc530152525"/>
      <w:r>
        <w:rPr>
          <w:rFonts w:hint="eastAsia"/>
        </w:rPr>
        <w:t>第四章 开标</w:t>
      </w:r>
      <w:bookmarkEnd w:id="165"/>
      <w:bookmarkEnd w:id="166"/>
      <w:bookmarkEnd w:id="167"/>
      <w:bookmarkEnd w:id="168"/>
    </w:p>
    <w:p>
      <w:pPr>
        <w:tabs>
          <w:tab w:val="clear" w:pos="426"/>
        </w:tabs>
        <w:rPr>
          <w:rFonts w:hint="eastAsia"/>
        </w:rPr>
      </w:pPr>
      <w:r>
        <w:t>29．　开标</w:t>
      </w:r>
    </w:p>
    <w:p>
      <w:pPr>
        <w:tabs>
          <w:tab w:val="clear" w:pos="426"/>
        </w:tabs>
        <w:rPr>
          <w:rFonts w:hint="eastAsia"/>
        </w:rPr>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rPr>
          <w:rFonts w:hint="eastAsia"/>
        </w:rPr>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rPr>
          <w:rFonts w:hint="eastAsia"/>
        </w:rPr>
      </w:pPr>
      <w:r>
        <w:t xml:space="preserve">29.3  </w:t>
      </w:r>
      <w:r>
        <w:rPr>
          <w:rFonts w:hint="eastAsia"/>
        </w:rPr>
        <w:t>开标会由采购代理机构主持，开标程序如下：</w:t>
      </w:r>
    </w:p>
    <w:p>
      <w:pPr>
        <w:tabs>
          <w:tab w:val="clear" w:pos="426"/>
        </w:tabs>
        <w:rPr>
          <w:rFonts w:hint="eastAsia"/>
        </w:rPr>
      </w:pPr>
      <w:r>
        <w:t xml:space="preserve">29.3.1  采购代理机构核对法人代表或其授权代表身份证明，若不能提供相应的身份证明或不相符，则不能参与开标会议； </w:t>
      </w:r>
    </w:p>
    <w:p>
      <w:pPr>
        <w:tabs>
          <w:tab w:val="clear" w:pos="426"/>
        </w:tabs>
        <w:rPr>
          <w:rFonts w:hint="eastAsia"/>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pPr>
        <w:tabs>
          <w:tab w:val="clear" w:pos="426"/>
        </w:tabs>
        <w:rPr>
          <w:rFonts w:hint="eastAsia"/>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rFonts w:hint="eastAsia"/>
          <w:szCs w:val="21"/>
        </w:rPr>
      </w:pPr>
      <w:r>
        <w:rPr>
          <w:rFonts w:hint="eastAsia"/>
          <w:szCs w:val="21"/>
        </w:rPr>
        <w:t>除了按照本通用条款第</w:t>
      </w:r>
      <w:r>
        <w:rPr>
          <w:szCs w:val="21"/>
        </w:rPr>
        <w:t>26条规定原封退回的投标之外，开标时将不得拒绝任何投标书。</w:t>
      </w:r>
    </w:p>
    <w:p>
      <w:pPr>
        <w:tabs>
          <w:tab w:val="clear" w:pos="426"/>
        </w:tabs>
        <w:rPr>
          <w:rFonts w:hint="eastAsia"/>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rFonts w:hint="eastAsia"/>
          <w:szCs w:val="21"/>
        </w:rPr>
      </w:pPr>
      <w:r>
        <w:rPr>
          <w:szCs w:val="21"/>
        </w:rPr>
        <w:t xml:space="preserve">29.3.5  </w:t>
      </w:r>
      <w:r>
        <w:rPr>
          <w:rFonts w:hint="eastAsia"/>
          <w:szCs w:val="21"/>
        </w:rPr>
        <w:t>按照投标供应商须知第</w:t>
      </w:r>
      <w:r>
        <w:rPr>
          <w:szCs w:val="21"/>
        </w:rPr>
        <w:t>28条规定，提交了可接受的“撤回”通知的投标将不予开封。</w:t>
      </w:r>
    </w:p>
    <w:p>
      <w:pPr>
        <w:tabs>
          <w:tab w:val="clear" w:pos="426"/>
        </w:tabs>
        <w:rPr>
          <w:rFonts w:hint="eastAsia"/>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rFonts w:hint="eastAsia"/>
          <w:szCs w:val="21"/>
        </w:rPr>
      </w:pPr>
      <w:r>
        <w:rPr>
          <w:szCs w:val="21"/>
        </w:rPr>
        <w:t xml:space="preserve">29.3.7  </w:t>
      </w:r>
      <w:r>
        <w:rPr>
          <w:rFonts w:hint="eastAsia"/>
          <w:szCs w:val="21"/>
        </w:rPr>
        <w:t>招标机构将做开标记录，开标记录包括按本通用条款第</w:t>
      </w:r>
      <w:r>
        <w:rPr>
          <w:szCs w:val="21"/>
        </w:rPr>
        <w:t>29.3.3的规定在开标时宣读的全部内容。</w:t>
      </w:r>
    </w:p>
    <w:p>
      <w:pPr>
        <w:tabs>
          <w:tab w:val="clear" w:pos="426"/>
        </w:tabs>
        <w:rPr>
          <w:rFonts w:hint="eastAsia"/>
        </w:rPr>
      </w:pPr>
      <w:r>
        <w:t xml:space="preserve">29.3.8  </w:t>
      </w:r>
      <w:r>
        <w:rPr>
          <w:rFonts w:hint="eastAsia"/>
        </w:rPr>
        <w:t>供应商在开标过程中知道或者应知其权益受到损害时必须现场明确提出，未明确提出的，即视为认可开标结果。</w:t>
      </w:r>
    </w:p>
    <w:p>
      <w:pPr>
        <w:pStyle w:val="5"/>
        <w:tabs>
          <w:tab w:val="clear" w:pos="426"/>
        </w:tabs>
        <w:rPr>
          <w:rFonts w:hint="eastAsia"/>
        </w:rPr>
      </w:pPr>
      <w:bookmarkStart w:id="169" w:name="_Toc31833"/>
      <w:bookmarkStart w:id="170" w:name="_Toc530152526"/>
      <w:bookmarkStart w:id="171" w:name="_Toc14427258"/>
      <w:bookmarkStart w:id="172" w:name="_Toc529280585"/>
      <w:r>
        <w:rPr>
          <w:rFonts w:hint="eastAsia"/>
        </w:rPr>
        <w:t>第五章 评标要求</w:t>
      </w:r>
      <w:bookmarkEnd w:id="169"/>
      <w:bookmarkEnd w:id="170"/>
      <w:bookmarkEnd w:id="171"/>
      <w:bookmarkEnd w:id="172"/>
    </w:p>
    <w:p>
      <w:pPr>
        <w:tabs>
          <w:tab w:val="clear" w:pos="426"/>
        </w:tabs>
        <w:rPr>
          <w:rFonts w:hint="eastAsia"/>
        </w:rPr>
      </w:pPr>
      <w:r>
        <w:t>30．评标委员会组成</w:t>
      </w:r>
    </w:p>
    <w:p>
      <w:pPr>
        <w:tabs>
          <w:tab w:val="clear" w:pos="426"/>
        </w:tabs>
        <w:rPr>
          <w:rFonts w:hint="eastAsia"/>
        </w:rPr>
      </w:pPr>
      <w:r>
        <w:t>30.1开标结束后召开评标会议，评标委员会由采购代理机构依法组建，负责评标活动。</w:t>
      </w:r>
    </w:p>
    <w:p>
      <w:pPr>
        <w:tabs>
          <w:tab w:val="clear" w:pos="426"/>
        </w:tabs>
        <w:rPr>
          <w:rFonts w:hint="eastAsia"/>
        </w:rPr>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rPr>
          <w:rFonts w:hint="eastAsia"/>
        </w:rPr>
      </w:pPr>
      <w:r>
        <w:rPr>
          <w:rFonts w:hint="eastAsia"/>
        </w:rPr>
        <w:t>为保证评委人选的专业性，以及评标中的公平公正性，评标委员会成员从深圳市财政委员会评标专家库中随机抽取。</w:t>
      </w:r>
    </w:p>
    <w:p>
      <w:pPr>
        <w:tabs>
          <w:tab w:val="clear" w:pos="426"/>
        </w:tabs>
        <w:rPr>
          <w:rFonts w:hint="eastAsia"/>
        </w:rPr>
      </w:pPr>
      <w:r>
        <w:rPr>
          <w:rFonts w:hint="eastAsia"/>
        </w:rPr>
        <w:t>采购单位代表须持本单位签发的《评标授权书》参加评标。</w:t>
      </w:r>
    </w:p>
    <w:p>
      <w:pPr>
        <w:tabs>
          <w:tab w:val="clear" w:pos="426"/>
        </w:tabs>
        <w:rPr>
          <w:rFonts w:hint="eastAsia"/>
        </w:rPr>
      </w:pPr>
      <w:r>
        <w:rPr>
          <w:rFonts w:hint="eastAsia"/>
        </w:rPr>
        <w:t>采购单位无代表参与评标，应在开标前一天提交《采购单位不派评委参与项目评标承诺书》给采购代理机构。</w:t>
      </w:r>
    </w:p>
    <w:p>
      <w:pPr>
        <w:tabs>
          <w:tab w:val="clear" w:pos="426"/>
        </w:tabs>
        <w:rPr>
          <w:rFonts w:hint="eastAsia"/>
          <w:sz w:val="24"/>
        </w:rPr>
      </w:pPr>
      <w:r>
        <w:rPr>
          <w:rFonts w:hint="eastAsia"/>
        </w:rPr>
        <w:t>注：《评标授权书》《采购单位不派评委参与项目评标承诺书》模板由采购代理机构提供</w:t>
      </w:r>
      <w:r>
        <w:rPr>
          <w:rFonts w:hint="eastAsia"/>
          <w:sz w:val="24"/>
        </w:rPr>
        <w:t>。</w:t>
      </w:r>
    </w:p>
    <w:p>
      <w:pPr>
        <w:tabs>
          <w:tab w:val="clear" w:pos="426"/>
        </w:tabs>
        <w:rPr>
          <w:rFonts w:hint="eastAsia"/>
        </w:rPr>
      </w:pPr>
      <w:r>
        <w:t>30.2评标定标应当遵循公平、公正、科学、择优的原则。</w:t>
      </w:r>
    </w:p>
    <w:p>
      <w:pPr>
        <w:tabs>
          <w:tab w:val="clear" w:pos="426"/>
        </w:tabs>
        <w:rPr>
          <w:rFonts w:hint="eastAsia"/>
        </w:rPr>
      </w:pPr>
      <w:r>
        <w:t>30.3评标活动依法进行，任何单位和个人不得非法干预评标过程和结果。</w:t>
      </w:r>
    </w:p>
    <w:p>
      <w:pPr>
        <w:tabs>
          <w:tab w:val="clear" w:pos="426"/>
        </w:tabs>
        <w:rPr>
          <w:rFonts w:hint="eastAsia"/>
        </w:rPr>
      </w:pPr>
      <w:r>
        <w:t>30.4评标过程中不允许违背评标程序或采用招标文件未载明的评标方法或评标因素进行评标。</w:t>
      </w:r>
    </w:p>
    <w:p>
      <w:pPr>
        <w:tabs>
          <w:tab w:val="clear" w:pos="426"/>
        </w:tabs>
        <w:rPr>
          <w:rFonts w:hint="eastAsia"/>
        </w:rPr>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rPr>
          <w:rFonts w:hint="eastAsia"/>
        </w:rPr>
      </w:pPr>
      <w:r>
        <w:t>31．向评标委员会提供的资料</w:t>
      </w:r>
    </w:p>
    <w:p>
      <w:pPr>
        <w:tabs>
          <w:tab w:val="clear" w:pos="426"/>
        </w:tabs>
        <w:rPr>
          <w:rFonts w:hint="eastAsia"/>
        </w:rPr>
      </w:pPr>
      <w:r>
        <w:t>31.1公开发布的招标文件，包括图纸、服务清单、答疑文件等；</w:t>
      </w:r>
    </w:p>
    <w:p>
      <w:pPr>
        <w:tabs>
          <w:tab w:val="clear" w:pos="426"/>
        </w:tabs>
        <w:rPr>
          <w:rFonts w:hint="eastAsia"/>
        </w:rPr>
      </w:pPr>
      <w:r>
        <w:t>31.2其他评标必须的资料。</w:t>
      </w:r>
    </w:p>
    <w:p>
      <w:pPr>
        <w:tabs>
          <w:tab w:val="clear" w:pos="426"/>
        </w:tabs>
        <w:rPr>
          <w:rFonts w:hint="eastAsia"/>
        </w:rPr>
      </w:pPr>
      <w:r>
        <w:t>31.3评标委员会应当认真研究招标文件，至少应了解熟悉以下</w:t>
      </w:r>
      <w:r>
        <w:rPr>
          <w:rFonts w:hint="eastAsia"/>
        </w:rPr>
        <w:t>内容：</w:t>
      </w:r>
    </w:p>
    <w:p>
      <w:pPr>
        <w:tabs>
          <w:tab w:val="clear" w:pos="426"/>
        </w:tabs>
        <w:rPr>
          <w:rFonts w:hint="eastAsia"/>
        </w:rPr>
      </w:pPr>
      <w:r>
        <w:rPr>
          <w:rFonts w:hint="eastAsia"/>
        </w:rPr>
        <w:t>（1）招标的目的；</w:t>
      </w:r>
    </w:p>
    <w:p>
      <w:pPr>
        <w:tabs>
          <w:tab w:val="clear" w:pos="426"/>
        </w:tabs>
        <w:rPr>
          <w:rFonts w:hint="eastAsia"/>
        </w:rPr>
      </w:pPr>
      <w:r>
        <w:rPr>
          <w:rFonts w:hint="eastAsia"/>
        </w:rPr>
        <w:t>（2）招标项目需求的范围和性质；</w:t>
      </w:r>
    </w:p>
    <w:p>
      <w:pPr>
        <w:tabs>
          <w:tab w:val="clear" w:pos="426"/>
        </w:tabs>
        <w:rPr>
          <w:rFonts w:hint="eastAsia"/>
        </w:rPr>
      </w:pPr>
      <w:r>
        <w:rPr>
          <w:rFonts w:hint="eastAsia"/>
        </w:rPr>
        <w:t>（3）招标文件规定的投标供应商的资格、财政预算限额、商务条款；</w:t>
      </w:r>
    </w:p>
    <w:p>
      <w:pPr>
        <w:tabs>
          <w:tab w:val="clear" w:pos="426"/>
        </w:tabs>
        <w:rPr>
          <w:rFonts w:hint="eastAsia"/>
        </w:rPr>
      </w:pPr>
      <w:r>
        <w:rPr>
          <w:rFonts w:hint="eastAsia"/>
        </w:rPr>
        <w:t>（4）招标文件规定的评标程序、评标方法和评标因素；</w:t>
      </w:r>
    </w:p>
    <w:p>
      <w:pPr>
        <w:tabs>
          <w:tab w:val="clear" w:pos="426"/>
        </w:tabs>
        <w:rPr>
          <w:rFonts w:hint="eastAsia"/>
        </w:rPr>
      </w:pPr>
      <w:r>
        <w:rPr>
          <w:rFonts w:hint="eastAsia"/>
        </w:rPr>
        <w:t>（5）招标文件所列示的投标文件“资格、符合性评审条款”。</w:t>
      </w:r>
    </w:p>
    <w:p>
      <w:pPr>
        <w:tabs>
          <w:tab w:val="clear" w:pos="426"/>
        </w:tabs>
        <w:rPr>
          <w:rFonts w:hint="eastAsia"/>
        </w:rPr>
      </w:pPr>
      <w:r>
        <w:rPr>
          <w:rFonts w:hint="eastAsia"/>
        </w:rPr>
        <w:t>32．独立评标</w:t>
      </w:r>
    </w:p>
    <w:p>
      <w:pPr>
        <w:tabs>
          <w:tab w:val="clear" w:pos="426"/>
        </w:tabs>
        <w:rPr>
          <w:rFonts w:hint="eastAsia"/>
          <w:szCs w:val="21"/>
        </w:rPr>
      </w:pPr>
      <w:r>
        <w:rPr>
          <w:rFonts w:hint="eastAsia"/>
        </w:rPr>
        <w:t>32.1评标委员会成员的评标活动应当独立进行，并应遵循投标文件初审、澄清有关问题、比较与评价、确定中标候选供应商、编写评标报告的工作程序。</w:t>
      </w:r>
    </w:p>
    <w:p>
      <w:pPr>
        <w:pStyle w:val="5"/>
        <w:tabs>
          <w:tab w:val="clear" w:pos="426"/>
        </w:tabs>
        <w:rPr>
          <w:rFonts w:hint="eastAsia"/>
        </w:rPr>
      </w:pPr>
      <w:bookmarkStart w:id="173" w:name="_Toc14427259"/>
      <w:bookmarkStart w:id="174" w:name="_Toc530152527"/>
      <w:bookmarkStart w:id="175" w:name="_Toc329"/>
      <w:bookmarkStart w:id="176" w:name="_Toc529280586"/>
      <w:r>
        <w:rPr>
          <w:rFonts w:hint="eastAsia"/>
        </w:rPr>
        <w:t>第六章 评标程序及评标方法</w:t>
      </w:r>
      <w:bookmarkEnd w:id="173"/>
      <w:bookmarkEnd w:id="174"/>
      <w:bookmarkEnd w:id="175"/>
      <w:bookmarkEnd w:id="176"/>
    </w:p>
    <w:p>
      <w:pPr>
        <w:tabs>
          <w:tab w:val="clear" w:pos="426"/>
        </w:tabs>
        <w:rPr>
          <w:rFonts w:hint="eastAsia"/>
        </w:rPr>
      </w:pPr>
      <w:r>
        <w:rPr>
          <w:rFonts w:hint="eastAsia"/>
        </w:rPr>
        <w:t>33．投标文件初审</w:t>
      </w:r>
    </w:p>
    <w:p>
      <w:pPr>
        <w:widowControl w:val="0"/>
        <w:shd w:val="clear" w:color="auto" w:fill="auto"/>
        <w:tabs>
          <w:tab w:val="clear" w:pos="426"/>
        </w:tabs>
        <w:autoSpaceDE w:val="0"/>
        <w:autoSpaceDN w:val="0"/>
        <w:rPr>
          <w:rFonts w:hint="eastAsia"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rFonts w:hint="eastAsia"/>
          <w:b/>
        </w:rPr>
      </w:pPr>
      <w:r>
        <w:rPr>
          <w:rFonts w:hint="eastAsia"/>
        </w:rPr>
        <w:t>33.2 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rPr>
          <w:rFonts w:hint="eastAsia"/>
        </w:rPr>
      </w:pPr>
      <w:r>
        <w:rPr>
          <w:rFonts w:hint="eastAsia"/>
        </w:rPr>
        <w:t>33.3 投标文件初审中关于供应商家数的计算。</w:t>
      </w:r>
    </w:p>
    <w:p>
      <w:pPr>
        <w:tabs>
          <w:tab w:val="clear" w:pos="426"/>
        </w:tabs>
        <w:rPr>
          <w:rFonts w:hint="eastAsia"/>
        </w:rPr>
      </w:pPr>
      <w:r>
        <w:rPr>
          <w:rFonts w:hint="eastAsia"/>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rFonts w:hint="eastAsia"/>
        </w:rPr>
      </w:pPr>
      <w:r>
        <w:t>33.3.</w:t>
      </w:r>
      <w:r>
        <w:rPr>
          <w:rFonts w:hint="eastAsia"/>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rFonts w:hint="eastAsia"/>
        </w:rPr>
      </w:pPr>
      <w:r>
        <w:t>33.3.</w:t>
      </w:r>
      <w:r>
        <w:rPr>
          <w:rFonts w:hint="eastAsia"/>
        </w:rPr>
        <w:t>3非单一产品采购项目，采购人应当根据采购项目技术构成、产品价格比重等合理确定核心产品，并在招标文件中载明。多家投标供应商提供的核心产品品牌相同的，按前两款规定处理。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rFonts w:hint="eastAsia"/>
        </w:rPr>
      </w:pPr>
      <w:r>
        <w:rPr>
          <w:rFonts w:hint="eastAsia"/>
        </w:rPr>
        <w:t>33.3.4公开招标以外采购方式以及采购服务和工程涉及采购货物的项目，也按此方法计算供应商家数。</w:t>
      </w:r>
    </w:p>
    <w:p>
      <w:pPr>
        <w:tabs>
          <w:tab w:val="clear" w:pos="426"/>
        </w:tabs>
        <w:rPr>
          <w:rFonts w:hint="eastAsia"/>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rPr>
          <w:rFonts w:hint="eastAsia"/>
        </w:rPr>
      </w:pPr>
      <w:r>
        <w:rPr>
          <w:rFonts w:hint="eastAsia"/>
        </w:rPr>
        <w:t>34．澄清有关问题</w:t>
      </w:r>
    </w:p>
    <w:p>
      <w:pPr>
        <w:tabs>
          <w:tab w:val="clear" w:pos="426"/>
        </w:tabs>
        <w:rPr>
          <w:rFonts w:hint="eastAsia"/>
        </w:rPr>
      </w:pPr>
      <w:r>
        <w:rPr>
          <w:rFonts w:hint="eastAsia"/>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供应商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rFonts w:hint="eastAsia"/>
        </w:rPr>
      </w:pPr>
      <w:r>
        <w:rPr>
          <w:rFonts w:hint="eastAsia"/>
        </w:rPr>
        <w:t>35．错误的修正</w:t>
      </w:r>
    </w:p>
    <w:p>
      <w:pPr>
        <w:tabs>
          <w:tab w:val="clear" w:pos="426"/>
        </w:tabs>
        <w:rPr>
          <w:rFonts w:hint="eastAsia"/>
        </w:rPr>
      </w:pPr>
      <w:r>
        <w:rPr>
          <w:rFonts w:hint="eastAsia"/>
        </w:rPr>
        <w:t>35</w:t>
      </w:r>
      <w:r>
        <w:t xml:space="preserve">.1 </w:t>
      </w:r>
      <w:r>
        <w:rPr>
          <w:rFonts w:hint="eastAsia"/>
        </w:rPr>
        <w:t>评标委员会将审查投标文件是否完整、总体编排是否有序、文件签署是否合格、投标供应商是否提交了投标保证金、有无计算上的错误等。</w:t>
      </w:r>
    </w:p>
    <w:p>
      <w:pPr>
        <w:tabs>
          <w:tab w:val="clear" w:pos="426"/>
        </w:tabs>
        <w:rPr>
          <w:rFonts w:hint="eastAsia"/>
        </w:rPr>
      </w:pPr>
      <w:r>
        <w:rPr>
          <w:rFonts w:hint="eastAsia"/>
        </w:rPr>
        <w:t>35.2  算术错误将按以下方法更正（次序排先者优先）：</w:t>
      </w:r>
    </w:p>
    <w:p>
      <w:pPr>
        <w:tabs>
          <w:tab w:val="clear" w:pos="426"/>
        </w:tabs>
        <w:rPr>
          <w:rFonts w:hint="eastAsia"/>
        </w:rPr>
      </w:pPr>
      <w:r>
        <w:rPr>
          <w:rFonts w:hint="eastAsia"/>
        </w:rPr>
        <w:t>35.2.1投标文件中开标一览表（报价表）内容与投标文件中相应内容不一致的，以开标一览表（报价表）为准；</w:t>
      </w:r>
    </w:p>
    <w:p>
      <w:pPr>
        <w:tabs>
          <w:tab w:val="clear" w:pos="426"/>
        </w:tabs>
        <w:rPr>
          <w:rFonts w:hint="eastAsia"/>
        </w:rPr>
      </w:pPr>
      <w:r>
        <w:rPr>
          <w:rFonts w:hint="eastAsia"/>
        </w:rPr>
        <w:t>35.2.2大写金额和小写金额不一致的，以大写金额为准；</w:t>
      </w:r>
    </w:p>
    <w:p>
      <w:pPr>
        <w:tabs>
          <w:tab w:val="clear" w:pos="426"/>
        </w:tabs>
        <w:rPr>
          <w:rFonts w:hint="eastAsia"/>
        </w:rPr>
      </w:pPr>
      <w:r>
        <w:rPr>
          <w:rFonts w:hint="eastAsia"/>
        </w:rPr>
        <w:t>35.2.3单价金额小数点或者百分比有明显错位的，以开标一览表的总价为准，并修改单价；</w:t>
      </w:r>
    </w:p>
    <w:p>
      <w:pPr>
        <w:tabs>
          <w:tab w:val="clear" w:pos="426"/>
        </w:tabs>
        <w:rPr>
          <w:rFonts w:hint="eastAsia"/>
        </w:rPr>
      </w:pPr>
      <w:r>
        <w:rPr>
          <w:rFonts w:hint="eastAsia"/>
        </w:rPr>
        <w:t>35.2.4总价金额与按单价汇总金额不一致的，以单价金额计算结果为准；</w:t>
      </w:r>
    </w:p>
    <w:p>
      <w:pPr>
        <w:tabs>
          <w:tab w:val="clear" w:pos="426"/>
        </w:tabs>
        <w:rPr>
          <w:rFonts w:hint="eastAsia"/>
        </w:rPr>
      </w:pPr>
      <w:r>
        <w:rPr>
          <w:rFonts w:hint="eastAsia"/>
        </w:rPr>
        <w:t>35.2.5 对不同文字文本投标文件的解释发生异议的，以中文文本为准。</w:t>
      </w:r>
    </w:p>
    <w:p>
      <w:pPr>
        <w:tabs>
          <w:tab w:val="clear" w:pos="426"/>
        </w:tabs>
        <w:rPr>
          <w:rFonts w:hint="eastAsia"/>
        </w:rPr>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rPr>
          <w:rFonts w:hint="eastAsia"/>
        </w:rPr>
      </w:pPr>
      <w:r>
        <w:rPr>
          <w:rFonts w:hint="eastAsia"/>
        </w:rPr>
        <w:t>35.4  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rPr>
          <w:rFonts w:hint="eastAsia"/>
        </w:rPr>
      </w:pPr>
      <w:r>
        <w:rPr>
          <w:rFonts w:hint="eastAsia"/>
        </w:rPr>
        <w:t>35.5根据上述修正错误的原则及方法调整或修正投标文件的投标报价，投标供应商同意后，调整后的投标报价对投标供应商起约束作用。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pPr>
        <w:tabs>
          <w:tab w:val="clear" w:pos="426"/>
        </w:tabs>
        <w:rPr>
          <w:rFonts w:hint="eastAsia"/>
        </w:rPr>
      </w:pPr>
      <w:r>
        <w:rPr>
          <w:rFonts w:hint="eastAsia"/>
        </w:rPr>
        <w:t>36．投标文件的比较与评价</w:t>
      </w:r>
    </w:p>
    <w:p>
      <w:pPr>
        <w:tabs>
          <w:tab w:val="clear" w:pos="426"/>
        </w:tabs>
        <w:rPr>
          <w:rFonts w:hint="eastAsia"/>
        </w:rPr>
      </w:pPr>
      <w:r>
        <w:rPr>
          <w:rFonts w:hint="eastAsia"/>
        </w:rPr>
        <w:t>36.1评标委员会将参照相关法律、法规、规定，仅对通过资格性审查和符合性审查的投标文件进行综合比较与评价。</w:t>
      </w:r>
    </w:p>
    <w:p>
      <w:pPr>
        <w:tabs>
          <w:tab w:val="clear" w:pos="426"/>
        </w:tabs>
        <w:rPr>
          <w:rFonts w:hint="eastAsia"/>
        </w:rPr>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rPr>
          <w:rFonts w:hint="eastAsia"/>
        </w:rPr>
      </w:pPr>
      <w:r>
        <w:rPr>
          <w:rFonts w:hint="eastAsia"/>
        </w:rPr>
        <w:t>36.3 评标委员会应当对投标供应商的投标文件进行分析和比较。</w:t>
      </w:r>
    </w:p>
    <w:p>
      <w:pPr>
        <w:tabs>
          <w:tab w:val="clear" w:pos="426"/>
        </w:tabs>
        <w:rPr>
          <w:rFonts w:hint="eastAsia"/>
        </w:rPr>
      </w:pPr>
      <w:r>
        <w:rPr>
          <w:rFonts w:hint="eastAsia"/>
        </w:rPr>
        <w:t>36.4  评标委员会应当根据招标文件规定，对投标文件中的每项评审内容进行评审。</w:t>
      </w:r>
    </w:p>
    <w:p>
      <w:pPr>
        <w:tabs>
          <w:tab w:val="clear" w:pos="426"/>
        </w:tabs>
        <w:rPr>
          <w:rFonts w:hint="eastAsia"/>
          <w:kern w:val="10"/>
        </w:rPr>
      </w:pPr>
      <w:r>
        <w:rPr>
          <w:rFonts w:hint="eastAsia"/>
          <w:kern w:val="10"/>
        </w:rPr>
        <w:t>36.5  投标文件存在重大偏离的，应作废标处理。下列情况属于重大偏离：</w:t>
      </w:r>
    </w:p>
    <w:p>
      <w:pPr>
        <w:tabs>
          <w:tab w:val="clear" w:pos="426"/>
        </w:tabs>
        <w:rPr>
          <w:rFonts w:hint="eastAsia"/>
          <w:kern w:val="10"/>
        </w:rPr>
      </w:pPr>
      <w:r>
        <w:rPr>
          <w:rFonts w:hint="eastAsia"/>
          <w:kern w:val="10"/>
        </w:rPr>
        <w:t>36.5.1  投标供应商以他人的名义投标或出现下列串通投标、弄虚作假投标嫌疑的：</w:t>
      </w:r>
    </w:p>
    <w:p>
      <w:pPr>
        <w:tabs>
          <w:tab w:val="clear" w:pos="426"/>
        </w:tabs>
        <w:rPr>
          <w:rFonts w:hint="eastAsia"/>
          <w:kern w:val="10"/>
        </w:rPr>
      </w:pPr>
      <w:r>
        <w:rPr>
          <w:rFonts w:hint="eastAsia"/>
          <w:kern w:val="10"/>
        </w:rPr>
        <w:t xml:space="preserve">36.5.1.1  </w:t>
      </w:r>
      <w:r>
        <w:rPr>
          <w:kern w:val="10"/>
        </w:rPr>
        <w:t>不同投标供应商的投标文件内容存在非正常一致</w:t>
      </w:r>
      <w:r>
        <w:rPr>
          <w:rFonts w:hint="eastAsia"/>
          <w:kern w:val="10"/>
        </w:rPr>
        <w:t>的</w:t>
      </w:r>
      <w:r>
        <w:rPr>
          <w:kern w:val="10"/>
        </w:rPr>
        <w:t>；</w:t>
      </w:r>
    </w:p>
    <w:p>
      <w:pPr>
        <w:tabs>
          <w:tab w:val="clear" w:pos="426"/>
        </w:tabs>
        <w:rPr>
          <w:rFonts w:hint="eastAsia"/>
          <w:kern w:val="10"/>
        </w:rPr>
      </w:pPr>
      <w:r>
        <w:rPr>
          <w:rFonts w:hint="eastAsia"/>
          <w:kern w:val="10"/>
        </w:rPr>
        <w:t xml:space="preserve">36.5.1.2  </w:t>
      </w:r>
      <w:r>
        <w:rPr>
          <w:kern w:val="10"/>
        </w:rPr>
        <w:t>不同投标供应商的投标文件错漏之处一致的；</w:t>
      </w:r>
    </w:p>
    <w:p>
      <w:pPr>
        <w:tabs>
          <w:tab w:val="clear" w:pos="426"/>
        </w:tabs>
        <w:rPr>
          <w:rFonts w:hint="eastAsia"/>
          <w:kern w:val="10"/>
        </w:rPr>
      </w:pPr>
      <w:r>
        <w:rPr>
          <w:rFonts w:hint="eastAsia"/>
          <w:kern w:val="10"/>
        </w:rPr>
        <w:t xml:space="preserve">36.5.1.3  </w:t>
      </w:r>
      <w:r>
        <w:rPr>
          <w:kern w:val="10"/>
        </w:rPr>
        <w:t>不同投标供应商的投标报价或者报价组成异常一致或者呈规律性变化的；</w:t>
      </w:r>
    </w:p>
    <w:p>
      <w:pPr>
        <w:tabs>
          <w:tab w:val="clear" w:pos="426"/>
        </w:tabs>
        <w:rPr>
          <w:rFonts w:hint="eastAsia"/>
          <w:kern w:val="10"/>
        </w:rPr>
      </w:pPr>
      <w:r>
        <w:rPr>
          <w:rFonts w:hint="eastAsia"/>
          <w:kern w:val="10"/>
        </w:rPr>
        <w:t xml:space="preserve">36.5.1.4  </w:t>
      </w:r>
      <w:r>
        <w:rPr>
          <w:kern w:val="10"/>
        </w:rPr>
        <w:t>不同投标供应商的投标文件由同一单位或者同一个人编制的；</w:t>
      </w:r>
    </w:p>
    <w:p>
      <w:pPr>
        <w:tabs>
          <w:tab w:val="clear" w:pos="426"/>
        </w:tabs>
        <w:rPr>
          <w:rFonts w:hint="eastAsia"/>
          <w:kern w:val="10"/>
        </w:rPr>
      </w:pPr>
      <w:r>
        <w:rPr>
          <w:rFonts w:hint="eastAsia"/>
          <w:kern w:val="10"/>
        </w:rPr>
        <w:t xml:space="preserve">36.5.1.5  </w:t>
      </w:r>
      <w:r>
        <w:rPr>
          <w:kern w:val="10"/>
        </w:rPr>
        <w:t>不同投标供应商的投标文件载明的</w:t>
      </w:r>
      <w:r>
        <w:rPr>
          <w:rFonts w:hint="eastAsia"/>
          <w:kern w:val="10"/>
        </w:rPr>
        <w:t>项目负责人与主要技术人员</w:t>
      </w:r>
      <w:r>
        <w:rPr>
          <w:kern w:val="10"/>
        </w:rPr>
        <w:t>出现同一人的；</w:t>
      </w:r>
    </w:p>
    <w:p>
      <w:pPr>
        <w:tabs>
          <w:tab w:val="clear" w:pos="426"/>
        </w:tabs>
        <w:rPr>
          <w:rFonts w:hint="eastAsia"/>
          <w:kern w:val="10"/>
        </w:rPr>
      </w:pPr>
      <w:r>
        <w:rPr>
          <w:rFonts w:hint="eastAsia"/>
          <w:kern w:val="10"/>
        </w:rPr>
        <w:t xml:space="preserve">36.5.1.6  </w:t>
      </w:r>
      <w:r>
        <w:rPr>
          <w:kern w:val="10"/>
        </w:rPr>
        <w:t>不同投标供应商的投标文件相互混装的；</w:t>
      </w:r>
    </w:p>
    <w:p>
      <w:pPr>
        <w:tabs>
          <w:tab w:val="clear" w:pos="426"/>
        </w:tabs>
        <w:rPr>
          <w:rFonts w:hint="eastAsia"/>
          <w:kern w:val="10"/>
        </w:rPr>
      </w:pPr>
      <w:r>
        <w:rPr>
          <w:rFonts w:hint="eastAsia"/>
          <w:kern w:val="10"/>
        </w:rPr>
        <w:t xml:space="preserve">36.5.1.7  </w:t>
      </w:r>
      <w:r>
        <w:rPr>
          <w:kern w:val="10"/>
        </w:rPr>
        <w:t>不同投标供应商委托同一人投标的</w:t>
      </w:r>
      <w:r>
        <w:rPr>
          <w:rFonts w:hint="eastAsia"/>
          <w:kern w:val="10"/>
        </w:rPr>
        <w:t>；</w:t>
      </w:r>
    </w:p>
    <w:p>
      <w:pPr>
        <w:tabs>
          <w:tab w:val="clear" w:pos="426"/>
        </w:tabs>
        <w:rPr>
          <w:rFonts w:hint="eastAsia"/>
          <w:kern w:val="10"/>
        </w:rPr>
      </w:pPr>
      <w:r>
        <w:rPr>
          <w:rFonts w:hint="eastAsia"/>
          <w:kern w:val="10"/>
        </w:rPr>
        <w:t>36.5.1.8  不同投标供应商聘请同一人为其投标提供技术或者经济咨询服务的，但招标工程本身要求采用专有技术的除外；</w:t>
      </w:r>
    </w:p>
    <w:p>
      <w:pPr>
        <w:tabs>
          <w:tab w:val="clear" w:pos="426"/>
        </w:tabs>
        <w:rPr>
          <w:rFonts w:hint="eastAsia"/>
          <w:kern w:val="10"/>
        </w:rPr>
      </w:pPr>
      <w:r>
        <w:rPr>
          <w:rFonts w:hint="eastAsia"/>
          <w:kern w:val="10"/>
        </w:rPr>
        <w:t xml:space="preserve">36.5.1.9  </w:t>
      </w:r>
      <w:r>
        <w:rPr>
          <w:kern w:val="10"/>
        </w:rPr>
        <w:t>评标委员会认定的其他串通投标情形。</w:t>
      </w:r>
    </w:p>
    <w:p>
      <w:pPr>
        <w:tabs>
          <w:tab w:val="clear" w:pos="426"/>
        </w:tabs>
        <w:rPr>
          <w:rFonts w:hint="eastAsia"/>
        </w:rPr>
      </w:pPr>
      <w:r>
        <w:rPr>
          <w:rFonts w:hint="eastAsia"/>
          <w:kern w:val="10"/>
        </w:rPr>
        <w:t xml:space="preserve">36.5.2 </w:t>
      </w:r>
      <w:r>
        <w:rPr>
          <w:rFonts w:hint="eastAsia"/>
        </w:rPr>
        <w:t xml:space="preserve"> 投标文件不满足招标文件规定的任何一项实质性要求的；</w:t>
      </w:r>
    </w:p>
    <w:p>
      <w:pPr>
        <w:tabs>
          <w:tab w:val="clear" w:pos="426"/>
        </w:tabs>
        <w:rPr>
          <w:rFonts w:hint="eastAsia"/>
        </w:rPr>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rPr>
          <w:rFonts w:hint="eastAsia"/>
        </w:rPr>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评标委员会根据招标文件的规定对投标文件的投标价格进行调整，投标供应商不接受调整方式的，或不接受调整后的价格的；</w:t>
      </w:r>
    </w:p>
    <w:p>
      <w:pPr>
        <w:tabs>
          <w:tab w:val="clear" w:pos="426"/>
        </w:tabs>
        <w:rPr>
          <w:rFonts w:hint="eastAsia"/>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rFonts w:hint="eastAsia"/>
          <w:kern w:val="10"/>
        </w:rPr>
      </w:pPr>
      <w:r>
        <w:rPr>
          <w:rFonts w:hint="eastAsia"/>
          <w:kern w:val="10"/>
        </w:rPr>
        <w:t>36.7 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rFonts w:hint="eastAsia"/>
        </w:rPr>
      </w:pPr>
      <w:r>
        <w:rPr>
          <w:rFonts w:hint="eastAsia"/>
        </w:rPr>
        <w:t>37.实地考察、演示或设备测试</w:t>
      </w:r>
    </w:p>
    <w:p>
      <w:pPr>
        <w:tabs>
          <w:tab w:val="clear" w:pos="426"/>
        </w:tabs>
        <w:rPr>
          <w:rFonts w:hint="eastAsia"/>
        </w:rPr>
      </w:pPr>
      <w:r>
        <w:rPr>
          <w:rFonts w:hint="eastAsia"/>
        </w:rPr>
        <w:t>37.1在招标过程中，评标委员会有权决定是否对本项目投标供应商进行现场勘察或实地考察或检验有关证明材料的原件。投标供应商应随时做好接受检查的准备。</w:t>
      </w:r>
    </w:p>
    <w:p>
      <w:pPr>
        <w:tabs>
          <w:tab w:val="clear" w:pos="426"/>
        </w:tabs>
        <w:rPr>
          <w:rFonts w:hint="eastAsia"/>
        </w:rPr>
      </w:pPr>
      <w:r>
        <w:rPr>
          <w:rFonts w:hint="eastAsia"/>
        </w:rPr>
        <w:t>37.2若招标文件要求进行现场演示或设备测试的，投标供应商应做好相应准备。</w:t>
      </w:r>
    </w:p>
    <w:p>
      <w:pPr>
        <w:tabs>
          <w:tab w:val="clear" w:pos="426"/>
        </w:tabs>
        <w:rPr>
          <w:rFonts w:hint="eastAsia"/>
        </w:rPr>
      </w:pPr>
      <w:r>
        <w:rPr>
          <w:rFonts w:hint="eastAsia"/>
        </w:rPr>
        <w:t>38．评标方法</w:t>
      </w:r>
    </w:p>
    <w:p>
      <w:pPr>
        <w:tabs>
          <w:tab w:val="clear" w:pos="426"/>
        </w:tabs>
        <w:rPr>
          <w:rFonts w:hint="eastAsia"/>
          <w:szCs w:val="21"/>
        </w:rPr>
      </w:pPr>
      <w:r>
        <w:rPr>
          <w:rFonts w:hint="eastAsia"/>
          <w:szCs w:val="21"/>
        </w:rPr>
        <w:t>38.1</w:t>
      </w:r>
      <w:r>
        <w:rPr>
          <w:rFonts w:hint="eastAsia"/>
        </w:rPr>
        <w:t>根据有关要求，</w:t>
      </w:r>
      <w:r>
        <w:rPr>
          <w:rFonts w:hint="eastAsia"/>
          <w:szCs w:val="21"/>
        </w:rPr>
        <w:t>项目评标方法根据是否是评定分离项目进行选择。</w:t>
      </w:r>
    </w:p>
    <w:p>
      <w:pPr>
        <w:tabs>
          <w:tab w:val="clear" w:pos="426"/>
        </w:tabs>
        <w:rPr>
          <w:rFonts w:hint="eastAsia"/>
        </w:rPr>
      </w:pPr>
      <w:r>
        <w:rPr>
          <w:rFonts w:hint="eastAsia"/>
        </w:rPr>
        <w:t>38.2非评定分离项目</w:t>
      </w:r>
    </w:p>
    <w:p>
      <w:pPr>
        <w:tabs>
          <w:tab w:val="clear" w:pos="426"/>
        </w:tabs>
        <w:rPr>
          <w:rFonts w:hint="eastAsia"/>
        </w:rPr>
      </w:pPr>
      <w:r>
        <w:rPr>
          <w:rFonts w:hint="eastAsia"/>
        </w:rPr>
        <w:t>非评定分离项目评分方法为最低评标价法、综合评标法、性价比法及法律、法规允许的其它评标办法。</w:t>
      </w:r>
    </w:p>
    <w:p>
      <w:pPr>
        <w:tabs>
          <w:tab w:val="clear" w:pos="426"/>
        </w:tabs>
        <w:rPr>
          <w:rFonts w:hint="eastAsia"/>
          <w:b/>
        </w:rPr>
      </w:pPr>
      <w:r>
        <w:rPr>
          <w:rFonts w:hint="eastAsia"/>
        </w:rPr>
        <w:t>38.2.1最低评标价法</w:t>
      </w:r>
    </w:p>
    <w:p>
      <w:pPr>
        <w:tabs>
          <w:tab w:val="clear" w:pos="426"/>
        </w:tabs>
        <w:rPr>
          <w:rFonts w:hint="eastAsia"/>
        </w:rPr>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rFonts w:hint="eastAsia"/>
          <w:b/>
        </w:rPr>
      </w:pPr>
      <w:r>
        <w:rPr>
          <w:rFonts w:hint="eastAsia"/>
        </w:rPr>
        <w:t>38.2.2综合评分法</w:t>
      </w:r>
    </w:p>
    <w:p>
      <w:pPr>
        <w:tabs>
          <w:tab w:val="clear" w:pos="426"/>
        </w:tabs>
        <w:rPr>
          <w:rFonts w:hint="eastAsia"/>
        </w:rPr>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rFonts w:hint="eastAsia"/>
          <w:b/>
          <w:bCs/>
        </w:rPr>
      </w:pPr>
      <w:r>
        <w:rPr>
          <w:rFonts w:hint="eastAsia"/>
        </w:rPr>
        <w:t>38.2.3</w:t>
      </w:r>
      <w:r>
        <w:rPr>
          <w:rFonts w:hint="eastAsia"/>
          <w:bCs/>
        </w:rPr>
        <w:t>性价比法</w:t>
      </w:r>
    </w:p>
    <w:p>
      <w:pPr>
        <w:tabs>
          <w:tab w:val="clear" w:pos="426"/>
        </w:tabs>
        <w:rPr>
          <w:rFonts w:hint="eastAsia"/>
        </w:rPr>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rPr>
          <w:rFonts w:hint="eastAsia"/>
        </w:rPr>
      </w:pPr>
      <w:r>
        <w:rPr>
          <w:rFonts w:hint="eastAsia"/>
        </w:rPr>
        <w:t>38.3评定分离项目</w:t>
      </w:r>
    </w:p>
    <w:p>
      <w:pPr>
        <w:tabs>
          <w:tab w:val="clear" w:pos="426"/>
        </w:tabs>
        <w:rPr>
          <w:rFonts w:hint="eastAsia"/>
        </w:rPr>
      </w:pPr>
      <w:r>
        <w:rPr>
          <w:rFonts w:hint="eastAsia"/>
        </w:rPr>
        <w:t>评定分离项目，评审委员会应当按照综合评分法、定性评审法、最低价法或者法律、法规及规章规定的其他评审方法对投标文件进行评审。</w:t>
      </w:r>
    </w:p>
    <w:p>
      <w:pPr>
        <w:tabs>
          <w:tab w:val="clear" w:pos="426"/>
        </w:tabs>
        <w:rPr>
          <w:rFonts w:hint="eastAsia"/>
          <w:b/>
        </w:rPr>
      </w:pPr>
      <w:r>
        <w:rPr>
          <w:rFonts w:hint="eastAsia"/>
        </w:rPr>
        <w:t>38.3.1综合评分法</w:t>
      </w:r>
    </w:p>
    <w:p>
      <w:pPr>
        <w:tabs>
          <w:tab w:val="clear" w:pos="426"/>
        </w:tabs>
        <w:rPr>
          <w:rFonts w:hint="eastAsia"/>
        </w:rPr>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rFonts w:hint="eastAsia"/>
          <w:sz w:val="18"/>
          <w:szCs w:val="18"/>
          <w:shd w:val="clear" w:color="auto" w:fill="FFFFFF"/>
        </w:rPr>
      </w:pPr>
      <w:r>
        <w:rPr>
          <w:rFonts w:hint="eastAsia"/>
        </w:rPr>
        <w:t>38.3.2</w:t>
      </w:r>
      <w:r>
        <w:rPr>
          <w:rFonts w:hint="eastAsia"/>
          <w:bCs/>
        </w:rPr>
        <w:t>定性评审法</w:t>
      </w:r>
    </w:p>
    <w:p>
      <w:pPr>
        <w:tabs>
          <w:tab w:val="clear" w:pos="426"/>
        </w:tabs>
        <w:rPr>
          <w:rFonts w:hint="eastAsia"/>
        </w:rPr>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rFonts w:hint="eastAsia"/>
        </w:rPr>
      </w:pPr>
      <w:r>
        <w:rPr>
          <w:rFonts w:hint="eastAsia"/>
        </w:rPr>
        <w:t>38.3.3最低价法</w:t>
      </w:r>
    </w:p>
    <w:p>
      <w:pPr>
        <w:tabs>
          <w:tab w:val="clear" w:pos="426"/>
        </w:tabs>
        <w:rPr>
          <w:rFonts w:hint="eastAsia"/>
        </w:rPr>
      </w:pPr>
      <w:r>
        <w:rPr>
          <w:rFonts w:hint="eastAsia"/>
        </w:rPr>
        <w:t>最低价法是指以价格为主要因素确定候选中标供应商的评审方法。</w:t>
      </w:r>
    </w:p>
    <w:p>
      <w:pPr>
        <w:tabs>
          <w:tab w:val="clear" w:pos="426"/>
        </w:tabs>
        <w:rPr>
          <w:rFonts w:hint="eastAsia"/>
        </w:rPr>
      </w:pPr>
      <w:r>
        <w:rPr>
          <w:rFonts w:hint="eastAsia"/>
        </w:rPr>
        <w:t>38.4本项目采用的评标方法见本项目招标文件专用条款的相关内容。</w:t>
      </w:r>
    </w:p>
    <w:p>
      <w:pPr>
        <w:pStyle w:val="5"/>
        <w:tabs>
          <w:tab w:val="clear" w:pos="426"/>
        </w:tabs>
        <w:rPr>
          <w:rFonts w:hint="eastAsia"/>
        </w:rPr>
      </w:pPr>
      <w:bookmarkStart w:id="177" w:name="_Toc10018"/>
      <w:bookmarkStart w:id="178" w:name="_Toc530152528"/>
      <w:bookmarkStart w:id="179" w:name="_Toc529280587"/>
      <w:bookmarkStart w:id="180" w:name="_Toc14427260"/>
      <w:r>
        <w:rPr>
          <w:rFonts w:hint="eastAsia"/>
        </w:rPr>
        <w:t>第七章 定标及公示</w:t>
      </w:r>
      <w:bookmarkEnd w:id="177"/>
      <w:bookmarkEnd w:id="178"/>
      <w:bookmarkEnd w:id="179"/>
      <w:bookmarkEnd w:id="180"/>
    </w:p>
    <w:p>
      <w:pPr>
        <w:tabs>
          <w:tab w:val="clear" w:pos="426"/>
        </w:tabs>
        <w:rPr>
          <w:rFonts w:hint="eastAsia"/>
        </w:rPr>
      </w:pPr>
      <w:r>
        <w:rPr>
          <w:rFonts w:hint="eastAsia"/>
        </w:rPr>
        <w:t>39．定标方法</w:t>
      </w:r>
    </w:p>
    <w:p>
      <w:pPr>
        <w:tabs>
          <w:tab w:val="clear" w:pos="426"/>
        </w:tabs>
        <w:rPr>
          <w:rFonts w:hint="eastAsia"/>
        </w:rPr>
      </w:pPr>
      <w:r>
        <w:rPr>
          <w:rFonts w:hint="eastAsia"/>
        </w:rPr>
        <w:t>39</w:t>
      </w:r>
      <w:r>
        <w:t>.</w:t>
      </w:r>
      <w:r>
        <w:rPr>
          <w:rFonts w:hint="eastAsia"/>
        </w:rPr>
        <w:t>1项目定标方法根据是否是评定分离项目进行选择。</w:t>
      </w:r>
    </w:p>
    <w:p>
      <w:pPr>
        <w:tabs>
          <w:tab w:val="clear" w:pos="426"/>
        </w:tabs>
        <w:rPr>
          <w:rFonts w:hint="eastAsia"/>
        </w:rPr>
      </w:pPr>
      <w:r>
        <w:rPr>
          <w:rFonts w:hint="eastAsia"/>
        </w:rPr>
        <w:t>39</w:t>
      </w:r>
      <w:r>
        <w:t>.</w:t>
      </w:r>
      <w:r>
        <w:rPr>
          <w:rFonts w:hint="eastAsia"/>
        </w:rPr>
        <w:t>2非评定分离项目</w:t>
      </w:r>
    </w:p>
    <w:p>
      <w:pPr>
        <w:tabs>
          <w:tab w:val="clear" w:pos="426"/>
        </w:tabs>
        <w:rPr>
          <w:rFonts w:hint="eastAsia"/>
        </w:rPr>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rFonts w:hint="eastAsia"/>
        </w:rPr>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rFonts w:hint="eastAsia"/>
        </w:rPr>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pPr>
        <w:tabs>
          <w:tab w:val="clear" w:pos="426"/>
        </w:tabs>
        <w:rPr>
          <w:rFonts w:hint="eastAsia"/>
        </w:rPr>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rPr>
          <w:rFonts w:hint="eastAsia"/>
        </w:rPr>
      </w:pPr>
      <w:r>
        <w:rPr>
          <w:rFonts w:hint="eastAsia"/>
        </w:rPr>
        <w:t>39</w:t>
      </w:r>
      <w:r>
        <w:t>.</w:t>
      </w:r>
      <w:r>
        <w:rPr>
          <w:rFonts w:hint="eastAsia"/>
        </w:rPr>
        <w:t>3评定分离项目</w:t>
      </w:r>
    </w:p>
    <w:p>
      <w:pPr>
        <w:tabs>
          <w:tab w:val="clear" w:pos="426"/>
        </w:tabs>
        <w:rPr>
          <w:rFonts w:hint="eastAsia"/>
        </w:rPr>
      </w:pPr>
      <w:r>
        <w:rPr>
          <w:rFonts w:hint="eastAsia"/>
        </w:rPr>
        <w:t>适用评定分离的采购项目，采购人应当根据不同的项目选用自定法、抽签法、竞价法或者法律、法规及规章规定的其他定标方法确定中标供应商。</w:t>
      </w:r>
    </w:p>
    <w:p>
      <w:pPr>
        <w:tabs>
          <w:tab w:val="clear" w:pos="426"/>
        </w:tabs>
        <w:rPr>
          <w:rFonts w:hint="eastAsia"/>
        </w:rPr>
      </w:pPr>
      <w:r>
        <w:rPr>
          <w:rFonts w:hint="eastAsia"/>
        </w:rPr>
        <w:t>39</w:t>
      </w:r>
      <w:r>
        <w:t>.</w:t>
      </w:r>
      <w:r>
        <w:rPr>
          <w:rFonts w:hint="eastAsia"/>
        </w:rPr>
        <w:t>3.1自定法是指采购人组织定标委员会，由定标委员会在候选中标供应商中确定中标供应商。</w:t>
      </w:r>
    </w:p>
    <w:p>
      <w:pPr>
        <w:tabs>
          <w:tab w:val="clear" w:pos="426"/>
        </w:tabs>
        <w:rPr>
          <w:rFonts w:hint="eastAsia"/>
        </w:rPr>
      </w:pPr>
      <w:r>
        <w:rPr>
          <w:rFonts w:hint="eastAsia"/>
        </w:rPr>
        <w:t>39</w:t>
      </w:r>
      <w:r>
        <w:t>.</w:t>
      </w:r>
      <w:r>
        <w:rPr>
          <w:rFonts w:hint="eastAsia"/>
        </w:rPr>
        <w:t>3.2 抽签法是指候选中标供应商产生后，由采购人委托招标机构按照随机抽签的方式在候选中标供应商中确定中标供应商。 </w:t>
      </w:r>
    </w:p>
    <w:p>
      <w:pPr>
        <w:tabs>
          <w:tab w:val="clear" w:pos="426"/>
        </w:tabs>
        <w:rPr>
          <w:rFonts w:hint="eastAsia"/>
        </w:rPr>
      </w:pPr>
      <w:r>
        <w:rPr>
          <w:rFonts w:hint="eastAsia"/>
        </w:rPr>
        <w:t>39</w:t>
      </w:r>
      <w:r>
        <w:t>.</w:t>
      </w:r>
      <w:r>
        <w:rPr>
          <w:rFonts w:hint="eastAsia"/>
        </w:rPr>
        <w:t>3.3竞价法是指候选中标供应商产生后，由采购人委托招标机构组织候选中标供应商进行二次竞价，最终报价最低的为中标供应商</w:t>
      </w:r>
    </w:p>
    <w:p>
      <w:pPr>
        <w:tabs>
          <w:tab w:val="clear" w:pos="426"/>
        </w:tabs>
        <w:rPr>
          <w:rFonts w:hint="eastAsia"/>
        </w:rPr>
      </w:pPr>
      <w:r>
        <w:rPr>
          <w:rFonts w:hint="eastAsia"/>
        </w:rPr>
        <w:t>39.4本项目采用的定标方法见本项目招标文件专用条款的相关内容。</w:t>
      </w:r>
    </w:p>
    <w:p>
      <w:pPr>
        <w:tabs>
          <w:tab w:val="clear" w:pos="426"/>
        </w:tabs>
        <w:rPr>
          <w:rFonts w:hint="eastAsia"/>
        </w:rPr>
      </w:pPr>
      <w:r>
        <w:rPr>
          <w:rFonts w:hint="eastAsia"/>
        </w:rPr>
        <w:t>40．编写评标报告</w:t>
      </w:r>
    </w:p>
    <w:p>
      <w:pPr>
        <w:tabs>
          <w:tab w:val="clear" w:pos="426"/>
        </w:tabs>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rFonts w:hint="eastAsia"/>
        </w:rPr>
      </w:pPr>
      <w:r>
        <w:rPr>
          <w:rFonts w:hint="eastAsia"/>
        </w:rPr>
        <w:t>41．中标公告</w:t>
      </w:r>
    </w:p>
    <w:p>
      <w:pPr>
        <w:tabs>
          <w:tab w:val="clear" w:pos="426"/>
        </w:tabs>
        <w:rPr>
          <w:rFonts w:hint="eastAsia"/>
        </w:rPr>
      </w:pPr>
      <w:r>
        <w:rPr>
          <w:rFonts w:hint="eastAsia"/>
        </w:rPr>
        <w:t>41.1为体现“公开、公平、公正”的原则，评标结束后，将在深圳海关门户网  （</w:t>
      </w:r>
      <w:r>
        <w:t>http://shenzhen.customs.gov.cn</w:t>
      </w:r>
      <w:r>
        <w:rPr>
          <w:rFonts w:hint="eastAsia"/>
        </w:rPr>
        <w:t>）、中国政府采购网（http://www.ccgp.gov.cn）、采购代理机构官网：（</w:t>
      </w:r>
      <w:r>
        <w:t>http://www.szsszx.com/</w:t>
      </w:r>
      <w:r>
        <w:rPr>
          <w:rFonts w:hint="eastAsia"/>
        </w:rPr>
        <w:t>）上发布中标结果公告， 公示期为1个工作日。供应商如对评标结果有异议，请于公示期内，以书面的形式向我公司反映。若在公示期内未提出异议，则视为认同该评标结果。</w:t>
      </w:r>
    </w:p>
    <w:p>
      <w:pPr>
        <w:tabs>
          <w:tab w:val="clear" w:pos="426"/>
        </w:tabs>
        <w:rPr>
          <w:rFonts w:hint="eastAsia"/>
        </w:rPr>
      </w:pPr>
      <w:r>
        <w:rPr>
          <w:rFonts w:hint="eastAsia"/>
        </w:rPr>
        <w:t>41.2质疑投诉人应保证质疑投诉内容的真实性和可靠性，并承担相应的法律责任。</w:t>
      </w:r>
    </w:p>
    <w:p>
      <w:pPr>
        <w:tabs>
          <w:tab w:val="clear" w:pos="426"/>
        </w:tabs>
        <w:rPr>
          <w:rFonts w:hint="eastAsia"/>
        </w:rPr>
      </w:pPr>
      <w:r>
        <w:rPr>
          <w:rFonts w:hint="eastAsia"/>
        </w:rPr>
        <w:t>42．中标通知书</w:t>
      </w:r>
    </w:p>
    <w:p>
      <w:pPr>
        <w:tabs>
          <w:tab w:val="clear" w:pos="426"/>
        </w:tabs>
        <w:rPr>
          <w:rFonts w:hint="eastAsia"/>
        </w:rPr>
      </w:pPr>
      <w:r>
        <w:rPr>
          <w:rFonts w:hint="eastAsia"/>
        </w:rPr>
        <w:t>42</w:t>
      </w:r>
      <w:r>
        <w:t>.</w:t>
      </w:r>
      <w:r>
        <w:rPr>
          <w:rFonts w:hint="eastAsia"/>
        </w:rPr>
        <w:t>1中标公告公布后,公示期内无人投诉,请中标供应商凭单位证明及本人身份证到采购代理机构领取《中标通知书》。</w:t>
      </w:r>
    </w:p>
    <w:p>
      <w:pPr>
        <w:tabs>
          <w:tab w:val="clear" w:pos="426"/>
        </w:tabs>
        <w:rPr>
          <w:rFonts w:hint="eastAsia"/>
        </w:rPr>
      </w:pPr>
      <w:r>
        <w:rPr>
          <w:rFonts w:hint="eastAsia"/>
        </w:rPr>
        <w:t>42</w:t>
      </w:r>
      <w:r>
        <w:t>.2</w:t>
      </w:r>
      <w:r>
        <w:rPr>
          <w:rFonts w:hint="eastAsia"/>
        </w:rPr>
        <w:t>中标通知书是合同的重要组成部分。</w:t>
      </w:r>
    </w:p>
    <w:p>
      <w:pPr>
        <w:tabs>
          <w:tab w:val="clear" w:pos="426"/>
        </w:tabs>
        <w:rPr>
          <w:rFonts w:hint="eastAsia"/>
        </w:rPr>
      </w:pPr>
      <w:r>
        <w:rPr>
          <w:rFonts w:hint="eastAsia"/>
        </w:rPr>
        <w:t>42.3因质疑投诉或其它原因导致项目结果变更或采购终止的，我公司有权收回中标通知书或终止采购合同。</w:t>
      </w:r>
    </w:p>
    <w:p>
      <w:pPr>
        <w:pStyle w:val="5"/>
        <w:tabs>
          <w:tab w:val="clear" w:pos="426"/>
        </w:tabs>
        <w:rPr>
          <w:rFonts w:hint="eastAsia"/>
        </w:rPr>
      </w:pPr>
      <w:bookmarkStart w:id="181" w:name="_Toc1549"/>
      <w:bookmarkStart w:id="182" w:name="_Toc14427261"/>
      <w:bookmarkStart w:id="183" w:name="_Toc530152529"/>
      <w:bookmarkStart w:id="184" w:name="_Toc529280588"/>
      <w:r>
        <w:rPr>
          <w:rFonts w:hint="eastAsia"/>
        </w:rPr>
        <w:t>第八章 公开招标失败的后续处理</w:t>
      </w:r>
      <w:bookmarkEnd w:id="181"/>
      <w:bookmarkEnd w:id="182"/>
      <w:bookmarkEnd w:id="183"/>
      <w:bookmarkEnd w:id="184"/>
    </w:p>
    <w:p>
      <w:pPr>
        <w:rPr>
          <w:rFonts w:hAnsi="Times New Roman"/>
        </w:rPr>
      </w:pPr>
      <w:r>
        <w:rPr>
          <w:rFonts w:hint="eastAsia"/>
        </w:rPr>
        <w:t>43．公开招标失败的处理</w:t>
      </w:r>
    </w:p>
    <w:p>
      <w:pPr>
        <w:tabs>
          <w:tab w:val="clear" w:pos="426"/>
        </w:tabs>
        <w:rPr>
          <w:rFonts w:hint="eastAsia"/>
        </w:rPr>
      </w:pPr>
      <w:r>
        <w:rPr>
          <w:rFonts w:hint="eastAsia" w:hAnsi="Times New Roman"/>
          <w:szCs w:val="21"/>
        </w:rPr>
        <w:t>43.1</w:t>
      </w:r>
      <w:r>
        <w:rPr>
          <w:rFonts w:hint="eastAsia"/>
          <w:szCs w:val="21"/>
        </w:rPr>
        <w:t>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rPr>
          <w:rFonts w:hint="eastAsia"/>
        </w:rPr>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rPr>
          <w:rFonts w:hint="eastAsia"/>
        </w:rPr>
      </w:pPr>
      <w:r>
        <w:rPr>
          <w:rFonts w:hint="eastAsia"/>
        </w:rPr>
        <w:t>43.3评审委员会要在采购项目招标失败时，出具招标文件是否存在不合理条款的论证意见，要协助采购人、采购代理机构、财政部门答复质疑或处理投诉事项。</w:t>
      </w:r>
    </w:p>
    <w:p>
      <w:pPr>
        <w:tabs>
          <w:tab w:val="clear" w:pos="426"/>
        </w:tabs>
        <w:rPr>
          <w:rFonts w:hint="eastAsia"/>
        </w:rPr>
      </w:pPr>
      <w:r>
        <w:rPr>
          <w:rFonts w:hint="eastAsia"/>
        </w:rPr>
        <w:t>43.4重新组织采购有以下两种组织形式：</w:t>
      </w:r>
    </w:p>
    <w:p>
      <w:pPr>
        <w:tabs>
          <w:tab w:val="clear" w:pos="426"/>
        </w:tabs>
        <w:rPr>
          <w:rFonts w:hint="eastAsia"/>
        </w:rPr>
      </w:pPr>
      <w:r>
        <w:rPr>
          <w:rFonts w:hint="eastAsia"/>
        </w:rPr>
        <w:t>（1）由采购代理机构重新组织公开招标；</w:t>
      </w:r>
    </w:p>
    <w:p>
      <w:pPr>
        <w:tabs>
          <w:tab w:val="clear" w:pos="426"/>
        </w:tabs>
        <w:rPr>
          <w:rFonts w:hint="eastAsia"/>
        </w:rPr>
      </w:pPr>
      <w:r>
        <w:rPr>
          <w:rFonts w:hint="eastAsia"/>
        </w:rPr>
        <w:t>（2）根据实际情况需要向相关监督管理部门提出非公开招标方式申请，经相关监督管理部门批准公开招标失败采购项目可转为竞争性谈判或单一来源谈判方式采购。</w:t>
      </w:r>
    </w:p>
    <w:p>
      <w:pPr>
        <w:tabs>
          <w:tab w:val="clear" w:pos="426"/>
        </w:tabs>
        <w:rPr>
          <w:rFonts w:hint="eastAsia"/>
        </w:rPr>
      </w:pPr>
      <w:r>
        <w:rPr>
          <w:rFonts w:hint="eastAsia"/>
        </w:rPr>
        <w:t>43.5公开招标失败的采购项目重新组织公开招标，采购代理机构要重新按公开招标流程发布采购公告和招标文件、组成评标委员会等组织采购活动。</w:t>
      </w:r>
    </w:p>
    <w:p>
      <w:pPr>
        <w:tabs>
          <w:tab w:val="clear" w:pos="426"/>
        </w:tabs>
        <w:rPr>
          <w:rFonts w:hint="eastAsia"/>
        </w:rPr>
      </w:pPr>
      <w:r>
        <w:rPr>
          <w:rFonts w:hint="eastAsia"/>
        </w:rPr>
        <w:t>43.6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rFonts w:hint="eastAsia"/>
        </w:rPr>
      </w:pPr>
      <w:r>
        <w:rPr>
          <w:rFonts w:hint="eastAsia"/>
        </w:rPr>
        <w:t>44．公开招标失败项目转为竞争性谈判方式采购的</w:t>
      </w:r>
    </w:p>
    <w:p>
      <w:pPr>
        <w:tabs>
          <w:tab w:val="clear" w:pos="426"/>
        </w:tabs>
        <w:rPr>
          <w:rFonts w:hint="eastAsia"/>
        </w:rPr>
      </w:pPr>
      <w:r>
        <w:rPr>
          <w:rFonts w:hint="eastAsia"/>
        </w:rPr>
        <w:t>44.1谈判文件</w:t>
      </w:r>
    </w:p>
    <w:p>
      <w:pPr>
        <w:tabs>
          <w:tab w:val="clear" w:pos="426"/>
        </w:tabs>
        <w:rPr>
          <w:rFonts w:hint="eastAsia"/>
        </w:rPr>
      </w:pPr>
      <w:r>
        <w:rPr>
          <w:rFonts w:hint="eastAsia"/>
        </w:rPr>
        <w:t>44.1.1公开招标失败项目转为竞争性谈判方式采购的，原招标文件转为谈判文件。</w:t>
      </w:r>
    </w:p>
    <w:p>
      <w:pPr>
        <w:tabs>
          <w:tab w:val="clear" w:pos="426"/>
        </w:tabs>
        <w:rPr>
          <w:rFonts w:hint="eastAsia"/>
        </w:rPr>
      </w:pPr>
      <w:r>
        <w:rPr>
          <w:rFonts w:hint="eastAsia"/>
        </w:rPr>
        <w:t>44.2谈判小组</w:t>
      </w:r>
    </w:p>
    <w:p>
      <w:pPr>
        <w:tabs>
          <w:tab w:val="clear" w:pos="426"/>
        </w:tabs>
        <w:rPr>
          <w:rFonts w:hint="eastAsia"/>
        </w:rPr>
      </w:pPr>
      <w:r>
        <w:rPr>
          <w:rFonts w:hint="eastAsia"/>
        </w:rPr>
        <w:t>44.2.1公开招标失败项目转为竞争性谈判方式采购后，评标委员会转为谈判小组；专家可重新抽取也可继续采用评标委员会内专家。</w:t>
      </w:r>
    </w:p>
    <w:p>
      <w:pPr>
        <w:tabs>
          <w:tab w:val="clear" w:pos="426"/>
        </w:tabs>
        <w:rPr>
          <w:rFonts w:hint="eastAsia"/>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rPr>
          <w:rFonts w:hint="eastAsia"/>
        </w:rPr>
      </w:pPr>
      <w:r>
        <w:rPr>
          <w:rFonts w:hint="eastAsia"/>
        </w:rPr>
        <w:t>44.3谈判程序</w:t>
      </w:r>
    </w:p>
    <w:p>
      <w:pPr>
        <w:tabs>
          <w:tab w:val="clear" w:pos="426"/>
        </w:tabs>
        <w:rPr>
          <w:rFonts w:hint="eastAsia"/>
        </w:rPr>
      </w:pPr>
      <w:r>
        <w:rPr>
          <w:rFonts w:hint="eastAsia"/>
        </w:rPr>
        <w:t>44.3.1参加谈判的供应商和谈判小组成员填写谈判登记表，并交验证明文件（法定代表人证明书、法人授权委托书、被授权的谈判代表身份证原件）。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44.3</w:t>
      </w:r>
      <w:r>
        <w:t>.2</w:t>
      </w:r>
      <w:r>
        <w:rPr>
          <w:rFonts w:hint="eastAsia"/>
        </w:rPr>
        <w:t>谈判小组主持人宣布谈判规则和谈判纪律。</w:t>
      </w:r>
    </w:p>
    <w:p>
      <w:pPr>
        <w:tabs>
          <w:tab w:val="clear" w:pos="426"/>
        </w:tabs>
        <w:rPr>
          <w:rFonts w:hint="eastAsia"/>
        </w:rPr>
      </w:pPr>
      <w:r>
        <w:rPr>
          <w:rFonts w:hint="eastAsia"/>
        </w:rPr>
        <w:t>44.3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原招标文件或谈判邀请文件有实质性变动的，谈判小组应当通过采购代理机构通知所有参加谈判的供应商。</w:t>
      </w:r>
    </w:p>
    <w:p>
      <w:pPr>
        <w:tabs>
          <w:tab w:val="clear" w:pos="426"/>
        </w:tabs>
        <w:rPr>
          <w:rFonts w:hint="eastAsia"/>
        </w:rPr>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rPr>
          <w:rFonts w:hint="eastAsia"/>
        </w:rPr>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44.3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rFonts w:hint="eastAsia"/>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44.3.10谈判小组将对谈判过程进行记录，以存档备查。</w:t>
      </w:r>
    </w:p>
    <w:p>
      <w:pPr>
        <w:tabs>
          <w:tab w:val="clear" w:pos="426"/>
        </w:tabs>
        <w:rPr>
          <w:rFonts w:hint="eastAsia"/>
        </w:rPr>
      </w:pPr>
      <w:r>
        <w:rPr>
          <w:rFonts w:hint="eastAsia"/>
        </w:rPr>
        <w:t>44.4评标方法和定标原则</w:t>
      </w:r>
    </w:p>
    <w:p>
      <w:pPr>
        <w:tabs>
          <w:tab w:val="clear" w:pos="426"/>
        </w:tabs>
        <w:rPr>
          <w:rFonts w:hint="eastAsia"/>
        </w:rPr>
      </w:pPr>
      <w:r>
        <w:rPr>
          <w:rFonts w:hint="eastAsia"/>
        </w:rPr>
        <w:t>44.4.1竞争性谈判采购项目的评标方法要比照最低评标价法规定执行。如确因实际情况需要采用其他评标方法的，应报经同级相关监督管理部门批准。原招标文件若采用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rPr>
          <w:rFonts w:hint="eastAsia"/>
        </w:rPr>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Cs/>
        </w:rPr>
        <w:t>最低评标价法</w:t>
      </w:r>
      <w:r>
        <w:rPr>
          <w:rFonts w:hint="eastAsia"/>
        </w:rPr>
        <w:t>进行评审。</w:t>
      </w:r>
    </w:p>
    <w:p>
      <w:pPr>
        <w:tabs>
          <w:tab w:val="clear" w:pos="426"/>
        </w:tabs>
        <w:rPr>
          <w:rFonts w:hint="eastAsia"/>
        </w:rPr>
      </w:pPr>
      <w:r>
        <w:rPr>
          <w:rFonts w:hint="eastAsia"/>
        </w:rPr>
        <w:t>44.4.3若要采用其他评标方法的，必须报经相关监督管理部门批准，谈判小组按批准的评标方法进行评审。谈判邀请文件中应注明批准的评标方法。</w:t>
      </w:r>
    </w:p>
    <w:p>
      <w:pPr>
        <w:tabs>
          <w:tab w:val="clear" w:pos="426"/>
        </w:tabs>
        <w:rPr>
          <w:rFonts w:hint="eastAsia"/>
        </w:rPr>
      </w:pPr>
      <w:r>
        <w:rPr>
          <w:rFonts w:hint="eastAsia"/>
        </w:rPr>
        <w:t>44.4.4谈判小组向采购代理机构提交书面评标报告，并推荐中标候选人或确定中标供应商。</w:t>
      </w:r>
    </w:p>
    <w:p>
      <w:pPr>
        <w:tabs>
          <w:tab w:val="clear" w:pos="426"/>
        </w:tabs>
        <w:rPr>
          <w:rFonts w:hint="eastAsia"/>
        </w:rPr>
      </w:pPr>
      <w:r>
        <w:rPr>
          <w:rFonts w:hint="eastAsia"/>
        </w:rPr>
        <w:t>45．公开招标失败项目转为单一来源谈判方式采购</w:t>
      </w:r>
    </w:p>
    <w:p>
      <w:pPr>
        <w:tabs>
          <w:tab w:val="clear" w:pos="426"/>
        </w:tabs>
        <w:rPr>
          <w:rFonts w:hint="eastAsia"/>
        </w:rPr>
      </w:pPr>
      <w:r>
        <w:rPr>
          <w:rFonts w:hint="eastAsia"/>
        </w:rPr>
        <w:t>45.1谈判文件</w:t>
      </w:r>
    </w:p>
    <w:p>
      <w:pPr>
        <w:tabs>
          <w:tab w:val="clear" w:pos="426"/>
        </w:tabs>
        <w:rPr>
          <w:rFonts w:hint="eastAsia"/>
        </w:rPr>
      </w:pPr>
      <w:r>
        <w:rPr>
          <w:rFonts w:hint="eastAsia"/>
        </w:rPr>
        <w:t>45.1.1公开招标失败项目转为单一来源谈判方式采购的，原招标文件转为谈判文件。</w:t>
      </w:r>
    </w:p>
    <w:p>
      <w:pPr>
        <w:tabs>
          <w:tab w:val="clear" w:pos="426"/>
        </w:tabs>
        <w:rPr>
          <w:rFonts w:hint="eastAsia"/>
        </w:rPr>
      </w:pPr>
      <w:r>
        <w:rPr>
          <w:rFonts w:hint="eastAsia"/>
        </w:rPr>
        <w:t>45.2谈判小组</w:t>
      </w:r>
    </w:p>
    <w:p>
      <w:pPr>
        <w:tabs>
          <w:tab w:val="clear" w:pos="426"/>
        </w:tabs>
        <w:rPr>
          <w:rFonts w:hint="eastAsia"/>
        </w:rPr>
      </w:pPr>
      <w:r>
        <w:rPr>
          <w:rFonts w:hint="eastAsia"/>
        </w:rPr>
        <w:t>45.2.1公开招标失败项目转为单一来源谈判方式采购后，评标委员会转为谈判小组，专家可重新抽取也可继续采用评标委员会内专家。</w:t>
      </w:r>
    </w:p>
    <w:p>
      <w:pPr>
        <w:tabs>
          <w:tab w:val="clear" w:pos="426"/>
        </w:tabs>
        <w:rPr>
          <w:rFonts w:hint="eastAsia"/>
        </w:rPr>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rPr>
          <w:rFonts w:hint="eastAsia"/>
        </w:rPr>
      </w:pPr>
      <w:r>
        <w:rPr>
          <w:rFonts w:hint="eastAsia"/>
        </w:rPr>
        <w:t>45.3谈判程序</w:t>
      </w:r>
    </w:p>
    <w:p>
      <w:pPr>
        <w:tabs>
          <w:tab w:val="clear" w:pos="426"/>
        </w:tabs>
        <w:rPr>
          <w:rFonts w:hint="eastAsia"/>
        </w:rPr>
      </w:pPr>
      <w:r>
        <w:rPr>
          <w:rFonts w:hint="eastAsia"/>
        </w:rPr>
        <w:t>45.3.1参加谈判的供应商和谈判小组成员填写谈判登记表，并交验证明文件（法定代表人证明书、法人授权委托书、被授权的谈判代表身份证原件）。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45.3</w:t>
      </w:r>
      <w:r>
        <w:t>.2</w:t>
      </w:r>
      <w:r>
        <w:rPr>
          <w:rFonts w:hint="eastAsia"/>
        </w:rPr>
        <w:t>谈判小组主持人宣布谈判规则和谈判纪律。</w:t>
      </w:r>
    </w:p>
    <w:p>
      <w:pPr>
        <w:tabs>
          <w:tab w:val="clear" w:pos="426"/>
        </w:tabs>
        <w:rPr>
          <w:rFonts w:hint="eastAsia"/>
        </w:rPr>
      </w:pPr>
      <w:r>
        <w:rPr>
          <w:rFonts w:hint="eastAsia"/>
        </w:rPr>
        <w:t>45.3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原招标文件或谈判邀请文件有实质性变动的，谈判小组应当通过采购代理机构通知供应商。</w:t>
      </w:r>
    </w:p>
    <w:p>
      <w:pPr>
        <w:tabs>
          <w:tab w:val="clear" w:pos="426"/>
        </w:tabs>
        <w:rPr>
          <w:rFonts w:hint="eastAsia"/>
        </w:rPr>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rPr>
          <w:rFonts w:hint="eastAsia"/>
        </w:rPr>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45.3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45.3.7谈判小组与单一来源供应商进行谈判。供应商有两次更改机会；供应商应在规定的时间内提出最后更改及书面承诺。</w:t>
      </w:r>
    </w:p>
    <w:p>
      <w:pPr>
        <w:tabs>
          <w:tab w:val="clear" w:pos="426"/>
        </w:tabs>
        <w:rPr>
          <w:rFonts w:hint="eastAsia"/>
          <w:szCs w:val="21"/>
        </w:rPr>
      </w:pPr>
      <w:r>
        <w:rPr>
          <w:rFonts w:hint="eastAsia"/>
          <w:szCs w:val="21"/>
        </w:rPr>
        <w:t>45.3.8有下列情形之一的，供应商的谈判结果作废标处理，</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45.3.10谈判小组将对谈判过程进行记录，以存档备查。</w:t>
      </w:r>
    </w:p>
    <w:p>
      <w:pPr>
        <w:tabs>
          <w:tab w:val="clear" w:pos="426"/>
        </w:tabs>
        <w:rPr>
          <w:rFonts w:hint="eastAsia"/>
        </w:rPr>
      </w:pPr>
      <w:r>
        <w:rPr>
          <w:rFonts w:hint="eastAsia"/>
        </w:rPr>
        <w:t>45.4评标方法和定标原则</w:t>
      </w:r>
    </w:p>
    <w:p>
      <w:pPr>
        <w:tabs>
          <w:tab w:val="clear" w:pos="426"/>
        </w:tabs>
        <w:rPr>
          <w:rFonts w:hint="eastAsia"/>
        </w:rPr>
      </w:pPr>
      <w:r>
        <w:rPr>
          <w:rFonts w:hint="eastAsia"/>
          <w:szCs w:val="21"/>
        </w:rPr>
        <w:t>45.4.1单一来源谈判采用最低评标价法。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Cs/>
        </w:rPr>
        <w:t>最低评标价法</w:t>
      </w:r>
      <w:r>
        <w:rPr>
          <w:rFonts w:hint="eastAsia"/>
        </w:rPr>
        <w:t>进行评审。</w:t>
      </w:r>
    </w:p>
    <w:p>
      <w:pPr>
        <w:tabs>
          <w:tab w:val="clear" w:pos="426"/>
        </w:tabs>
        <w:rPr>
          <w:rFonts w:hint="eastAsia"/>
          <w:szCs w:val="21"/>
        </w:rPr>
      </w:pPr>
      <w:r>
        <w:rPr>
          <w:rFonts w:hint="eastAsia"/>
        </w:rPr>
        <w:t>45.4.2谈判小组向采购代理机构提交书面评标报告，并推荐中标候选人或确定中标供应商。</w:t>
      </w:r>
    </w:p>
    <w:p>
      <w:pPr>
        <w:pStyle w:val="5"/>
        <w:tabs>
          <w:tab w:val="clear" w:pos="426"/>
        </w:tabs>
        <w:rPr>
          <w:rFonts w:hint="eastAsia"/>
          <w:sz w:val="28"/>
          <w:szCs w:val="28"/>
        </w:rPr>
      </w:pPr>
      <w:bookmarkStart w:id="185" w:name="_Toc27804"/>
      <w:bookmarkStart w:id="186" w:name="_Toc530152530"/>
      <w:bookmarkStart w:id="187" w:name="_Toc14427262"/>
      <w:bookmarkStart w:id="188" w:name="_Toc529280589"/>
      <w:r>
        <w:rPr>
          <w:rFonts w:hint="eastAsia"/>
        </w:rPr>
        <w:t>第九章 合同的授予与备案</w:t>
      </w:r>
      <w:bookmarkEnd w:id="185"/>
      <w:bookmarkEnd w:id="186"/>
      <w:bookmarkEnd w:id="187"/>
      <w:bookmarkEnd w:id="188"/>
    </w:p>
    <w:p>
      <w:pPr>
        <w:tabs>
          <w:tab w:val="clear" w:pos="426"/>
        </w:tabs>
        <w:rPr>
          <w:rFonts w:hint="eastAsia"/>
        </w:rPr>
      </w:pPr>
      <w:r>
        <w:rPr>
          <w:rFonts w:hint="eastAsia"/>
        </w:rPr>
        <w:t>46．  履约担保</w:t>
      </w:r>
    </w:p>
    <w:p>
      <w:pPr>
        <w:tabs>
          <w:tab w:val="clear" w:pos="426"/>
        </w:tabs>
        <w:rPr>
          <w:rFonts w:hint="eastAsia"/>
        </w:rPr>
      </w:pPr>
      <w:r>
        <w:rPr>
          <w:rFonts w:hint="eastAsia"/>
        </w:rPr>
        <w:t>46.1  本项目履约担保的相关要求：详见“投标须知前附表”。</w:t>
      </w:r>
    </w:p>
    <w:p>
      <w:pPr>
        <w:tabs>
          <w:tab w:val="clear" w:pos="426"/>
        </w:tabs>
        <w:rPr>
          <w:rFonts w:hint="eastAsia"/>
        </w:rPr>
      </w:pPr>
      <w:r>
        <w:rPr>
          <w:rFonts w:hint="eastAsia"/>
        </w:rPr>
        <w:t>46.2  在签订合同前，中标供应商应按规定向采购人提交履约担保，采用履约保函形式的可参照使用本招标文件提供的格式。</w:t>
      </w:r>
    </w:p>
    <w:p>
      <w:pPr>
        <w:tabs>
          <w:tab w:val="clear" w:pos="426"/>
        </w:tabs>
        <w:rPr>
          <w:rFonts w:hint="eastAsia"/>
        </w:rPr>
      </w:pPr>
      <w:r>
        <w:rPr>
          <w:rFonts w:hint="eastAsia"/>
        </w:rPr>
        <w:t>46.3  联合体中标的，其履约担保由联合体牵头人提交，并应符合本节第42.1条、第45.2条的规定。</w:t>
      </w:r>
    </w:p>
    <w:p>
      <w:pPr>
        <w:tabs>
          <w:tab w:val="clear" w:pos="426"/>
        </w:tabs>
        <w:rPr>
          <w:rFonts w:hint="eastAsia"/>
        </w:rPr>
      </w:pPr>
      <w:r>
        <w:rPr>
          <w:rFonts w:hint="eastAsia"/>
        </w:rPr>
        <w:t>46.4  如果中标供应商拒不提交本节第42.1条、第42.2条要求的履约担保的，采购人可取消其中标资格，并没收其投标担保。</w:t>
      </w:r>
    </w:p>
    <w:p>
      <w:pPr>
        <w:tabs>
          <w:tab w:val="clear" w:pos="426"/>
        </w:tabs>
        <w:rPr>
          <w:rFonts w:hint="eastAsia"/>
        </w:rPr>
      </w:pPr>
      <w:r>
        <w:rPr>
          <w:rFonts w:hint="eastAsia"/>
        </w:rPr>
        <w:t>47．  签订合同</w:t>
      </w:r>
    </w:p>
    <w:p>
      <w:pPr>
        <w:tabs>
          <w:tab w:val="clear" w:pos="426"/>
        </w:tabs>
        <w:rPr>
          <w:rFonts w:hint="eastAsia"/>
        </w:rPr>
      </w:pPr>
      <w:r>
        <w:rPr>
          <w:rFonts w:hint="eastAsia"/>
        </w:rPr>
        <w:t>47.1  采购人和中标供应商应当按“投标须知前附表”的规定，依据招标文件和中标供应商的投标文件订立书面合同。</w:t>
      </w:r>
    </w:p>
    <w:p>
      <w:pPr>
        <w:tabs>
          <w:tab w:val="clear" w:pos="426"/>
        </w:tabs>
        <w:rPr>
          <w:rFonts w:hint="eastAsia"/>
        </w:rPr>
      </w:pPr>
      <w:r>
        <w:rPr>
          <w:rFonts w:hint="eastAsia"/>
        </w:rPr>
        <w:t>47.2  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tabs>
          <w:tab w:val="clear" w:pos="426"/>
        </w:tabs>
        <w:rPr>
          <w:rFonts w:hint="eastAsia"/>
        </w:rPr>
      </w:pPr>
      <w:bookmarkStart w:id="189" w:name="_Toc530152531"/>
      <w:bookmarkStart w:id="190" w:name="_Toc14427263"/>
      <w:bookmarkStart w:id="191" w:name="_Toc529280590"/>
      <w:bookmarkStart w:id="192" w:name="_Toc4334"/>
      <w:r>
        <w:rPr>
          <w:rFonts w:hint="eastAsia"/>
        </w:rPr>
        <w:t>第十章 质疑受理</w:t>
      </w:r>
      <w:bookmarkEnd w:id="189"/>
      <w:bookmarkEnd w:id="190"/>
      <w:bookmarkEnd w:id="191"/>
      <w:bookmarkEnd w:id="192"/>
    </w:p>
    <w:p>
      <w:pPr>
        <w:tabs>
          <w:tab w:val="clear" w:pos="426"/>
        </w:tabs>
        <w:rPr>
          <w:rFonts w:hint="eastAsia"/>
        </w:rPr>
      </w:pPr>
      <w:r>
        <w:rPr>
          <w:rFonts w:hint="eastAsia"/>
        </w:rPr>
        <w:t>48.质疑受理机构</w:t>
      </w:r>
    </w:p>
    <w:p>
      <w:pPr>
        <w:tabs>
          <w:tab w:val="clear" w:pos="426"/>
        </w:tabs>
        <w:rPr>
          <w:rFonts w:hint="eastAsia"/>
          <w:sz w:val="22"/>
          <w:szCs w:val="22"/>
        </w:rPr>
      </w:pPr>
      <w:r>
        <w:rPr>
          <w:rFonts w:hint="eastAsia"/>
        </w:rPr>
        <w:t>采购代理机构及采购人</w:t>
      </w:r>
      <w:r>
        <w:t>负责受理和答复质疑</w:t>
      </w:r>
      <w:r>
        <w:rPr>
          <w:sz w:val="22"/>
          <w:szCs w:val="22"/>
        </w:rPr>
        <w:t>。</w:t>
      </w:r>
    </w:p>
    <w:p>
      <w:pPr>
        <w:tabs>
          <w:tab w:val="clear" w:pos="426"/>
        </w:tabs>
        <w:rPr>
          <w:rFonts w:hint="eastAsia"/>
        </w:rPr>
      </w:pPr>
      <w:r>
        <w:rPr>
          <w:rFonts w:hint="eastAsia"/>
        </w:rPr>
        <w:t>49.质疑处理原则</w:t>
      </w:r>
    </w:p>
    <w:p>
      <w:pPr>
        <w:tabs>
          <w:tab w:val="clear" w:pos="426"/>
        </w:tabs>
        <w:rPr>
          <w:rFonts w:hint="eastAsia"/>
        </w:rPr>
      </w:pPr>
      <w:r>
        <w:rPr>
          <w:rFonts w:hint="eastAsia"/>
        </w:rPr>
        <w:t>49.1</w:t>
      </w:r>
      <w:r>
        <w:t>质疑处理遵循公平、公正、规范、高效的原则。</w:t>
      </w:r>
    </w:p>
    <w:p>
      <w:pPr>
        <w:tabs>
          <w:tab w:val="clear" w:pos="426"/>
        </w:tabs>
        <w:rPr>
          <w:rFonts w:hint="eastAsia"/>
        </w:rPr>
      </w:pPr>
      <w:r>
        <w:rPr>
          <w:rFonts w:hint="eastAsia"/>
        </w:rPr>
        <w:t>49.2</w:t>
      </w:r>
      <w:r>
        <w:t>供应商质疑实行实名制和“谁质疑，谁举证”的原则，质疑应有具体的事项及事实根据。</w:t>
      </w:r>
    </w:p>
    <w:p>
      <w:pPr>
        <w:tabs>
          <w:tab w:val="clear" w:pos="426"/>
        </w:tabs>
        <w:rPr>
          <w:rFonts w:hint="eastAsia"/>
        </w:rPr>
      </w:pPr>
      <w:r>
        <w:rPr>
          <w:rFonts w:hint="eastAsia"/>
        </w:rPr>
        <w:t>50.质疑受理的时效和范围</w:t>
      </w:r>
    </w:p>
    <w:p>
      <w:pPr>
        <w:tabs>
          <w:tab w:val="clear" w:pos="426"/>
        </w:tabs>
        <w:rPr>
          <w:rFonts w:hint="eastAsia"/>
        </w:rPr>
      </w:pPr>
      <w:r>
        <w:rPr>
          <w:rFonts w:hint="eastAsia"/>
        </w:rPr>
        <w:t>50.1供应商认为采购文件、采购过程和中标、成交结果使自己权益受到损害的，可以在知道或者应知其权益受到损害之日起7个工作日内，以书面形式向采购代理机构提出质疑。</w:t>
      </w:r>
    </w:p>
    <w:p>
      <w:pPr>
        <w:tabs>
          <w:tab w:val="clear" w:pos="426"/>
        </w:tabs>
        <w:rPr>
          <w:rFonts w:hint="eastAsia"/>
        </w:rPr>
      </w:pPr>
      <w:r>
        <w:rPr>
          <w:rFonts w:hint="eastAsia"/>
        </w:rPr>
        <w:t>50.2供应商对采购文件有疑问的，采购代理机构及采购人按答疑程序处理；供应商对采购文件有异议的，按质疑程序处理。</w:t>
      </w:r>
    </w:p>
    <w:p>
      <w:pPr>
        <w:tabs>
          <w:tab w:val="clear" w:pos="426"/>
        </w:tabs>
        <w:rPr>
          <w:rFonts w:hint="eastAsia"/>
        </w:rPr>
      </w:pPr>
      <w:r>
        <w:rPr>
          <w:rFonts w:hint="eastAsia"/>
        </w:rPr>
        <w:t>51.质疑条件</w:t>
      </w:r>
    </w:p>
    <w:p>
      <w:pPr>
        <w:tabs>
          <w:tab w:val="clear" w:pos="426"/>
        </w:tabs>
        <w:rPr>
          <w:rFonts w:hint="eastAsia"/>
        </w:rPr>
      </w:pPr>
      <w:r>
        <w:rPr>
          <w:rFonts w:hint="eastAsia"/>
        </w:rPr>
        <w:t>51.1提出质疑的应是直接参与相应采购项目的供应商。以联合体形式参与的，由联合体共同提出；</w:t>
      </w:r>
    </w:p>
    <w:p>
      <w:pPr>
        <w:tabs>
          <w:tab w:val="clear" w:pos="426"/>
        </w:tabs>
        <w:rPr>
          <w:rFonts w:hint="eastAsia"/>
        </w:rPr>
      </w:pPr>
      <w:r>
        <w:rPr>
          <w:rFonts w:hint="eastAsia"/>
        </w:rPr>
        <w:t>51.2提供质疑的项目名称和编号、质疑供应商的单位名称、详细地址、邮政编码、联系人及联系电话等基本情况；</w:t>
      </w:r>
    </w:p>
    <w:p>
      <w:pPr>
        <w:tabs>
          <w:tab w:val="clear" w:pos="426"/>
        </w:tabs>
        <w:rPr>
          <w:rFonts w:hint="eastAsia"/>
        </w:rPr>
      </w:pPr>
      <w:r>
        <w:rPr>
          <w:rFonts w:hint="eastAsia"/>
        </w:rPr>
        <w:t>51.3有质疑的具体事项、请求及理由，并附相关证据材料；</w:t>
      </w:r>
    </w:p>
    <w:p>
      <w:pPr>
        <w:tabs>
          <w:tab w:val="clear" w:pos="426"/>
        </w:tabs>
        <w:rPr>
          <w:rFonts w:hint="eastAsia"/>
        </w:rPr>
      </w:pPr>
      <w:r>
        <w:rPr>
          <w:rFonts w:hint="eastAsia"/>
        </w:rPr>
        <w:t>51.4质疑书加盖公章，被授权人进行质疑的同时提交法人授权委托书；</w:t>
      </w:r>
    </w:p>
    <w:p>
      <w:pPr>
        <w:tabs>
          <w:tab w:val="clear" w:pos="426"/>
        </w:tabs>
        <w:rPr>
          <w:rFonts w:hint="eastAsia"/>
        </w:rPr>
      </w:pPr>
      <w:r>
        <w:rPr>
          <w:rFonts w:hint="eastAsia"/>
        </w:rPr>
        <w:t>51.5质疑材料中有外文资料的，应一并附上中文译本，并以中文译本为准。</w:t>
      </w:r>
    </w:p>
    <w:p>
      <w:pPr>
        <w:tabs>
          <w:tab w:val="clear" w:pos="426"/>
        </w:tabs>
        <w:rPr>
          <w:rFonts w:hint="eastAsia"/>
        </w:rPr>
      </w:pPr>
      <w:r>
        <w:rPr>
          <w:rFonts w:hint="eastAsia"/>
        </w:rPr>
        <w:t>51.6质疑不得超过质疑受理的时效和范围。</w:t>
      </w:r>
    </w:p>
    <w:p>
      <w:pPr>
        <w:tabs>
          <w:tab w:val="clear" w:pos="426"/>
        </w:tabs>
        <w:rPr>
          <w:rFonts w:hint="eastAsia"/>
        </w:rPr>
      </w:pPr>
      <w:r>
        <w:rPr>
          <w:rFonts w:hint="eastAsia"/>
        </w:rPr>
        <w:t>不符合上述条件的，我采购代理机构不予受理。</w:t>
      </w:r>
    </w:p>
    <w:p>
      <w:pPr>
        <w:tabs>
          <w:tab w:val="clear" w:pos="426"/>
        </w:tabs>
        <w:rPr>
          <w:rFonts w:hint="eastAsia"/>
        </w:rPr>
      </w:pPr>
      <w:r>
        <w:rPr>
          <w:rFonts w:hint="eastAsia"/>
        </w:rPr>
        <w:t>52.受理质疑办理程序</w:t>
      </w:r>
    </w:p>
    <w:p>
      <w:pPr>
        <w:tabs>
          <w:tab w:val="clear" w:pos="426"/>
        </w:tabs>
        <w:rPr>
          <w:rFonts w:hint="eastAsia"/>
        </w:rPr>
      </w:pPr>
      <w:r>
        <w:rPr>
          <w:rFonts w:hint="eastAsia"/>
        </w:rPr>
        <w:t>52.1先与质疑供应商进行沟通，以消除因误解或对采购规则和程序的不了解而引起的质疑。对沟通情况满意的，供应商撤回质疑，质疑处理程序终止。</w:t>
      </w:r>
    </w:p>
    <w:p>
      <w:pPr>
        <w:tabs>
          <w:tab w:val="clear" w:pos="426"/>
        </w:tabs>
        <w:rPr>
          <w:rFonts w:hint="eastAsia"/>
        </w:rPr>
      </w:pPr>
      <w:r>
        <w:rPr>
          <w:rFonts w:hint="eastAsia"/>
        </w:rPr>
        <w:t>52.2处理质疑一般进行书面审查；必要时听取各方当事人的陈述和申辩、进行相关调查；组织原评标委员会或谈判小组进行复议。</w:t>
      </w:r>
    </w:p>
    <w:p>
      <w:pPr>
        <w:tabs>
          <w:tab w:val="clear" w:pos="426"/>
        </w:tabs>
        <w:rPr>
          <w:rFonts w:hint="eastAsia"/>
        </w:rPr>
      </w:pPr>
      <w:r>
        <w:rPr>
          <w:rFonts w:hint="eastAsia"/>
        </w:rPr>
        <w:t>52.3在质疑处理期间，采购代理机构视情形决定暂停采购活动。</w:t>
      </w:r>
    </w:p>
    <w:p>
      <w:pPr>
        <w:tabs>
          <w:tab w:val="clear" w:pos="426"/>
        </w:tabs>
        <w:rPr>
          <w:rFonts w:hint="eastAsia"/>
        </w:rPr>
      </w:pPr>
      <w:r>
        <w:rPr>
          <w:rFonts w:hint="eastAsia"/>
        </w:rPr>
        <w:t>52.4采购代理机构原则上在质疑受理之日起7个工作日内书面答复质疑供应商。答复函以直接领取、传真或邮寄方式送达。</w:t>
      </w:r>
    </w:p>
    <w:p>
      <w:pPr>
        <w:tabs>
          <w:tab w:val="clear" w:pos="426"/>
        </w:tabs>
        <w:rPr>
          <w:rFonts w:hint="eastAsia"/>
        </w:rPr>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rPr>
          <w:rFonts w:hint="eastAsia"/>
        </w:rPr>
      </w:pPr>
      <w:r>
        <w:rPr>
          <w:rFonts w:hint="eastAsia"/>
        </w:rPr>
        <w:t>53.相关责任与义务</w:t>
      </w:r>
    </w:p>
    <w:p>
      <w:pPr>
        <w:tabs>
          <w:tab w:val="clear" w:pos="426"/>
        </w:tabs>
        <w:rPr>
          <w:rFonts w:hint="eastAsia"/>
        </w:rPr>
      </w:pPr>
      <w:r>
        <w:rPr>
          <w:rFonts w:hint="eastAsia"/>
        </w:rPr>
        <w:t>53.1采购单位、评标专家和相关供应商等当事人应积极配合采购代理机构进行质疑调查，如实反映情况，及时提供证明材料。</w:t>
      </w:r>
    </w:p>
    <w:p>
      <w:pPr>
        <w:tabs>
          <w:tab w:val="clear" w:pos="426"/>
        </w:tabs>
        <w:rPr>
          <w:rFonts w:hint="eastAsia"/>
        </w:rPr>
      </w:pPr>
      <w:r>
        <w:rPr>
          <w:rFonts w:hint="eastAsia"/>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rFonts w:hint="eastAsia"/>
        </w:rPr>
      </w:pPr>
      <w:r>
        <w:rPr>
          <w:rFonts w:hint="eastAsia"/>
        </w:rPr>
        <w:t>53.2.1捏造事实或提供虚假证明材料的；</w:t>
      </w:r>
    </w:p>
    <w:p>
      <w:pPr>
        <w:tabs>
          <w:tab w:val="clear" w:pos="426"/>
        </w:tabs>
        <w:rPr>
          <w:rFonts w:hint="eastAsia"/>
        </w:rPr>
      </w:pPr>
      <w:r>
        <w:rPr>
          <w:rFonts w:hint="eastAsia"/>
        </w:rPr>
        <w:t>53.2.2假冒他人名义进行质疑的；</w:t>
      </w:r>
    </w:p>
    <w:p>
      <w:pPr>
        <w:tabs>
          <w:tab w:val="clear" w:pos="426"/>
        </w:tabs>
        <w:rPr>
          <w:rFonts w:hint="eastAsia"/>
        </w:rPr>
      </w:pPr>
      <w:r>
        <w:rPr>
          <w:rFonts w:hint="eastAsia"/>
        </w:rPr>
        <w:t>53.2.3拒不配合进行有关调查、情节严重的。</w:t>
      </w:r>
    </w:p>
    <w:p>
      <w:pPr>
        <w:tabs>
          <w:tab w:val="clear" w:pos="426"/>
        </w:tabs>
        <w:rPr>
          <w:rFonts w:hint="eastAsia"/>
          <w:b/>
        </w:rPr>
      </w:pPr>
      <w:r>
        <w:rPr>
          <w:rFonts w:hint="eastAsia"/>
        </w:rPr>
        <w:t xml:space="preserve">54．  </w:t>
      </w:r>
      <w:r>
        <w:rPr>
          <w:rFonts w:hint="eastAsia"/>
          <w:b/>
        </w:rPr>
        <w:t>其他</w:t>
      </w:r>
    </w:p>
    <w:p>
      <w:pPr>
        <w:tabs>
          <w:tab w:val="clear" w:pos="426"/>
        </w:tabs>
        <w:rPr>
          <w:rFonts w:hint="eastAsia"/>
        </w:rPr>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rPr>
          <w:rFonts w:hint="eastAsia"/>
        </w:rPr>
      </w:pPr>
      <w:r>
        <w:rPr>
          <w:rFonts w:hint="eastAsia"/>
        </w:rPr>
        <w:t>54.2 采购代理机构向投标供应商提供的资料和数据，是采购代理机构现有的能供投标供应商利用的资料，采购代理机构对投标供应商由此而作出的推论、理解和结论概不负责。</w:t>
      </w:r>
    </w:p>
    <w:p>
      <w:pPr>
        <w:tabs>
          <w:tab w:val="clear" w:pos="426"/>
        </w:tabs>
        <w:rPr>
          <w:rFonts w:hint="eastAsia"/>
        </w:rPr>
      </w:pPr>
      <w:r>
        <w:rPr>
          <w:rFonts w:hint="eastAsia"/>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rFonts w:hint="eastAsia"/>
        </w:rPr>
      </w:pPr>
      <w:r>
        <w:rPr>
          <w:rFonts w:hint="eastAsia"/>
        </w:rPr>
        <w:t>54.4 中标无效的，发出的中标通知书和签订的合同自始没有法律约束力，但不影响合同中存在的有关解决争议方法的条款的效力。</w:t>
      </w:r>
    </w:p>
    <w:p>
      <w:pPr>
        <w:shd w:val="clear" w:color="auto" w:fill="auto"/>
        <w:tabs>
          <w:tab w:val="clear" w:pos="426"/>
        </w:tabs>
        <w:adjustRightInd/>
        <w:snapToGrid/>
        <w:spacing w:line="240" w:lineRule="auto"/>
        <w:jc w:val="left"/>
        <w:rPr>
          <w:rFonts w:hint="eastAsia"/>
        </w:rPr>
      </w:pPr>
      <w:r>
        <w:rPr>
          <w:rFonts w:hint="eastAsia"/>
        </w:rPr>
        <w:t>54.5 本招标文件所有的附件与本招标文件具有同等效力。</w:t>
      </w:r>
      <w:r>
        <w:br w:type="page"/>
      </w:r>
    </w:p>
    <w:p>
      <w:pPr>
        <w:pStyle w:val="81"/>
        <w:tabs>
          <w:tab w:val="clear" w:pos="426"/>
        </w:tabs>
      </w:pPr>
      <w:bookmarkStart w:id="193" w:name="_Toc13862"/>
      <w:bookmarkStart w:id="194" w:name="_Toc3627284"/>
      <w:bookmarkStart w:id="195" w:name="_Toc14427264"/>
      <w:r>
        <w:rPr>
          <w:rFonts w:hint="eastAsia"/>
        </w:rPr>
        <w:t>招标代理服务取费说明</w:t>
      </w:r>
      <w:bookmarkEnd w:id="193"/>
      <w:bookmarkEnd w:id="194"/>
      <w:bookmarkEnd w:id="195"/>
    </w:p>
    <w:p>
      <w:pPr>
        <w:tabs>
          <w:tab w:val="clear" w:pos="426"/>
        </w:tabs>
        <w:ind w:firstLine="440" w:firstLineChars="200"/>
        <w:rPr>
          <w:rFonts w:hint="eastAsia"/>
          <w:sz w:val="22"/>
        </w:rPr>
      </w:pPr>
      <w:r>
        <w:rPr>
          <w:rFonts w:hint="eastAsia"/>
          <w:sz w:val="22"/>
        </w:rPr>
        <w:t xml:space="preserve">招标代理服务收费以中标金额为计算基数，按差额定率累进法计算，向中标供应商收取，收费标准如下表所列： </w:t>
      </w:r>
    </w:p>
    <w:p>
      <w:pPr>
        <w:tabs>
          <w:tab w:val="clear" w:pos="426"/>
        </w:tabs>
        <w:ind w:firstLine="440" w:firstLineChars="200"/>
        <w:rPr>
          <w:rFonts w:hint="eastAsia"/>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rFonts w:hint="eastAsia"/>
                <w:szCs w:val="21"/>
              </w:rPr>
            </w:pPr>
            <w:r>
              <w:rPr>
                <w:rFonts w:hint="eastAsia"/>
                <w:szCs w:val="21"/>
              </w:rPr>
              <w:t>服务类型</w:t>
            </w:r>
          </w:p>
          <w:p>
            <w:pPr>
              <w:tabs>
                <w:tab w:val="clear" w:pos="426"/>
              </w:tabs>
              <w:spacing w:line="300" w:lineRule="auto"/>
              <w:jc w:val="center"/>
              <w:rPr>
                <w:rFonts w:hint="eastAsia"/>
                <w:szCs w:val="21"/>
              </w:rPr>
            </w:pPr>
            <w:r>
              <w:rPr>
                <w:rFonts w:hint="eastAsia"/>
                <w:szCs w:val="21"/>
              </w:rPr>
              <w:t>费率</w:t>
            </w:r>
          </w:p>
          <w:p>
            <w:pPr>
              <w:tabs>
                <w:tab w:val="clear" w:pos="426"/>
              </w:tabs>
              <w:spacing w:line="300" w:lineRule="auto"/>
              <w:rPr>
                <w:rFonts w:hint="eastAsia"/>
                <w:szCs w:val="21"/>
              </w:rPr>
            </w:pPr>
            <w:r>
              <w:rPr>
                <w:rFonts w:hint="eastAsia"/>
                <w:szCs w:val="21"/>
              </w:rPr>
              <w:t>中标金额</w:t>
            </w:r>
          </w:p>
        </w:tc>
        <w:tc>
          <w:tcPr>
            <w:tcW w:w="1845" w:type="dxa"/>
            <w:vAlign w:val="center"/>
          </w:tcPr>
          <w:p>
            <w:pPr>
              <w:spacing w:line="240" w:lineRule="auto"/>
              <w:jc w:val="center"/>
              <w:rPr>
                <w:rFonts w:hint="eastAsia"/>
                <w:szCs w:val="21"/>
              </w:rPr>
            </w:pPr>
            <w:r>
              <w:rPr>
                <w:rFonts w:hint="eastAsia"/>
                <w:szCs w:val="21"/>
              </w:rPr>
              <w:t>货物采购</w:t>
            </w:r>
          </w:p>
        </w:tc>
        <w:tc>
          <w:tcPr>
            <w:tcW w:w="1845" w:type="dxa"/>
            <w:vAlign w:val="center"/>
          </w:tcPr>
          <w:p>
            <w:pPr>
              <w:spacing w:line="240" w:lineRule="auto"/>
              <w:jc w:val="center"/>
              <w:rPr>
                <w:rFonts w:hint="eastAsia"/>
                <w:szCs w:val="21"/>
              </w:rPr>
            </w:pPr>
            <w:r>
              <w:rPr>
                <w:szCs w:val="21"/>
              </w:rPr>
              <w:t>服务采购</w:t>
            </w:r>
          </w:p>
        </w:tc>
        <w:tc>
          <w:tcPr>
            <w:tcW w:w="1846" w:type="dxa"/>
            <w:vAlign w:val="center"/>
          </w:tcPr>
          <w:p>
            <w:pPr>
              <w:spacing w:line="240" w:lineRule="auto"/>
              <w:jc w:val="center"/>
              <w:rPr>
                <w:rFonts w:hint="eastAsia"/>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rFonts w:hint="eastAsia"/>
                <w:szCs w:val="21"/>
              </w:rPr>
            </w:pPr>
            <w:r>
              <w:rPr>
                <w:rFonts w:hint="eastAsia"/>
                <w:szCs w:val="21"/>
              </w:rPr>
              <w:t>100万元以下</w:t>
            </w:r>
          </w:p>
        </w:tc>
        <w:tc>
          <w:tcPr>
            <w:tcW w:w="1845" w:type="dxa"/>
            <w:vAlign w:val="center"/>
          </w:tcPr>
          <w:p>
            <w:pPr>
              <w:spacing w:line="240" w:lineRule="auto"/>
              <w:jc w:val="center"/>
              <w:rPr>
                <w:rFonts w:hint="eastAsia"/>
                <w:szCs w:val="21"/>
              </w:rPr>
            </w:pPr>
            <w:r>
              <w:rPr>
                <w:rFonts w:hint="eastAsia"/>
                <w:szCs w:val="21"/>
              </w:rPr>
              <w:t>1.500%</w:t>
            </w:r>
          </w:p>
        </w:tc>
        <w:tc>
          <w:tcPr>
            <w:tcW w:w="1845" w:type="dxa"/>
            <w:vAlign w:val="center"/>
          </w:tcPr>
          <w:p>
            <w:pPr>
              <w:spacing w:line="240" w:lineRule="auto"/>
              <w:jc w:val="center"/>
              <w:rPr>
                <w:rFonts w:hint="eastAsia"/>
                <w:szCs w:val="21"/>
              </w:rPr>
            </w:pPr>
            <w:r>
              <w:rPr>
                <w:rFonts w:hint="eastAsia"/>
                <w:szCs w:val="21"/>
              </w:rPr>
              <w:t>1.500%</w:t>
            </w:r>
          </w:p>
        </w:tc>
        <w:tc>
          <w:tcPr>
            <w:tcW w:w="1846" w:type="dxa"/>
            <w:vAlign w:val="center"/>
          </w:tcPr>
          <w:p>
            <w:pPr>
              <w:spacing w:line="240" w:lineRule="auto"/>
              <w:jc w:val="center"/>
              <w:rPr>
                <w:rFonts w:hint="eastAsia"/>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100万元（含）-500万元</w:t>
            </w:r>
          </w:p>
        </w:tc>
        <w:tc>
          <w:tcPr>
            <w:tcW w:w="1845" w:type="dxa"/>
            <w:vAlign w:val="center"/>
          </w:tcPr>
          <w:p>
            <w:pPr>
              <w:spacing w:line="240" w:lineRule="auto"/>
              <w:jc w:val="center"/>
              <w:rPr>
                <w:rFonts w:hint="eastAsia"/>
                <w:szCs w:val="21"/>
              </w:rPr>
            </w:pPr>
            <w:r>
              <w:rPr>
                <w:rFonts w:hint="eastAsia"/>
                <w:szCs w:val="21"/>
              </w:rPr>
              <w:t>1.100%</w:t>
            </w:r>
          </w:p>
        </w:tc>
        <w:tc>
          <w:tcPr>
            <w:tcW w:w="1845" w:type="dxa"/>
            <w:vAlign w:val="center"/>
          </w:tcPr>
          <w:p>
            <w:pPr>
              <w:spacing w:line="240" w:lineRule="auto"/>
              <w:jc w:val="center"/>
              <w:rPr>
                <w:rFonts w:hint="eastAsia"/>
                <w:szCs w:val="21"/>
              </w:rPr>
            </w:pPr>
            <w:r>
              <w:rPr>
                <w:rFonts w:hint="eastAsia"/>
                <w:szCs w:val="21"/>
              </w:rPr>
              <w:t>0.800%</w:t>
            </w:r>
          </w:p>
        </w:tc>
        <w:tc>
          <w:tcPr>
            <w:tcW w:w="1846" w:type="dxa"/>
            <w:vAlign w:val="center"/>
          </w:tcPr>
          <w:p>
            <w:pPr>
              <w:spacing w:line="240" w:lineRule="auto"/>
              <w:jc w:val="center"/>
              <w:rPr>
                <w:rFonts w:hint="eastAsia"/>
                <w:szCs w:val="21"/>
              </w:rPr>
            </w:pPr>
            <w:r>
              <w:rPr>
                <w:rFonts w:hint="eastAsia"/>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500万元（含）-1000万元</w:t>
            </w:r>
          </w:p>
        </w:tc>
        <w:tc>
          <w:tcPr>
            <w:tcW w:w="1845" w:type="dxa"/>
            <w:vAlign w:val="center"/>
          </w:tcPr>
          <w:p>
            <w:pPr>
              <w:spacing w:line="240" w:lineRule="auto"/>
              <w:jc w:val="center"/>
              <w:rPr>
                <w:rFonts w:hint="eastAsia"/>
                <w:szCs w:val="21"/>
              </w:rPr>
            </w:pPr>
            <w:r>
              <w:rPr>
                <w:rFonts w:hint="eastAsia"/>
                <w:szCs w:val="21"/>
              </w:rPr>
              <w:t>0.800%</w:t>
            </w:r>
          </w:p>
        </w:tc>
        <w:tc>
          <w:tcPr>
            <w:tcW w:w="1845" w:type="dxa"/>
            <w:vAlign w:val="center"/>
          </w:tcPr>
          <w:p>
            <w:pPr>
              <w:spacing w:line="240" w:lineRule="auto"/>
              <w:jc w:val="center"/>
              <w:rPr>
                <w:rFonts w:hint="eastAsia"/>
                <w:szCs w:val="21"/>
              </w:rPr>
            </w:pPr>
            <w:r>
              <w:rPr>
                <w:rFonts w:hint="eastAsia"/>
                <w:szCs w:val="21"/>
              </w:rPr>
              <w:t>0.450%</w:t>
            </w:r>
          </w:p>
        </w:tc>
        <w:tc>
          <w:tcPr>
            <w:tcW w:w="1846" w:type="dxa"/>
            <w:vAlign w:val="center"/>
          </w:tcPr>
          <w:p>
            <w:pPr>
              <w:spacing w:line="240" w:lineRule="auto"/>
              <w:jc w:val="center"/>
              <w:rPr>
                <w:rFonts w:hint="eastAsia"/>
                <w:szCs w:val="21"/>
              </w:rPr>
            </w:pPr>
            <w:r>
              <w:rPr>
                <w:rFonts w:hint="eastAsia"/>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1000万元（含）-5000万元</w:t>
            </w:r>
          </w:p>
        </w:tc>
        <w:tc>
          <w:tcPr>
            <w:tcW w:w="1845" w:type="dxa"/>
            <w:vAlign w:val="center"/>
          </w:tcPr>
          <w:p>
            <w:pPr>
              <w:spacing w:line="240" w:lineRule="auto"/>
              <w:jc w:val="center"/>
              <w:rPr>
                <w:rFonts w:hint="eastAsia"/>
                <w:szCs w:val="21"/>
              </w:rPr>
            </w:pPr>
            <w:r>
              <w:rPr>
                <w:rFonts w:hint="eastAsia"/>
                <w:szCs w:val="21"/>
              </w:rPr>
              <w:t>0.500%</w:t>
            </w:r>
          </w:p>
        </w:tc>
        <w:tc>
          <w:tcPr>
            <w:tcW w:w="1845" w:type="dxa"/>
            <w:vAlign w:val="center"/>
          </w:tcPr>
          <w:p>
            <w:pPr>
              <w:spacing w:line="240" w:lineRule="auto"/>
              <w:jc w:val="center"/>
              <w:rPr>
                <w:rFonts w:hint="eastAsia"/>
                <w:szCs w:val="21"/>
              </w:rPr>
            </w:pPr>
            <w:r>
              <w:rPr>
                <w:rFonts w:hint="eastAsia"/>
                <w:szCs w:val="21"/>
              </w:rPr>
              <w:t>0.250%</w:t>
            </w:r>
          </w:p>
        </w:tc>
        <w:tc>
          <w:tcPr>
            <w:tcW w:w="1846" w:type="dxa"/>
            <w:vAlign w:val="center"/>
          </w:tcPr>
          <w:p>
            <w:pPr>
              <w:spacing w:line="240" w:lineRule="auto"/>
              <w:jc w:val="center"/>
              <w:rPr>
                <w:rFonts w:hint="eastAsia"/>
                <w:szCs w:val="21"/>
              </w:rPr>
            </w:pPr>
            <w:r>
              <w:rPr>
                <w:rFonts w:hint="eastAsia"/>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5000万元（含）-1亿元</w:t>
            </w:r>
          </w:p>
        </w:tc>
        <w:tc>
          <w:tcPr>
            <w:tcW w:w="1845" w:type="dxa"/>
            <w:vAlign w:val="center"/>
          </w:tcPr>
          <w:p>
            <w:pPr>
              <w:spacing w:line="240" w:lineRule="auto"/>
              <w:jc w:val="center"/>
              <w:rPr>
                <w:rFonts w:hint="eastAsia"/>
                <w:szCs w:val="21"/>
              </w:rPr>
            </w:pPr>
            <w:r>
              <w:rPr>
                <w:rFonts w:hint="eastAsia"/>
                <w:szCs w:val="21"/>
              </w:rPr>
              <w:t>0.250%</w:t>
            </w:r>
          </w:p>
        </w:tc>
        <w:tc>
          <w:tcPr>
            <w:tcW w:w="1845" w:type="dxa"/>
            <w:vAlign w:val="center"/>
          </w:tcPr>
          <w:p>
            <w:pPr>
              <w:spacing w:line="240" w:lineRule="auto"/>
              <w:jc w:val="center"/>
              <w:rPr>
                <w:rFonts w:hint="eastAsia"/>
                <w:szCs w:val="21"/>
              </w:rPr>
            </w:pPr>
            <w:r>
              <w:rPr>
                <w:rFonts w:hint="eastAsia"/>
                <w:szCs w:val="21"/>
              </w:rPr>
              <w:t>0.100%</w:t>
            </w:r>
          </w:p>
        </w:tc>
        <w:tc>
          <w:tcPr>
            <w:tcW w:w="1846" w:type="dxa"/>
            <w:vAlign w:val="center"/>
          </w:tcPr>
          <w:p>
            <w:pPr>
              <w:spacing w:line="240" w:lineRule="auto"/>
              <w:jc w:val="center"/>
              <w:rPr>
                <w:rFonts w:hint="eastAsia"/>
                <w:szCs w:val="21"/>
              </w:rPr>
            </w:pPr>
            <w:r>
              <w:rPr>
                <w:rFonts w:hint="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1亿元（含）-5亿元</w:t>
            </w:r>
          </w:p>
        </w:tc>
        <w:tc>
          <w:tcPr>
            <w:tcW w:w="1845" w:type="dxa"/>
            <w:vAlign w:val="center"/>
          </w:tcPr>
          <w:p>
            <w:pPr>
              <w:spacing w:line="240" w:lineRule="auto"/>
              <w:jc w:val="center"/>
              <w:rPr>
                <w:rFonts w:hint="eastAsia"/>
                <w:szCs w:val="21"/>
              </w:rPr>
            </w:pPr>
            <w:r>
              <w:rPr>
                <w:rFonts w:hint="eastAsia"/>
                <w:szCs w:val="21"/>
              </w:rPr>
              <w:t>0.050%</w:t>
            </w:r>
          </w:p>
        </w:tc>
        <w:tc>
          <w:tcPr>
            <w:tcW w:w="1845" w:type="dxa"/>
            <w:vAlign w:val="center"/>
          </w:tcPr>
          <w:p>
            <w:pPr>
              <w:spacing w:line="240" w:lineRule="auto"/>
              <w:jc w:val="center"/>
              <w:rPr>
                <w:rFonts w:hint="eastAsia"/>
                <w:szCs w:val="21"/>
              </w:rPr>
            </w:pPr>
            <w:r>
              <w:rPr>
                <w:rFonts w:hint="eastAsia"/>
                <w:szCs w:val="21"/>
              </w:rPr>
              <w:t>0.050%</w:t>
            </w:r>
          </w:p>
        </w:tc>
        <w:tc>
          <w:tcPr>
            <w:tcW w:w="1846" w:type="dxa"/>
            <w:vAlign w:val="center"/>
          </w:tcPr>
          <w:p>
            <w:pPr>
              <w:spacing w:line="240" w:lineRule="auto"/>
              <w:jc w:val="center"/>
              <w:rPr>
                <w:rFonts w:hint="eastAsia"/>
                <w:szCs w:val="21"/>
              </w:rPr>
            </w:pPr>
            <w:r>
              <w:rPr>
                <w:rFonts w:hint="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5亿元（含）-10亿元</w:t>
            </w:r>
          </w:p>
        </w:tc>
        <w:tc>
          <w:tcPr>
            <w:tcW w:w="1845" w:type="dxa"/>
            <w:vAlign w:val="center"/>
          </w:tcPr>
          <w:p>
            <w:pPr>
              <w:spacing w:line="240" w:lineRule="auto"/>
              <w:jc w:val="center"/>
              <w:rPr>
                <w:rFonts w:hint="eastAsia"/>
                <w:szCs w:val="21"/>
              </w:rPr>
            </w:pPr>
            <w:r>
              <w:rPr>
                <w:rFonts w:hint="eastAsia"/>
                <w:szCs w:val="21"/>
              </w:rPr>
              <w:t>0.035%</w:t>
            </w:r>
          </w:p>
        </w:tc>
        <w:tc>
          <w:tcPr>
            <w:tcW w:w="1845" w:type="dxa"/>
            <w:vAlign w:val="center"/>
          </w:tcPr>
          <w:p>
            <w:pPr>
              <w:spacing w:line="240" w:lineRule="auto"/>
              <w:jc w:val="center"/>
              <w:rPr>
                <w:rFonts w:hint="eastAsia"/>
                <w:szCs w:val="21"/>
              </w:rPr>
            </w:pPr>
            <w:r>
              <w:rPr>
                <w:rFonts w:hint="eastAsia"/>
                <w:szCs w:val="21"/>
              </w:rPr>
              <w:t>0.035%</w:t>
            </w:r>
          </w:p>
        </w:tc>
        <w:tc>
          <w:tcPr>
            <w:tcW w:w="1846" w:type="dxa"/>
            <w:vAlign w:val="center"/>
          </w:tcPr>
          <w:p>
            <w:pPr>
              <w:spacing w:line="240" w:lineRule="auto"/>
              <w:jc w:val="center"/>
              <w:rPr>
                <w:rFonts w:hint="eastAsia"/>
                <w:szCs w:val="21"/>
              </w:rPr>
            </w:pPr>
            <w:r>
              <w:rPr>
                <w:rFonts w:hint="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10亿元（含）-50亿元</w:t>
            </w:r>
          </w:p>
        </w:tc>
        <w:tc>
          <w:tcPr>
            <w:tcW w:w="1845" w:type="dxa"/>
            <w:vAlign w:val="center"/>
          </w:tcPr>
          <w:p>
            <w:pPr>
              <w:spacing w:line="240" w:lineRule="auto"/>
              <w:jc w:val="center"/>
              <w:rPr>
                <w:rFonts w:hint="eastAsia"/>
                <w:szCs w:val="21"/>
              </w:rPr>
            </w:pPr>
            <w:r>
              <w:rPr>
                <w:rFonts w:hint="eastAsia"/>
                <w:szCs w:val="21"/>
              </w:rPr>
              <w:t>0.008%</w:t>
            </w:r>
          </w:p>
        </w:tc>
        <w:tc>
          <w:tcPr>
            <w:tcW w:w="1845" w:type="dxa"/>
            <w:vAlign w:val="center"/>
          </w:tcPr>
          <w:p>
            <w:pPr>
              <w:spacing w:line="240" w:lineRule="auto"/>
              <w:jc w:val="center"/>
              <w:rPr>
                <w:rFonts w:hint="eastAsia"/>
                <w:szCs w:val="21"/>
              </w:rPr>
            </w:pPr>
            <w:r>
              <w:rPr>
                <w:rFonts w:hint="eastAsia"/>
                <w:szCs w:val="21"/>
              </w:rPr>
              <w:t>0.008%</w:t>
            </w:r>
          </w:p>
        </w:tc>
        <w:tc>
          <w:tcPr>
            <w:tcW w:w="1846" w:type="dxa"/>
            <w:vAlign w:val="center"/>
          </w:tcPr>
          <w:p>
            <w:pPr>
              <w:spacing w:line="240" w:lineRule="auto"/>
              <w:jc w:val="center"/>
              <w:rPr>
                <w:rFonts w:hint="eastAsia"/>
                <w:szCs w:val="21"/>
              </w:rPr>
            </w:pPr>
            <w:r>
              <w:rPr>
                <w:rFonts w:hint="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50亿元（含）-100亿元</w:t>
            </w:r>
          </w:p>
        </w:tc>
        <w:tc>
          <w:tcPr>
            <w:tcW w:w="1845" w:type="dxa"/>
            <w:vAlign w:val="center"/>
          </w:tcPr>
          <w:p>
            <w:pPr>
              <w:spacing w:line="240" w:lineRule="auto"/>
              <w:jc w:val="center"/>
              <w:rPr>
                <w:rFonts w:hint="eastAsia"/>
                <w:szCs w:val="21"/>
              </w:rPr>
            </w:pPr>
            <w:r>
              <w:rPr>
                <w:rFonts w:hint="eastAsia"/>
                <w:szCs w:val="21"/>
              </w:rPr>
              <w:t>0.006%</w:t>
            </w:r>
          </w:p>
        </w:tc>
        <w:tc>
          <w:tcPr>
            <w:tcW w:w="1845" w:type="dxa"/>
            <w:vAlign w:val="center"/>
          </w:tcPr>
          <w:p>
            <w:pPr>
              <w:spacing w:line="240" w:lineRule="auto"/>
              <w:jc w:val="center"/>
              <w:rPr>
                <w:rFonts w:hint="eastAsia"/>
                <w:szCs w:val="21"/>
              </w:rPr>
            </w:pPr>
            <w:r>
              <w:rPr>
                <w:rFonts w:hint="eastAsia"/>
                <w:szCs w:val="21"/>
              </w:rPr>
              <w:t>0.006%</w:t>
            </w:r>
          </w:p>
        </w:tc>
        <w:tc>
          <w:tcPr>
            <w:tcW w:w="1846" w:type="dxa"/>
            <w:vAlign w:val="center"/>
          </w:tcPr>
          <w:p>
            <w:pPr>
              <w:spacing w:line="240" w:lineRule="auto"/>
              <w:jc w:val="center"/>
              <w:rPr>
                <w:rFonts w:hint="eastAsia"/>
                <w:szCs w:val="21"/>
              </w:rPr>
            </w:pPr>
            <w:r>
              <w:rPr>
                <w:rFonts w:hint="eastAsia"/>
                <w:szCs w:val="21"/>
              </w:rPr>
              <w:t>0.006%</w:t>
            </w:r>
          </w:p>
        </w:tc>
      </w:tr>
    </w:tbl>
    <w:p>
      <w:pPr>
        <w:tabs>
          <w:tab w:val="clear" w:pos="426"/>
        </w:tabs>
        <w:ind w:left="424" w:leftChars="202" w:firstLine="440" w:firstLineChars="200"/>
        <w:rPr>
          <w:rFonts w:hint="eastAsia"/>
          <w:sz w:val="22"/>
        </w:rPr>
      </w:pPr>
      <w:r>
        <w:rPr>
          <w:rFonts w:hint="eastAsia"/>
          <w:sz w:val="22"/>
        </w:rPr>
        <w:t>以某5000万项目货物类招标为例：</w:t>
      </w:r>
    </w:p>
    <w:p>
      <w:pPr>
        <w:tabs>
          <w:tab w:val="clear" w:pos="426"/>
        </w:tabs>
        <w:ind w:left="424" w:leftChars="202" w:firstLine="440" w:firstLineChars="200"/>
        <w:rPr>
          <w:rFonts w:hint="eastAsia"/>
          <w:sz w:val="22"/>
        </w:rPr>
      </w:pPr>
      <w:r>
        <w:rPr>
          <w:rFonts w:hint="eastAsia"/>
          <w:sz w:val="22"/>
        </w:rPr>
        <w:t>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ind w:left="424" w:leftChars="202" w:firstLine="440" w:firstLineChars="200"/>
        <w:rPr>
          <w:rFonts w:hint="eastAsia"/>
          <w:sz w:val="22"/>
        </w:rPr>
      </w:pPr>
      <w:r>
        <w:rPr>
          <w:rFonts w:hint="eastAsia"/>
          <w:sz w:val="22"/>
        </w:rPr>
        <w:t xml:space="preserve">100万元×1.5%=1.5万元   </w:t>
      </w:r>
    </w:p>
    <w:p>
      <w:pPr>
        <w:tabs>
          <w:tab w:val="clear" w:pos="426"/>
        </w:tabs>
        <w:ind w:left="424" w:leftChars="202" w:firstLine="440" w:firstLineChars="200"/>
        <w:rPr>
          <w:rFonts w:hint="eastAsia"/>
          <w:sz w:val="22"/>
        </w:rPr>
      </w:pPr>
      <w:r>
        <w:rPr>
          <w:rFonts w:hint="eastAsia"/>
          <w:sz w:val="22"/>
        </w:rPr>
        <w:t>（500-100）万元×</w:t>
      </w:r>
      <w:r>
        <w:rPr>
          <w:sz w:val="22"/>
        </w:rPr>
        <w:t>1.1</w:t>
      </w:r>
      <w:r>
        <w:rPr>
          <w:rFonts w:hint="eastAsia"/>
          <w:sz w:val="22"/>
        </w:rPr>
        <w:t>%=</w:t>
      </w:r>
      <w:r>
        <w:rPr>
          <w:sz w:val="22"/>
        </w:rPr>
        <w:t>4.4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（1000-500）万元×</w:t>
      </w:r>
      <w:r>
        <w:rPr>
          <w:sz w:val="22"/>
        </w:rPr>
        <w:t>0.8</w:t>
      </w:r>
      <w:r>
        <w:rPr>
          <w:rFonts w:hint="eastAsia"/>
          <w:sz w:val="22"/>
        </w:rPr>
        <w:t>%=</w:t>
      </w:r>
      <w:r>
        <w:rPr>
          <w:sz w:val="22"/>
        </w:rPr>
        <w:t>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（5000-1000）万元×0.</w:t>
      </w:r>
      <w:r>
        <w:rPr>
          <w:sz w:val="22"/>
        </w:rPr>
        <w:t>5</w:t>
      </w:r>
      <w:r>
        <w:rPr>
          <w:rFonts w:hint="eastAsia"/>
          <w:sz w:val="22"/>
        </w:rPr>
        <w:t>%=</w:t>
      </w:r>
      <w:r>
        <w:rPr>
          <w:sz w:val="22"/>
        </w:rPr>
        <w:t>20</w:t>
      </w:r>
      <w:r>
        <w:rPr>
          <w:rFonts w:hint="eastAsia"/>
          <w:sz w:val="22"/>
        </w:rPr>
        <w:t>万元</w:t>
      </w:r>
    </w:p>
    <w:p>
      <w:pPr>
        <w:tabs>
          <w:tab w:val="clear" w:pos="426"/>
        </w:tabs>
        <w:ind w:left="424" w:leftChars="202" w:firstLine="440" w:firstLineChars="200"/>
        <w:rPr>
          <w:rFonts w:hint="eastAsia"/>
          <w:sz w:val="22"/>
        </w:rPr>
      </w:pPr>
      <w:r>
        <w:rPr>
          <w:rFonts w:hint="eastAsia"/>
          <w:sz w:val="22"/>
        </w:rPr>
        <w:t>因此，招标代理服务费为：1.5+</w:t>
      </w:r>
      <w:r>
        <w:rPr>
          <w:sz w:val="22"/>
        </w:rPr>
        <w:t>4.4</w:t>
      </w:r>
      <w:r>
        <w:rPr>
          <w:rFonts w:hint="eastAsia"/>
          <w:sz w:val="22"/>
        </w:rPr>
        <w:t>+</w:t>
      </w:r>
      <w:r>
        <w:rPr>
          <w:sz w:val="22"/>
        </w:rPr>
        <w:t>4</w:t>
      </w:r>
      <w:r>
        <w:rPr>
          <w:rFonts w:hint="eastAsia"/>
          <w:sz w:val="22"/>
        </w:rPr>
        <w:t>+</w:t>
      </w:r>
      <w:r>
        <w:rPr>
          <w:sz w:val="22"/>
        </w:rPr>
        <w:t>2</w:t>
      </w:r>
      <w:r>
        <w:rPr>
          <w:rFonts w:hint="eastAsia"/>
          <w:sz w:val="22"/>
        </w:rPr>
        <w:t>0=</w:t>
      </w:r>
      <w:r>
        <w:rPr>
          <w:sz w:val="22"/>
        </w:rPr>
        <w:t>29.9</w:t>
      </w:r>
      <w:r>
        <w:rPr>
          <w:rFonts w:hint="eastAsia"/>
          <w:sz w:val="22"/>
        </w:rPr>
        <w:t>万元。</w:t>
      </w:r>
    </w:p>
    <w:p>
      <w:pPr>
        <w:shd w:val="clear" w:color="auto" w:fill="auto"/>
        <w:tabs>
          <w:tab w:val="clear" w:pos="426"/>
        </w:tabs>
        <w:adjustRightInd/>
        <w:snapToGrid/>
        <w:spacing w:line="240" w:lineRule="auto"/>
        <w:jc w:val="left"/>
        <w:rPr>
          <w:rFonts w:ascii="Arial" w:hAnsi="Arial" w:cs="Times New Roman"/>
          <w:bCs/>
          <w:kern w:val="2"/>
          <w:sz w:val="36"/>
          <w:szCs w:val="32"/>
        </w:rPr>
      </w:pPr>
    </w:p>
    <w:p>
      <w:pPr>
        <w:rPr>
          <w:rFonts w:hint="eastAsia"/>
        </w:rPr>
      </w:pPr>
    </w:p>
    <w:sectPr>
      <w:headerReference r:id="rId7" w:type="first"/>
      <w:footerReference r:id="rId9" w:type="first"/>
      <w:headerReference r:id="rId6" w:type="default"/>
      <w:footerReference r:id="rId8" w:type="default"/>
      <w:pgSz w:w="11906" w:h="16838"/>
      <w:pgMar w:top="1134" w:right="1134" w:bottom="1134" w:left="1418" w:header="851" w:footer="992" w:gutter="0"/>
      <w:pgNumType w:start="1"/>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33"/>
      </w:rPr>
    </w:pPr>
    <w:r>
      <w:fldChar w:fldCharType="begin"/>
    </w:r>
    <w:r>
      <w:rPr>
        <w:rStyle w:val="133"/>
      </w:rPr>
      <w:instrText xml:space="preserve">PAGE  </w:instrText>
    </w:r>
    <w:r>
      <w:fldChar w:fldCharType="separate"/>
    </w:r>
    <w:r>
      <w:rPr>
        <w:rStyle w:val="133"/>
      </w:rPr>
      <w:t>65</w:t>
    </w:r>
    <w: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line="240" w:lineRule="auto"/>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5"/>
    <w:multiLevelType w:val="multilevel"/>
    <w:tmpl w:val="00000005"/>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5">
    <w:nsid w:val="726C71F1"/>
    <w:multiLevelType w:val="multilevel"/>
    <w:tmpl w:val="726C71F1"/>
    <w:lvl w:ilvl="0" w:tentative="0">
      <w:start w:val="1"/>
      <w:numFmt w:val="chineseCountingThousand"/>
      <w:pStyle w:val="554"/>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2C9B"/>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673"/>
    <w:rsid w:val="0002572C"/>
    <w:rsid w:val="00025E39"/>
    <w:rsid w:val="00026A09"/>
    <w:rsid w:val="00026A4B"/>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5737"/>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E3"/>
    <w:rsid w:val="00063A79"/>
    <w:rsid w:val="00063CD3"/>
    <w:rsid w:val="00063F40"/>
    <w:rsid w:val="00063FD9"/>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E77"/>
    <w:rsid w:val="000740B8"/>
    <w:rsid w:val="0007455E"/>
    <w:rsid w:val="000750DC"/>
    <w:rsid w:val="0007542D"/>
    <w:rsid w:val="00075C4A"/>
    <w:rsid w:val="00076BF2"/>
    <w:rsid w:val="00076EDC"/>
    <w:rsid w:val="00077188"/>
    <w:rsid w:val="00077784"/>
    <w:rsid w:val="00080925"/>
    <w:rsid w:val="0008103C"/>
    <w:rsid w:val="00081639"/>
    <w:rsid w:val="000818BE"/>
    <w:rsid w:val="00081A6E"/>
    <w:rsid w:val="000820FF"/>
    <w:rsid w:val="00082667"/>
    <w:rsid w:val="00082B2F"/>
    <w:rsid w:val="00082DBC"/>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A08"/>
    <w:rsid w:val="00087C7C"/>
    <w:rsid w:val="000909A1"/>
    <w:rsid w:val="00091179"/>
    <w:rsid w:val="0009141A"/>
    <w:rsid w:val="000915F3"/>
    <w:rsid w:val="00091657"/>
    <w:rsid w:val="0009227E"/>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1055"/>
    <w:rsid w:val="000D1275"/>
    <w:rsid w:val="000D12AA"/>
    <w:rsid w:val="000D1330"/>
    <w:rsid w:val="000D1A7D"/>
    <w:rsid w:val="000D1D09"/>
    <w:rsid w:val="000D20CD"/>
    <w:rsid w:val="000D2309"/>
    <w:rsid w:val="000D2390"/>
    <w:rsid w:val="000D23AD"/>
    <w:rsid w:val="000D2C15"/>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F34"/>
    <w:rsid w:val="000E301B"/>
    <w:rsid w:val="000E34E1"/>
    <w:rsid w:val="000E41C0"/>
    <w:rsid w:val="000E4687"/>
    <w:rsid w:val="000E48ED"/>
    <w:rsid w:val="000E49EB"/>
    <w:rsid w:val="000E4DE8"/>
    <w:rsid w:val="000E60B2"/>
    <w:rsid w:val="000E62FD"/>
    <w:rsid w:val="000E6681"/>
    <w:rsid w:val="000E69FE"/>
    <w:rsid w:val="000E6C5E"/>
    <w:rsid w:val="000E6C9A"/>
    <w:rsid w:val="000E6DB4"/>
    <w:rsid w:val="000E6EC0"/>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7AA"/>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36E5"/>
    <w:rsid w:val="001138DA"/>
    <w:rsid w:val="00115711"/>
    <w:rsid w:val="0011585F"/>
    <w:rsid w:val="00115973"/>
    <w:rsid w:val="00115A55"/>
    <w:rsid w:val="00115AD7"/>
    <w:rsid w:val="00116971"/>
    <w:rsid w:val="001172D4"/>
    <w:rsid w:val="00117316"/>
    <w:rsid w:val="0011782E"/>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3243"/>
    <w:rsid w:val="00123987"/>
    <w:rsid w:val="00123CC6"/>
    <w:rsid w:val="001241FC"/>
    <w:rsid w:val="00124A28"/>
    <w:rsid w:val="00124E97"/>
    <w:rsid w:val="00125200"/>
    <w:rsid w:val="00125202"/>
    <w:rsid w:val="001253FC"/>
    <w:rsid w:val="00125B11"/>
    <w:rsid w:val="00125C68"/>
    <w:rsid w:val="00125C8A"/>
    <w:rsid w:val="00125CF2"/>
    <w:rsid w:val="00125E74"/>
    <w:rsid w:val="00126080"/>
    <w:rsid w:val="0012649A"/>
    <w:rsid w:val="001264D8"/>
    <w:rsid w:val="00126813"/>
    <w:rsid w:val="00126953"/>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09"/>
    <w:rsid w:val="0013288F"/>
    <w:rsid w:val="00132F55"/>
    <w:rsid w:val="00132FAF"/>
    <w:rsid w:val="001330B3"/>
    <w:rsid w:val="001333A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3B3"/>
    <w:rsid w:val="0014046D"/>
    <w:rsid w:val="00140645"/>
    <w:rsid w:val="0014143D"/>
    <w:rsid w:val="00142838"/>
    <w:rsid w:val="00143156"/>
    <w:rsid w:val="00143282"/>
    <w:rsid w:val="00143653"/>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A9B"/>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7167"/>
    <w:rsid w:val="001772DF"/>
    <w:rsid w:val="00180F96"/>
    <w:rsid w:val="0018102F"/>
    <w:rsid w:val="0018120A"/>
    <w:rsid w:val="00181DFA"/>
    <w:rsid w:val="0018205E"/>
    <w:rsid w:val="0018206A"/>
    <w:rsid w:val="00182A09"/>
    <w:rsid w:val="001834DC"/>
    <w:rsid w:val="00183959"/>
    <w:rsid w:val="00183B1B"/>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5FF"/>
    <w:rsid w:val="001A3862"/>
    <w:rsid w:val="001A398D"/>
    <w:rsid w:val="001A3AD6"/>
    <w:rsid w:val="001A41EA"/>
    <w:rsid w:val="001A422B"/>
    <w:rsid w:val="001A440A"/>
    <w:rsid w:val="001A4441"/>
    <w:rsid w:val="001A4A55"/>
    <w:rsid w:val="001A4F44"/>
    <w:rsid w:val="001A54D4"/>
    <w:rsid w:val="001A54DC"/>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5B57"/>
    <w:rsid w:val="001B5C8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46EF"/>
    <w:rsid w:val="001D4AF5"/>
    <w:rsid w:val="001D4DEE"/>
    <w:rsid w:val="001D5600"/>
    <w:rsid w:val="001D58E5"/>
    <w:rsid w:val="001D5B2C"/>
    <w:rsid w:val="001D5F4C"/>
    <w:rsid w:val="001D6191"/>
    <w:rsid w:val="001D650B"/>
    <w:rsid w:val="001D6CA4"/>
    <w:rsid w:val="001D76AD"/>
    <w:rsid w:val="001D785D"/>
    <w:rsid w:val="001D7943"/>
    <w:rsid w:val="001D7A5C"/>
    <w:rsid w:val="001E086E"/>
    <w:rsid w:val="001E08AE"/>
    <w:rsid w:val="001E1089"/>
    <w:rsid w:val="001E17B2"/>
    <w:rsid w:val="001E1B14"/>
    <w:rsid w:val="001E200A"/>
    <w:rsid w:val="001E2067"/>
    <w:rsid w:val="001E226F"/>
    <w:rsid w:val="001E24A9"/>
    <w:rsid w:val="001E2502"/>
    <w:rsid w:val="001E2689"/>
    <w:rsid w:val="001E292F"/>
    <w:rsid w:val="001E2B40"/>
    <w:rsid w:val="001E3202"/>
    <w:rsid w:val="001E328E"/>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94C"/>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CD"/>
    <w:rsid w:val="0024727D"/>
    <w:rsid w:val="002478E5"/>
    <w:rsid w:val="00247C53"/>
    <w:rsid w:val="0025073C"/>
    <w:rsid w:val="00250F42"/>
    <w:rsid w:val="00250FD2"/>
    <w:rsid w:val="00251A8F"/>
    <w:rsid w:val="002529C2"/>
    <w:rsid w:val="00253EA0"/>
    <w:rsid w:val="0025434B"/>
    <w:rsid w:val="00254439"/>
    <w:rsid w:val="00254B44"/>
    <w:rsid w:val="00254E99"/>
    <w:rsid w:val="00255460"/>
    <w:rsid w:val="00255BAF"/>
    <w:rsid w:val="0025614D"/>
    <w:rsid w:val="0025673C"/>
    <w:rsid w:val="0025674A"/>
    <w:rsid w:val="0025753B"/>
    <w:rsid w:val="00257AAE"/>
    <w:rsid w:val="00260027"/>
    <w:rsid w:val="0026010B"/>
    <w:rsid w:val="0026027A"/>
    <w:rsid w:val="002602E7"/>
    <w:rsid w:val="00260423"/>
    <w:rsid w:val="00260533"/>
    <w:rsid w:val="00260B94"/>
    <w:rsid w:val="00260ED8"/>
    <w:rsid w:val="002615F8"/>
    <w:rsid w:val="00261A54"/>
    <w:rsid w:val="00261C8F"/>
    <w:rsid w:val="00261D37"/>
    <w:rsid w:val="00261E00"/>
    <w:rsid w:val="00262822"/>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24E"/>
    <w:rsid w:val="00284163"/>
    <w:rsid w:val="00284744"/>
    <w:rsid w:val="00284F37"/>
    <w:rsid w:val="00285523"/>
    <w:rsid w:val="002857C6"/>
    <w:rsid w:val="002859F5"/>
    <w:rsid w:val="002865A0"/>
    <w:rsid w:val="002868A6"/>
    <w:rsid w:val="002868BE"/>
    <w:rsid w:val="00286EAA"/>
    <w:rsid w:val="0028710F"/>
    <w:rsid w:val="002872C3"/>
    <w:rsid w:val="00287B1D"/>
    <w:rsid w:val="002903E2"/>
    <w:rsid w:val="0029077C"/>
    <w:rsid w:val="002908A7"/>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4C57"/>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14"/>
    <w:rsid w:val="002C474F"/>
    <w:rsid w:val="002C4822"/>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159"/>
    <w:rsid w:val="002E340A"/>
    <w:rsid w:val="002E38DB"/>
    <w:rsid w:val="002E39E2"/>
    <w:rsid w:val="002E4657"/>
    <w:rsid w:val="002E4708"/>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65B"/>
    <w:rsid w:val="003019D9"/>
    <w:rsid w:val="0030242B"/>
    <w:rsid w:val="00302595"/>
    <w:rsid w:val="00303041"/>
    <w:rsid w:val="003030F5"/>
    <w:rsid w:val="003036F3"/>
    <w:rsid w:val="00304222"/>
    <w:rsid w:val="0030463E"/>
    <w:rsid w:val="00304AB6"/>
    <w:rsid w:val="00304D17"/>
    <w:rsid w:val="00304ED6"/>
    <w:rsid w:val="00305854"/>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A06"/>
    <w:rsid w:val="00315CD2"/>
    <w:rsid w:val="0031615F"/>
    <w:rsid w:val="003163DC"/>
    <w:rsid w:val="00316600"/>
    <w:rsid w:val="003166C1"/>
    <w:rsid w:val="00316A8B"/>
    <w:rsid w:val="00316BF6"/>
    <w:rsid w:val="0031733B"/>
    <w:rsid w:val="00317756"/>
    <w:rsid w:val="00317805"/>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742"/>
    <w:rsid w:val="00325B63"/>
    <w:rsid w:val="00326196"/>
    <w:rsid w:val="00326240"/>
    <w:rsid w:val="003278A1"/>
    <w:rsid w:val="00327909"/>
    <w:rsid w:val="0032791F"/>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A2F"/>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D40"/>
    <w:rsid w:val="00374251"/>
    <w:rsid w:val="003744B3"/>
    <w:rsid w:val="003745F4"/>
    <w:rsid w:val="00374910"/>
    <w:rsid w:val="00374D89"/>
    <w:rsid w:val="003751B4"/>
    <w:rsid w:val="00375509"/>
    <w:rsid w:val="00375848"/>
    <w:rsid w:val="00375D29"/>
    <w:rsid w:val="00375D91"/>
    <w:rsid w:val="00376E2B"/>
    <w:rsid w:val="0037769E"/>
    <w:rsid w:val="00377BE4"/>
    <w:rsid w:val="00380094"/>
    <w:rsid w:val="003800F0"/>
    <w:rsid w:val="00382306"/>
    <w:rsid w:val="003827EC"/>
    <w:rsid w:val="0038292B"/>
    <w:rsid w:val="00382B86"/>
    <w:rsid w:val="00383071"/>
    <w:rsid w:val="003832EF"/>
    <w:rsid w:val="003836DD"/>
    <w:rsid w:val="003837F4"/>
    <w:rsid w:val="003840D8"/>
    <w:rsid w:val="003845A4"/>
    <w:rsid w:val="003846D9"/>
    <w:rsid w:val="00384F9D"/>
    <w:rsid w:val="00384FED"/>
    <w:rsid w:val="0038564A"/>
    <w:rsid w:val="0038576C"/>
    <w:rsid w:val="00385800"/>
    <w:rsid w:val="00385B99"/>
    <w:rsid w:val="00385F39"/>
    <w:rsid w:val="0038680B"/>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D98"/>
    <w:rsid w:val="003B5DD0"/>
    <w:rsid w:val="003B60F7"/>
    <w:rsid w:val="003B658D"/>
    <w:rsid w:val="003B68A6"/>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393"/>
    <w:rsid w:val="003D5413"/>
    <w:rsid w:val="003D54E0"/>
    <w:rsid w:val="003D56EA"/>
    <w:rsid w:val="003D5996"/>
    <w:rsid w:val="003D5D5D"/>
    <w:rsid w:val="003D6163"/>
    <w:rsid w:val="003D6407"/>
    <w:rsid w:val="003D647A"/>
    <w:rsid w:val="003D6A90"/>
    <w:rsid w:val="003D6B1D"/>
    <w:rsid w:val="003D6E30"/>
    <w:rsid w:val="003D6EC8"/>
    <w:rsid w:val="003D70B5"/>
    <w:rsid w:val="003D7B41"/>
    <w:rsid w:val="003D7B45"/>
    <w:rsid w:val="003E03E3"/>
    <w:rsid w:val="003E05FE"/>
    <w:rsid w:val="003E0CD7"/>
    <w:rsid w:val="003E0DF7"/>
    <w:rsid w:val="003E14F0"/>
    <w:rsid w:val="003E1E5D"/>
    <w:rsid w:val="003E21E4"/>
    <w:rsid w:val="003E2569"/>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F0B"/>
    <w:rsid w:val="003E7503"/>
    <w:rsid w:val="003E7F82"/>
    <w:rsid w:val="003F0031"/>
    <w:rsid w:val="003F00D4"/>
    <w:rsid w:val="003F00DF"/>
    <w:rsid w:val="003F018C"/>
    <w:rsid w:val="003F0565"/>
    <w:rsid w:val="003F09CB"/>
    <w:rsid w:val="003F1045"/>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94C"/>
    <w:rsid w:val="003F6ECC"/>
    <w:rsid w:val="003F7EFA"/>
    <w:rsid w:val="00400C90"/>
    <w:rsid w:val="00402D65"/>
    <w:rsid w:val="00402E02"/>
    <w:rsid w:val="004030FE"/>
    <w:rsid w:val="00403364"/>
    <w:rsid w:val="00403780"/>
    <w:rsid w:val="00403941"/>
    <w:rsid w:val="00403971"/>
    <w:rsid w:val="00404027"/>
    <w:rsid w:val="0040415C"/>
    <w:rsid w:val="0040422B"/>
    <w:rsid w:val="00404737"/>
    <w:rsid w:val="00404D74"/>
    <w:rsid w:val="0040518A"/>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BB6"/>
    <w:rsid w:val="00416F40"/>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10C6"/>
    <w:rsid w:val="00461166"/>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8C8"/>
    <w:rsid w:val="00467BC2"/>
    <w:rsid w:val="00467C44"/>
    <w:rsid w:val="00467CFB"/>
    <w:rsid w:val="00470418"/>
    <w:rsid w:val="00470ED0"/>
    <w:rsid w:val="00470F62"/>
    <w:rsid w:val="00471065"/>
    <w:rsid w:val="0047116D"/>
    <w:rsid w:val="0047196C"/>
    <w:rsid w:val="00471E81"/>
    <w:rsid w:val="004724AF"/>
    <w:rsid w:val="00472620"/>
    <w:rsid w:val="0047272A"/>
    <w:rsid w:val="004727C4"/>
    <w:rsid w:val="004727E8"/>
    <w:rsid w:val="00472CD7"/>
    <w:rsid w:val="0047322A"/>
    <w:rsid w:val="00473379"/>
    <w:rsid w:val="0047352D"/>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09C"/>
    <w:rsid w:val="004869F8"/>
    <w:rsid w:val="00486A68"/>
    <w:rsid w:val="00486B09"/>
    <w:rsid w:val="00486C0C"/>
    <w:rsid w:val="00487644"/>
    <w:rsid w:val="00487CFA"/>
    <w:rsid w:val="004901CA"/>
    <w:rsid w:val="00490A10"/>
    <w:rsid w:val="00490A62"/>
    <w:rsid w:val="00490E9E"/>
    <w:rsid w:val="00491F9F"/>
    <w:rsid w:val="004920D9"/>
    <w:rsid w:val="0049242A"/>
    <w:rsid w:val="00492735"/>
    <w:rsid w:val="00492B25"/>
    <w:rsid w:val="00492EC7"/>
    <w:rsid w:val="004931EB"/>
    <w:rsid w:val="004934C8"/>
    <w:rsid w:val="00493C96"/>
    <w:rsid w:val="004945D4"/>
    <w:rsid w:val="00494932"/>
    <w:rsid w:val="00494D50"/>
    <w:rsid w:val="00494FC9"/>
    <w:rsid w:val="00494FF0"/>
    <w:rsid w:val="004950F8"/>
    <w:rsid w:val="00495211"/>
    <w:rsid w:val="004956F2"/>
    <w:rsid w:val="00495B23"/>
    <w:rsid w:val="00495E19"/>
    <w:rsid w:val="00496087"/>
    <w:rsid w:val="00496AD4"/>
    <w:rsid w:val="00496CBE"/>
    <w:rsid w:val="00497512"/>
    <w:rsid w:val="00497818"/>
    <w:rsid w:val="00497D2A"/>
    <w:rsid w:val="004A0324"/>
    <w:rsid w:val="004A034D"/>
    <w:rsid w:val="004A065C"/>
    <w:rsid w:val="004A06B2"/>
    <w:rsid w:val="004A0BDB"/>
    <w:rsid w:val="004A0C25"/>
    <w:rsid w:val="004A0D4D"/>
    <w:rsid w:val="004A0D79"/>
    <w:rsid w:val="004A0E76"/>
    <w:rsid w:val="004A1222"/>
    <w:rsid w:val="004A1C40"/>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505"/>
    <w:rsid w:val="004D1BE7"/>
    <w:rsid w:val="004D2379"/>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A4"/>
    <w:rsid w:val="005012AD"/>
    <w:rsid w:val="00501F97"/>
    <w:rsid w:val="005020EF"/>
    <w:rsid w:val="00502122"/>
    <w:rsid w:val="0050241C"/>
    <w:rsid w:val="005027BB"/>
    <w:rsid w:val="0050319C"/>
    <w:rsid w:val="005037E1"/>
    <w:rsid w:val="00503B5C"/>
    <w:rsid w:val="00503B96"/>
    <w:rsid w:val="0050456A"/>
    <w:rsid w:val="00505563"/>
    <w:rsid w:val="00505E1D"/>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197"/>
    <w:rsid w:val="005141DA"/>
    <w:rsid w:val="00514DDB"/>
    <w:rsid w:val="00514E36"/>
    <w:rsid w:val="00515172"/>
    <w:rsid w:val="00515316"/>
    <w:rsid w:val="00515422"/>
    <w:rsid w:val="005156A6"/>
    <w:rsid w:val="00515794"/>
    <w:rsid w:val="0051636C"/>
    <w:rsid w:val="00516393"/>
    <w:rsid w:val="005170C9"/>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CB2"/>
    <w:rsid w:val="00534ED5"/>
    <w:rsid w:val="00535324"/>
    <w:rsid w:val="0053540E"/>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B00"/>
    <w:rsid w:val="00563C49"/>
    <w:rsid w:val="0056592B"/>
    <w:rsid w:val="00565AC1"/>
    <w:rsid w:val="00565B0F"/>
    <w:rsid w:val="00565D0D"/>
    <w:rsid w:val="00566286"/>
    <w:rsid w:val="005668DF"/>
    <w:rsid w:val="00566920"/>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25"/>
    <w:rsid w:val="00572CF9"/>
    <w:rsid w:val="00572E3E"/>
    <w:rsid w:val="00573335"/>
    <w:rsid w:val="00573345"/>
    <w:rsid w:val="00573619"/>
    <w:rsid w:val="005737F5"/>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1B76"/>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3DF8"/>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9CE"/>
    <w:rsid w:val="005F1A0D"/>
    <w:rsid w:val="005F1D43"/>
    <w:rsid w:val="005F2132"/>
    <w:rsid w:val="005F2A12"/>
    <w:rsid w:val="005F2E4C"/>
    <w:rsid w:val="005F2EA8"/>
    <w:rsid w:val="005F322F"/>
    <w:rsid w:val="005F3322"/>
    <w:rsid w:val="005F3751"/>
    <w:rsid w:val="005F3EC3"/>
    <w:rsid w:val="005F4136"/>
    <w:rsid w:val="005F446D"/>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D54"/>
    <w:rsid w:val="00625FC9"/>
    <w:rsid w:val="00626A11"/>
    <w:rsid w:val="00626BE7"/>
    <w:rsid w:val="0062726B"/>
    <w:rsid w:val="00627ED6"/>
    <w:rsid w:val="006304D2"/>
    <w:rsid w:val="00630C76"/>
    <w:rsid w:val="006319CA"/>
    <w:rsid w:val="00633107"/>
    <w:rsid w:val="00633A3C"/>
    <w:rsid w:val="00634498"/>
    <w:rsid w:val="00634932"/>
    <w:rsid w:val="00634EC0"/>
    <w:rsid w:val="00635D83"/>
    <w:rsid w:val="0063627F"/>
    <w:rsid w:val="006362FE"/>
    <w:rsid w:val="006364D6"/>
    <w:rsid w:val="00636C26"/>
    <w:rsid w:val="006370A6"/>
    <w:rsid w:val="00637785"/>
    <w:rsid w:val="00637988"/>
    <w:rsid w:val="00637A76"/>
    <w:rsid w:val="00637EE5"/>
    <w:rsid w:val="00640F42"/>
    <w:rsid w:val="006411E4"/>
    <w:rsid w:val="0064140B"/>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874"/>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D7"/>
    <w:rsid w:val="006654F3"/>
    <w:rsid w:val="00665F5E"/>
    <w:rsid w:val="00666129"/>
    <w:rsid w:val="006665BA"/>
    <w:rsid w:val="006665FE"/>
    <w:rsid w:val="00666A4F"/>
    <w:rsid w:val="00667106"/>
    <w:rsid w:val="00667111"/>
    <w:rsid w:val="0066720F"/>
    <w:rsid w:val="00667328"/>
    <w:rsid w:val="00667662"/>
    <w:rsid w:val="006703AA"/>
    <w:rsid w:val="006703CD"/>
    <w:rsid w:val="006703D9"/>
    <w:rsid w:val="006704B8"/>
    <w:rsid w:val="006704F6"/>
    <w:rsid w:val="006708EA"/>
    <w:rsid w:val="00671091"/>
    <w:rsid w:val="00671AC7"/>
    <w:rsid w:val="00672154"/>
    <w:rsid w:val="00672B6A"/>
    <w:rsid w:val="00672D8D"/>
    <w:rsid w:val="0067426D"/>
    <w:rsid w:val="006745EC"/>
    <w:rsid w:val="00674713"/>
    <w:rsid w:val="0067545E"/>
    <w:rsid w:val="006758D1"/>
    <w:rsid w:val="0067650C"/>
    <w:rsid w:val="00676E43"/>
    <w:rsid w:val="00677435"/>
    <w:rsid w:val="00677C33"/>
    <w:rsid w:val="00680102"/>
    <w:rsid w:val="006803B4"/>
    <w:rsid w:val="00680936"/>
    <w:rsid w:val="00680D8C"/>
    <w:rsid w:val="00681236"/>
    <w:rsid w:val="0068165C"/>
    <w:rsid w:val="006818B4"/>
    <w:rsid w:val="00681C66"/>
    <w:rsid w:val="006820E0"/>
    <w:rsid w:val="00682221"/>
    <w:rsid w:val="006826B4"/>
    <w:rsid w:val="00682725"/>
    <w:rsid w:val="006828DF"/>
    <w:rsid w:val="00682AED"/>
    <w:rsid w:val="00682D87"/>
    <w:rsid w:val="00683158"/>
    <w:rsid w:val="00683502"/>
    <w:rsid w:val="006836B2"/>
    <w:rsid w:val="00683A1C"/>
    <w:rsid w:val="00683A1E"/>
    <w:rsid w:val="0068413E"/>
    <w:rsid w:val="00684387"/>
    <w:rsid w:val="006845A2"/>
    <w:rsid w:val="006853A4"/>
    <w:rsid w:val="0068558F"/>
    <w:rsid w:val="006856C0"/>
    <w:rsid w:val="006862B9"/>
    <w:rsid w:val="006864E1"/>
    <w:rsid w:val="00686546"/>
    <w:rsid w:val="006865F1"/>
    <w:rsid w:val="00686871"/>
    <w:rsid w:val="00686948"/>
    <w:rsid w:val="00686F64"/>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B64"/>
    <w:rsid w:val="006B2BD2"/>
    <w:rsid w:val="006B3063"/>
    <w:rsid w:val="006B3086"/>
    <w:rsid w:val="006B3568"/>
    <w:rsid w:val="006B3D99"/>
    <w:rsid w:val="006B4547"/>
    <w:rsid w:val="006B5752"/>
    <w:rsid w:val="006B5BF9"/>
    <w:rsid w:val="006B63D8"/>
    <w:rsid w:val="006B6BD0"/>
    <w:rsid w:val="006B6F32"/>
    <w:rsid w:val="006B7130"/>
    <w:rsid w:val="006B755F"/>
    <w:rsid w:val="006B7D4A"/>
    <w:rsid w:val="006B7E8A"/>
    <w:rsid w:val="006B7EF5"/>
    <w:rsid w:val="006C0D76"/>
    <w:rsid w:val="006C1401"/>
    <w:rsid w:val="006C201C"/>
    <w:rsid w:val="006C211C"/>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CCC"/>
    <w:rsid w:val="006D3C1D"/>
    <w:rsid w:val="006D3C4F"/>
    <w:rsid w:val="006D44D0"/>
    <w:rsid w:val="006D471A"/>
    <w:rsid w:val="006D4C56"/>
    <w:rsid w:val="006D4F07"/>
    <w:rsid w:val="006D5625"/>
    <w:rsid w:val="006D57CB"/>
    <w:rsid w:val="006D5A82"/>
    <w:rsid w:val="006D5D92"/>
    <w:rsid w:val="006D60EE"/>
    <w:rsid w:val="006D6CDD"/>
    <w:rsid w:val="006D719D"/>
    <w:rsid w:val="006D7444"/>
    <w:rsid w:val="006D7AEB"/>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4F51"/>
    <w:rsid w:val="006F568F"/>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753"/>
    <w:rsid w:val="007139C3"/>
    <w:rsid w:val="00713ADE"/>
    <w:rsid w:val="00713CE8"/>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7B8"/>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720A"/>
    <w:rsid w:val="007573A5"/>
    <w:rsid w:val="007577CB"/>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B49"/>
    <w:rsid w:val="00764CBE"/>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1B0"/>
    <w:rsid w:val="007A452F"/>
    <w:rsid w:val="007A4C77"/>
    <w:rsid w:val="007A4E17"/>
    <w:rsid w:val="007A520F"/>
    <w:rsid w:val="007A56E3"/>
    <w:rsid w:val="007A5704"/>
    <w:rsid w:val="007A5AF4"/>
    <w:rsid w:val="007A641B"/>
    <w:rsid w:val="007A660D"/>
    <w:rsid w:val="007A68DC"/>
    <w:rsid w:val="007A6D0D"/>
    <w:rsid w:val="007A79D8"/>
    <w:rsid w:val="007A7F6D"/>
    <w:rsid w:val="007B01C5"/>
    <w:rsid w:val="007B058B"/>
    <w:rsid w:val="007B0FBD"/>
    <w:rsid w:val="007B172E"/>
    <w:rsid w:val="007B1BAF"/>
    <w:rsid w:val="007B1C65"/>
    <w:rsid w:val="007B1E34"/>
    <w:rsid w:val="007B1EE1"/>
    <w:rsid w:val="007B2245"/>
    <w:rsid w:val="007B2331"/>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5CA"/>
    <w:rsid w:val="007B67FC"/>
    <w:rsid w:val="007B6896"/>
    <w:rsid w:val="007B698D"/>
    <w:rsid w:val="007B6D9F"/>
    <w:rsid w:val="007B757D"/>
    <w:rsid w:val="007B75F6"/>
    <w:rsid w:val="007B7764"/>
    <w:rsid w:val="007B7942"/>
    <w:rsid w:val="007B79F5"/>
    <w:rsid w:val="007B7BE9"/>
    <w:rsid w:val="007C0A01"/>
    <w:rsid w:val="007C0E04"/>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FB"/>
    <w:rsid w:val="007D13E7"/>
    <w:rsid w:val="007D1991"/>
    <w:rsid w:val="007D1E37"/>
    <w:rsid w:val="007D2037"/>
    <w:rsid w:val="007D227D"/>
    <w:rsid w:val="007D232F"/>
    <w:rsid w:val="007D2385"/>
    <w:rsid w:val="007D2E2D"/>
    <w:rsid w:val="007D3CA2"/>
    <w:rsid w:val="007D3D9D"/>
    <w:rsid w:val="007D3F52"/>
    <w:rsid w:val="007D45F8"/>
    <w:rsid w:val="007D48B3"/>
    <w:rsid w:val="007D4DCF"/>
    <w:rsid w:val="007D52CA"/>
    <w:rsid w:val="007D563E"/>
    <w:rsid w:val="007D577F"/>
    <w:rsid w:val="007D5B51"/>
    <w:rsid w:val="007D5BA5"/>
    <w:rsid w:val="007D5F71"/>
    <w:rsid w:val="007D5FC1"/>
    <w:rsid w:val="007D6485"/>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329D"/>
    <w:rsid w:val="007E3474"/>
    <w:rsid w:val="007E35DC"/>
    <w:rsid w:val="007E39E7"/>
    <w:rsid w:val="007E420B"/>
    <w:rsid w:val="007E47D2"/>
    <w:rsid w:val="007E4932"/>
    <w:rsid w:val="007E49D4"/>
    <w:rsid w:val="007E502C"/>
    <w:rsid w:val="007E598A"/>
    <w:rsid w:val="007E5A74"/>
    <w:rsid w:val="007E5BD7"/>
    <w:rsid w:val="007E6023"/>
    <w:rsid w:val="007E659E"/>
    <w:rsid w:val="007E69C0"/>
    <w:rsid w:val="007E75F0"/>
    <w:rsid w:val="007E7968"/>
    <w:rsid w:val="007E7E7A"/>
    <w:rsid w:val="007F013A"/>
    <w:rsid w:val="007F067A"/>
    <w:rsid w:val="007F0691"/>
    <w:rsid w:val="007F088F"/>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D36"/>
    <w:rsid w:val="00806336"/>
    <w:rsid w:val="00806579"/>
    <w:rsid w:val="008066F8"/>
    <w:rsid w:val="00806A84"/>
    <w:rsid w:val="00806F66"/>
    <w:rsid w:val="008073D2"/>
    <w:rsid w:val="0080750E"/>
    <w:rsid w:val="00807C6C"/>
    <w:rsid w:val="00807F4C"/>
    <w:rsid w:val="0081138B"/>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79"/>
    <w:rsid w:val="00894121"/>
    <w:rsid w:val="00894A90"/>
    <w:rsid w:val="00894CC7"/>
    <w:rsid w:val="00894EAA"/>
    <w:rsid w:val="00894FC1"/>
    <w:rsid w:val="00895433"/>
    <w:rsid w:val="00895C1C"/>
    <w:rsid w:val="00896ADB"/>
    <w:rsid w:val="008977CD"/>
    <w:rsid w:val="00897A3D"/>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B01"/>
    <w:rsid w:val="008A6C5A"/>
    <w:rsid w:val="008A6CAB"/>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9C4"/>
    <w:rsid w:val="008B7220"/>
    <w:rsid w:val="008B75D5"/>
    <w:rsid w:val="008B78D8"/>
    <w:rsid w:val="008B79AB"/>
    <w:rsid w:val="008B7BAA"/>
    <w:rsid w:val="008C00CA"/>
    <w:rsid w:val="008C0246"/>
    <w:rsid w:val="008C031A"/>
    <w:rsid w:val="008C08A5"/>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EB6"/>
    <w:rsid w:val="008C725D"/>
    <w:rsid w:val="008C743F"/>
    <w:rsid w:val="008C74C6"/>
    <w:rsid w:val="008C769B"/>
    <w:rsid w:val="008C76BF"/>
    <w:rsid w:val="008C7741"/>
    <w:rsid w:val="008C7868"/>
    <w:rsid w:val="008C7883"/>
    <w:rsid w:val="008C78F9"/>
    <w:rsid w:val="008C7B5C"/>
    <w:rsid w:val="008D044B"/>
    <w:rsid w:val="008D0D1E"/>
    <w:rsid w:val="008D110C"/>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776F"/>
    <w:rsid w:val="008D7A19"/>
    <w:rsid w:val="008D7E13"/>
    <w:rsid w:val="008E0D5B"/>
    <w:rsid w:val="008E1068"/>
    <w:rsid w:val="008E18A0"/>
    <w:rsid w:val="008E1CC0"/>
    <w:rsid w:val="008E1E54"/>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D7E"/>
    <w:rsid w:val="00910D90"/>
    <w:rsid w:val="0091140F"/>
    <w:rsid w:val="009115F6"/>
    <w:rsid w:val="0091270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BDA"/>
    <w:rsid w:val="00922DF4"/>
    <w:rsid w:val="00922FE4"/>
    <w:rsid w:val="009244A4"/>
    <w:rsid w:val="009246F6"/>
    <w:rsid w:val="00924B93"/>
    <w:rsid w:val="00924BF3"/>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BC7"/>
    <w:rsid w:val="00944BF0"/>
    <w:rsid w:val="00945072"/>
    <w:rsid w:val="009450E6"/>
    <w:rsid w:val="009458E3"/>
    <w:rsid w:val="00946136"/>
    <w:rsid w:val="00946208"/>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10C3"/>
    <w:rsid w:val="00971262"/>
    <w:rsid w:val="009713DD"/>
    <w:rsid w:val="00971A57"/>
    <w:rsid w:val="00971C53"/>
    <w:rsid w:val="009725F2"/>
    <w:rsid w:val="00972DC6"/>
    <w:rsid w:val="00972F2E"/>
    <w:rsid w:val="0097311D"/>
    <w:rsid w:val="00973179"/>
    <w:rsid w:val="00974105"/>
    <w:rsid w:val="00974795"/>
    <w:rsid w:val="00974B4D"/>
    <w:rsid w:val="00975C75"/>
    <w:rsid w:val="009761BB"/>
    <w:rsid w:val="00976390"/>
    <w:rsid w:val="00976582"/>
    <w:rsid w:val="0097766C"/>
    <w:rsid w:val="00977BCA"/>
    <w:rsid w:val="0098054A"/>
    <w:rsid w:val="009806FB"/>
    <w:rsid w:val="009809DE"/>
    <w:rsid w:val="00981000"/>
    <w:rsid w:val="0098177A"/>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1CC7"/>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10A4"/>
    <w:rsid w:val="009A1411"/>
    <w:rsid w:val="009A1CD8"/>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30B1"/>
    <w:rsid w:val="00A2323D"/>
    <w:rsid w:val="00A23A2F"/>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876"/>
    <w:rsid w:val="00A33D3A"/>
    <w:rsid w:val="00A34114"/>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410"/>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E52"/>
    <w:rsid w:val="00A66B3D"/>
    <w:rsid w:val="00A66E04"/>
    <w:rsid w:val="00A671B3"/>
    <w:rsid w:val="00A673BA"/>
    <w:rsid w:val="00A6775B"/>
    <w:rsid w:val="00A67E84"/>
    <w:rsid w:val="00A67F13"/>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201"/>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356"/>
    <w:rsid w:val="00AB4419"/>
    <w:rsid w:val="00AB4AD8"/>
    <w:rsid w:val="00AB4E22"/>
    <w:rsid w:val="00AB5597"/>
    <w:rsid w:val="00AB5BAA"/>
    <w:rsid w:val="00AB66AC"/>
    <w:rsid w:val="00AB695B"/>
    <w:rsid w:val="00AB6DFC"/>
    <w:rsid w:val="00AB6EBB"/>
    <w:rsid w:val="00AB6FF1"/>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4CF"/>
    <w:rsid w:val="00AC7899"/>
    <w:rsid w:val="00AC7F42"/>
    <w:rsid w:val="00AC7F95"/>
    <w:rsid w:val="00AD0B96"/>
    <w:rsid w:val="00AD1A5F"/>
    <w:rsid w:val="00AD1A60"/>
    <w:rsid w:val="00AD2762"/>
    <w:rsid w:val="00AD27FC"/>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24E"/>
    <w:rsid w:val="00AD752F"/>
    <w:rsid w:val="00AD79BB"/>
    <w:rsid w:val="00AD7D7F"/>
    <w:rsid w:val="00AE00CA"/>
    <w:rsid w:val="00AE0C89"/>
    <w:rsid w:val="00AE10C4"/>
    <w:rsid w:val="00AE1197"/>
    <w:rsid w:val="00AE1524"/>
    <w:rsid w:val="00AE1AE1"/>
    <w:rsid w:val="00AE254F"/>
    <w:rsid w:val="00AE260E"/>
    <w:rsid w:val="00AE2C77"/>
    <w:rsid w:val="00AE2D01"/>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D08"/>
    <w:rsid w:val="00B00ED5"/>
    <w:rsid w:val="00B017AB"/>
    <w:rsid w:val="00B017EA"/>
    <w:rsid w:val="00B01B8C"/>
    <w:rsid w:val="00B01F2E"/>
    <w:rsid w:val="00B022CF"/>
    <w:rsid w:val="00B02808"/>
    <w:rsid w:val="00B028B0"/>
    <w:rsid w:val="00B028BC"/>
    <w:rsid w:val="00B02BF0"/>
    <w:rsid w:val="00B02C08"/>
    <w:rsid w:val="00B02EEE"/>
    <w:rsid w:val="00B034F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12E"/>
    <w:rsid w:val="00B10346"/>
    <w:rsid w:val="00B10762"/>
    <w:rsid w:val="00B10AE6"/>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6DFB"/>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621F"/>
    <w:rsid w:val="00B3690C"/>
    <w:rsid w:val="00B370C8"/>
    <w:rsid w:val="00B371AD"/>
    <w:rsid w:val="00B37B57"/>
    <w:rsid w:val="00B40330"/>
    <w:rsid w:val="00B406E5"/>
    <w:rsid w:val="00B4180D"/>
    <w:rsid w:val="00B41B90"/>
    <w:rsid w:val="00B42314"/>
    <w:rsid w:val="00B4283B"/>
    <w:rsid w:val="00B42868"/>
    <w:rsid w:val="00B4299A"/>
    <w:rsid w:val="00B42A94"/>
    <w:rsid w:val="00B42C20"/>
    <w:rsid w:val="00B42D9A"/>
    <w:rsid w:val="00B42F20"/>
    <w:rsid w:val="00B434EA"/>
    <w:rsid w:val="00B43697"/>
    <w:rsid w:val="00B43CED"/>
    <w:rsid w:val="00B444DD"/>
    <w:rsid w:val="00B44D47"/>
    <w:rsid w:val="00B44D96"/>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1"/>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D2A"/>
    <w:rsid w:val="00BA0FA7"/>
    <w:rsid w:val="00BA1218"/>
    <w:rsid w:val="00BA17BF"/>
    <w:rsid w:val="00BA1B48"/>
    <w:rsid w:val="00BA1D32"/>
    <w:rsid w:val="00BA256B"/>
    <w:rsid w:val="00BA338F"/>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573"/>
    <w:rsid w:val="00BB2B1F"/>
    <w:rsid w:val="00BB2F0B"/>
    <w:rsid w:val="00BB36C5"/>
    <w:rsid w:val="00BB37A8"/>
    <w:rsid w:val="00BB4AB6"/>
    <w:rsid w:val="00BB4C56"/>
    <w:rsid w:val="00BB4F9A"/>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5A4B"/>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90E"/>
    <w:rsid w:val="00BE29DD"/>
    <w:rsid w:val="00BE2AB1"/>
    <w:rsid w:val="00BE35C9"/>
    <w:rsid w:val="00BE3A79"/>
    <w:rsid w:val="00BE3B80"/>
    <w:rsid w:val="00BE3F85"/>
    <w:rsid w:val="00BE418C"/>
    <w:rsid w:val="00BE4C3A"/>
    <w:rsid w:val="00BE56CF"/>
    <w:rsid w:val="00BE576A"/>
    <w:rsid w:val="00BE5B3E"/>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E6A"/>
    <w:rsid w:val="00C25E7D"/>
    <w:rsid w:val="00C25F06"/>
    <w:rsid w:val="00C265D4"/>
    <w:rsid w:val="00C26A80"/>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C58"/>
    <w:rsid w:val="00C410D2"/>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B66"/>
    <w:rsid w:val="00C45DD1"/>
    <w:rsid w:val="00C45F6D"/>
    <w:rsid w:val="00C45FDE"/>
    <w:rsid w:val="00C4601D"/>
    <w:rsid w:val="00C4698B"/>
    <w:rsid w:val="00C46D3E"/>
    <w:rsid w:val="00C46FE3"/>
    <w:rsid w:val="00C473E7"/>
    <w:rsid w:val="00C47435"/>
    <w:rsid w:val="00C47478"/>
    <w:rsid w:val="00C47BD2"/>
    <w:rsid w:val="00C47EBB"/>
    <w:rsid w:val="00C50B75"/>
    <w:rsid w:val="00C50DFC"/>
    <w:rsid w:val="00C5135F"/>
    <w:rsid w:val="00C51880"/>
    <w:rsid w:val="00C51FA8"/>
    <w:rsid w:val="00C51FF0"/>
    <w:rsid w:val="00C5259A"/>
    <w:rsid w:val="00C52782"/>
    <w:rsid w:val="00C52D4E"/>
    <w:rsid w:val="00C5300F"/>
    <w:rsid w:val="00C53027"/>
    <w:rsid w:val="00C5304D"/>
    <w:rsid w:val="00C53721"/>
    <w:rsid w:val="00C53EE2"/>
    <w:rsid w:val="00C54182"/>
    <w:rsid w:val="00C54473"/>
    <w:rsid w:val="00C55002"/>
    <w:rsid w:val="00C5521D"/>
    <w:rsid w:val="00C55D94"/>
    <w:rsid w:val="00C56850"/>
    <w:rsid w:val="00C572AC"/>
    <w:rsid w:val="00C57567"/>
    <w:rsid w:val="00C57582"/>
    <w:rsid w:val="00C579CF"/>
    <w:rsid w:val="00C6017A"/>
    <w:rsid w:val="00C602E6"/>
    <w:rsid w:val="00C6087E"/>
    <w:rsid w:val="00C608EF"/>
    <w:rsid w:val="00C60FC1"/>
    <w:rsid w:val="00C60FF0"/>
    <w:rsid w:val="00C612BB"/>
    <w:rsid w:val="00C612BF"/>
    <w:rsid w:val="00C619EE"/>
    <w:rsid w:val="00C6207E"/>
    <w:rsid w:val="00C625C7"/>
    <w:rsid w:val="00C628D3"/>
    <w:rsid w:val="00C630A6"/>
    <w:rsid w:val="00C6339B"/>
    <w:rsid w:val="00C63770"/>
    <w:rsid w:val="00C64682"/>
    <w:rsid w:val="00C64784"/>
    <w:rsid w:val="00C64AD8"/>
    <w:rsid w:val="00C64FAE"/>
    <w:rsid w:val="00C65320"/>
    <w:rsid w:val="00C6588F"/>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0F94"/>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9CC"/>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EF9"/>
    <w:rsid w:val="00CB5A89"/>
    <w:rsid w:val="00CB5B31"/>
    <w:rsid w:val="00CB5BE7"/>
    <w:rsid w:val="00CB712E"/>
    <w:rsid w:val="00CB7234"/>
    <w:rsid w:val="00CB76B8"/>
    <w:rsid w:val="00CB7703"/>
    <w:rsid w:val="00CB783B"/>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F1"/>
    <w:rsid w:val="00CD2A3E"/>
    <w:rsid w:val="00CD31C1"/>
    <w:rsid w:val="00CD35E8"/>
    <w:rsid w:val="00CD35F1"/>
    <w:rsid w:val="00CD3EA4"/>
    <w:rsid w:val="00CD4704"/>
    <w:rsid w:val="00CD4AE1"/>
    <w:rsid w:val="00CD4B3B"/>
    <w:rsid w:val="00CD4C9C"/>
    <w:rsid w:val="00CD5401"/>
    <w:rsid w:val="00CD5716"/>
    <w:rsid w:val="00CD5927"/>
    <w:rsid w:val="00CD64BF"/>
    <w:rsid w:val="00CD6524"/>
    <w:rsid w:val="00CD68DD"/>
    <w:rsid w:val="00CD6C24"/>
    <w:rsid w:val="00CD6C94"/>
    <w:rsid w:val="00CD7649"/>
    <w:rsid w:val="00CD7760"/>
    <w:rsid w:val="00CD794A"/>
    <w:rsid w:val="00CD7B0E"/>
    <w:rsid w:val="00CD7B8B"/>
    <w:rsid w:val="00CD7D8E"/>
    <w:rsid w:val="00CE0513"/>
    <w:rsid w:val="00CE073C"/>
    <w:rsid w:val="00CE08C7"/>
    <w:rsid w:val="00CE0AAE"/>
    <w:rsid w:val="00CE1374"/>
    <w:rsid w:val="00CE1961"/>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B9"/>
    <w:rsid w:val="00D22D14"/>
    <w:rsid w:val="00D23437"/>
    <w:rsid w:val="00D234D2"/>
    <w:rsid w:val="00D2373E"/>
    <w:rsid w:val="00D2381C"/>
    <w:rsid w:val="00D23842"/>
    <w:rsid w:val="00D239F8"/>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95C"/>
    <w:rsid w:val="00D33980"/>
    <w:rsid w:val="00D34412"/>
    <w:rsid w:val="00D34D6B"/>
    <w:rsid w:val="00D354AD"/>
    <w:rsid w:val="00D35628"/>
    <w:rsid w:val="00D35BAA"/>
    <w:rsid w:val="00D36072"/>
    <w:rsid w:val="00D36122"/>
    <w:rsid w:val="00D36D3C"/>
    <w:rsid w:val="00D36ED8"/>
    <w:rsid w:val="00D3756A"/>
    <w:rsid w:val="00D375DA"/>
    <w:rsid w:val="00D377AE"/>
    <w:rsid w:val="00D400D8"/>
    <w:rsid w:val="00D40341"/>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51F4"/>
    <w:rsid w:val="00DA59D2"/>
    <w:rsid w:val="00DA60CB"/>
    <w:rsid w:val="00DA669D"/>
    <w:rsid w:val="00DA691E"/>
    <w:rsid w:val="00DA6DAA"/>
    <w:rsid w:val="00DA776F"/>
    <w:rsid w:val="00DA7B84"/>
    <w:rsid w:val="00DB1749"/>
    <w:rsid w:val="00DB1FEA"/>
    <w:rsid w:val="00DB2948"/>
    <w:rsid w:val="00DB2B7E"/>
    <w:rsid w:val="00DB328A"/>
    <w:rsid w:val="00DB33D2"/>
    <w:rsid w:val="00DB36D2"/>
    <w:rsid w:val="00DB42F9"/>
    <w:rsid w:val="00DB452C"/>
    <w:rsid w:val="00DB476D"/>
    <w:rsid w:val="00DB47C5"/>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BF3"/>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4051"/>
    <w:rsid w:val="00DE4502"/>
    <w:rsid w:val="00DE4638"/>
    <w:rsid w:val="00DE4651"/>
    <w:rsid w:val="00DE4983"/>
    <w:rsid w:val="00DE6569"/>
    <w:rsid w:val="00DE66D7"/>
    <w:rsid w:val="00DE6A04"/>
    <w:rsid w:val="00DE6AAE"/>
    <w:rsid w:val="00DE704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F53"/>
    <w:rsid w:val="00E2040B"/>
    <w:rsid w:val="00E204CD"/>
    <w:rsid w:val="00E211FF"/>
    <w:rsid w:val="00E21463"/>
    <w:rsid w:val="00E21479"/>
    <w:rsid w:val="00E21BA1"/>
    <w:rsid w:val="00E21DB7"/>
    <w:rsid w:val="00E2256E"/>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D3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501FB"/>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40EA"/>
    <w:rsid w:val="00E55339"/>
    <w:rsid w:val="00E55538"/>
    <w:rsid w:val="00E55ADF"/>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29A3"/>
    <w:rsid w:val="00E72A7F"/>
    <w:rsid w:val="00E72E6E"/>
    <w:rsid w:val="00E72EC2"/>
    <w:rsid w:val="00E73199"/>
    <w:rsid w:val="00E73243"/>
    <w:rsid w:val="00E7372A"/>
    <w:rsid w:val="00E7391E"/>
    <w:rsid w:val="00E73F08"/>
    <w:rsid w:val="00E7483A"/>
    <w:rsid w:val="00E74926"/>
    <w:rsid w:val="00E751CF"/>
    <w:rsid w:val="00E752A1"/>
    <w:rsid w:val="00E753AA"/>
    <w:rsid w:val="00E75A9D"/>
    <w:rsid w:val="00E75B62"/>
    <w:rsid w:val="00E75E7C"/>
    <w:rsid w:val="00E76210"/>
    <w:rsid w:val="00E76513"/>
    <w:rsid w:val="00E76A32"/>
    <w:rsid w:val="00E76C5E"/>
    <w:rsid w:val="00E803C3"/>
    <w:rsid w:val="00E80727"/>
    <w:rsid w:val="00E80872"/>
    <w:rsid w:val="00E8098A"/>
    <w:rsid w:val="00E80EFB"/>
    <w:rsid w:val="00E81358"/>
    <w:rsid w:val="00E81B34"/>
    <w:rsid w:val="00E81B8E"/>
    <w:rsid w:val="00E81EBF"/>
    <w:rsid w:val="00E81ED7"/>
    <w:rsid w:val="00E8219D"/>
    <w:rsid w:val="00E82941"/>
    <w:rsid w:val="00E83371"/>
    <w:rsid w:val="00E83599"/>
    <w:rsid w:val="00E8377F"/>
    <w:rsid w:val="00E83C5F"/>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7CF"/>
    <w:rsid w:val="00E9427A"/>
    <w:rsid w:val="00E9439E"/>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693A"/>
    <w:rsid w:val="00EA722D"/>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319D"/>
    <w:rsid w:val="00F03323"/>
    <w:rsid w:val="00F0385E"/>
    <w:rsid w:val="00F03D27"/>
    <w:rsid w:val="00F04521"/>
    <w:rsid w:val="00F04815"/>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37CFD"/>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15C"/>
    <w:rsid w:val="00F47D6C"/>
    <w:rsid w:val="00F47F11"/>
    <w:rsid w:val="00F50FE9"/>
    <w:rsid w:val="00F51106"/>
    <w:rsid w:val="00F517B5"/>
    <w:rsid w:val="00F51A00"/>
    <w:rsid w:val="00F51B88"/>
    <w:rsid w:val="00F52A4C"/>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1026"/>
    <w:rsid w:val="00F613D5"/>
    <w:rsid w:val="00F61567"/>
    <w:rsid w:val="00F61883"/>
    <w:rsid w:val="00F61C20"/>
    <w:rsid w:val="00F62057"/>
    <w:rsid w:val="00F62582"/>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7E8"/>
    <w:rsid w:val="00F8285E"/>
    <w:rsid w:val="00F82FA7"/>
    <w:rsid w:val="00F8336F"/>
    <w:rsid w:val="00F8374F"/>
    <w:rsid w:val="00F83D49"/>
    <w:rsid w:val="00F83ED9"/>
    <w:rsid w:val="00F83F2C"/>
    <w:rsid w:val="00F84796"/>
    <w:rsid w:val="00F84AFC"/>
    <w:rsid w:val="00F85096"/>
    <w:rsid w:val="00F856ED"/>
    <w:rsid w:val="00F8574D"/>
    <w:rsid w:val="00F85DEC"/>
    <w:rsid w:val="00F85FD9"/>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30E2"/>
    <w:rsid w:val="00FC3A30"/>
    <w:rsid w:val="00FC3A4E"/>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E1C"/>
    <w:rsid w:val="00FD62EB"/>
    <w:rsid w:val="00FD6327"/>
    <w:rsid w:val="00FD63DF"/>
    <w:rsid w:val="00FD7339"/>
    <w:rsid w:val="00FD7945"/>
    <w:rsid w:val="00FD7B9D"/>
    <w:rsid w:val="00FE01AC"/>
    <w:rsid w:val="00FE02C1"/>
    <w:rsid w:val="00FE0B54"/>
    <w:rsid w:val="00FE0B5C"/>
    <w:rsid w:val="00FE1880"/>
    <w:rsid w:val="00FE1C18"/>
    <w:rsid w:val="00FE1EB0"/>
    <w:rsid w:val="00FE2075"/>
    <w:rsid w:val="00FE23B0"/>
    <w:rsid w:val="00FE3E44"/>
    <w:rsid w:val="00FE3F8E"/>
    <w:rsid w:val="00FE47ED"/>
    <w:rsid w:val="00FE4AAD"/>
    <w:rsid w:val="00FE522B"/>
    <w:rsid w:val="00FE5330"/>
    <w:rsid w:val="00FE56BF"/>
    <w:rsid w:val="00FE5AAF"/>
    <w:rsid w:val="00FE61DC"/>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0B5"/>
    <w:rsid w:val="00FF41D8"/>
    <w:rsid w:val="00FF47A3"/>
    <w:rsid w:val="00FF4D23"/>
    <w:rsid w:val="00FF602B"/>
    <w:rsid w:val="00FF6353"/>
    <w:rsid w:val="00FF657E"/>
    <w:rsid w:val="00FF65F1"/>
    <w:rsid w:val="00FF704A"/>
    <w:rsid w:val="00FF7512"/>
    <w:rsid w:val="00FF7877"/>
    <w:rsid w:val="00FF7FC8"/>
    <w:rsid w:val="010D7DD7"/>
    <w:rsid w:val="01396E1E"/>
    <w:rsid w:val="01457570"/>
    <w:rsid w:val="01C20BC1"/>
    <w:rsid w:val="024F656F"/>
    <w:rsid w:val="03125B78"/>
    <w:rsid w:val="05D9038E"/>
    <w:rsid w:val="06507E65"/>
    <w:rsid w:val="06B55883"/>
    <w:rsid w:val="07574D9C"/>
    <w:rsid w:val="07DE090C"/>
    <w:rsid w:val="08290F2E"/>
    <w:rsid w:val="08570A06"/>
    <w:rsid w:val="085F1E58"/>
    <w:rsid w:val="08E7715F"/>
    <w:rsid w:val="08EE6740"/>
    <w:rsid w:val="0906165B"/>
    <w:rsid w:val="09300E18"/>
    <w:rsid w:val="09647D8F"/>
    <w:rsid w:val="0A026946"/>
    <w:rsid w:val="0A1F007C"/>
    <w:rsid w:val="0A2A7FE0"/>
    <w:rsid w:val="0A410AF1"/>
    <w:rsid w:val="0A777171"/>
    <w:rsid w:val="0A856C30"/>
    <w:rsid w:val="0A936BFE"/>
    <w:rsid w:val="0AF0634E"/>
    <w:rsid w:val="0B381EF4"/>
    <w:rsid w:val="0B6A10FD"/>
    <w:rsid w:val="0B6D4760"/>
    <w:rsid w:val="0B8339ED"/>
    <w:rsid w:val="0C290BC7"/>
    <w:rsid w:val="0CA737D5"/>
    <w:rsid w:val="0CBB6000"/>
    <w:rsid w:val="0CCE34EE"/>
    <w:rsid w:val="0CE410C9"/>
    <w:rsid w:val="0D1501C9"/>
    <w:rsid w:val="0D301C45"/>
    <w:rsid w:val="0D4B14D3"/>
    <w:rsid w:val="0E165CA5"/>
    <w:rsid w:val="0E21353B"/>
    <w:rsid w:val="0E220FBD"/>
    <w:rsid w:val="0E4842B3"/>
    <w:rsid w:val="0EA80944"/>
    <w:rsid w:val="0EC20200"/>
    <w:rsid w:val="0F113188"/>
    <w:rsid w:val="0F234C69"/>
    <w:rsid w:val="0FC1695C"/>
    <w:rsid w:val="0FD06B9F"/>
    <w:rsid w:val="10046336"/>
    <w:rsid w:val="10190EEA"/>
    <w:rsid w:val="10337516"/>
    <w:rsid w:val="11144CCC"/>
    <w:rsid w:val="11421D1E"/>
    <w:rsid w:val="115832F0"/>
    <w:rsid w:val="1238019B"/>
    <w:rsid w:val="12803108"/>
    <w:rsid w:val="13613ABC"/>
    <w:rsid w:val="13655850"/>
    <w:rsid w:val="13857CA0"/>
    <w:rsid w:val="139A265D"/>
    <w:rsid w:val="13C52DC7"/>
    <w:rsid w:val="14185704"/>
    <w:rsid w:val="1473228E"/>
    <w:rsid w:val="14C33176"/>
    <w:rsid w:val="14CC7C00"/>
    <w:rsid w:val="14D27A24"/>
    <w:rsid w:val="161D2A4D"/>
    <w:rsid w:val="16426A1B"/>
    <w:rsid w:val="164B6F7F"/>
    <w:rsid w:val="166A5AEB"/>
    <w:rsid w:val="16A973E8"/>
    <w:rsid w:val="1717516A"/>
    <w:rsid w:val="172911EC"/>
    <w:rsid w:val="173F6692"/>
    <w:rsid w:val="17555D74"/>
    <w:rsid w:val="17E82DB7"/>
    <w:rsid w:val="189F35B2"/>
    <w:rsid w:val="18C92972"/>
    <w:rsid w:val="1A9F789A"/>
    <w:rsid w:val="1AA87BD2"/>
    <w:rsid w:val="1BD85119"/>
    <w:rsid w:val="1C263325"/>
    <w:rsid w:val="1DEF7E85"/>
    <w:rsid w:val="1E2C09AB"/>
    <w:rsid w:val="1E935967"/>
    <w:rsid w:val="1FD40BF1"/>
    <w:rsid w:val="20261070"/>
    <w:rsid w:val="203C35EF"/>
    <w:rsid w:val="205F23C3"/>
    <w:rsid w:val="20D74DDE"/>
    <w:rsid w:val="20D84460"/>
    <w:rsid w:val="20F55B55"/>
    <w:rsid w:val="215D400B"/>
    <w:rsid w:val="218B501C"/>
    <w:rsid w:val="21CD2F3E"/>
    <w:rsid w:val="22F34C27"/>
    <w:rsid w:val="242179DA"/>
    <w:rsid w:val="246761DA"/>
    <w:rsid w:val="25B05051"/>
    <w:rsid w:val="26692359"/>
    <w:rsid w:val="268908E1"/>
    <w:rsid w:val="270277E7"/>
    <w:rsid w:val="27B16E5E"/>
    <w:rsid w:val="281335CC"/>
    <w:rsid w:val="28550131"/>
    <w:rsid w:val="288325A9"/>
    <w:rsid w:val="289E3C55"/>
    <w:rsid w:val="292672D4"/>
    <w:rsid w:val="2AF8398E"/>
    <w:rsid w:val="2AFB4FC0"/>
    <w:rsid w:val="2B3050F9"/>
    <w:rsid w:val="2B696A33"/>
    <w:rsid w:val="2C051F5E"/>
    <w:rsid w:val="2CF84D34"/>
    <w:rsid w:val="2D6A3F24"/>
    <w:rsid w:val="2D716A26"/>
    <w:rsid w:val="2DE83A3A"/>
    <w:rsid w:val="2DFC4DDB"/>
    <w:rsid w:val="2E1F5933"/>
    <w:rsid w:val="2EC767E9"/>
    <w:rsid w:val="2F2B1BEC"/>
    <w:rsid w:val="2F6A37D2"/>
    <w:rsid w:val="2F6A3A4C"/>
    <w:rsid w:val="2FC76FBB"/>
    <w:rsid w:val="308A5DD7"/>
    <w:rsid w:val="319B1E4E"/>
    <w:rsid w:val="31D37F49"/>
    <w:rsid w:val="321D6FE5"/>
    <w:rsid w:val="32293CB0"/>
    <w:rsid w:val="324F174E"/>
    <w:rsid w:val="32AC6B69"/>
    <w:rsid w:val="33376F4A"/>
    <w:rsid w:val="34B424E6"/>
    <w:rsid w:val="34CF7D73"/>
    <w:rsid w:val="34E268A9"/>
    <w:rsid w:val="3529272A"/>
    <w:rsid w:val="35A563B0"/>
    <w:rsid w:val="35D02BA5"/>
    <w:rsid w:val="36002765"/>
    <w:rsid w:val="3667350A"/>
    <w:rsid w:val="3686688B"/>
    <w:rsid w:val="368C2F70"/>
    <w:rsid w:val="36EB330F"/>
    <w:rsid w:val="37B502A5"/>
    <w:rsid w:val="37BE0F45"/>
    <w:rsid w:val="380B09E4"/>
    <w:rsid w:val="38C22C79"/>
    <w:rsid w:val="39346C81"/>
    <w:rsid w:val="3A4E1641"/>
    <w:rsid w:val="3A5E2E76"/>
    <w:rsid w:val="3A881CA1"/>
    <w:rsid w:val="3A8D5671"/>
    <w:rsid w:val="3A8E044E"/>
    <w:rsid w:val="3A932EBB"/>
    <w:rsid w:val="3C94492D"/>
    <w:rsid w:val="3D0F2205"/>
    <w:rsid w:val="3D5C388A"/>
    <w:rsid w:val="3D842BF3"/>
    <w:rsid w:val="3E1C2E2C"/>
    <w:rsid w:val="3EA15EE7"/>
    <w:rsid w:val="3EA710F9"/>
    <w:rsid w:val="3F0F2990"/>
    <w:rsid w:val="3F227025"/>
    <w:rsid w:val="41173D7E"/>
    <w:rsid w:val="414904A5"/>
    <w:rsid w:val="442055BD"/>
    <w:rsid w:val="453666E3"/>
    <w:rsid w:val="45EF7078"/>
    <w:rsid w:val="46F55035"/>
    <w:rsid w:val="47501768"/>
    <w:rsid w:val="475950F1"/>
    <w:rsid w:val="47641DC7"/>
    <w:rsid w:val="47651B77"/>
    <w:rsid w:val="478974E3"/>
    <w:rsid w:val="47995DCD"/>
    <w:rsid w:val="47F72214"/>
    <w:rsid w:val="47FB61A8"/>
    <w:rsid w:val="487B4BF3"/>
    <w:rsid w:val="48967C7F"/>
    <w:rsid w:val="48A4054C"/>
    <w:rsid w:val="48B87BF5"/>
    <w:rsid w:val="493D129C"/>
    <w:rsid w:val="49E65525"/>
    <w:rsid w:val="4A673681"/>
    <w:rsid w:val="4A9D1E36"/>
    <w:rsid w:val="4AB3357B"/>
    <w:rsid w:val="4BCE29F7"/>
    <w:rsid w:val="4BD765E4"/>
    <w:rsid w:val="4D3A37DB"/>
    <w:rsid w:val="4DB415C8"/>
    <w:rsid w:val="4E74636C"/>
    <w:rsid w:val="4ED43CAB"/>
    <w:rsid w:val="4F337E07"/>
    <w:rsid w:val="4F7379C3"/>
    <w:rsid w:val="4FD80B7D"/>
    <w:rsid w:val="500F5A41"/>
    <w:rsid w:val="50642410"/>
    <w:rsid w:val="50B21982"/>
    <w:rsid w:val="511E278C"/>
    <w:rsid w:val="528523B0"/>
    <w:rsid w:val="52D453B1"/>
    <w:rsid w:val="535D0132"/>
    <w:rsid w:val="541C0E3A"/>
    <w:rsid w:val="54437D45"/>
    <w:rsid w:val="54A15393"/>
    <w:rsid w:val="55540A0D"/>
    <w:rsid w:val="555E7D76"/>
    <w:rsid w:val="56113491"/>
    <w:rsid w:val="56E821B5"/>
    <w:rsid w:val="57664335"/>
    <w:rsid w:val="582941A3"/>
    <w:rsid w:val="58626CF5"/>
    <w:rsid w:val="586316C4"/>
    <w:rsid w:val="58684954"/>
    <w:rsid w:val="58A0024F"/>
    <w:rsid w:val="58CF11FB"/>
    <w:rsid w:val="58EF2522"/>
    <w:rsid w:val="594159E5"/>
    <w:rsid w:val="5A153E74"/>
    <w:rsid w:val="5ABA3CA0"/>
    <w:rsid w:val="5AC20D8A"/>
    <w:rsid w:val="5AE8674D"/>
    <w:rsid w:val="5B370E4D"/>
    <w:rsid w:val="5BE96B00"/>
    <w:rsid w:val="5C0F231B"/>
    <w:rsid w:val="5C621EFA"/>
    <w:rsid w:val="5D481B17"/>
    <w:rsid w:val="5D6D2855"/>
    <w:rsid w:val="5DC74F93"/>
    <w:rsid w:val="5DEA73A2"/>
    <w:rsid w:val="5E0E772A"/>
    <w:rsid w:val="5E362F0B"/>
    <w:rsid w:val="5E74076A"/>
    <w:rsid w:val="5E9D190F"/>
    <w:rsid w:val="5F051C85"/>
    <w:rsid w:val="5FAE0E5F"/>
    <w:rsid w:val="60CC2038"/>
    <w:rsid w:val="60D21780"/>
    <w:rsid w:val="60ED3B56"/>
    <w:rsid w:val="610F0176"/>
    <w:rsid w:val="61720DAB"/>
    <w:rsid w:val="61C03E43"/>
    <w:rsid w:val="629D1EDE"/>
    <w:rsid w:val="62A911C3"/>
    <w:rsid w:val="62B22B7C"/>
    <w:rsid w:val="63251ED3"/>
    <w:rsid w:val="635665E4"/>
    <w:rsid w:val="63927420"/>
    <w:rsid w:val="646C194A"/>
    <w:rsid w:val="646D1D84"/>
    <w:rsid w:val="65D06126"/>
    <w:rsid w:val="661F65EF"/>
    <w:rsid w:val="66301079"/>
    <w:rsid w:val="66666A8A"/>
    <w:rsid w:val="66680A54"/>
    <w:rsid w:val="66794A10"/>
    <w:rsid w:val="668F4233"/>
    <w:rsid w:val="66CC0916"/>
    <w:rsid w:val="67B87541"/>
    <w:rsid w:val="68080E6A"/>
    <w:rsid w:val="680C4CB4"/>
    <w:rsid w:val="686B482C"/>
    <w:rsid w:val="68D76D7C"/>
    <w:rsid w:val="694E2184"/>
    <w:rsid w:val="69942B10"/>
    <w:rsid w:val="6A46671D"/>
    <w:rsid w:val="6A923CF1"/>
    <w:rsid w:val="6B064398"/>
    <w:rsid w:val="6B105217"/>
    <w:rsid w:val="6B387DCC"/>
    <w:rsid w:val="6BA11F09"/>
    <w:rsid w:val="6BEF307E"/>
    <w:rsid w:val="6C101852"/>
    <w:rsid w:val="6C1E3A57"/>
    <w:rsid w:val="6C946514"/>
    <w:rsid w:val="6CBC6118"/>
    <w:rsid w:val="6CCD080F"/>
    <w:rsid w:val="6CE557BD"/>
    <w:rsid w:val="6D837F22"/>
    <w:rsid w:val="6DEC3D19"/>
    <w:rsid w:val="6E3F653F"/>
    <w:rsid w:val="6E4448A1"/>
    <w:rsid w:val="6EB02F99"/>
    <w:rsid w:val="6EFA2466"/>
    <w:rsid w:val="6F7748A7"/>
    <w:rsid w:val="6F8739CA"/>
    <w:rsid w:val="700A0487"/>
    <w:rsid w:val="703440A8"/>
    <w:rsid w:val="706109EE"/>
    <w:rsid w:val="706202C3"/>
    <w:rsid w:val="70B56644"/>
    <w:rsid w:val="70CC1BE0"/>
    <w:rsid w:val="713E4EC0"/>
    <w:rsid w:val="71551BD5"/>
    <w:rsid w:val="71601728"/>
    <w:rsid w:val="717A163C"/>
    <w:rsid w:val="71916451"/>
    <w:rsid w:val="72534E9D"/>
    <w:rsid w:val="731437CB"/>
    <w:rsid w:val="73155BD6"/>
    <w:rsid w:val="73267CCD"/>
    <w:rsid w:val="73AB60DD"/>
    <w:rsid w:val="744877CF"/>
    <w:rsid w:val="7530273D"/>
    <w:rsid w:val="75471C28"/>
    <w:rsid w:val="75AE4AC3"/>
    <w:rsid w:val="75CC7809"/>
    <w:rsid w:val="76036E05"/>
    <w:rsid w:val="76083B2D"/>
    <w:rsid w:val="762A734B"/>
    <w:rsid w:val="764A5A81"/>
    <w:rsid w:val="76BF71EE"/>
    <w:rsid w:val="77562203"/>
    <w:rsid w:val="796F65E1"/>
    <w:rsid w:val="79E157E7"/>
    <w:rsid w:val="7A5C5D83"/>
    <w:rsid w:val="7C6525CC"/>
    <w:rsid w:val="7C7326A1"/>
    <w:rsid w:val="7CA26617"/>
    <w:rsid w:val="7CD04806"/>
    <w:rsid w:val="7CEA1D6C"/>
    <w:rsid w:val="7D2E69FE"/>
    <w:rsid w:val="7D4F4AFF"/>
    <w:rsid w:val="7DC607F5"/>
    <w:rsid w:val="7DEE13E8"/>
    <w:rsid w:val="7EA22840"/>
    <w:rsid w:val="7F206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52"/>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153"/>
    <w:qFormat/>
    <w:uiPriority w:val="0"/>
    <w:pPr>
      <w:tabs>
        <w:tab w:val="left" w:pos="426"/>
      </w:tabs>
      <w:textAlignment w:val="baseline"/>
      <w:outlineLvl w:val="1"/>
    </w:pPr>
    <w:rPr>
      <w:bCs w:val="0"/>
      <w:kern w:val="0"/>
      <w:szCs w:val="20"/>
    </w:rPr>
  </w:style>
  <w:style w:type="paragraph" w:styleId="3">
    <w:name w:val="heading 3"/>
    <w:basedOn w:val="4"/>
    <w:next w:val="1"/>
    <w:link w:val="151"/>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150"/>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4"/>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5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5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5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59"/>
    <w:qFormat/>
    <w:uiPriority w:val="0"/>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5"/>
    <w:qFormat/>
    <w:uiPriority w:val="0"/>
    <w:pPr>
      <w:ind w:firstLine="420"/>
    </w:pPr>
    <w:rPr>
      <w:rFonts w:ascii="Times New Roman" w:hAnsi="Times New Roman" w:cs="Times New Roman"/>
      <w:kern w:val="2"/>
      <w:szCs w:val="20"/>
    </w:rPr>
  </w:style>
  <w:style w:type="paragraph" w:styleId="12">
    <w:name w:val="List 3"/>
    <w:basedOn w:val="1"/>
    <w:qFormat/>
    <w:uiPriority w:val="0"/>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820"/>
      </w:tabs>
      <w:spacing w:afterLines="50"/>
      <w:ind w:left="988" w:hanging="420"/>
    </w:pPr>
    <w:rPr>
      <w:sz w:val="24"/>
      <w:szCs w:val="20"/>
    </w:rPr>
  </w:style>
  <w:style w:type="paragraph" w:styleId="15">
    <w:name w:val="Note Heading"/>
    <w:basedOn w:val="1"/>
    <w:next w:val="1"/>
    <w:link w:val="160"/>
    <w:qFormat/>
    <w:uiPriority w:val="0"/>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6">
    <w:name w:val="List Bullet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7">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8">
    <w:name w:val="E-mail Signature"/>
    <w:basedOn w:val="1"/>
    <w:link w:val="16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19">
    <w:name w:val="List Number"/>
    <w:basedOn w:val="1"/>
    <w:qFormat/>
    <w:uiPriority w:val="0"/>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2">
    <w:name w:val="List Bullet"/>
    <w:basedOn w:val="1"/>
    <w:qFormat/>
    <w:uiPriority w:val="0"/>
    <w:pPr>
      <w:tabs>
        <w:tab w:val="left" w:pos="360"/>
      </w:tabs>
      <w:ind w:left="360" w:hanging="360" w:hangingChars="200"/>
    </w:pPr>
    <w:rPr>
      <w:szCs w:val="20"/>
    </w:rPr>
  </w:style>
  <w:style w:type="paragraph" w:styleId="23">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4">
    <w:name w:val="Document Map"/>
    <w:basedOn w:val="1"/>
    <w:link w:val="162"/>
    <w:qFormat/>
    <w:uiPriority w:val="0"/>
    <w:pPr>
      <w:shd w:val="clear" w:color="auto" w:fill="000080"/>
    </w:pPr>
    <w:rPr>
      <w:rFonts w:ascii="Times New Roman" w:hAnsi="Times New Roman" w:cs="Times New Roman"/>
      <w:kern w:val="2"/>
    </w:rPr>
  </w:style>
  <w:style w:type="paragraph" w:styleId="25">
    <w:name w:val="toa heading"/>
    <w:basedOn w:val="1"/>
    <w:next w:val="1"/>
    <w:qFormat/>
    <w:uiPriority w:val="0"/>
    <w:pPr>
      <w:spacing w:before="120"/>
    </w:pPr>
    <w:rPr>
      <w:rFonts w:ascii="Arial" w:hAnsi="Arial"/>
      <w:sz w:val="24"/>
      <w:szCs w:val="20"/>
    </w:rPr>
  </w:style>
  <w:style w:type="paragraph" w:styleId="26">
    <w:name w:val="annotation text"/>
    <w:basedOn w:val="1"/>
    <w:link w:val="163"/>
    <w:qFormat/>
    <w:uiPriority w:val="99"/>
    <w:pPr>
      <w:autoSpaceDE w:val="0"/>
      <w:autoSpaceDN w:val="0"/>
      <w:jc w:val="left"/>
      <w:textAlignment w:val="baseline"/>
    </w:pPr>
    <w:rPr>
      <w:rFonts w:hAnsi="Times New Roman" w:cs="Times New Roman"/>
      <w:sz w:val="34"/>
      <w:szCs w:val="20"/>
    </w:rPr>
  </w:style>
  <w:style w:type="paragraph" w:styleId="27">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8">
    <w:name w:val="Salutation"/>
    <w:basedOn w:val="1"/>
    <w:next w:val="1"/>
    <w:link w:val="164"/>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9">
    <w:name w:val="Body Text 3"/>
    <w:basedOn w:val="1"/>
    <w:link w:val="165"/>
    <w:qFormat/>
    <w:uiPriority w:val="0"/>
    <w:pPr>
      <w:spacing w:after="120"/>
    </w:pPr>
    <w:rPr>
      <w:rFonts w:ascii="Times New Roman" w:hAnsi="Times New Roman" w:cs="Times New Roman"/>
      <w:kern w:val="2"/>
      <w:sz w:val="16"/>
      <w:szCs w:val="16"/>
    </w:rPr>
  </w:style>
  <w:style w:type="paragraph" w:styleId="30">
    <w:name w:val="Closing"/>
    <w:basedOn w:val="1"/>
    <w:link w:val="16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1">
    <w:name w:val="List Bullet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2">
    <w:name w:val="Body Text"/>
    <w:basedOn w:val="1"/>
    <w:link w:val="167"/>
    <w:qFormat/>
    <w:uiPriority w:val="0"/>
    <w:rPr>
      <w:rFonts w:cs="Times New Roman"/>
      <w:b/>
      <w:bCs/>
      <w:sz w:val="24"/>
    </w:rPr>
  </w:style>
  <w:style w:type="paragraph" w:styleId="33">
    <w:name w:val="Body Text Indent"/>
    <w:basedOn w:val="1"/>
    <w:next w:val="34"/>
    <w:link w:val="148"/>
    <w:qFormat/>
    <w:uiPriority w:val="0"/>
    <w:pPr>
      <w:ind w:firstLine="420" w:firstLineChars="200"/>
    </w:pPr>
    <w:rPr>
      <w:rFonts w:ascii="Times New Roman" w:hAnsi="Times New Roman" w:cs="Times New Roman"/>
      <w:kern w:val="2"/>
    </w:rPr>
  </w:style>
  <w:style w:type="paragraph" w:styleId="3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0"/>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0"/>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0"/>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0"/>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8"/>
    <w:qFormat/>
    <w:uiPriority w:val="0"/>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qFormat/>
    <w:uiPriority w:val="0"/>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qFormat/>
    <w:uiPriority w:val="0"/>
    <w:pPr>
      <w:ind w:left="840"/>
      <w:jc w:val="left"/>
    </w:pPr>
    <w:rPr>
      <w:szCs w:val="21"/>
    </w:rPr>
  </w:style>
  <w:style w:type="paragraph" w:styleId="43">
    <w:name w:val="toc 3"/>
    <w:basedOn w:val="1"/>
    <w:next w:val="1"/>
    <w:qFormat/>
    <w:uiPriority w:val="39"/>
    <w:pPr>
      <w:ind w:left="420"/>
      <w:jc w:val="left"/>
    </w:pPr>
    <w:rPr>
      <w:i/>
      <w:iCs/>
    </w:rPr>
  </w:style>
  <w:style w:type="paragraph" w:styleId="44">
    <w:name w:val="Plain Text"/>
    <w:basedOn w:val="1"/>
    <w:link w:val="169"/>
    <w:qFormat/>
    <w:uiPriority w:val="0"/>
    <w:rPr>
      <w:rFonts w:hAnsi="Courier New" w:cs="Times New Roman"/>
      <w:kern w:val="2"/>
      <w:szCs w:val="20"/>
    </w:rPr>
  </w:style>
  <w:style w:type="paragraph" w:styleId="45">
    <w:name w:val="List Bullet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qFormat/>
    <w:uiPriority w:val="0"/>
    <w:pPr>
      <w:ind w:left="1470"/>
      <w:jc w:val="left"/>
    </w:pPr>
    <w:rPr>
      <w:szCs w:val="21"/>
    </w:rPr>
  </w:style>
  <w:style w:type="paragraph" w:styleId="48">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70"/>
    <w:qFormat/>
    <w:uiPriority w:val="0"/>
    <w:rPr>
      <w:rFonts w:hAnsi="Courier New" w:cs="Times New Roman"/>
      <w:kern w:val="2"/>
      <w:sz w:val="32"/>
      <w:szCs w:val="20"/>
    </w:rPr>
  </w:style>
  <w:style w:type="paragraph" w:styleId="50">
    <w:name w:val="Body Text Indent 2"/>
    <w:basedOn w:val="1"/>
    <w:link w:val="171"/>
    <w:qFormat/>
    <w:uiPriority w:val="0"/>
    <w:pPr>
      <w:spacing w:beforeLines="50" w:afterLines="50" w:line="120" w:lineRule="auto"/>
      <w:ind w:firstLine="840" w:firstLineChars="400"/>
      <w:jc w:val="left"/>
    </w:pPr>
    <w:rPr>
      <w:rFonts w:cs="Times New Roman"/>
      <w:kern w:val="2"/>
    </w:rPr>
  </w:style>
  <w:style w:type="paragraph" w:styleId="51">
    <w:name w:val="endnote text"/>
    <w:basedOn w:val="1"/>
    <w:link w:val="172"/>
    <w:qFormat/>
    <w:uiPriority w:val="0"/>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0"/>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3"/>
    <w:qFormat/>
    <w:uiPriority w:val="0"/>
    <w:rPr>
      <w:rFonts w:ascii="Times New Roman" w:hAnsi="Times New Roman" w:cs="Times New Roman"/>
      <w:kern w:val="2"/>
      <w:sz w:val="18"/>
      <w:szCs w:val="18"/>
    </w:rPr>
  </w:style>
  <w:style w:type="paragraph" w:styleId="54">
    <w:name w:val="footer"/>
    <w:basedOn w:val="1"/>
    <w:link w:val="174"/>
    <w:qFormat/>
    <w:uiPriority w:val="0"/>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5"/>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qFormat/>
    <w:uiPriority w:val="99"/>
    <w:rPr>
      <w:b/>
      <w:color w:val="0000FF"/>
      <w:sz w:val="24"/>
    </w:rPr>
  </w:style>
  <w:style w:type="paragraph" w:styleId="62">
    <w:name w:val="Subtitle"/>
    <w:basedOn w:val="1"/>
    <w:next w:val="1"/>
    <w:link w:val="177"/>
    <w:qFormat/>
    <w:uiPriority w:val="0"/>
    <w:pPr>
      <w:tabs>
        <w:tab w:val="clear" w:pos="426"/>
      </w:tabs>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8"/>
    <w:qFormat/>
    <w:uiPriority w:val="0"/>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9"/>
    <w:qFormat/>
    <w:uiPriority w:val="0"/>
    <w:pPr>
      <w:ind w:firstLine="482" w:firstLineChars="200"/>
    </w:pPr>
    <w:rPr>
      <w:rFonts w:hAnsi="Times New Roman"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80"/>
    <w:qFormat/>
    <w:uiPriority w:val="0"/>
    <w:rPr>
      <w:rFonts w:ascii="Times New Roman" w:hAns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8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link w:val="183"/>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84"/>
    <w:qFormat/>
    <w:uiPriority w:val="0"/>
    <w:pPr>
      <w:autoSpaceDE/>
      <w:autoSpaceDN/>
      <w:adjustRightInd/>
      <w:textAlignment w:val="auto"/>
    </w:pPr>
    <w:rPr>
      <w:rFonts w:ascii="Times New Roman"/>
      <w:b/>
      <w:bCs/>
      <w:kern w:val="2"/>
      <w:sz w:val="21"/>
      <w:szCs w:val="24"/>
    </w:rPr>
  </w:style>
  <w:style w:type="paragraph" w:styleId="83">
    <w:name w:val="Body Text First Indent"/>
    <w:basedOn w:val="32"/>
    <w:link w:val="185"/>
    <w:qFormat/>
    <w:uiPriority w:val="0"/>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49"/>
    <w:qFormat/>
    <w:uiPriority w:val="0"/>
    <w:pPr>
      <w:widowControl w:val="0"/>
      <w:shd w:val="clear" w:color="auto" w:fill="auto"/>
      <w:adjustRightInd/>
      <w:snapToGrid/>
      <w:spacing w:after="120" w:line="240" w:lineRule="auto"/>
      <w:ind w:left="42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qFormat/>
    <w:uiPriority w:val="0"/>
    <w:rPr>
      <w:b/>
      <w:bCs/>
    </w:rPr>
  </w:style>
  <w:style w:type="character" w:styleId="132">
    <w:name w:val="endnote reference"/>
    <w:qFormat/>
    <w:uiPriority w:val="0"/>
    <w:rPr>
      <w:vertAlign w:val="superscript"/>
    </w:rPr>
  </w:style>
  <w:style w:type="character" w:styleId="133">
    <w:name w:val="page number"/>
    <w:qFormat/>
    <w:uiPriority w:val="0"/>
  </w:style>
  <w:style w:type="character" w:styleId="134">
    <w:name w:val="FollowedHyperlink"/>
    <w:qFormat/>
    <w:uiPriority w:val="0"/>
    <w:rPr>
      <w:color w:val="800080"/>
      <w:u w:val="single"/>
    </w:rPr>
  </w:style>
  <w:style w:type="character" w:styleId="135">
    <w:name w:val="Emphasis"/>
    <w:qFormat/>
    <w:uiPriority w:val="0"/>
    <w:rPr>
      <w:i/>
      <w:iCs/>
    </w:rPr>
  </w:style>
  <w:style w:type="character" w:styleId="136">
    <w:name w:val="line number"/>
    <w:qFormat/>
    <w:uiPriority w:val="0"/>
  </w:style>
  <w:style w:type="character" w:styleId="137">
    <w:name w:val="HTML Definition"/>
    <w:qFormat/>
    <w:uiPriority w:val="0"/>
    <w:rPr>
      <w:i/>
      <w:iCs/>
    </w:rPr>
  </w:style>
  <w:style w:type="character" w:styleId="138">
    <w:name w:val="HTML Typewriter"/>
    <w:qFormat/>
    <w:uiPriority w:val="0"/>
    <w:rPr>
      <w:rFonts w:ascii="Courier New" w:hAnsi="Courier New" w:cs="Courier New"/>
      <w:sz w:val="20"/>
      <w:szCs w:val="20"/>
    </w:rPr>
  </w:style>
  <w:style w:type="character" w:styleId="139">
    <w:name w:val="HTML Acronym"/>
    <w:qFormat/>
    <w:uiPriority w:val="0"/>
  </w:style>
  <w:style w:type="character" w:styleId="140">
    <w:name w:val="HTML Variable"/>
    <w:qFormat/>
    <w:uiPriority w:val="0"/>
    <w:rPr>
      <w:i/>
      <w:iCs/>
    </w:rPr>
  </w:style>
  <w:style w:type="character" w:styleId="141">
    <w:name w:val="Hyperlink"/>
    <w:qFormat/>
    <w:uiPriority w:val="99"/>
    <w:rPr>
      <w:color w:val="0000FF"/>
      <w:u w:val="single"/>
    </w:rPr>
  </w:style>
  <w:style w:type="character" w:styleId="142">
    <w:name w:val="HTML Code"/>
    <w:qFormat/>
    <w:uiPriority w:val="0"/>
    <w:rPr>
      <w:rFonts w:ascii="Courier New" w:hAnsi="Courier New" w:cs="Courier New"/>
      <w:sz w:val="20"/>
      <w:szCs w:val="20"/>
    </w:rPr>
  </w:style>
  <w:style w:type="character" w:styleId="143">
    <w:name w:val="annotation reference"/>
    <w:unhideWhenUsed/>
    <w:qFormat/>
    <w:uiPriority w:val="0"/>
    <w:rPr>
      <w:sz w:val="21"/>
      <w:szCs w:val="21"/>
    </w:rPr>
  </w:style>
  <w:style w:type="character" w:styleId="144">
    <w:name w:val="HTML Cite"/>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qFormat/>
    <w:uiPriority w:val="0"/>
    <w:rPr>
      <w:rFonts w:ascii="Courier New" w:hAnsi="Courier New" w:cs="Courier New"/>
    </w:rPr>
  </w:style>
  <w:style w:type="character" w:customStyle="1" w:styleId="148">
    <w:name w:val="正文文本缩进 字符"/>
    <w:link w:val="33"/>
    <w:qFormat/>
    <w:uiPriority w:val="0"/>
    <w:rPr>
      <w:kern w:val="2"/>
      <w:sz w:val="21"/>
      <w:szCs w:val="24"/>
    </w:rPr>
  </w:style>
  <w:style w:type="character" w:customStyle="1" w:styleId="149">
    <w:name w:val="正文文本首行缩进 2 字符"/>
    <w:link w:val="84"/>
    <w:qFormat/>
    <w:uiPriority w:val="0"/>
    <w:rPr>
      <w:kern w:val="2"/>
      <w:sz w:val="21"/>
      <w:szCs w:val="24"/>
    </w:rPr>
  </w:style>
  <w:style w:type="character" w:customStyle="1" w:styleId="150">
    <w:name w:val="标题 4 字符"/>
    <w:link w:val="4"/>
    <w:qFormat/>
    <w:uiPriority w:val="0"/>
    <w:rPr>
      <w:rFonts w:ascii="Arial" w:hAnsi="Arial" w:eastAsia="黑体"/>
      <w:b/>
      <w:bCs/>
      <w:kern w:val="2"/>
      <w:sz w:val="28"/>
      <w:szCs w:val="28"/>
      <w:lang w:val="en-US" w:eastAsia="zh-CN" w:bidi="ar-SA"/>
    </w:rPr>
  </w:style>
  <w:style w:type="character" w:customStyle="1" w:styleId="151">
    <w:name w:val="标题 3 字符"/>
    <w:link w:val="3"/>
    <w:qFormat/>
    <w:uiPriority w:val="0"/>
    <w:rPr>
      <w:rFonts w:ascii="宋体" w:hAnsi="宋体"/>
      <w:b/>
      <w:bCs/>
      <w:kern w:val="2"/>
      <w:sz w:val="24"/>
      <w:szCs w:val="32"/>
      <w:shd w:val="clear" w:color="auto" w:fill="FFFFFF"/>
    </w:rPr>
  </w:style>
  <w:style w:type="character" w:customStyle="1" w:styleId="152">
    <w:name w:val="标题 1 字符"/>
    <w:link w:val="2"/>
    <w:qFormat/>
    <w:uiPriority w:val="0"/>
    <w:rPr>
      <w:rFonts w:ascii="宋体" w:hAnsi="宋体" w:eastAsia="黑体"/>
      <w:b/>
      <w:bCs/>
      <w:kern w:val="44"/>
      <w:sz w:val="28"/>
      <w:szCs w:val="28"/>
      <w:lang w:val="en-US" w:eastAsia="zh-CN" w:bidi="ar-SA"/>
    </w:rPr>
  </w:style>
  <w:style w:type="character" w:customStyle="1" w:styleId="153">
    <w:name w:val="标题 2 字符"/>
    <w:link w:val="5"/>
    <w:qFormat/>
    <w:uiPriority w:val="0"/>
    <w:rPr>
      <w:rFonts w:ascii="宋体" w:hAnsi="宋体"/>
      <w:b/>
      <w:sz w:val="24"/>
      <w:shd w:val="clear" w:color="auto" w:fill="FFFFFF"/>
    </w:rPr>
  </w:style>
  <w:style w:type="character" w:customStyle="1" w:styleId="154">
    <w:name w:val="标题 5 字符"/>
    <w:link w:val="6"/>
    <w:qFormat/>
    <w:uiPriority w:val="0"/>
    <w:rPr>
      <w:b/>
      <w:kern w:val="2"/>
      <w:sz w:val="24"/>
    </w:rPr>
  </w:style>
  <w:style w:type="character" w:customStyle="1" w:styleId="155">
    <w:name w:val="正文缩进 字符"/>
    <w:link w:val="7"/>
    <w:qFormat/>
    <w:uiPriority w:val="0"/>
    <w:rPr>
      <w:rFonts w:eastAsia="宋体"/>
      <w:kern w:val="2"/>
      <w:sz w:val="21"/>
      <w:lang w:val="en-US" w:eastAsia="zh-CN" w:bidi="ar-SA"/>
    </w:rPr>
  </w:style>
  <w:style w:type="character" w:customStyle="1" w:styleId="156">
    <w:name w:val="标题 6 字符"/>
    <w:link w:val="8"/>
    <w:qFormat/>
    <w:uiPriority w:val="0"/>
    <w:rPr>
      <w:rFonts w:ascii="Arial" w:hAnsi="Arial" w:eastAsia="黑体"/>
      <w:b/>
      <w:kern w:val="2"/>
      <w:sz w:val="24"/>
    </w:rPr>
  </w:style>
  <w:style w:type="character" w:customStyle="1" w:styleId="157">
    <w:name w:val="标题 7 字符"/>
    <w:link w:val="9"/>
    <w:qFormat/>
    <w:uiPriority w:val="0"/>
    <w:rPr>
      <w:b/>
      <w:kern w:val="2"/>
      <w:sz w:val="24"/>
    </w:rPr>
  </w:style>
  <w:style w:type="character" w:customStyle="1" w:styleId="158">
    <w:name w:val="标题 8 字符"/>
    <w:link w:val="10"/>
    <w:qFormat/>
    <w:uiPriority w:val="0"/>
    <w:rPr>
      <w:rFonts w:ascii="Arial" w:hAnsi="Arial" w:eastAsia="黑体"/>
      <w:kern w:val="2"/>
      <w:sz w:val="24"/>
    </w:rPr>
  </w:style>
  <w:style w:type="character" w:customStyle="1" w:styleId="159">
    <w:name w:val="标题 9 字符"/>
    <w:link w:val="11"/>
    <w:qFormat/>
    <w:uiPriority w:val="0"/>
    <w:rPr>
      <w:rFonts w:ascii="Arial" w:hAnsi="Arial" w:eastAsia="黑体"/>
      <w:kern w:val="2"/>
      <w:sz w:val="21"/>
    </w:rPr>
  </w:style>
  <w:style w:type="character" w:customStyle="1" w:styleId="160">
    <w:name w:val="注释标题 字符"/>
    <w:link w:val="15"/>
    <w:qFormat/>
    <w:uiPriority w:val="0"/>
    <w:rPr>
      <w:kern w:val="2"/>
      <w:sz w:val="21"/>
      <w:szCs w:val="24"/>
    </w:rPr>
  </w:style>
  <w:style w:type="character" w:customStyle="1" w:styleId="161">
    <w:name w:val="电子邮件签名 字符"/>
    <w:link w:val="18"/>
    <w:qFormat/>
    <w:uiPriority w:val="0"/>
    <w:rPr>
      <w:kern w:val="2"/>
      <w:sz w:val="21"/>
      <w:szCs w:val="24"/>
    </w:rPr>
  </w:style>
  <w:style w:type="character" w:customStyle="1" w:styleId="162">
    <w:name w:val="文档结构图 字符"/>
    <w:link w:val="24"/>
    <w:qFormat/>
    <w:uiPriority w:val="0"/>
    <w:rPr>
      <w:kern w:val="2"/>
      <w:sz w:val="21"/>
      <w:szCs w:val="24"/>
      <w:shd w:val="clear" w:color="auto" w:fill="000080"/>
    </w:rPr>
  </w:style>
  <w:style w:type="character" w:customStyle="1" w:styleId="163">
    <w:name w:val="批注文字 字符"/>
    <w:link w:val="26"/>
    <w:qFormat/>
    <w:uiPriority w:val="99"/>
    <w:rPr>
      <w:rFonts w:ascii="宋体"/>
      <w:sz w:val="34"/>
      <w:shd w:val="clear" w:color="auto" w:fill="FFFFFF"/>
    </w:rPr>
  </w:style>
  <w:style w:type="character" w:customStyle="1" w:styleId="164">
    <w:name w:val="称呼 字符"/>
    <w:link w:val="28"/>
    <w:qFormat/>
    <w:uiPriority w:val="0"/>
    <w:rPr>
      <w:kern w:val="2"/>
      <w:sz w:val="21"/>
      <w:szCs w:val="24"/>
    </w:rPr>
  </w:style>
  <w:style w:type="character" w:customStyle="1" w:styleId="165">
    <w:name w:val="正文文本 3 字符"/>
    <w:link w:val="29"/>
    <w:qFormat/>
    <w:uiPriority w:val="0"/>
    <w:rPr>
      <w:kern w:val="2"/>
      <w:sz w:val="16"/>
      <w:szCs w:val="16"/>
    </w:rPr>
  </w:style>
  <w:style w:type="character" w:customStyle="1" w:styleId="166">
    <w:name w:val="结束语 字符"/>
    <w:link w:val="30"/>
    <w:qFormat/>
    <w:uiPriority w:val="0"/>
    <w:rPr>
      <w:kern w:val="2"/>
      <w:sz w:val="21"/>
      <w:szCs w:val="24"/>
    </w:rPr>
  </w:style>
  <w:style w:type="character" w:customStyle="1" w:styleId="167">
    <w:name w:val="正文文本 字符"/>
    <w:link w:val="32"/>
    <w:qFormat/>
    <w:uiPriority w:val="0"/>
    <w:rPr>
      <w:rFonts w:ascii="宋体" w:hAnsi="宋体" w:cs="宋体"/>
      <w:b/>
      <w:bCs/>
      <w:sz w:val="24"/>
      <w:szCs w:val="24"/>
      <w:shd w:val="clear" w:color="auto" w:fill="FFFFFF"/>
    </w:rPr>
  </w:style>
  <w:style w:type="character" w:customStyle="1" w:styleId="168">
    <w:name w:val="HTML 地址 字符"/>
    <w:link w:val="40"/>
    <w:qFormat/>
    <w:uiPriority w:val="0"/>
    <w:rPr>
      <w:i/>
      <w:iCs/>
      <w:kern w:val="2"/>
      <w:sz w:val="21"/>
      <w:szCs w:val="24"/>
    </w:rPr>
  </w:style>
  <w:style w:type="character" w:customStyle="1" w:styleId="169">
    <w:name w:val="纯文本 字符"/>
    <w:link w:val="44"/>
    <w:qFormat/>
    <w:uiPriority w:val="0"/>
    <w:rPr>
      <w:rFonts w:ascii="宋体" w:hAnsi="Courier New"/>
      <w:kern w:val="2"/>
      <w:sz w:val="21"/>
      <w:shd w:val="clear" w:color="auto" w:fill="FFFFFF"/>
    </w:rPr>
  </w:style>
  <w:style w:type="character" w:customStyle="1" w:styleId="170">
    <w:name w:val="日期 字符"/>
    <w:link w:val="49"/>
    <w:qFormat/>
    <w:uiPriority w:val="0"/>
    <w:rPr>
      <w:rFonts w:ascii="宋体" w:hAnsi="Courier New"/>
      <w:kern w:val="2"/>
      <w:sz w:val="32"/>
    </w:rPr>
  </w:style>
  <w:style w:type="character" w:customStyle="1" w:styleId="171">
    <w:name w:val="正文文本缩进 2 字符"/>
    <w:link w:val="50"/>
    <w:qFormat/>
    <w:uiPriority w:val="0"/>
    <w:rPr>
      <w:rFonts w:ascii="宋体" w:hAnsi="宋体"/>
      <w:kern w:val="2"/>
      <w:sz w:val="21"/>
      <w:szCs w:val="24"/>
    </w:rPr>
  </w:style>
  <w:style w:type="character" w:customStyle="1" w:styleId="172">
    <w:name w:val="尾注文本 字符"/>
    <w:link w:val="51"/>
    <w:qFormat/>
    <w:uiPriority w:val="0"/>
    <w:rPr>
      <w:kern w:val="2"/>
      <w:sz w:val="21"/>
      <w:szCs w:val="24"/>
    </w:rPr>
  </w:style>
  <w:style w:type="character" w:customStyle="1" w:styleId="173">
    <w:name w:val="批注框文本 字符"/>
    <w:link w:val="53"/>
    <w:qFormat/>
    <w:uiPriority w:val="0"/>
    <w:rPr>
      <w:kern w:val="2"/>
      <w:sz w:val="18"/>
      <w:szCs w:val="18"/>
    </w:rPr>
  </w:style>
  <w:style w:type="character" w:customStyle="1" w:styleId="174">
    <w:name w:val="页脚 字符"/>
    <w:link w:val="54"/>
    <w:qFormat/>
    <w:uiPriority w:val="0"/>
    <w:rPr>
      <w:kern w:val="2"/>
      <w:sz w:val="18"/>
      <w:szCs w:val="18"/>
    </w:rPr>
  </w:style>
  <w:style w:type="character" w:customStyle="1" w:styleId="175">
    <w:name w:val="页眉 字符"/>
    <w:link w:val="55"/>
    <w:qFormat/>
    <w:uiPriority w:val="0"/>
    <w:rPr>
      <w:kern w:val="2"/>
      <w:sz w:val="18"/>
      <w:szCs w:val="18"/>
    </w:rPr>
  </w:style>
  <w:style w:type="character" w:customStyle="1" w:styleId="176">
    <w:name w:val="签名 字符"/>
    <w:link w:val="56"/>
    <w:qFormat/>
    <w:uiPriority w:val="0"/>
    <w:rPr>
      <w:kern w:val="2"/>
      <w:sz w:val="21"/>
      <w:szCs w:val="24"/>
    </w:rPr>
  </w:style>
  <w:style w:type="character" w:customStyle="1" w:styleId="177">
    <w:name w:val="副标题 字符"/>
    <w:link w:val="62"/>
    <w:qFormat/>
    <w:uiPriority w:val="0"/>
    <w:rPr>
      <w:rFonts w:ascii="Cambria" w:hAnsi="Cambria"/>
      <w:b/>
      <w:bCs/>
      <w:kern w:val="28"/>
      <w:sz w:val="28"/>
      <w:szCs w:val="32"/>
      <w:shd w:val="clear" w:color="auto" w:fill="FFFFFF"/>
    </w:rPr>
  </w:style>
  <w:style w:type="character" w:customStyle="1" w:styleId="178">
    <w:name w:val="脚注文本 字符"/>
    <w:link w:val="65"/>
    <w:qFormat/>
    <w:uiPriority w:val="0"/>
    <w:rPr>
      <w:kern w:val="2"/>
      <w:sz w:val="18"/>
      <w:szCs w:val="24"/>
    </w:rPr>
  </w:style>
  <w:style w:type="character" w:customStyle="1" w:styleId="179">
    <w:name w:val="正文文本缩进 3 字符"/>
    <w:link w:val="68"/>
    <w:qFormat/>
    <w:uiPriority w:val="0"/>
    <w:rPr>
      <w:rFonts w:ascii="宋体"/>
      <w:b/>
      <w:bCs/>
      <w:kern w:val="2"/>
      <w:sz w:val="24"/>
      <w:szCs w:val="24"/>
    </w:rPr>
  </w:style>
  <w:style w:type="character" w:customStyle="1" w:styleId="180">
    <w:name w:val="正文文本 2 字符"/>
    <w:link w:val="73"/>
    <w:qFormat/>
    <w:uiPriority w:val="0"/>
    <w:rPr>
      <w:kern w:val="2"/>
      <w:sz w:val="24"/>
      <w:szCs w:val="24"/>
    </w:rPr>
  </w:style>
  <w:style w:type="character" w:customStyle="1" w:styleId="181">
    <w:name w:val="信息标题 字符"/>
    <w:link w:val="76"/>
    <w:qFormat/>
    <w:uiPriority w:val="0"/>
    <w:rPr>
      <w:rFonts w:ascii="Arial" w:hAnsi="Arial" w:cs="Arial"/>
      <w:kern w:val="2"/>
      <w:sz w:val="24"/>
      <w:szCs w:val="24"/>
      <w:shd w:val="pct20" w:color="auto" w:fill="auto"/>
    </w:rPr>
  </w:style>
  <w:style w:type="character" w:customStyle="1" w:styleId="182">
    <w:name w:val="HTML 预设格式 字符"/>
    <w:link w:val="77"/>
    <w:qFormat/>
    <w:uiPriority w:val="0"/>
    <w:rPr>
      <w:rFonts w:ascii="Arial Unicode MS" w:hAnsi="Arial Unicode MS" w:eastAsia="Arial Unicode MS"/>
      <w:color w:val="000000"/>
    </w:rPr>
  </w:style>
  <w:style w:type="character" w:customStyle="1" w:styleId="183">
    <w:name w:val="标题 字符"/>
    <w:link w:val="81"/>
    <w:qFormat/>
    <w:uiPriority w:val="0"/>
    <w:rPr>
      <w:rFonts w:ascii="Arial" w:hAnsi="Arial" w:cs="Arial"/>
      <w:b/>
      <w:bCs/>
      <w:kern w:val="2"/>
      <w:sz w:val="36"/>
      <w:szCs w:val="32"/>
    </w:rPr>
  </w:style>
  <w:style w:type="character" w:customStyle="1" w:styleId="184">
    <w:name w:val="批注主题 字符"/>
    <w:link w:val="82"/>
    <w:qFormat/>
    <w:uiPriority w:val="0"/>
    <w:rPr>
      <w:b/>
      <w:bCs/>
      <w:kern w:val="2"/>
      <w:sz w:val="21"/>
      <w:szCs w:val="24"/>
    </w:rPr>
  </w:style>
  <w:style w:type="character" w:customStyle="1" w:styleId="185">
    <w:name w:val="正文文本首行缩进 字符"/>
    <w:link w:val="83"/>
    <w:qFormat/>
    <w:uiPriority w:val="0"/>
    <w:rPr>
      <w:rFonts w:ascii="宋体" w:hAnsi="宋体" w:cs="宋体"/>
      <w:b/>
      <w:bCs/>
      <w:kern w:val="2"/>
      <w:sz w:val="21"/>
      <w:szCs w:val="24"/>
      <w:shd w:val="clear" w:color="auto" w:fill="FFFFFF"/>
    </w:rPr>
  </w:style>
  <w:style w:type="character" w:customStyle="1" w:styleId="186">
    <w:name w:val="pan Char"/>
    <w:link w:val="187"/>
    <w:qFormat/>
    <w:uiPriority w:val="0"/>
    <w:rPr>
      <w:rFonts w:ascii="黑体" w:hAnsi="黑体" w:eastAsia="黑体"/>
      <w:kern w:val="2"/>
      <w:sz w:val="32"/>
      <w:szCs w:val="32"/>
      <w:shd w:val="clear" w:color="auto" w:fill="FFFFFF"/>
    </w:rPr>
  </w:style>
  <w:style w:type="paragraph" w:customStyle="1" w:styleId="187">
    <w:name w:val="pan"/>
    <w:basedOn w:val="188"/>
    <w:link w:val="186"/>
    <w:qFormat/>
    <w:uiPriority w:val="0"/>
    <w:pPr>
      <w:tabs>
        <w:tab w:val="left" w:pos="426"/>
        <w:tab w:val="left" w:pos="840"/>
      </w:tabs>
      <w:ind w:left="840" w:hanging="420" w:firstLineChars="0"/>
      <w:outlineLvl w:val="0"/>
    </w:pPr>
    <w:rPr>
      <w:rFonts w:ascii="黑体" w:hAnsi="黑体" w:eastAsia="黑体"/>
      <w:sz w:val="32"/>
      <w:szCs w:val="32"/>
    </w:rPr>
  </w:style>
  <w:style w:type="paragraph" w:customStyle="1" w:styleId="188">
    <w:name w:val="列出段落1"/>
    <w:basedOn w:val="1"/>
    <w:link w:val="189"/>
    <w:qFormat/>
    <w:uiPriority w:val="0"/>
    <w:pPr>
      <w:ind w:firstLine="420" w:firstLineChars="200"/>
    </w:pPr>
    <w:rPr>
      <w:rFonts w:ascii="Times New Roman" w:hAnsi="Times New Roman" w:cs="Times New Roman"/>
      <w:kern w:val="2"/>
    </w:rPr>
  </w:style>
  <w:style w:type="character" w:customStyle="1" w:styleId="189">
    <w:name w:val="列出段落 Char"/>
    <w:link w:val="188"/>
    <w:qFormat/>
    <w:uiPriority w:val="0"/>
    <w:rPr>
      <w:kern w:val="2"/>
      <w:sz w:val="21"/>
      <w:szCs w:val="24"/>
    </w:rPr>
  </w:style>
  <w:style w:type="character" w:customStyle="1" w:styleId="190">
    <w:name w:val="图片注释 Char"/>
    <w:link w:val="191"/>
    <w:qFormat/>
    <w:uiPriority w:val="0"/>
    <w:rPr>
      <w:rFonts w:ascii="宋体" w:hAnsi="宋体"/>
      <w:kern w:val="2"/>
      <w:sz w:val="24"/>
      <w:szCs w:val="24"/>
      <w:u w:val="single"/>
    </w:rPr>
  </w:style>
  <w:style w:type="paragraph" w:customStyle="1" w:styleId="191">
    <w:name w:val="图片注释"/>
    <w:basedOn w:val="1"/>
    <w:link w:val="190"/>
    <w:qFormat/>
    <w:uiPriority w:val="0"/>
    <w:pPr>
      <w:spacing w:afterLines="25"/>
      <w:ind w:firstLine="200" w:firstLineChars="200"/>
      <w:jc w:val="center"/>
    </w:pPr>
    <w:rPr>
      <w:rFonts w:cs="Times New Roman"/>
      <w:kern w:val="2"/>
      <w:sz w:val="24"/>
      <w:u w:val="single"/>
    </w:rPr>
  </w:style>
  <w:style w:type="character" w:customStyle="1" w:styleId="192">
    <w:name w:val="段内层标 Char"/>
    <w:link w:val="193"/>
    <w:qFormat/>
    <w:uiPriority w:val="0"/>
    <w:rPr>
      <w:rFonts w:ascii="宋体" w:hAnsi="宋体"/>
      <w:b/>
      <w:kern w:val="2"/>
      <w:sz w:val="28"/>
      <w:szCs w:val="28"/>
      <w:shd w:val="clear" w:color="auto" w:fill="FFFFFF"/>
    </w:rPr>
  </w:style>
  <w:style w:type="paragraph" w:customStyle="1" w:styleId="193">
    <w:name w:val="段内层标"/>
    <w:basedOn w:val="194"/>
    <w:link w:val="192"/>
    <w:qFormat/>
    <w:uiPriority w:val="0"/>
    <w:pPr>
      <w:tabs>
        <w:tab w:val="left" w:pos="426"/>
      </w:tabs>
      <w:spacing w:beforeLines="25" w:afterLines="25"/>
      <w:ind w:left="620" w:firstLine="200" w:firstLineChars="200"/>
    </w:pPr>
    <w:rPr>
      <w:rFonts w:ascii="宋体" w:hAnsi="宋体"/>
      <w:b/>
      <w:kern w:val="2"/>
      <w:sz w:val="28"/>
      <w:szCs w:val="28"/>
    </w:rPr>
  </w:style>
  <w:style w:type="paragraph" w:customStyle="1" w:styleId="194">
    <w:name w:val="正文内容"/>
    <w:basedOn w:val="1"/>
    <w:next w:val="24"/>
    <w:link w:val="195"/>
    <w:qFormat/>
    <w:uiPriority w:val="0"/>
    <w:rPr>
      <w:rFonts w:ascii="Times New Roman" w:hAnsi="Times New Roman" w:cs="Times New Roman"/>
      <w:sz w:val="20"/>
    </w:rPr>
  </w:style>
  <w:style w:type="character" w:customStyle="1" w:styleId="195">
    <w:name w:val="正文内容 Char"/>
    <w:link w:val="194"/>
    <w:qFormat/>
    <w:uiPriority w:val="0"/>
    <w:rPr>
      <w:szCs w:val="24"/>
    </w:rPr>
  </w:style>
  <w:style w:type="character" w:customStyle="1" w:styleId="196">
    <w:name w:val="标题3 Char"/>
    <w:link w:val="197"/>
    <w:qFormat/>
    <w:uiPriority w:val="0"/>
    <w:rPr>
      <w:rFonts w:ascii="黑体" w:hAnsi="黑体" w:eastAsia="黑体"/>
      <w:kern w:val="2"/>
      <w:sz w:val="28"/>
      <w:szCs w:val="28"/>
      <w:shd w:val="clear" w:color="auto" w:fill="FFFFFF"/>
    </w:rPr>
  </w:style>
  <w:style w:type="paragraph" w:customStyle="1" w:styleId="197">
    <w:name w:val="标题3"/>
    <w:basedOn w:val="188"/>
    <w:link w:val="196"/>
    <w:qFormat/>
    <w:uiPriority w:val="0"/>
    <w:pPr>
      <w:ind w:left="1822" w:firstLine="0" w:firstLineChars="0"/>
      <w:outlineLvl w:val="2"/>
    </w:pPr>
    <w:rPr>
      <w:rFonts w:ascii="黑体" w:hAnsi="黑体" w:eastAsia="黑体"/>
      <w:sz w:val="28"/>
      <w:szCs w:val="28"/>
    </w:rPr>
  </w:style>
  <w:style w:type="character" w:customStyle="1" w:styleId="198">
    <w:name w:val="Char Char4"/>
    <w:qFormat/>
    <w:uiPriority w:val="0"/>
    <w:rPr>
      <w:rFonts w:eastAsia="宋体"/>
      <w:b/>
      <w:kern w:val="2"/>
      <w:sz w:val="24"/>
      <w:lang w:val="en-US" w:eastAsia="zh-CN" w:bidi="ar-SA"/>
    </w:rPr>
  </w:style>
  <w:style w:type="character" w:customStyle="1" w:styleId="199">
    <w:name w:val="书籍标题1"/>
    <w:qFormat/>
    <w:uiPriority w:val="33"/>
    <w:rPr>
      <w:b/>
      <w:bCs/>
      <w:smallCaps/>
      <w:spacing w:val="5"/>
    </w:rPr>
  </w:style>
  <w:style w:type="character" w:customStyle="1" w:styleId="200">
    <w:name w:val="正文文本缩进 2 Char"/>
    <w:qFormat/>
    <w:uiPriority w:val="0"/>
    <w:rPr>
      <w:rFonts w:ascii="宋体" w:hAnsi="宋体"/>
      <w:kern w:val="2"/>
      <w:sz w:val="21"/>
      <w:szCs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0"/>
    <w:rPr>
      <w:rFonts w:ascii="宋体" w:hAnsi="宋体" w:cs="宋体"/>
      <w:b/>
      <w:bCs/>
      <w:kern w:val="2"/>
      <w:sz w:val="21"/>
      <w:szCs w:val="24"/>
      <w:shd w:val="clear" w:color="auto" w:fill="FFFFFF"/>
    </w:rPr>
  </w:style>
  <w:style w:type="character" w:customStyle="1" w:styleId="203">
    <w:name w:val="style3"/>
    <w:qFormat/>
    <w:uiPriority w:val="0"/>
  </w:style>
  <w:style w:type="character" w:customStyle="1" w:styleId="204">
    <w:name w:val="font10pt"/>
    <w:qFormat/>
    <w:uiPriority w:val="0"/>
  </w:style>
  <w:style w:type="character" w:customStyle="1" w:styleId="205">
    <w:name w:val="文档结构图 Char"/>
    <w:semiHidden/>
    <w:qFormat/>
    <w:uiPriority w:val="0"/>
    <w:rPr>
      <w:kern w:val="2"/>
      <w:sz w:val="21"/>
      <w:szCs w:val="24"/>
      <w:shd w:val="clear" w:color="auto" w:fill="000080"/>
    </w:rPr>
  </w:style>
  <w:style w:type="character" w:customStyle="1" w:styleId="206">
    <w:name w:val="翟 正文 Char"/>
    <w:link w:val="207"/>
    <w:qFormat/>
    <w:uiPriority w:val="0"/>
    <w:rPr>
      <w:rFonts w:ascii="宋体" w:hAnsi="仿宋"/>
      <w:snapToGrid/>
      <w:color w:val="000000"/>
      <w:sz w:val="28"/>
      <w:szCs w:val="28"/>
      <w:u w:color="000000"/>
    </w:rPr>
  </w:style>
  <w:style w:type="paragraph" w:customStyle="1" w:styleId="207">
    <w:name w:val="翟 正文"/>
    <w:basedOn w:val="1"/>
    <w:link w:val="206"/>
    <w:qFormat/>
    <w:uiPriority w:val="0"/>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8"/>
      <w:u w:color="000000"/>
    </w:rPr>
  </w:style>
  <w:style w:type="character" w:customStyle="1" w:styleId="208">
    <w:name w:val="日期 Char1"/>
    <w:semiHidden/>
    <w:qFormat/>
    <w:uiPriority w:val="99"/>
    <w:rPr>
      <w:kern w:val="2"/>
      <w:sz w:val="21"/>
      <w:szCs w:val="24"/>
    </w:rPr>
  </w:style>
  <w:style w:type="character" w:customStyle="1" w:styleId="209">
    <w:name w:val="段内主题 Char"/>
    <w:link w:val="210"/>
    <w:qFormat/>
    <w:uiPriority w:val="0"/>
    <w:rPr>
      <w:rFonts w:ascii="宋体" w:hAnsi="宋体"/>
      <w:b/>
      <w:kern w:val="2"/>
      <w:sz w:val="24"/>
      <w:szCs w:val="24"/>
      <w:shd w:val="clear" w:color="auto" w:fill="FFFFFF"/>
    </w:rPr>
  </w:style>
  <w:style w:type="paragraph" w:customStyle="1" w:styleId="210">
    <w:name w:val="段内主题"/>
    <w:basedOn w:val="1"/>
    <w:link w:val="209"/>
    <w:qFormat/>
    <w:uiPriority w:val="0"/>
    <w:pPr>
      <w:ind w:left="840"/>
    </w:pPr>
    <w:rPr>
      <w:rFonts w:cs="Times New Roman"/>
      <w:b/>
      <w:kern w:val="2"/>
      <w:sz w:val="24"/>
    </w:rPr>
  </w:style>
  <w:style w:type="character" w:customStyle="1" w:styleId="211">
    <w:name w:val="1 Char"/>
    <w:link w:val="212"/>
    <w:qFormat/>
    <w:uiPriority w:val="0"/>
    <w:rPr>
      <w:rFonts w:ascii="宋体" w:hAnsi="宋体" w:cs="宋体"/>
      <w:b/>
      <w:sz w:val="24"/>
      <w:szCs w:val="24"/>
      <w:shd w:val="clear" w:color="auto" w:fill="FFFFFF"/>
    </w:rPr>
  </w:style>
  <w:style w:type="paragraph" w:customStyle="1" w:styleId="212">
    <w:name w:val="1"/>
    <w:basedOn w:val="1"/>
    <w:link w:val="211"/>
    <w:qFormat/>
    <w:uiPriority w:val="0"/>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213">
    <w:name w:val="图片 Char"/>
    <w:link w:val="214"/>
    <w:qFormat/>
    <w:uiPriority w:val="0"/>
    <w:rPr>
      <w:rFonts w:ascii="宋体" w:hAnsi="宋体"/>
      <w:kern w:val="2"/>
      <w:sz w:val="24"/>
      <w:szCs w:val="24"/>
    </w:rPr>
  </w:style>
  <w:style w:type="paragraph" w:customStyle="1" w:styleId="214">
    <w:name w:val="图片"/>
    <w:basedOn w:val="1"/>
    <w:link w:val="213"/>
    <w:qFormat/>
    <w:uiPriority w:val="0"/>
    <w:pPr>
      <w:ind w:firstLine="200" w:firstLineChars="200"/>
      <w:jc w:val="center"/>
    </w:pPr>
    <w:rPr>
      <w:rFonts w:cs="Times New Roman"/>
      <w:kern w:val="2"/>
      <w:sz w:val="24"/>
    </w:rPr>
  </w:style>
  <w:style w:type="character" w:customStyle="1" w:styleId="215">
    <w:name w:val="页脚 Char1"/>
    <w:semiHidden/>
    <w:qFormat/>
    <w:uiPriority w:val="99"/>
    <w:rPr>
      <w:kern w:val="2"/>
      <w:sz w:val="18"/>
      <w:szCs w:val="18"/>
    </w:rPr>
  </w:style>
  <w:style w:type="character" w:customStyle="1" w:styleId="216">
    <w:name w:val="四级标题 Char"/>
    <w:link w:val="217"/>
    <w:qFormat/>
    <w:uiPriority w:val="0"/>
    <w:rPr>
      <w:rFonts w:ascii="黑体" w:hAnsi="黑体" w:eastAsia="黑体"/>
      <w:kern w:val="2"/>
      <w:sz w:val="30"/>
      <w:szCs w:val="30"/>
      <w:shd w:val="clear" w:color="auto" w:fill="FFFFFF"/>
    </w:rPr>
  </w:style>
  <w:style w:type="paragraph" w:customStyle="1" w:styleId="217">
    <w:name w:val="四级标题"/>
    <w:basedOn w:val="188"/>
    <w:link w:val="216"/>
    <w:qFormat/>
    <w:uiPriority w:val="0"/>
    <w:pPr>
      <w:spacing w:line="720" w:lineRule="auto"/>
      <w:ind w:firstLine="0" w:firstLineChars="0"/>
      <w:outlineLvl w:val="3"/>
    </w:pPr>
    <w:rPr>
      <w:rFonts w:ascii="黑体" w:hAnsi="黑体" w:eastAsia="黑体"/>
      <w:sz w:val="30"/>
      <w:szCs w:val="30"/>
    </w:rPr>
  </w:style>
  <w:style w:type="character" w:customStyle="1" w:styleId="218">
    <w:name w:val="标题 5 Char"/>
    <w:qFormat/>
    <w:uiPriority w:val="0"/>
    <w:rPr>
      <w:b/>
      <w:kern w:val="2"/>
      <w:sz w:val="24"/>
      <w:shd w:val="clear" w:color="auto" w:fill="FFFFFF"/>
    </w:rPr>
  </w:style>
  <w:style w:type="character" w:customStyle="1" w:styleId="219">
    <w:name w:val="标准正文 Char"/>
    <w:link w:val="220"/>
    <w:qFormat/>
    <w:uiPriority w:val="0"/>
    <w:rPr>
      <w:rFonts w:ascii="宋体" w:hAnsi="宋体" w:cs="宋体"/>
      <w:sz w:val="24"/>
    </w:rPr>
  </w:style>
  <w:style w:type="paragraph" w:customStyle="1" w:styleId="220">
    <w:name w:val="标准正文"/>
    <w:basedOn w:val="33"/>
    <w:link w:val="219"/>
    <w:qFormat/>
    <w:uiPriority w:val="0"/>
    <w:pPr>
      <w:spacing w:before="60" w:after="60"/>
      <w:ind w:firstLine="482" w:firstLineChars="0"/>
      <w:jc w:val="left"/>
    </w:pPr>
    <w:rPr>
      <w:rFonts w:ascii="宋体" w:hAnsi="宋体"/>
      <w:kern w:val="0"/>
      <w:sz w:val="24"/>
      <w:szCs w:val="20"/>
    </w:rPr>
  </w:style>
  <w:style w:type="character" w:customStyle="1" w:styleId="221">
    <w:name w:val="标题 2 Char"/>
    <w:qFormat/>
    <w:uiPriority w:val="0"/>
    <w:rPr>
      <w:rFonts w:ascii="宋体" w:hAnsi="宋体"/>
      <w:b/>
      <w:sz w:val="24"/>
      <w:shd w:val="clear" w:color="auto" w:fill="FFFFFF"/>
    </w:rPr>
  </w:style>
  <w:style w:type="character" w:customStyle="1" w:styleId="222">
    <w:name w:val="正文（缩进） Char"/>
    <w:link w:val="223"/>
    <w:qFormat/>
    <w:uiPriority w:val="0"/>
    <w:rPr>
      <w:sz w:val="24"/>
      <w:szCs w:val="24"/>
    </w:rPr>
  </w:style>
  <w:style w:type="paragraph" w:customStyle="1" w:styleId="223">
    <w:name w:val="正文（缩进）"/>
    <w:basedOn w:val="1"/>
    <w:link w:val="222"/>
    <w:qFormat/>
    <w:uiPriority w:val="0"/>
    <w:pPr>
      <w:spacing w:beforeLines="50" w:afterLines="50"/>
      <w:ind w:firstLine="480" w:firstLineChars="200"/>
    </w:pPr>
    <w:rPr>
      <w:rFonts w:ascii="Times New Roman" w:hAnsi="Times New Roman" w:cs="Times New Roman"/>
      <w:sz w:val="24"/>
    </w:rPr>
  </w:style>
  <w:style w:type="character" w:customStyle="1" w:styleId="224">
    <w:name w:val="ss1"/>
    <w:semiHidden/>
    <w:qFormat/>
    <w:uiPriority w:val="0"/>
    <w:rPr>
      <w:rFonts w:hint="default" w:ascii="ˎ̥" w:hAnsi="ˎ̥"/>
      <w:color w:val="000000"/>
      <w:sz w:val="18"/>
      <w:szCs w:val="18"/>
      <w:u w:val="none"/>
    </w:rPr>
  </w:style>
  <w:style w:type="character" w:customStyle="1" w:styleId="225">
    <w:name w:val="二级标题 Char"/>
    <w:link w:val="226"/>
    <w:qFormat/>
    <w:uiPriority w:val="0"/>
    <w:rPr>
      <w:rFonts w:ascii="黑体" w:hAnsi="黑体" w:eastAsia="黑体"/>
      <w:kern w:val="2"/>
      <w:sz w:val="36"/>
      <w:szCs w:val="36"/>
      <w:shd w:val="clear" w:color="auto" w:fill="FFFFFF"/>
    </w:rPr>
  </w:style>
  <w:style w:type="paragraph" w:customStyle="1" w:styleId="226">
    <w:name w:val="二级标题"/>
    <w:basedOn w:val="188"/>
    <w:link w:val="225"/>
    <w:qFormat/>
    <w:uiPriority w:val="0"/>
    <w:pPr>
      <w:spacing w:line="720" w:lineRule="auto"/>
      <w:ind w:firstLine="0" w:firstLineChars="0"/>
      <w:outlineLvl w:val="1"/>
    </w:pPr>
    <w:rPr>
      <w:rFonts w:ascii="黑体" w:hAnsi="黑体" w:eastAsia="黑体"/>
      <w:sz w:val="36"/>
      <w:szCs w:val="36"/>
    </w:rPr>
  </w:style>
  <w:style w:type="character" w:customStyle="1" w:styleId="227">
    <w:name w:val="标题 6 Char"/>
    <w:qFormat/>
    <w:uiPriority w:val="0"/>
    <w:rPr>
      <w:rFonts w:ascii="Arial" w:hAnsi="Arial" w:eastAsia="黑体"/>
      <w:b/>
      <w:kern w:val="2"/>
      <w:sz w:val="24"/>
      <w:shd w:val="clear" w:color="auto" w:fill="FFFFFF"/>
    </w:rPr>
  </w:style>
  <w:style w:type="character" w:customStyle="1" w:styleId="228">
    <w:name w:val="层标 Char"/>
    <w:link w:val="229"/>
    <w:qFormat/>
    <w:uiPriority w:val="0"/>
    <w:rPr>
      <w:rFonts w:ascii="宋体" w:hAnsi="宋体"/>
      <w:b/>
      <w:kern w:val="2"/>
      <w:sz w:val="28"/>
      <w:szCs w:val="28"/>
      <w:shd w:val="clear" w:color="auto" w:fill="FFFFFF"/>
    </w:rPr>
  </w:style>
  <w:style w:type="paragraph" w:customStyle="1" w:styleId="229">
    <w:name w:val="层标"/>
    <w:basedOn w:val="194"/>
    <w:link w:val="228"/>
    <w:qFormat/>
    <w:uiPriority w:val="0"/>
    <w:pPr>
      <w:spacing w:beforeLines="25" w:afterLines="25"/>
      <w:ind w:left="980"/>
    </w:pPr>
    <w:rPr>
      <w:rFonts w:ascii="宋体" w:hAnsi="宋体"/>
      <w:b/>
      <w:kern w:val="2"/>
      <w:sz w:val="28"/>
      <w:szCs w:val="28"/>
    </w:rPr>
  </w:style>
  <w:style w:type="character" w:customStyle="1" w:styleId="230">
    <w:name w:val="正文文本缩进 Char1"/>
    <w:semiHidden/>
    <w:qFormat/>
    <w:uiPriority w:val="99"/>
    <w:rPr>
      <w:kern w:val="2"/>
      <w:sz w:val="21"/>
      <w:szCs w:val="24"/>
    </w:rPr>
  </w:style>
  <w:style w:type="character" w:customStyle="1" w:styleId="231">
    <w:name w:val="五级标题 Char"/>
    <w:link w:val="232"/>
    <w:qFormat/>
    <w:uiPriority w:val="0"/>
    <w:rPr>
      <w:rFonts w:ascii="黑体" w:hAnsi="黑体" w:eastAsia="黑体"/>
      <w:kern w:val="2"/>
      <w:sz w:val="28"/>
      <w:szCs w:val="28"/>
      <w:shd w:val="clear" w:color="auto" w:fill="FFFFFF"/>
    </w:rPr>
  </w:style>
  <w:style w:type="paragraph" w:customStyle="1" w:styleId="232">
    <w:name w:val="五级标题"/>
    <w:basedOn w:val="188"/>
    <w:link w:val="231"/>
    <w:qFormat/>
    <w:uiPriority w:val="0"/>
    <w:pPr>
      <w:spacing w:line="720" w:lineRule="auto"/>
      <w:ind w:firstLine="0" w:firstLineChars="0"/>
      <w:outlineLvl w:val="4"/>
    </w:pPr>
    <w:rPr>
      <w:rFonts w:ascii="黑体" w:hAnsi="黑体" w:eastAsia="黑体"/>
      <w:sz w:val="28"/>
      <w:szCs w:val="28"/>
    </w:rPr>
  </w:style>
  <w:style w:type="character" w:customStyle="1" w:styleId="233">
    <w:name w:val="￥正文 Char"/>
    <w:link w:val="234"/>
    <w:qFormat/>
    <w:uiPriority w:val="0"/>
    <w:rPr>
      <w:rFonts w:ascii="Calibri" w:hAnsi="Calibri"/>
      <w:kern w:val="2"/>
      <w:sz w:val="24"/>
    </w:rPr>
  </w:style>
  <w:style w:type="paragraph" w:customStyle="1" w:styleId="234">
    <w:name w:val="￥正文"/>
    <w:basedOn w:val="1"/>
    <w:link w:val="233"/>
    <w:qFormat/>
    <w:uiPriority w:val="0"/>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szCs w:val="18"/>
    </w:rPr>
  </w:style>
  <w:style w:type="character" w:customStyle="1" w:styleId="236">
    <w:name w:val="ggwenhao"/>
    <w:semiHidden/>
    <w:qFormat/>
    <w:uiPriority w:val="0"/>
  </w:style>
  <w:style w:type="character" w:customStyle="1" w:styleId="237">
    <w:name w:val="未处理的提及1"/>
    <w:unhideWhenUsed/>
    <w:qFormat/>
    <w:uiPriority w:val="99"/>
    <w:rPr>
      <w:color w:val="605E5C"/>
      <w:shd w:val="clear" w:color="auto" w:fill="E1DFDD"/>
    </w:rPr>
  </w:style>
  <w:style w:type="character" w:customStyle="1" w:styleId="238">
    <w:name w:val="一级标题 Char"/>
    <w:link w:val="239"/>
    <w:qFormat/>
    <w:uiPriority w:val="0"/>
    <w:rPr>
      <w:rFonts w:ascii="黑体" w:hAnsi="黑体" w:eastAsia="黑体"/>
      <w:kern w:val="2"/>
      <w:sz w:val="44"/>
      <w:szCs w:val="44"/>
      <w:shd w:val="clear" w:color="auto" w:fill="FFFFFF"/>
    </w:rPr>
  </w:style>
  <w:style w:type="paragraph" w:customStyle="1" w:styleId="239">
    <w:name w:val="一级标题"/>
    <w:basedOn w:val="188"/>
    <w:link w:val="238"/>
    <w:qFormat/>
    <w:uiPriority w:val="0"/>
    <w:pPr>
      <w:tabs>
        <w:tab w:val="left" w:pos="340"/>
      </w:tabs>
      <w:spacing w:line="720" w:lineRule="auto"/>
      <w:ind w:firstLine="0" w:firstLineChars="0"/>
      <w:jc w:val="center"/>
      <w:outlineLvl w:val="0"/>
    </w:pPr>
    <w:rPr>
      <w:rFonts w:ascii="黑体" w:hAnsi="黑体" w:eastAsia="黑体"/>
      <w:sz w:val="44"/>
      <w:szCs w:val="44"/>
    </w:rPr>
  </w:style>
  <w:style w:type="character" w:customStyle="1" w:styleId="240">
    <w:name w:val="标题 7 Char"/>
    <w:qFormat/>
    <w:uiPriority w:val="0"/>
    <w:rPr>
      <w:b/>
      <w:kern w:val="2"/>
      <w:sz w:val="24"/>
      <w:shd w:val="clear" w:color="auto" w:fill="FFFFFF"/>
    </w:rPr>
  </w:style>
  <w:style w:type="character" w:customStyle="1" w:styleId="241">
    <w:name w:val="段落强调 Char"/>
    <w:link w:val="242"/>
    <w:qFormat/>
    <w:uiPriority w:val="0"/>
    <w:rPr>
      <w:b/>
      <w:kern w:val="2"/>
      <w:sz w:val="24"/>
      <w:szCs w:val="24"/>
      <w:shd w:val="clear" w:color="auto" w:fill="FFFFFF"/>
    </w:rPr>
  </w:style>
  <w:style w:type="paragraph" w:customStyle="1" w:styleId="242">
    <w:name w:val="段落强调"/>
    <w:basedOn w:val="1"/>
    <w:link w:val="241"/>
    <w:qFormat/>
    <w:uiPriority w:val="0"/>
    <w:pPr>
      <w:ind w:firstLine="420"/>
    </w:pPr>
    <w:rPr>
      <w:rFonts w:ascii="Times New Roman" w:hAnsi="Times New Roman" w:cs="Times New Roman"/>
      <w:b/>
      <w:kern w:val="2"/>
      <w:sz w:val="24"/>
    </w:rPr>
  </w:style>
  <w:style w:type="character" w:customStyle="1" w:styleId="243">
    <w:name w:val="pan2 Char"/>
    <w:link w:val="244"/>
    <w:qFormat/>
    <w:uiPriority w:val="0"/>
    <w:rPr>
      <w:rFonts w:ascii="黑体" w:hAnsi="黑体" w:eastAsia="黑体"/>
      <w:kern w:val="2"/>
      <w:sz w:val="30"/>
      <w:szCs w:val="30"/>
      <w:shd w:val="clear" w:color="auto" w:fill="FFFFFF"/>
    </w:rPr>
  </w:style>
  <w:style w:type="paragraph" w:customStyle="1" w:styleId="244">
    <w:name w:val="pan2"/>
    <w:basedOn w:val="188"/>
    <w:link w:val="243"/>
    <w:qFormat/>
    <w:uiPriority w:val="0"/>
    <w:pPr>
      <w:tabs>
        <w:tab w:val="left" w:pos="840"/>
      </w:tabs>
      <w:ind w:left="840" w:hanging="420" w:firstLineChars="0"/>
      <w:outlineLvl w:val="1"/>
    </w:pPr>
    <w:rPr>
      <w:rFonts w:ascii="黑体" w:hAnsi="黑体" w:eastAsia="黑体"/>
      <w:sz w:val="30"/>
      <w:szCs w:val="30"/>
    </w:rPr>
  </w:style>
  <w:style w:type="character" w:customStyle="1" w:styleId="245">
    <w:name w:val="明显参考1"/>
    <w:qFormat/>
    <w:uiPriority w:val="32"/>
    <w:rPr>
      <w:rFonts w:eastAsia="宋体"/>
      <w:bCs/>
      <w:smallCaps/>
      <w:color w:val="000000"/>
      <w:spacing w:val="5"/>
      <w:sz w:val="24"/>
      <w:u w:val="single"/>
    </w:rPr>
  </w:style>
  <w:style w:type="character" w:customStyle="1" w:styleId="246">
    <w:name w:val="引用 字符"/>
    <w:link w:val="247"/>
    <w:qFormat/>
    <w:uiPriority w:val="29"/>
    <w:rPr>
      <w:iCs/>
      <w:color w:val="000000"/>
      <w:kern w:val="2"/>
      <w:sz w:val="24"/>
      <w:szCs w:val="24"/>
    </w:rPr>
  </w:style>
  <w:style w:type="paragraph" w:styleId="247">
    <w:name w:val="Quote"/>
    <w:basedOn w:val="1"/>
    <w:next w:val="1"/>
    <w:link w:val="246"/>
    <w:qFormat/>
    <w:uiPriority w:val="29"/>
    <w:pPr>
      <w:jc w:val="center"/>
    </w:pPr>
    <w:rPr>
      <w:rFonts w:ascii="Times New Roman" w:hAnsi="Times New Roman" w:cs="Times New Roman"/>
      <w:iCs/>
      <w:color w:val="000000"/>
      <w:kern w:val="2"/>
      <w:sz w:val="24"/>
    </w:rPr>
  </w:style>
  <w:style w:type="character" w:customStyle="1" w:styleId="248">
    <w:name w:val="模板正文 Char"/>
    <w:link w:val="249"/>
    <w:qFormat/>
    <w:locked/>
    <w:uiPriority w:val="0"/>
    <w:rPr>
      <w:rFonts w:eastAsia="仿宋_GB2312"/>
      <w:sz w:val="28"/>
      <w:szCs w:val="21"/>
    </w:rPr>
  </w:style>
  <w:style w:type="paragraph" w:customStyle="1" w:styleId="249">
    <w:name w:val="模板正文"/>
    <w:basedOn w:val="1"/>
    <w:link w:val="248"/>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50">
    <w:name w:val="三级标题 Char"/>
    <w:link w:val="251"/>
    <w:qFormat/>
    <w:uiPriority w:val="0"/>
    <w:rPr>
      <w:rFonts w:ascii="黑体" w:hAnsi="黑体" w:eastAsia="黑体"/>
      <w:kern w:val="2"/>
      <w:sz w:val="32"/>
      <w:szCs w:val="32"/>
      <w:shd w:val="clear" w:color="auto" w:fill="FFFFFF"/>
    </w:rPr>
  </w:style>
  <w:style w:type="paragraph" w:customStyle="1" w:styleId="251">
    <w:name w:val="三级标题"/>
    <w:basedOn w:val="188"/>
    <w:link w:val="250"/>
    <w:qFormat/>
    <w:uiPriority w:val="0"/>
    <w:pPr>
      <w:spacing w:line="720" w:lineRule="auto"/>
      <w:ind w:firstLine="0" w:firstLineChars="0"/>
      <w:outlineLvl w:val="2"/>
    </w:pPr>
    <w:rPr>
      <w:rFonts w:ascii="黑体" w:hAnsi="黑体" w:eastAsia="黑体"/>
      <w:sz w:val="32"/>
      <w:szCs w:val="32"/>
    </w:rPr>
  </w:style>
  <w:style w:type="character" w:customStyle="1" w:styleId="252">
    <w:name w:val="正文文本缩进 Char"/>
    <w:qFormat/>
    <w:uiPriority w:val="0"/>
    <w:rPr>
      <w:kern w:val="2"/>
      <w:sz w:val="21"/>
      <w:szCs w:val="24"/>
      <w:shd w:val="clear" w:color="auto" w:fill="FFFFFF"/>
    </w:rPr>
  </w:style>
  <w:style w:type="character" w:customStyle="1" w:styleId="253">
    <w:name w:val="页眉 Char"/>
    <w:qFormat/>
    <w:uiPriority w:val="99"/>
    <w:rPr>
      <w:kern w:val="2"/>
      <w:sz w:val="18"/>
      <w:szCs w:val="18"/>
      <w:shd w:val="clear" w:color="auto" w:fill="FFFFFF"/>
    </w:rPr>
  </w:style>
  <w:style w:type="character" w:customStyle="1" w:styleId="254">
    <w:name w:val="页脚 Char"/>
    <w:qFormat/>
    <w:uiPriority w:val="99"/>
    <w:rPr>
      <w:kern w:val="2"/>
      <w:sz w:val="18"/>
      <w:szCs w:val="18"/>
      <w:shd w:val="clear" w:color="auto" w:fill="FFFFFF"/>
    </w:rPr>
  </w:style>
  <w:style w:type="character" w:customStyle="1" w:styleId="255">
    <w:name w:val="批注文字 Char1"/>
    <w:qFormat/>
    <w:uiPriority w:val="0"/>
    <w:rPr>
      <w:rFonts w:ascii="宋体"/>
      <w:sz w:val="34"/>
      <w:shd w:val="clear" w:color="auto" w:fill="FFFFFF"/>
    </w:rPr>
  </w:style>
  <w:style w:type="character" w:customStyle="1" w:styleId="256">
    <w:name w:val="HTML 预设格式 Char"/>
    <w:qFormat/>
    <w:uiPriority w:val="0"/>
    <w:rPr>
      <w:rFonts w:ascii="Arial Unicode MS" w:hAnsi="Arial Unicode MS" w:eastAsia="Arial Unicode MS"/>
      <w:color w:val="000000"/>
      <w:shd w:val="clear" w:color="auto" w:fill="FFFFFF"/>
    </w:rPr>
  </w:style>
  <w:style w:type="character" w:customStyle="1" w:styleId="257">
    <w:name w:val="标题 1 字符1"/>
    <w:qFormat/>
    <w:uiPriority w:val="0"/>
    <w:rPr>
      <w:rFonts w:ascii="Times New Roman" w:hAnsi="Times New Roman" w:eastAsia="宋体" w:cs="Times New Roman"/>
      <w:b/>
      <w:kern w:val="44"/>
      <w:sz w:val="44"/>
      <w:szCs w:val="20"/>
    </w:rPr>
  </w:style>
  <w:style w:type="character" w:customStyle="1" w:styleId="258">
    <w:name w:val="正文标题 Char"/>
    <w:link w:val="259"/>
    <w:qFormat/>
    <w:uiPriority w:val="0"/>
    <w:rPr>
      <w:rFonts w:ascii="Calibri" w:hAnsi="Calibri"/>
      <w:b/>
      <w:kern w:val="2"/>
      <w:sz w:val="28"/>
      <w:szCs w:val="28"/>
      <w:shd w:val="clear" w:color="auto" w:fill="FFFFFF"/>
    </w:rPr>
  </w:style>
  <w:style w:type="paragraph" w:customStyle="1" w:styleId="259">
    <w:name w:val="正文标题"/>
    <w:basedOn w:val="1"/>
    <w:link w:val="258"/>
    <w:qFormat/>
    <w:uiPriority w:val="0"/>
    <w:pPr>
      <w:ind w:left="982" w:firstLine="200" w:firstLineChars="200"/>
    </w:pPr>
    <w:rPr>
      <w:rFonts w:ascii="Calibri" w:hAnsi="Calibri" w:cs="Times New Roman"/>
      <w:b/>
      <w:kern w:val="2"/>
      <w:sz w:val="28"/>
      <w:szCs w:val="28"/>
    </w:rPr>
  </w:style>
  <w:style w:type="character" w:customStyle="1" w:styleId="260">
    <w:name w:val="图片注释新 Char"/>
    <w:link w:val="261"/>
    <w:qFormat/>
    <w:uiPriority w:val="0"/>
    <w:rPr>
      <w:rFonts w:ascii="宋体" w:hAnsi="宋体"/>
      <w:kern w:val="2"/>
      <w:sz w:val="24"/>
      <w:szCs w:val="24"/>
      <w:u w:val="single"/>
    </w:rPr>
  </w:style>
  <w:style w:type="paragraph" w:customStyle="1" w:styleId="261">
    <w:name w:val="图片注释新"/>
    <w:basedOn w:val="191"/>
    <w:link w:val="260"/>
    <w:qFormat/>
    <w:uiPriority w:val="0"/>
    <w:pPr>
      <w:spacing w:after="81"/>
      <w:ind w:firstLine="0" w:firstLineChars="0"/>
    </w:pPr>
  </w:style>
  <w:style w:type="character" w:customStyle="1" w:styleId="262">
    <w:name w:val="副标题 Char"/>
    <w:qFormat/>
    <w:uiPriority w:val="0"/>
    <w:rPr>
      <w:rFonts w:ascii="Cambria" w:hAnsi="Cambria"/>
      <w:b/>
      <w:bCs/>
      <w:kern w:val="28"/>
      <w:sz w:val="28"/>
      <w:szCs w:val="32"/>
      <w:shd w:val="clear" w:color="auto" w:fill="FFFFFF"/>
    </w:rPr>
  </w:style>
  <w:style w:type="character" w:customStyle="1" w:styleId="263">
    <w:name w:val="正文文本缩进 3 Char1"/>
    <w:semiHidden/>
    <w:qFormat/>
    <w:uiPriority w:val="99"/>
    <w:rPr>
      <w:kern w:val="2"/>
      <w:sz w:val="16"/>
      <w:szCs w:val="16"/>
    </w:rPr>
  </w:style>
  <w:style w:type="character" w:customStyle="1" w:styleId="264">
    <w:name w:val="纯文本 Char"/>
    <w:qFormat/>
    <w:uiPriority w:val="0"/>
    <w:rPr>
      <w:rFonts w:ascii="宋体" w:hAnsi="Courier New"/>
      <w:kern w:val="2"/>
      <w:sz w:val="21"/>
      <w:shd w:val="clear" w:color="auto" w:fill="FFFFFF"/>
    </w:rPr>
  </w:style>
  <w:style w:type="character" w:customStyle="1" w:styleId="265">
    <w:name w:val="标题 4 Char"/>
    <w:qFormat/>
    <w:uiPriority w:val="0"/>
    <w:rPr>
      <w:rFonts w:ascii="Arial" w:hAnsi="Arial" w:eastAsia="黑体"/>
      <w:b/>
      <w:bCs/>
      <w:kern w:val="2"/>
      <w:sz w:val="28"/>
      <w:szCs w:val="28"/>
      <w:shd w:val="clear" w:color="auto" w:fill="FFFFFF"/>
    </w:rPr>
  </w:style>
  <w:style w:type="character" w:customStyle="1" w:styleId="266">
    <w:name w:val="标题 8 Char"/>
    <w:qFormat/>
    <w:uiPriority w:val="0"/>
    <w:rPr>
      <w:rFonts w:ascii="Arial" w:hAnsi="Arial" w:eastAsia="黑体"/>
      <w:kern w:val="2"/>
      <w:sz w:val="24"/>
      <w:shd w:val="clear" w:color="auto" w:fill="FFFFFF"/>
    </w:rPr>
  </w:style>
  <w:style w:type="character" w:customStyle="1" w:styleId="267">
    <w:name w:val="图标题 Char"/>
    <w:link w:val="268"/>
    <w:qFormat/>
    <w:uiPriority w:val="0"/>
    <w:rPr>
      <w:rFonts w:ascii="宋体" w:hAnsi="宋体"/>
      <w:kern w:val="2"/>
      <w:sz w:val="21"/>
      <w:szCs w:val="24"/>
    </w:rPr>
  </w:style>
  <w:style w:type="paragraph" w:customStyle="1" w:styleId="268">
    <w:name w:val="图标题"/>
    <w:basedOn w:val="1"/>
    <w:link w:val="267"/>
    <w:qFormat/>
    <w:uiPriority w:val="0"/>
    <w:pPr>
      <w:jc w:val="center"/>
    </w:pPr>
    <w:rPr>
      <w:rFonts w:cs="Times New Roman"/>
      <w:kern w:val="2"/>
    </w:rPr>
  </w:style>
  <w:style w:type="character" w:customStyle="1" w:styleId="269">
    <w:name w:val="批注文字 Char"/>
    <w:qFormat/>
    <w:uiPriority w:val="0"/>
    <w:rPr>
      <w:rFonts w:ascii="宋体" w:hAnsi="宋体" w:cs="宋体"/>
      <w:sz w:val="21"/>
      <w:szCs w:val="24"/>
      <w:shd w:val="clear" w:color="auto" w:fill="FFFFFF"/>
    </w:rPr>
  </w:style>
  <w:style w:type="character" w:customStyle="1" w:styleId="270">
    <w:name w:val="标题 3 Char1"/>
    <w:qFormat/>
    <w:uiPriority w:val="0"/>
    <w:rPr>
      <w:rFonts w:ascii="宋体" w:hAnsi="宋体"/>
      <w:b/>
      <w:bCs/>
      <w:kern w:val="2"/>
      <w:sz w:val="24"/>
      <w:szCs w:val="32"/>
      <w:shd w:val="clear" w:color="auto" w:fill="FFFFFF"/>
    </w:rPr>
  </w:style>
  <w:style w:type="character" w:customStyle="1" w:styleId="271">
    <w:name w:val="日期 Char"/>
    <w:qFormat/>
    <w:uiPriority w:val="0"/>
    <w:rPr>
      <w:rFonts w:ascii="宋体" w:hAnsi="Courier New"/>
      <w:kern w:val="2"/>
      <w:sz w:val="32"/>
      <w:shd w:val="clear" w:color="auto" w:fill="FFFFFF"/>
    </w:rPr>
  </w:style>
  <w:style w:type="character" w:customStyle="1" w:styleId="272">
    <w:name w:val="普通文字1 Char Char"/>
    <w:qFormat/>
    <w:uiPriority w:val="0"/>
    <w:rPr>
      <w:rFonts w:ascii="宋体" w:hAnsi="Courier New" w:eastAsia="宋体" w:cs="Courier New"/>
      <w:kern w:val="2"/>
      <w:sz w:val="21"/>
      <w:szCs w:val="21"/>
      <w:lang w:val="en-US" w:eastAsia="zh-CN" w:bidi="ar-SA"/>
    </w:rPr>
  </w:style>
  <w:style w:type="character" w:customStyle="1" w:styleId="273">
    <w:name w:val="正文文本缩进 3 Char"/>
    <w:qFormat/>
    <w:uiPriority w:val="0"/>
    <w:rPr>
      <w:rFonts w:ascii="宋体"/>
      <w:b/>
      <w:bCs/>
      <w:kern w:val="2"/>
      <w:sz w:val="24"/>
      <w:szCs w:val="24"/>
      <w:shd w:val="clear" w:color="auto" w:fill="FFFFFF"/>
    </w:rPr>
  </w:style>
  <w:style w:type="character" w:customStyle="1" w:styleId="274">
    <w:name w:val="副标题 Char1"/>
    <w:qFormat/>
    <w:uiPriority w:val="11"/>
    <w:rPr>
      <w:rFonts w:ascii="Cambria" w:hAnsi="Cambria" w:cs="Times New Roman"/>
      <w:b/>
      <w:bCs/>
      <w:kern w:val="28"/>
      <w:sz w:val="32"/>
      <w:szCs w:val="32"/>
    </w:rPr>
  </w:style>
  <w:style w:type="character" w:customStyle="1" w:styleId="275">
    <w:name w:val="标题 9 Char"/>
    <w:qFormat/>
    <w:uiPriority w:val="0"/>
    <w:rPr>
      <w:rFonts w:ascii="Arial" w:hAnsi="Arial" w:eastAsia="黑体"/>
      <w:kern w:val="2"/>
      <w:sz w:val="21"/>
      <w:shd w:val="clear" w:color="auto" w:fill="FFFFFF"/>
    </w:rPr>
  </w:style>
  <w:style w:type="character" w:customStyle="1" w:styleId="276">
    <w:name w:val="书籍标题11"/>
    <w:qFormat/>
    <w:uiPriority w:val="33"/>
    <w:rPr>
      <w:b/>
      <w:bCs/>
      <w:smallCaps/>
      <w:spacing w:val="5"/>
    </w:rPr>
  </w:style>
  <w:style w:type="character" w:customStyle="1" w:styleId="277">
    <w:name w:val="正文文本 2 Char"/>
    <w:qFormat/>
    <w:uiPriority w:val="0"/>
    <w:rPr>
      <w:kern w:val="2"/>
      <w:sz w:val="24"/>
      <w:szCs w:val="24"/>
      <w:shd w:val="clear" w:color="auto" w:fill="FFFFFF"/>
    </w:rPr>
  </w:style>
  <w:style w:type="character" w:customStyle="1" w:styleId="278">
    <w:name w:val="标题 Char"/>
    <w:qFormat/>
    <w:uiPriority w:val="0"/>
    <w:rPr>
      <w:rFonts w:ascii="Arial" w:hAnsi="Arial"/>
      <w:b/>
      <w:bCs/>
      <w:kern w:val="2"/>
      <w:sz w:val="36"/>
      <w:szCs w:val="32"/>
      <w:shd w:val="clear" w:color="auto" w:fill="FFFFFF"/>
    </w:rPr>
  </w:style>
  <w:style w:type="character" w:customStyle="1" w:styleId="279">
    <w:name w:val="apple-converted-space"/>
    <w:qFormat/>
    <w:uiPriority w:val="0"/>
  </w:style>
  <w:style w:type="character" w:customStyle="1" w:styleId="280">
    <w:name w:val="unnamed211"/>
    <w:semiHidden/>
    <w:qFormat/>
    <w:uiPriority w:val="0"/>
    <w:rPr>
      <w:sz w:val="23"/>
      <w:szCs w:val="23"/>
    </w:rPr>
  </w:style>
  <w:style w:type="character" w:customStyle="1" w:styleId="281">
    <w:name w:val="pan4 Char"/>
    <w:link w:val="282"/>
    <w:qFormat/>
    <w:uiPriority w:val="0"/>
    <w:rPr>
      <w:rFonts w:ascii="黑体" w:hAnsi="黑体" w:eastAsia="黑体"/>
      <w:kern w:val="2"/>
      <w:sz w:val="28"/>
      <w:szCs w:val="28"/>
      <w:shd w:val="clear" w:color="auto" w:fill="FFFFFF"/>
    </w:rPr>
  </w:style>
  <w:style w:type="paragraph" w:customStyle="1" w:styleId="282">
    <w:name w:val="pan4"/>
    <w:basedOn w:val="188"/>
    <w:link w:val="281"/>
    <w:qFormat/>
    <w:uiPriority w:val="0"/>
    <w:pPr>
      <w:tabs>
        <w:tab w:val="left" w:pos="1680"/>
      </w:tabs>
      <w:ind w:left="1680" w:hanging="420" w:firstLineChars="0"/>
      <w:outlineLvl w:val="3"/>
    </w:pPr>
    <w:rPr>
      <w:rFonts w:ascii="黑体" w:hAnsi="黑体" w:eastAsia="黑体"/>
      <w:sz w:val="28"/>
      <w:szCs w:val="28"/>
    </w:rPr>
  </w:style>
  <w:style w:type="character" w:customStyle="1" w:styleId="283">
    <w:name w:val="138v1"/>
    <w:qFormat/>
    <w:uiPriority w:val="0"/>
  </w:style>
  <w:style w:type="character" w:customStyle="1" w:styleId="284">
    <w:name w:val="批注框文本 Char"/>
    <w:semiHidden/>
    <w:qFormat/>
    <w:uiPriority w:val="0"/>
    <w:rPr>
      <w:kern w:val="2"/>
      <w:sz w:val="18"/>
      <w:szCs w:val="18"/>
      <w:shd w:val="clear" w:color="auto" w:fill="FFFFFF"/>
    </w:rPr>
  </w:style>
  <w:style w:type="character" w:customStyle="1" w:styleId="285">
    <w:name w:val="纯文本 Char1"/>
    <w:qFormat/>
    <w:uiPriority w:val="0"/>
    <w:rPr>
      <w:rFonts w:ascii="宋体" w:hAnsi="Courier New" w:cs="Courier New"/>
      <w:kern w:val="2"/>
      <w:sz w:val="21"/>
      <w:szCs w:val="21"/>
    </w:rPr>
  </w:style>
  <w:style w:type="character" w:customStyle="1" w:styleId="286">
    <w:name w:val="pan5 Char"/>
    <w:link w:val="287"/>
    <w:qFormat/>
    <w:uiPriority w:val="0"/>
    <w:rPr>
      <w:rFonts w:ascii="黑体" w:hAnsi="黑体" w:eastAsia="黑体"/>
      <w:kern w:val="2"/>
      <w:sz w:val="24"/>
      <w:szCs w:val="24"/>
      <w:shd w:val="clear" w:color="auto" w:fill="FFFFFF"/>
    </w:rPr>
  </w:style>
  <w:style w:type="paragraph" w:customStyle="1" w:styleId="287">
    <w:name w:val="pan5"/>
    <w:basedOn w:val="188"/>
    <w:link w:val="286"/>
    <w:qFormat/>
    <w:uiPriority w:val="0"/>
    <w:pPr>
      <w:tabs>
        <w:tab w:val="left" w:pos="1008"/>
      </w:tabs>
      <w:ind w:left="1008" w:hanging="1008" w:firstLineChars="0"/>
      <w:outlineLvl w:val="4"/>
    </w:pPr>
    <w:rPr>
      <w:rFonts w:ascii="黑体" w:hAnsi="黑体" w:eastAsia="黑体"/>
      <w:sz w:val="24"/>
    </w:rPr>
  </w:style>
  <w:style w:type="character" w:customStyle="1" w:styleId="288">
    <w:name w:val="正文文本 3 Char"/>
    <w:qFormat/>
    <w:uiPriority w:val="0"/>
    <w:rPr>
      <w:kern w:val="2"/>
      <w:sz w:val="16"/>
      <w:szCs w:val="16"/>
      <w:shd w:val="clear" w:color="auto" w:fill="FFFFFF"/>
    </w:rPr>
  </w:style>
  <w:style w:type="character" w:customStyle="1" w:styleId="289">
    <w:name w:val="引用 Char"/>
    <w:qFormat/>
    <w:uiPriority w:val="29"/>
    <w:rPr>
      <w:iCs/>
      <w:color w:val="000000"/>
      <w:kern w:val="2"/>
      <w:sz w:val="24"/>
      <w:szCs w:val="24"/>
      <w:shd w:val="clear" w:color="auto" w:fill="FFFFFF"/>
    </w:rPr>
  </w:style>
  <w:style w:type="character" w:customStyle="1" w:styleId="290">
    <w:name w:val="Default Char"/>
    <w:link w:val="291"/>
    <w:qFormat/>
    <w:uiPriority w:val="0"/>
    <w:rPr>
      <w:rFonts w:ascii="宋体" w:hAnsi="Calibri"/>
      <w:color w:val="000000"/>
      <w:sz w:val="24"/>
      <w:szCs w:val="24"/>
      <w:lang w:val="en-US" w:eastAsia="zh-CN" w:bidi="ar-SA"/>
    </w:rPr>
  </w:style>
  <w:style w:type="paragraph" w:customStyle="1" w:styleId="291">
    <w:name w:val="Default"/>
    <w:link w:val="290"/>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2">
    <w:name w:val="tpc_content1"/>
    <w:qFormat/>
    <w:uiPriority w:val="0"/>
    <w:rPr>
      <w:sz w:val="20"/>
      <w:szCs w:val="20"/>
    </w:rPr>
  </w:style>
  <w:style w:type="character" w:customStyle="1" w:styleId="293">
    <w:name w:val="f14b1"/>
    <w:semiHidden/>
    <w:qFormat/>
    <w:uiPriority w:val="0"/>
    <w:rPr>
      <w:b/>
      <w:bCs/>
      <w:sz w:val="21"/>
      <w:szCs w:val="21"/>
    </w:rPr>
  </w:style>
  <w:style w:type="character" w:customStyle="1" w:styleId="294">
    <w:name w:val="f142"/>
    <w:semiHidden/>
    <w:qFormat/>
    <w:uiPriority w:val="0"/>
    <w:rPr>
      <w:sz w:val="21"/>
      <w:szCs w:val="21"/>
    </w:rPr>
  </w:style>
  <w:style w:type="character" w:customStyle="1" w:styleId="295">
    <w:name w:val="正文缩进 Char1"/>
    <w:qFormat/>
    <w:uiPriority w:val="0"/>
    <w:rPr>
      <w:kern w:val="2"/>
      <w:sz w:val="21"/>
    </w:rPr>
  </w:style>
  <w:style w:type="character" w:customStyle="1" w:styleId="296">
    <w:name w:val="明显参考2"/>
    <w:qFormat/>
    <w:uiPriority w:val="32"/>
    <w:rPr>
      <w:rFonts w:eastAsia="宋体"/>
      <w:bCs/>
      <w:smallCaps/>
      <w:color w:val="000000"/>
      <w:spacing w:val="5"/>
      <w:sz w:val="24"/>
      <w:u w:val="single"/>
    </w:rPr>
  </w:style>
  <w:style w:type="character" w:customStyle="1" w:styleId="297">
    <w:name w:val="pan3 Char"/>
    <w:link w:val="298"/>
    <w:qFormat/>
    <w:uiPriority w:val="0"/>
    <w:rPr>
      <w:rFonts w:ascii="黑体" w:hAnsi="黑体" w:eastAsia="黑体"/>
      <w:kern w:val="2"/>
      <w:sz w:val="28"/>
      <w:szCs w:val="28"/>
      <w:shd w:val="clear" w:color="auto" w:fill="FFFFFF"/>
    </w:rPr>
  </w:style>
  <w:style w:type="paragraph" w:customStyle="1" w:styleId="298">
    <w:name w:val="pan3"/>
    <w:basedOn w:val="188"/>
    <w:link w:val="297"/>
    <w:qFormat/>
    <w:uiPriority w:val="0"/>
    <w:pPr>
      <w:tabs>
        <w:tab w:val="left" w:pos="1260"/>
      </w:tabs>
      <w:ind w:left="1260" w:hanging="420" w:firstLineChars="0"/>
      <w:outlineLvl w:val="2"/>
    </w:pPr>
    <w:rPr>
      <w:rFonts w:ascii="黑体" w:hAnsi="黑体" w:eastAsia="黑体"/>
      <w:sz w:val="28"/>
      <w:szCs w:val="28"/>
    </w:rPr>
  </w:style>
  <w:style w:type="character" w:customStyle="1" w:styleId="299">
    <w:name w:val="标题 1 Char"/>
    <w:qFormat/>
    <w:uiPriority w:val="0"/>
    <w:rPr>
      <w:rFonts w:ascii="宋体" w:hAnsi="宋体" w:eastAsia="黑体" w:cs="Times New Roman"/>
      <w:b/>
      <w:bCs/>
      <w:kern w:val="44"/>
      <w:sz w:val="28"/>
      <w:szCs w:val="28"/>
      <w:shd w:val="clear" w:color="auto" w:fill="FFFFFF"/>
    </w:rPr>
  </w:style>
  <w:style w:type="character" w:customStyle="1" w:styleId="300">
    <w:name w:val="方案正文段落 Char"/>
    <w:link w:val="301"/>
    <w:qFormat/>
    <w:uiPriority w:val="0"/>
    <w:rPr>
      <w:kern w:val="2"/>
      <w:sz w:val="21"/>
    </w:rPr>
  </w:style>
  <w:style w:type="paragraph" w:customStyle="1" w:styleId="301">
    <w:name w:val="方案正文段落"/>
    <w:basedOn w:val="1"/>
    <w:link w:val="300"/>
    <w:qFormat/>
    <w:uiPriority w:val="0"/>
    <w:pPr>
      <w:ind w:firstLine="420" w:firstLineChars="200"/>
    </w:pPr>
    <w:rPr>
      <w:rFonts w:ascii="Times New Roman" w:hAnsi="Times New Roman" w:cs="Times New Roman"/>
      <w:kern w:val="2"/>
      <w:szCs w:val="20"/>
    </w:rPr>
  </w:style>
  <w:style w:type="character" w:customStyle="1" w:styleId="302">
    <w:name w:val="text1"/>
    <w:qFormat/>
    <w:uiPriority w:val="0"/>
  </w:style>
  <w:style w:type="character" w:customStyle="1" w:styleId="303">
    <w:name w:val="标题 3 Char"/>
    <w:qFormat/>
    <w:uiPriority w:val="0"/>
    <w:rPr>
      <w:rFonts w:ascii="黑体" w:eastAsia="黑体"/>
      <w:bCs/>
      <w:sz w:val="30"/>
    </w:rPr>
  </w:style>
  <w:style w:type="paragraph" w:customStyle="1" w:styleId="304">
    <w:name w:val="Char1 Char Char Char"/>
    <w:basedOn w:val="1"/>
    <w:qFormat/>
    <w:uiPriority w:val="0"/>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6">
    <w:name w:val="_Style 38"/>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7">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09">
    <w:name w:val="方案标题2"/>
    <w:basedOn w:val="81"/>
    <w:qFormat/>
    <w:uiPriority w:val="0"/>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0">
    <w:name w:val="Char"/>
    <w:basedOn w:val="1"/>
    <w:qFormat/>
    <w:uiPriority w:val="0"/>
    <w:pPr>
      <w:spacing w:after="160" w:line="240" w:lineRule="exact"/>
      <w:jc w:val="left"/>
    </w:pPr>
    <w:rPr>
      <w:rFonts w:ascii="Verdana" w:hAnsi="Verdana" w:eastAsia="仿宋_GB2312"/>
      <w:sz w:val="24"/>
      <w:szCs w:val="20"/>
      <w:lang w:eastAsia="en-US"/>
    </w:rPr>
  </w:style>
  <w:style w:type="paragraph" w:customStyle="1" w:styleId="311">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2">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13">
    <w:name w:val="TOC 标题2"/>
    <w:basedOn w:val="2"/>
    <w:next w:val="1"/>
    <w:qFormat/>
    <w:uiPriority w:val="3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4">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5">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6">
    <w:name w:val="xl103"/>
    <w:basedOn w:val="1"/>
    <w:qFormat/>
    <w:uiPriority w:val="0"/>
    <w:pPr>
      <w:spacing w:beforeAutospacing="1" w:afterAutospacing="1"/>
      <w:jc w:val="left"/>
      <w:textAlignment w:val="center"/>
    </w:pPr>
    <w:rPr>
      <w:color w:val="FF0000"/>
      <w:sz w:val="22"/>
      <w:szCs w:val="22"/>
    </w:rPr>
  </w:style>
  <w:style w:type="paragraph" w:customStyle="1" w:styleId="317">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9">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0">
    <w:name w:val="pa-2"/>
    <w:basedOn w:val="1"/>
    <w:qFormat/>
    <w:uiPriority w:val="0"/>
    <w:pPr>
      <w:spacing w:before="100" w:beforeAutospacing="1" w:after="100" w:afterAutospacing="1"/>
      <w:jc w:val="left"/>
    </w:pPr>
    <w:rPr>
      <w:sz w:val="24"/>
    </w:rPr>
  </w:style>
  <w:style w:type="paragraph" w:customStyle="1" w:styleId="321">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3">
    <w:name w:val="正文样式"/>
    <w:basedOn w:val="33"/>
    <w:qFormat/>
    <w:uiPriority w:val="0"/>
    <w:pPr>
      <w:widowControl w:val="0"/>
      <w:shd w:val="clear" w:color="auto" w:fill="auto"/>
      <w:adjustRightInd/>
      <w:snapToGrid/>
      <w:jc w:val="left"/>
    </w:pPr>
    <w:rPr>
      <w:rFonts w:ascii="宋体" w:cs="宋体"/>
      <w:szCs w:val="20"/>
    </w:rPr>
  </w:style>
  <w:style w:type="paragraph" w:customStyle="1" w:styleId="324">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5">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7">
    <w:name w:val="正文Land"/>
    <w:basedOn w:val="1"/>
    <w:qFormat/>
    <w:uiPriority w:val="0"/>
    <w:pPr>
      <w:spacing w:beforeLines="20" w:afterLines="50"/>
      <w:ind w:firstLine="200" w:firstLineChars="200"/>
    </w:pPr>
    <w:rPr>
      <w:color w:val="000000"/>
      <w:sz w:val="24"/>
    </w:rPr>
  </w:style>
  <w:style w:type="paragraph" w:customStyle="1" w:styleId="328">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0">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3">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5">
    <w:name w:val="样式 (西文) 宋体 行距: 1.5 倍行距"/>
    <w:basedOn w:val="1"/>
    <w:qFormat/>
    <w:uiPriority w:val="0"/>
    <w:pPr>
      <w:widowControl w:val="0"/>
      <w:shd w:val="clear" w:color="auto" w:fill="auto"/>
      <w:tabs>
        <w:tab w:val="clear" w:pos="426"/>
      </w:tabs>
      <w:adjustRightInd/>
      <w:snapToGrid/>
    </w:pPr>
    <w:rPr>
      <w:kern w:val="2"/>
      <w:szCs w:val="20"/>
    </w:rPr>
  </w:style>
  <w:style w:type="paragraph" w:customStyle="1" w:styleId="336">
    <w:name w:val="样式1"/>
    <w:basedOn w:val="1"/>
    <w:qFormat/>
    <w:uiPriority w:val="0"/>
    <w:pPr>
      <w:keepNext/>
      <w:keepLines/>
      <w:spacing w:before="340" w:after="330"/>
      <w:ind w:left="420" w:hanging="420"/>
      <w:outlineLvl w:val="0"/>
    </w:pPr>
    <w:rPr>
      <w:b/>
      <w:kern w:val="44"/>
      <w:sz w:val="44"/>
      <w:szCs w:val="20"/>
    </w:rPr>
  </w:style>
  <w:style w:type="paragraph" w:customStyle="1" w:styleId="33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8">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39">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3">
    <w:name w:val="xl104"/>
    <w:basedOn w:val="1"/>
    <w:qFormat/>
    <w:uiPriority w:val="0"/>
    <w:pPr>
      <w:spacing w:beforeAutospacing="1" w:afterAutospacing="1"/>
      <w:jc w:val="center"/>
    </w:pPr>
    <w:rPr>
      <w:sz w:val="24"/>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5">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6">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7">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49">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0">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1">
    <w:name w:val="附件标题"/>
    <w:basedOn w:val="1"/>
    <w:qFormat/>
    <w:uiPriority w:val="0"/>
    <w:pPr>
      <w:ind w:firstLine="200" w:firstLineChars="200"/>
      <w:jc w:val="center"/>
    </w:pPr>
    <w:rPr>
      <w:rFonts w:ascii="Arial" w:hAnsi="Arial" w:eastAsia="黑体"/>
      <w:sz w:val="24"/>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3">
    <w:name w:val="标题5"/>
    <w:basedOn w:val="18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354">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6">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8">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5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0">
    <w:name w:val="--规划正文"/>
    <w:basedOn w:val="1"/>
    <w:qFormat/>
    <w:uiPriority w:val="0"/>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1">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36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4">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5">
    <w:name w:val="ggbody"/>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6">
    <w:name w:val="!项目ALT+P"/>
    <w:basedOn w:val="1"/>
    <w:qFormat/>
    <w:uiPriority w:val="0"/>
    <w:pPr>
      <w:tabs>
        <w:tab w:val="left" w:pos="420"/>
        <w:tab w:val="clear" w:pos="426"/>
      </w:tabs>
      <w:spacing w:line="320" w:lineRule="atLeast"/>
      <w:ind w:left="420"/>
      <w:textAlignment w:val="baseline"/>
    </w:pPr>
    <w:rPr>
      <w:szCs w:val="21"/>
    </w:rPr>
  </w:style>
  <w:style w:type="paragraph" w:customStyle="1" w:styleId="367">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hAnsi="Times New Roman" w:eastAsia="Arial Unicode MS" w:cs="Times New Roman"/>
      <w:sz w:val="24"/>
    </w:rPr>
  </w:style>
  <w:style w:type="paragraph" w:customStyle="1" w:styleId="368">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0">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1">
    <w:name w:val="正文-1级列表-(1)"/>
    <w:basedOn w:val="1"/>
    <w:qFormat/>
    <w:uiPriority w:val="0"/>
    <w:pPr>
      <w:tabs>
        <w:tab w:val="left" w:pos="420"/>
        <w:tab w:val="clear" w:pos="426"/>
      </w:tabs>
      <w:ind w:left="800"/>
    </w:pPr>
    <w:rPr>
      <w:sz w:val="24"/>
      <w:lang w:val="en-GB"/>
    </w:rPr>
  </w:style>
  <w:style w:type="paragraph" w:customStyle="1" w:styleId="37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4">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5">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6">
    <w:name w:val="5"/>
    <w:basedOn w:val="1"/>
    <w:qFormat/>
    <w:uiPriority w:val="0"/>
    <w:pPr>
      <w:ind w:firstLine="200" w:firstLineChars="200"/>
      <w:jc w:val="left"/>
    </w:pPr>
    <w:rPr>
      <w:sz w:val="24"/>
    </w:rPr>
  </w:style>
  <w:style w:type="paragraph" w:customStyle="1" w:styleId="377">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37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7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0">
    <w:name w:val="参数内容"/>
    <w:basedOn w:val="188"/>
    <w:qFormat/>
    <w:uiPriority w:val="0"/>
    <w:pPr>
      <w:ind w:left="780" w:firstLine="0" w:firstLineChars="0"/>
    </w:pPr>
    <w:rPr>
      <w:szCs w:val="18"/>
    </w:rPr>
  </w:style>
  <w:style w:type="paragraph" w:customStyle="1" w:styleId="381">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382">
    <w:name w:val="样式5"/>
    <w:basedOn w:val="1"/>
    <w:qFormat/>
    <w:uiPriority w:val="0"/>
    <w:pPr>
      <w:tabs>
        <w:tab w:val="left" w:pos="900"/>
      </w:tabs>
      <w:spacing w:beforeLines="50" w:afterLines="50"/>
      <w:ind w:left="900"/>
    </w:pPr>
    <w:rPr>
      <w:rFonts w:eastAsia="仿宋_GB2312"/>
      <w:color w:val="000000"/>
      <w:sz w:val="24"/>
    </w:rPr>
  </w:style>
  <w:style w:type="paragraph" w:customStyle="1" w:styleId="383">
    <w:name w:val="Char Char10 Char Char"/>
    <w:basedOn w:val="24"/>
    <w:qFormat/>
    <w:uiPriority w:val="0"/>
    <w:rPr>
      <w:rFonts w:ascii="Tahoma" w:hAnsi="Tahoma"/>
      <w:sz w:val="24"/>
    </w:rPr>
  </w:style>
  <w:style w:type="paragraph" w:customStyle="1" w:styleId="384">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5">
    <w:name w:val="文档正文"/>
    <w:basedOn w:val="1"/>
    <w:qFormat/>
    <w:uiPriority w:val="0"/>
    <w:pPr>
      <w:spacing w:line="480" w:lineRule="atLeast"/>
      <w:ind w:firstLine="567" w:firstLineChars="200"/>
      <w:textAlignment w:val="baseline"/>
    </w:pPr>
    <w:rPr>
      <w:rFonts w:ascii="长城仿宋"/>
      <w:szCs w:val="20"/>
    </w:rPr>
  </w:style>
  <w:style w:type="paragraph" w:customStyle="1" w:styleId="386">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0">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39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392">
    <w:name w:val="样式 首行缩进:  0 字符"/>
    <w:basedOn w:val="1"/>
    <w:qFormat/>
    <w:uiPriority w:val="0"/>
    <w:pPr>
      <w:ind w:firstLine="200" w:firstLineChars="200"/>
    </w:pPr>
    <w:rPr>
      <w:sz w:val="24"/>
      <w:szCs w:val="20"/>
    </w:rPr>
  </w:style>
  <w:style w:type="paragraph" w:customStyle="1" w:styleId="393">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5">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6">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8">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99">
    <w:name w:val="cqq2"/>
    <w:basedOn w:val="1"/>
    <w:qFormat/>
    <w:uiPriority w:val="0"/>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0">
    <w:name w:val="MaoC2"/>
    <w:basedOn w:val="1"/>
    <w:qFormat/>
    <w:uiPriority w:val="0"/>
    <w:pPr>
      <w:tabs>
        <w:tab w:val="left" w:pos="510"/>
      </w:tabs>
      <w:spacing w:line="480" w:lineRule="auto"/>
      <w:ind w:left="420" w:hanging="420"/>
      <w:outlineLvl w:val="1"/>
    </w:pPr>
    <w:rPr>
      <w:rFonts w:ascii="黑体" w:eastAsia="黑体"/>
      <w:szCs w:val="20"/>
    </w:rPr>
  </w:style>
  <w:style w:type="paragraph" w:customStyle="1" w:styleId="40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2">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paragraph" w:customStyle="1" w:styleId="40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405">
    <w:name w:val="主题"/>
    <w:basedOn w:val="1"/>
    <w:qFormat/>
    <w:uiPriority w:val="0"/>
  </w:style>
  <w:style w:type="paragraph" w:customStyle="1" w:styleId="406">
    <w:name w:val="ggtitle"/>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408">
    <w:name w:val="修订1"/>
    <w:unhideWhenUsed/>
    <w:qFormat/>
    <w:uiPriority w:val="99"/>
    <w:rPr>
      <w:rFonts w:ascii="宋体" w:hAnsi="宋体" w:eastAsia="宋体" w:cs="宋体"/>
      <w:sz w:val="21"/>
      <w:szCs w:val="24"/>
      <w:lang w:val="en-US" w:eastAsia="zh-CN" w:bidi="ar-SA"/>
    </w:rPr>
  </w:style>
  <w:style w:type="paragraph" w:customStyle="1" w:styleId="409">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41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2">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3">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414">
    <w:name w:val="自定义正文"/>
    <w:basedOn w:val="1"/>
    <w:qFormat/>
    <w:uiPriority w:val="0"/>
    <w:pPr>
      <w:spacing w:afterLines="50"/>
      <w:ind w:left="600" w:leftChars="600"/>
    </w:pPr>
  </w:style>
  <w:style w:type="paragraph" w:customStyle="1" w:styleId="415">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6">
    <w:name w:val="Char Char Char Char Char"/>
    <w:basedOn w:val="1"/>
    <w:qFormat/>
    <w:uiPriority w:val="0"/>
    <w:rPr>
      <w:rFonts w:ascii="Tahoma" w:hAnsi="Tahoma"/>
      <w:sz w:val="24"/>
      <w:szCs w:val="20"/>
    </w:rPr>
  </w:style>
  <w:style w:type="paragraph" w:customStyle="1" w:styleId="417">
    <w:name w:val="È±Ê¡ÎÄ±¾"/>
    <w:basedOn w:val="1"/>
    <w:qFormat/>
    <w:uiPriority w:val="0"/>
    <w:pPr>
      <w:overflowPunct w:val="0"/>
      <w:autoSpaceDE w:val="0"/>
      <w:autoSpaceDN w:val="0"/>
      <w:jc w:val="left"/>
      <w:textAlignment w:val="baseline"/>
    </w:pPr>
    <w:rPr>
      <w:sz w:val="24"/>
      <w:szCs w:val="20"/>
    </w:rPr>
  </w:style>
  <w:style w:type="paragraph" w:customStyle="1" w:styleId="4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19">
    <w:name w:val="USE 4"/>
    <w:basedOn w:val="1"/>
    <w:qFormat/>
    <w:uiPriority w:val="0"/>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0">
    <w:name w:val="表1"/>
    <w:basedOn w:val="1"/>
    <w:qFormat/>
    <w:uiPriority w:val="0"/>
    <w:pPr>
      <w:widowControl w:val="0"/>
      <w:shd w:val="clear" w:color="auto" w:fill="auto"/>
      <w:tabs>
        <w:tab w:val="clear" w:pos="426"/>
      </w:tabs>
      <w:adjustRightInd/>
      <w:snapToGrid/>
      <w:spacing w:line="240" w:lineRule="auto"/>
    </w:pPr>
    <w:rPr>
      <w:rFonts w:hint="eastAsia" w:ascii="Times New Roman" w:cs="Times New Roman"/>
      <w:kern w:val="2"/>
      <w:sz w:val="24"/>
      <w:szCs w:val="20"/>
    </w:rPr>
  </w:style>
  <w:style w:type="paragraph" w:customStyle="1" w:styleId="421">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2">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3">
    <w:name w:val="附件圈"/>
    <w:basedOn w:val="424"/>
    <w:qFormat/>
    <w:uiPriority w:val="0"/>
    <w:pPr>
      <w:tabs>
        <w:tab w:val="left" w:pos="420"/>
        <w:tab w:val="left" w:pos="426"/>
      </w:tabs>
      <w:ind w:left="0" w:firstLine="420"/>
    </w:pPr>
  </w:style>
  <w:style w:type="paragraph" w:customStyle="1" w:styleId="424">
    <w:name w:val="附件(1)"/>
    <w:basedOn w:val="1"/>
    <w:qFormat/>
    <w:uiPriority w:val="0"/>
    <w:pPr>
      <w:ind w:left="900" w:firstLine="200" w:firstLineChars="200"/>
    </w:pPr>
    <w:rPr>
      <w:sz w:val="24"/>
    </w:rPr>
  </w:style>
  <w:style w:type="paragraph" w:customStyle="1" w:styleId="425">
    <w:name w:val="样式 10 磅"/>
    <w:qFormat/>
    <w:uiPriority w:val="0"/>
    <w:pPr>
      <w:shd w:val="clear" w:color="auto" w:fill="FFFFFF"/>
      <w:tabs>
        <w:tab w:val="left" w:pos="426"/>
      </w:tabs>
      <w:adjustRightInd w:val="0"/>
      <w:snapToGrid w:val="0"/>
      <w:jc w:val="center"/>
    </w:pPr>
    <w:rPr>
      <w:rFonts w:ascii="宋体" w:hAnsi="Times New Roman" w:eastAsia="宋体" w:cs="宋体"/>
      <w:sz w:val="21"/>
      <w:szCs w:val="24"/>
      <w:lang w:val="en-US" w:eastAsia="zh-CN" w:bidi="ar-SA"/>
    </w:rPr>
  </w:style>
  <w:style w:type="paragraph" w:customStyle="1" w:styleId="426">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28">
    <w:name w:val="方案标题1"/>
    <w:basedOn w:val="81"/>
    <w:qFormat/>
    <w:uiPriority w:val="0"/>
    <w:pPr>
      <w:tabs>
        <w:tab w:val="left" w:pos="1440"/>
      </w:tabs>
      <w:spacing w:beforeLines="50" w:afterLines="50"/>
      <w:ind w:firstLine="200" w:firstLineChars="200"/>
      <w:jc w:val="both"/>
    </w:pPr>
    <w:rPr>
      <w:color w:val="000000"/>
    </w:rPr>
  </w:style>
  <w:style w:type="paragraph" w:customStyle="1" w:styleId="429">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0">
    <w:name w:val="标题1"/>
    <w:basedOn w:val="2"/>
    <w:qFormat/>
    <w:uiPriority w:val="0"/>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431">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2">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3">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4">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5">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7">
    <w:name w:val="CM51"/>
    <w:basedOn w:val="291"/>
    <w:next w:val="291"/>
    <w:qFormat/>
    <w:uiPriority w:val="0"/>
    <w:pPr>
      <w:spacing w:after="103"/>
    </w:pPr>
    <w:rPr>
      <w:rFonts w:ascii="黑体" w:eastAsia="黑体"/>
      <w:color w:val="auto"/>
    </w:rPr>
  </w:style>
  <w:style w:type="paragraph" w:customStyle="1" w:styleId="438">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9">
    <w:name w:val="样式3"/>
    <w:basedOn w:val="1"/>
    <w:qFormat/>
    <w:uiPriority w:val="0"/>
    <w:pPr>
      <w:ind w:left="1620" w:hanging="420"/>
      <w:outlineLvl w:val="2"/>
    </w:pPr>
    <w:rPr>
      <w:b/>
    </w:rPr>
  </w:style>
  <w:style w:type="paragraph" w:customStyle="1" w:styleId="440">
    <w:name w:val="目录"/>
    <w:basedOn w:val="1"/>
    <w:qFormat/>
    <w:uiPriority w:val="0"/>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2">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4">
    <w:name w:val="font5"/>
    <w:basedOn w:val="1"/>
    <w:qFormat/>
    <w:uiPriority w:val="0"/>
    <w:pPr>
      <w:spacing w:before="100" w:beforeAutospacing="1" w:after="100" w:afterAutospacing="1"/>
      <w:jc w:val="left"/>
    </w:pPr>
    <w:rPr>
      <w:sz w:val="18"/>
      <w:szCs w:val="18"/>
    </w:rPr>
  </w:style>
  <w:style w:type="paragraph" w:customStyle="1" w:styleId="445">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6">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7">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8">
    <w:name w:val="样式 USE 1 + 行距: 单倍行距"/>
    <w:basedOn w:val="1"/>
    <w:qFormat/>
    <w:uiPriority w:val="0"/>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4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2">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3">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454">
    <w:name w:val="样式 标题 1 + 段前: 0.5 行 段后: 0.5 行"/>
    <w:basedOn w:val="2"/>
    <w:qFormat/>
    <w:uiPriority w:val="0"/>
    <w:pPr>
      <w:keepNext/>
      <w:keepLines/>
      <w:spacing w:beforeLines="50" w:afterLines="50" w:line="578" w:lineRule="auto"/>
      <w:jc w:val="both"/>
    </w:pPr>
    <w:rPr>
      <w:rFonts w:ascii="Times New Roman" w:hAnsi="Times New Roman" w:eastAsia="宋体" w:cs="宋体"/>
      <w:sz w:val="44"/>
      <w:szCs w:val="20"/>
    </w:rPr>
  </w:style>
  <w:style w:type="paragraph" w:customStyle="1" w:styleId="455">
    <w:name w:val="样式2"/>
    <w:basedOn w:val="2"/>
    <w:qFormat/>
    <w:uiPriority w:val="0"/>
    <w:pPr>
      <w:keepNext/>
      <w:keepLines/>
      <w:spacing w:before="0" w:after="0" w:line="578" w:lineRule="auto"/>
      <w:ind w:left="1200" w:hanging="420"/>
      <w:jc w:val="both"/>
    </w:pPr>
    <w:rPr>
      <w:rFonts w:eastAsia="宋体"/>
      <w:szCs w:val="44"/>
    </w:rPr>
  </w:style>
  <w:style w:type="paragraph" w:customStyle="1" w:styleId="45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7">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8">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59">
    <w:name w:val="p0"/>
    <w:basedOn w:val="1"/>
    <w:qFormat/>
    <w:uiPriority w:val="0"/>
    <w:rPr>
      <w:rFonts w:ascii="Calibri" w:hAnsi="Calibri"/>
      <w:szCs w:val="21"/>
    </w:rPr>
  </w:style>
  <w:style w:type="paragraph" w:customStyle="1" w:styleId="460">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1">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2">
    <w:name w:val="TOC 标题1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46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4">
    <w:name w:val="样式 题注 + 行距: 固定值 23 磅"/>
    <w:basedOn w:val="20"/>
    <w:qFormat/>
    <w:uiPriority w:val="0"/>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5">
    <w:name w:val="方案标题3"/>
    <w:basedOn w:val="81"/>
    <w:qFormat/>
    <w:uiPriority w:val="0"/>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6">
    <w:name w:val="font6"/>
    <w:basedOn w:val="1"/>
    <w:qFormat/>
    <w:uiPriority w:val="0"/>
    <w:pPr>
      <w:spacing w:beforeAutospacing="1" w:afterAutospacing="1"/>
      <w:jc w:val="left"/>
    </w:pPr>
    <w:rPr>
      <w:sz w:val="18"/>
      <w:szCs w:val="18"/>
    </w:rPr>
  </w:style>
  <w:style w:type="paragraph" w:customStyle="1" w:styleId="467">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8">
    <w:name w:val="表标题"/>
    <w:basedOn w:val="1"/>
    <w:qFormat/>
    <w:uiPriority w:val="0"/>
    <w:pPr>
      <w:jc w:val="center"/>
    </w:pPr>
    <w:rPr>
      <w:rFonts w:eastAsia="黑体"/>
      <w:b/>
    </w:rPr>
  </w:style>
  <w:style w:type="paragraph" w:customStyle="1" w:styleId="469">
    <w:name w:val="图"/>
    <w:basedOn w:val="1"/>
    <w:qFormat/>
    <w:uiPriority w:val="0"/>
    <w:pPr>
      <w:keepNext/>
      <w:spacing w:before="60" w:after="60" w:line="300" w:lineRule="auto"/>
      <w:jc w:val="center"/>
    </w:pPr>
    <w:rPr>
      <w:spacing w:val="20"/>
      <w:sz w:val="24"/>
      <w:szCs w:val="20"/>
    </w:rPr>
  </w:style>
  <w:style w:type="paragraph" w:customStyle="1" w:styleId="470">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472">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3">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474">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5">
    <w:name w:val="附录"/>
    <w:basedOn w:val="20"/>
    <w:next w:val="1"/>
    <w:qFormat/>
    <w:uiPriority w:val="0"/>
    <w:pPr>
      <w:widowControl w:val="0"/>
      <w:shd w:val="clear" w:color="auto" w:fill="auto"/>
      <w:adjustRightInd/>
      <w:snapToGrid/>
      <w:spacing w:before="152" w:after="160" w:line="240" w:lineRule="auto"/>
    </w:pPr>
    <w:rPr>
      <w:kern w:val="2"/>
    </w:rPr>
  </w:style>
  <w:style w:type="paragraph" w:customStyle="1" w:styleId="476">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7">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8">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79">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0">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2">
    <w:name w:val="Char Char Char1"/>
    <w:basedOn w:val="1"/>
    <w:qFormat/>
    <w:uiPriority w:val="0"/>
    <w:rPr>
      <w:rFonts w:ascii="Tahoma" w:hAnsi="Tahoma"/>
      <w:sz w:val="24"/>
      <w:szCs w:val="20"/>
    </w:rPr>
  </w:style>
  <w:style w:type="paragraph" w:customStyle="1" w:styleId="483">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5">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6">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7">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8">
    <w:name w:val="方案设计2级标题"/>
    <w:basedOn w:val="188"/>
    <w:qFormat/>
    <w:uiPriority w:val="0"/>
    <w:pPr>
      <w:ind w:left="1402" w:firstLine="0" w:firstLineChars="0"/>
      <w:outlineLvl w:val="1"/>
    </w:pPr>
    <w:rPr>
      <w:rFonts w:ascii="黑体" w:hAnsi="黑体" w:eastAsia="黑体"/>
      <w:sz w:val="32"/>
      <w:szCs w:val="32"/>
    </w:rPr>
  </w:style>
  <w:style w:type="paragraph" w:customStyle="1" w:styleId="489">
    <w:name w:val="方案设计1级标题"/>
    <w:basedOn w:val="18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490">
    <w:name w:val="xl101"/>
    <w:basedOn w:val="1"/>
    <w:qFormat/>
    <w:uiPriority w:val="0"/>
    <w:pPr>
      <w:spacing w:beforeAutospacing="1" w:afterAutospacing="1"/>
      <w:jc w:val="left"/>
      <w:textAlignment w:val="center"/>
    </w:pPr>
    <w:rPr>
      <w:color w:val="FF0000"/>
      <w:sz w:val="20"/>
      <w:szCs w:val="20"/>
    </w:rPr>
  </w:style>
  <w:style w:type="paragraph" w:customStyle="1" w:styleId="491">
    <w:name w:val="样式4"/>
    <w:basedOn w:val="188"/>
    <w:qFormat/>
    <w:uiPriority w:val="0"/>
    <w:pPr>
      <w:ind w:left="2040" w:firstLine="0" w:firstLineChars="0"/>
      <w:jc w:val="left"/>
      <w:outlineLvl w:val="3"/>
    </w:pPr>
    <w:rPr>
      <w:rFonts w:ascii="宋体" w:hAnsi="宋体"/>
    </w:rPr>
  </w:style>
  <w:style w:type="paragraph" w:customStyle="1" w:styleId="492">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3">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4">
    <w:name w:val="xl87"/>
    <w:basedOn w:val="1"/>
    <w:qFormat/>
    <w:uiPriority w:val="0"/>
    <w:pPr>
      <w:spacing w:beforeAutospacing="1" w:afterAutospacing="1"/>
      <w:jc w:val="left"/>
    </w:pPr>
    <w:rPr>
      <w:sz w:val="24"/>
    </w:rPr>
  </w:style>
  <w:style w:type="paragraph" w:customStyle="1" w:styleId="495">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496">
    <w:name w:val="倪芳"/>
    <w:basedOn w:val="1"/>
    <w:qFormat/>
    <w:uiPriority w:val="0"/>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7">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499">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0">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USE 2"/>
    <w:basedOn w:val="1"/>
    <w:qFormat/>
    <w:uiPriority w:val="0"/>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2">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3">
    <w:name w:val="图目录4"/>
    <w:basedOn w:val="1"/>
    <w:next w:val="1"/>
    <w:qFormat/>
    <w:uiPriority w:val="0"/>
    <w:pPr>
      <w:tabs>
        <w:tab w:val="left" w:pos="737"/>
      </w:tabs>
      <w:ind w:left="737" w:hanging="448"/>
      <w:jc w:val="center"/>
      <w:textAlignment w:val="baseline"/>
    </w:pPr>
    <w:rPr>
      <w:szCs w:val="20"/>
    </w:rPr>
  </w:style>
  <w:style w:type="paragraph" w:customStyle="1" w:styleId="504">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5">
    <w:name w:val="下级参数内容"/>
    <w:basedOn w:val="188"/>
    <w:qFormat/>
    <w:uiPriority w:val="0"/>
    <w:pPr>
      <w:ind w:left="1134" w:firstLine="0" w:firstLineChars="0"/>
    </w:pPr>
    <w:rPr>
      <w:rFonts w:ascii="仿宋" w:hAnsi="仿宋"/>
    </w:rPr>
  </w:style>
  <w:style w:type="paragraph" w:customStyle="1" w:styleId="50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7">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09">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0">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1">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2">
    <w:name w:val="表1黑体居中"/>
    <w:basedOn w:val="1"/>
    <w:qFormat/>
    <w:uiPriority w:val="0"/>
    <w:pPr>
      <w:ind w:firstLine="435"/>
      <w:jc w:val="center"/>
      <w:textAlignment w:val="baseline"/>
    </w:pPr>
    <w:rPr>
      <w:rFonts w:ascii="黑体" w:eastAsia="黑体"/>
      <w:szCs w:val="21"/>
    </w:rPr>
  </w:style>
  <w:style w:type="paragraph" w:customStyle="1" w:styleId="513">
    <w:name w:val="Char Char"/>
    <w:basedOn w:val="1"/>
    <w:qFormat/>
    <w:uiPriority w:val="0"/>
    <w:rPr>
      <w:rFonts w:ascii="Tahoma" w:hAnsi="Tahoma"/>
      <w:sz w:val="24"/>
      <w:szCs w:val="20"/>
    </w:rPr>
  </w:style>
  <w:style w:type="paragraph" w:customStyle="1" w:styleId="514">
    <w:name w:val="Char Char Char"/>
    <w:basedOn w:val="1"/>
    <w:qFormat/>
    <w:uiPriority w:val="0"/>
    <w:rPr>
      <w:rFonts w:ascii="Tahoma" w:hAnsi="Tahoma"/>
      <w:sz w:val="24"/>
      <w:szCs w:val="20"/>
    </w:rPr>
  </w:style>
  <w:style w:type="paragraph" w:customStyle="1" w:styleId="515">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516">
    <w:name w:val="USE 5"/>
    <w:basedOn w:val="1"/>
    <w:qFormat/>
    <w:uiPriority w:val="0"/>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8">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19">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1">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eastAsia="Arial Unicode MS" w:cs="Arial Unicode MS"/>
      <w:color w:val="000000"/>
      <w:sz w:val="18"/>
      <w:szCs w:val="18"/>
    </w:rPr>
  </w:style>
  <w:style w:type="paragraph" w:customStyle="1" w:styleId="522">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4">
    <w:name w:val="Bulleted Items--Level 2"/>
    <w:basedOn w:val="1"/>
    <w:qFormat/>
    <w:uiPriority w:val="0"/>
    <w:pPr>
      <w:tabs>
        <w:tab w:val="left" w:pos="1771"/>
        <w:tab w:val="left" w:pos="2520"/>
      </w:tabs>
      <w:spacing w:line="280" w:lineRule="exact"/>
      <w:ind w:left="2520"/>
    </w:pPr>
    <w:rPr>
      <w:color w:val="000000"/>
      <w:sz w:val="22"/>
      <w:szCs w:val="20"/>
      <w:lang w:eastAsia="en-US"/>
    </w:rPr>
  </w:style>
  <w:style w:type="paragraph" w:customStyle="1" w:styleId="52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6">
    <w:name w:val="USE 3"/>
    <w:basedOn w:val="1"/>
    <w:qFormat/>
    <w:uiPriority w:val="0"/>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29">
    <w:name w:val="Table Normal"/>
    <w:qFormat/>
    <w:uiPriority w:val="0"/>
    <w:pPr>
      <w:spacing w:line="360" w:lineRule="auto"/>
      <w:jc w:val="both"/>
    </w:pPr>
    <w:tblPr>
      <w:tblCellMar>
        <w:top w:w="0" w:type="dxa"/>
        <w:left w:w="0" w:type="dxa"/>
        <w:bottom w:w="0" w:type="dxa"/>
        <w:right w:w="0" w:type="dxa"/>
      </w:tblCellMar>
    </w:tblPr>
  </w:style>
  <w:style w:type="table" w:customStyle="1" w:styleId="530">
    <w:name w:val="网格型1"/>
    <w:basedOn w:val="8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Normal1"/>
    <w:qFormat/>
    <w:uiPriority w:val="0"/>
    <w:pPr>
      <w:spacing w:line="360" w:lineRule="auto"/>
      <w:jc w:val="both"/>
    </w:pPr>
    <w:tblPr>
      <w:tblCellMar>
        <w:top w:w="0" w:type="dxa"/>
        <w:left w:w="0" w:type="dxa"/>
        <w:bottom w:w="0" w:type="dxa"/>
        <w:right w:w="0" w:type="dxa"/>
      </w:tblCellMar>
    </w:tblPr>
  </w:style>
  <w:style w:type="table" w:customStyle="1" w:styleId="532">
    <w:name w:val="Table Normal11"/>
    <w:unhideWhenUsed/>
    <w:qFormat/>
    <w:uiPriority w:val="2"/>
    <w:pPr>
      <w:widowControl w:val="0"/>
    </w:pPr>
    <w:rPr>
      <w:rFonts w:ascii="Calibri" w:hAnsi="Calibri"/>
      <w:sz w:val="22"/>
      <w:szCs w:val="22"/>
    </w:rPr>
    <w:tblPr>
      <w:tblCellMar>
        <w:top w:w="0" w:type="dxa"/>
        <w:left w:w="0" w:type="dxa"/>
        <w:bottom w:w="0" w:type="dxa"/>
        <w:right w:w="0" w:type="dxa"/>
      </w:tblCellMar>
    </w:tblPr>
  </w:style>
  <w:style w:type="paragraph" w:customStyle="1" w:styleId="533">
    <w:name w:val="Other|1"/>
    <w:basedOn w:val="1"/>
    <w:qFormat/>
    <w:uiPriority w:val="0"/>
    <w:pPr>
      <w:spacing w:line="310" w:lineRule="auto"/>
    </w:pPr>
    <w:rPr>
      <w:sz w:val="18"/>
      <w:szCs w:val="18"/>
      <w:lang w:val="zh-TW" w:eastAsia="zh-TW" w:bidi="zh-TW"/>
    </w:rPr>
  </w:style>
  <w:style w:type="paragraph" w:customStyle="1" w:styleId="534">
    <w:name w:val="Body text|1"/>
    <w:basedOn w:val="1"/>
    <w:link w:val="535"/>
    <w:qFormat/>
    <w:uiPriority w:val="0"/>
    <w:pPr>
      <w:spacing w:line="310" w:lineRule="auto"/>
    </w:pPr>
    <w:rPr>
      <w:sz w:val="18"/>
      <w:szCs w:val="18"/>
      <w:lang w:val="zh-TW" w:eastAsia="zh-TW" w:bidi="zh-TW"/>
    </w:rPr>
  </w:style>
  <w:style w:type="character" w:customStyle="1" w:styleId="535">
    <w:name w:val="Body text|1_"/>
    <w:link w:val="534"/>
    <w:qFormat/>
    <w:uiPriority w:val="0"/>
    <w:rPr>
      <w:rFonts w:ascii="宋体" w:hAnsi="宋体" w:cs="宋体"/>
      <w:sz w:val="18"/>
      <w:szCs w:val="18"/>
      <w:shd w:val="clear" w:color="auto" w:fill="FFFFFF"/>
      <w:lang w:val="zh-TW" w:eastAsia="zh-TW" w:bidi="zh-TW"/>
    </w:rPr>
  </w:style>
  <w:style w:type="paragraph" w:customStyle="1" w:styleId="536">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样式 312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8">
    <w:name w:val="样式 315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9">
    <w:name w:val="样式 316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0">
    <w:name w:val="样式 320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1">
    <w:name w:val="样式 36 11 磅"/>
    <w:qFormat/>
    <w:uiPriority w:val="0"/>
    <w:pPr>
      <w:spacing w:after="160" w:line="259" w:lineRule="auto"/>
    </w:pPr>
    <w:rPr>
      <w:rFonts w:ascii="Calibri" w:hAnsi="Calibri" w:eastAsia="Calibri" w:cs="Calibri"/>
      <w:color w:val="000000"/>
      <w:kern w:val="2"/>
      <w:sz w:val="22"/>
      <w:szCs w:val="22"/>
      <w:lang w:val="en-US" w:eastAsia="en-US" w:bidi="ar-SA"/>
    </w:rPr>
  </w:style>
  <w:style w:type="character" w:customStyle="1" w:styleId="542">
    <w:name w:val="批注文字 字符1"/>
    <w:qFormat/>
    <w:uiPriority w:val="0"/>
    <w:rPr>
      <w:rFonts w:ascii="宋体"/>
      <w:sz w:val="34"/>
      <w:shd w:val="clear" w:color="auto" w:fill="FFFFFF"/>
    </w:rPr>
  </w:style>
  <w:style w:type="paragraph" w:customStyle="1" w:styleId="543">
    <w:name w:val="修订2"/>
    <w:hidden/>
    <w:unhideWhenUsed/>
    <w:qFormat/>
    <w:uiPriority w:val="99"/>
    <w:rPr>
      <w:rFonts w:ascii="宋体" w:hAnsi="宋体" w:eastAsia="宋体" w:cs="宋体"/>
      <w:sz w:val="21"/>
      <w:szCs w:val="24"/>
      <w:lang w:val="en-US" w:eastAsia="zh-CN" w:bidi="ar-SA"/>
    </w:rPr>
  </w:style>
  <w:style w:type="paragraph" w:customStyle="1" w:styleId="544">
    <w:name w:val="修订3"/>
    <w:hidden/>
    <w:unhideWhenUsed/>
    <w:qFormat/>
    <w:uiPriority w:val="99"/>
    <w:rPr>
      <w:rFonts w:ascii="宋体" w:hAnsi="宋体" w:eastAsia="宋体" w:cs="宋体"/>
      <w:sz w:val="21"/>
      <w:szCs w:val="24"/>
      <w:lang w:val="en-US" w:eastAsia="zh-CN" w:bidi="ar-SA"/>
    </w:rPr>
  </w:style>
  <w:style w:type="character" w:customStyle="1" w:styleId="545">
    <w:name w:val="font41"/>
    <w:basedOn w:val="130"/>
    <w:qFormat/>
    <w:uiPriority w:val="0"/>
    <w:rPr>
      <w:rFonts w:hint="eastAsia" w:ascii="宋体" w:hAnsi="宋体" w:eastAsia="宋体" w:cs="宋体"/>
      <w:color w:val="000000"/>
      <w:sz w:val="20"/>
      <w:szCs w:val="20"/>
      <w:u w:val="none"/>
    </w:rPr>
  </w:style>
  <w:style w:type="table" w:customStyle="1" w:styleId="546">
    <w:name w:val="网格型2"/>
    <w:basedOn w:val="85"/>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表格备注"/>
    <w:basedOn w:val="1"/>
    <w:link w:val="548"/>
    <w:qFormat/>
    <w:uiPriority w:val="0"/>
    <w:pPr>
      <w:spacing w:line="240" w:lineRule="auto"/>
      <w:ind w:firstLine="422" w:firstLineChars="200"/>
    </w:pPr>
    <w:rPr>
      <w:b/>
    </w:rPr>
  </w:style>
  <w:style w:type="character" w:customStyle="1" w:styleId="548">
    <w:name w:val="表格备注 字符"/>
    <w:basedOn w:val="130"/>
    <w:link w:val="547"/>
    <w:qFormat/>
    <w:uiPriority w:val="0"/>
    <w:rPr>
      <w:rFonts w:ascii="宋体" w:hAnsi="宋体" w:cs="宋体"/>
      <w:b/>
      <w:sz w:val="21"/>
      <w:szCs w:val="24"/>
      <w:shd w:val="clear" w:color="auto" w:fill="FFFFFF"/>
    </w:rPr>
  </w:style>
  <w:style w:type="paragraph" w:customStyle="1" w:styleId="549">
    <w:name w:val="0编制指引"/>
    <w:basedOn w:val="1"/>
    <w:link w:val="550"/>
    <w:qFormat/>
    <w:uiPriority w:val="0"/>
    <w:pPr>
      <w:tabs>
        <w:tab w:val="clear" w:pos="426"/>
      </w:tabs>
      <w:spacing w:line="240" w:lineRule="auto"/>
      <w:jc w:val="left"/>
      <w:outlineLvl w:val="4"/>
    </w:pPr>
    <w:rPr>
      <w:i/>
      <w:iCs/>
      <w:color w:val="00B050"/>
    </w:rPr>
  </w:style>
  <w:style w:type="character" w:customStyle="1" w:styleId="550">
    <w:name w:val="0编制指引 字符"/>
    <w:basedOn w:val="130"/>
    <w:link w:val="549"/>
    <w:qFormat/>
    <w:uiPriority w:val="0"/>
    <w:rPr>
      <w:rFonts w:ascii="宋体" w:hAnsi="宋体" w:cs="宋体"/>
      <w:i/>
      <w:iCs/>
      <w:color w:val="00B050"/>
      <w:sz w:val="21"/>
      <w:szCs w:val="24"/>
      <w:shd w:val="clear" w:color="auto" w:fill="FFFFFF"/>
    </w:rPr>
  </w:style>
  <w:style w:type="paragraph" w:customStyle="1" w:styleId="551">
    <w:name w:val="0五号正文"/>
    <w:basedOn w:val="1"/>
    <w:link w:val="552"/>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552">
    <w:name w:val="0五号正文 字符"/>
    <w:basedOn w:val="130"/>
    <w:link w:val="551"/>
    <w:qFormat/>
    <w:uiPriority w:val="0"/>
    <w:rPr>
      <w:rFonts w:ascii="宋体" w:hAnsi="宋体"/>
      <w:kern w:val="2"/>
      <w:sz w:val="21"/>
      <w:szCs w:val="21"/>
    </w:rPr>
  </w:style>
  <w:style w:type="paragraph" w:customStyle="1" w:styleId="553">
    <w:name w:val="修订4"/>
    <w:hidden/>
    <w:unhideWhenUsed/>
    <w:qFormat/>
    <w:uiPriority w:val="99"/>
    <w:rPr>
      <w:rFonts w:ascii="宋体" w:hAnsi="宋体" w:eastAsia="宋体" w:cs="宋体"/>
      <w:sz w:val="21"/>
      <w:szCs w:val="24"/>
      <w:lang w:val="en-US" w:eastAsia="zh-CN" w:bidi="ar-SA"/>
    </w:rPr>
  </w:style>
  <w:style w:type="paragraph" w:customStyle="1" w:styleId="554">
    <w:name w:val="Z3级左对齐标题"/>
    <w:basedOn w:val="1"/>
    <w:qFormat/>
    <w:uiPriority w:val="0"/>
    <w:pPr>
      <w:numPr>
        <w:ilvl w:val="0"/>
        <w:numId w:val="1"/>
      </w:numPr>
      <w:spacing w:before="280" w:after="290" w:line="377" w:lineRule="auto"/>
      <w:outlineLvl w:val="2"/>
    </w:pPr>
    <w:rPr>
      <w:b/>
      <w:sz w:val="24"/>
    </w:rPr>
  </w:style>
  <w:style w:type="paragraph" w:customStyle="1" w:styleId="555">
    <w:name w:val="修订5"/>
    <w:hidden/>
    <w:unhideWhenUsed/>
    <w:qFormat/>
    <w:uiPriority w:val="99"/>
    <w:rPr>
      <w:rFonts w:ascii="宋体" w:hAnsi="宋体" w:eastAsia="宋体" w:cs="宋体"/>
      <w:sz w:val="21"/>
      <w:szCs w:val="24"/>
      <w:lang w:val="en-US" w:eastAsia="zh-CN" w:bidi="ar-SA"/>
    </w:rPr>
  </w:style>
  <w:style w:type="paragraph" w:customStyle="1" w:styleId="556">
    <w:name w:val="修订6"/>
    <w:hidden/>
    <w:unhideWhenUsed/>
    <w:qFormat/>
    <w:uiPriority w:val="99"/>
    <w:rPr>
      <w:rFonts w:ascii="宋体" w:hAnsi="宋体" w:eastAsia="宋体" w:cs="宋体"/>
      <w:sz w:val="21"/>
      <w:szCs w:val="24"/>
      <w:lang w:val="en-US" w:eastAsia="zh-CN" w:bidi="ar-SA"/>
    </w:rPr>
  </w:style>
  <w:style w:type="paragraph" w:customStyle="1" w:styleId="557">
    <w:name w:val="修订7"/>
    <w:hidden/>
    <w:unhideWhenUsed/>
    <w:qFormat/>
    <w:uiPriority w:val="99"/>
    <w:rPr>
      <w:rFonts w:ascii="宋体" w:hAnsi="宋体" w:eastAsia="宋体" w:cs="宋体"/>
      <w:sz w:val="21"/>
      <w:szCs w:val="24"/>
      <w:lang w:val="en-US" w:eastAsia="zh-CN" w:bidi="ar-SA"/>
    </w:rPr>
  </w:style>
  <w:style w:type="paragraph" w:customStyle="1" w:styleId="558">
    <w:name w:val="修订8"/>
    <w:hidden/>
    <w:unhideWhenUsed/>
    <w:qFormat/>
    <w:uiPriority w:val="99"/>
    <w:rPr>
      <w:rFonts w:ascii="宋体" w:hAnsi="宋体" w:eastAsia="宋体" w:cs="宋体"/>
      <w:sz w:val="21"/>
      <w:szCs w:val="24"/>
      <w:lang w:val="en-US" w:eastAsia="zh-CN" w:bidi="ar-SA"/>
    </w:rPr>
  </w:style>
  <w:style w:type="paragraph" w:styleId="5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修订9"/>
    <w:hidden/>
    <w:unhideWhenUsed/>
    <w:qFormat/>
    <w:uiPriority w:val="99"/>
    <w:rPr>
      <w:rFonts w:ascii="宋体" w:hAnsi="宋体" w:eastAsia="宋体" w:cs="宋体"/>
      <w:sz w:val="21"/>
      <w:szCs w:val="24"/>
      <w:lang w:val="en-US" w:eastAsia="zh-CN" w:bidi="ar-SA"/>
    </w:rPr>
  </w:style>
  <w:style w:type="character" w:customStyle="1" w:styleId="561">
    <w:name w:val="font21"/>
    <w:basedOn w:val="130"/>
    <w:qFormat/>
    <w:uiPriority w:val="0"/>
    <w:rPr>
      <w:rFonts w:hint="eastAsia" w:ascii="宋体" w:hAnsi="宋体" w:eastAsia="宋体" w:cs="宋体"/>
      <w:b/>
      <w:bCs/>
      <w:color w:val="000000"/>
      <w:sz w:val="22"/>
      <w:szCs w:val="22"/>
      <w:u w:val="none"/>
    </w:rPr>
  </w:style>
  <w:style w:type="paragraph" w:customStyle="1" w:styleId="562">
    <w:name w:val="_Style 1"/>
    <w:basedOn w:val="1"/>
    <w:next w:val="1"/>
    <w:qFormat/>
    <w:uiPriority w:val="99"/>
    <w:pPr>
      <w:ind w:firstLine="420" w:firstLineChars="200"/>
    </w:pPr>
  </w:style>
  <w:style w:type="paragraph" w:customStyle="1" w:styleId="563">
    <w:name w:val="0表格正文"/>
    <w:basedOn w:val="1"/>
    <w:qFormat/>
    <w:uiPriority w:val="0"/>
    <w:pPr>
      <w:tabs>
        <w:tab w:val="clear" w:pos="426"/>
      </w:tabs>
      <w:spacing w:line="240" w:lineRule="auto"/>
      <w:jc w:val="left"/>
    </w:pPr>
    <w:rPr>
      <w:szCs w:val="21"/>
    </w:rPr>
  </w:style>
  <w:style w:type="paragraph" w:customStyle="1" w:styleId="564">
    <w:name w:val="修订10"/>
    <w:hidden/>
    <w:unhideWhenUsed/>
    <w:qFormat/>
    <w:uiPriority w:val="99"/>
    <w:rPr>
      <w:rFonts w:ascii="宋体" w:hAnsi="宋体" w:eastAsia="宋体" w:cs="宋体"/>
      <w:sz w:val="21"/>
      <w:szCs w:val="24"/>
      <w:lang w:val="en-US" w:eastAsia="zh-CN" w:bidi="ar-SA"/>
    </w:rPr>
  </w:style>
  <w:style w:type="paragraph" w:customStyle="1" w:styleId="565">
    <w:name w:val="修订12"/>
    <w:hidden/>
    <w:unhideWhenUsed/>
    <w:qFormat/>
    <w:uiPriority w:val="99"/>
    <w:rPr>
      <w:rFonts w:ascii="宋体" w:hAnsi="宋体" w:eastAsia="宋体" w:cs="宋体"/>
      <w:sz w:val="21"/>
      <w:szCs w:val="24"/>
      <w:lang w:val="en-US" w:eastAsia="zh-CN" w:bidi="ar-SA"/>
    </w:rPr>
  </w:style>
  <w:style w:type="paragraph" w:customStyle="1" w:styleId="566">
    <w:name w:val="样式 112 10 磅"/>
    <w:next w:val="44"/>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7">
    <w:name w:val="样式 113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8">
    <w:name w:val="样式 11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9">
    <w:name w:val="样式 11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0">
    <w:name w:val="样式 11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1">
    <w:name w:val="样式 11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2">
    <w:name w:val="样式 11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3">
    <w:name w:val="样式 119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4">
    <w:name w:val="样式 120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5">
    <w:name w:val="样式 12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6">
    <w:name w:val="样式 122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7">
    <w:name w:val="样式 123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8">
    <w:name w:val="样式 12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9">
    <w:name w:val="样式 12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80">
    <w:name w:val="样式 4 10 磅2"/>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581">
    <w:name w:val="样式 182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样式 314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83">
    <w:name w:val="修订13"/>
    <w:hidden/>
    <w:unhideWhenUsed/>
    <w:qFormat/>
    <w:uiPriority w:val="99"/>
    <w:rPr>
      <w:rFonts w:ascii="宋体" w:hAnsi="宋体" w:eastAsia="宋体" w:cs="宋体"/>
      <w:sz w:val="21"/>
      <w:szCs w:val="24"/>
      <w:lang w:val="en-US" w:eastAsia="zh-CN" w:bidi="ar-SA"/>
    </w:rPr>
  </w:style>
  <w:style w:type="paragraph" w:customStyle="1" w:styleId="584">
    <w:name w:val="样式 26 10 磅"/>
    <w:basedOn w:val="1"/>
    <w:qFormat/>
    <w:uiPriority w:val="0"/>
    <w:rPr>
      <w:rFonts w:hAnsi="Times New Roman" w:cs="Times New Roman"/>
      <w:szCs w:val="21"/>
    </w:rPr>
  </w:style>
  <w:style w:type="paragraph" w:customStyle="1" w:styleId="585">
    <w:name w:val="样式 25 10 磅"/>
    <w:basedOn w:val="1"/>
    <w:qFormat/>
    <w:uiPriority w:val="0"/>
    <w:rPr>
      <w:rFonts w:hAnsi="Times New Roman" w:cs="Times New Roman"/>
      <w:szCs w:val="21"/>
    </w:rPr>
  </w:style>
  <w:style w:type="paragraph" w:customStyle="1" w:styleId="586">
    <w:name w:val="样式 24 10 磅"/>
    <w:basedOn w:val="1"/>
    <w:qFormat/>
    <w:uiPriority w:val="0"/>
    <w:rPr>
      <w:rFonts w:ascii="Calibri" w:hAnsi="Calibri" w:cs="Times New Roman"/>
      <w:szCs w:val="21"/>
    </w:rPr>
  </w:style>
  <w:style w:type="paragraph" w:customStyle="1" w:styleId="587">
    <w:name w:val="样式 23 10 磅"/>
    <w:basedOn w:val="1"/>
    <w:qFormat/>
    <w:uiPriority w:val="0"/>
    <w:rPr>
      <w:rFonts w:hAnsi="Times New Roman" w:cs="Times New Roman"/>
      <w:szCs w:val="21"/>
    </w:rPr>
  </w:style>
  <w:style w:type="paragraph" w:customStyle="1" w:styleId="588">
    <w:name w:val="样式 22 10 磅"/>
    <w:basedOn w:val="1"/>
    <w:qFormat/>
    <w:uiPriority w:val="0"/>
    <w:rPr>
      <w:rFonts w:hAnsi="Times New Roman" w:cs="Times New Roman"/>
      <w:szCs w:val="21"/>
    </w:rPr>
  </w:style>
  <w:style w:type="paragraph" w:customStyle="1" w:styleId="589">
    <w:name w:val="样式 21 10 磅"/>
    <w:basedOn w:val="1"/>
    <w:qFormat/>
    <w:uiPriority w:val="0"/>
    <w:rPr>
      <w:rFonts w:hAnsi="Times New Roman" w:cs="Times New Roman"/>
      <w:szCs w:val="21"/>
    </w:rPr>
  </w:style>
  <w:style w:type="paragraph" w:customStyle="1" w:styleId="590">
    <w:name w:val="样式 20 10 磅"/>
    <w:basedOn w:val="1"/>
    <w:qFormat/>
    <w:uiPriority w:val="0"/>
    <w:rPr>
      <w:rFonts w:hAnsi="Times New Roman" w:cs="Times New Roman"/>
      <w:szCs w:val="21"/>
    </w:rPr>
  </w:style>
  <w:style w:type="paragraph" w:customStyle="1" w:styleId="591">
    <w:name w:val="样式 19 10 磅"/>
    <w:basedOn w:val="1"/>
    <w:qFormat/>
    <w:uiPriority w:val="0"/>
    <w:rPr>
      <w:rFonts w:hAnsi="Times New Roman" w:cs="Times New Roman"/>
      <w:szCs w:val="21"/>
    </w:rPr>
  </w:style>
  <w:style w:type="paragraph" w:customStyle="1" w:styleId="592">
    <w:name w:val="样式 18 10 磅"/>
    <w:basedOn w:val="1"/>
    <w:qFormat/>
    <w:uiPriority w:val="0"/>
    <w:rPr>
      <w:rFonts w:hAnsi="Times New Roman" w:cs="Times New Roman"/>
      <w:szCs w:val="21"/>
    </w:rPr>
  </w:style>
  <w:style w:type="paragraph" w:customStyle="1" w:styleId="593">
    <w:name w:val="样式 17 10 磅"/>
    <w:basedOn w:val="1"/>
    <w:qFormat/>
    <w:uiPriority w:val="0"/>
    <w:rPr>
      <w:rFonts w:hAnsi="Times New Roman" w:cs="Times New Roman"/>
      <w:szCs w:val="21"/>
    </w:rPr>
  </w:style>
  <w:style w:type="paragraph" w:customStyle="1" w:styleId="594">
    <w:name w:val="样式 16 10 磅"/>
    <w:basedOn w:val="1"/>
    <w:qFormat/>
    <w:uiPriority w:val="0"/>
    <w:rPr>
      <w:rFonts w:hAnsi="Times New Roman" w:cs="Times New Roman"/>
      <w:szCs w:val="21"/>
    </w:rPr>
  </w:style>
  <w:style w:type="paragraph" w:customStyle="1" w:styleId="595">
    <w:name w:val="样式 15 10 磅"/>
    <w:basedOn w:val="1"/>
    <w:qFormat/>
    <w:uiPriority w:val="0"/>
    <w:rPr>
      <w:rFonts w:hAnsi="Times New Roman" w:cs="Times New Roman"/>
      <w:szCs w:val="21"/>
    </w:rPr>
  </w:style>
  <w:style w:type="paragraph" w:customStyle="1" w:styleId="596">
    <w:name w:val="样式 14 10 磅"/>
    <w:basedOn w:val="1"/>
    <w:qFormat/>
    <w:uiPriority w:val="0"/>
    <w:rPr>
      <w:rFonts w:hAnsi="Times New Roman" w:cs="Times New Roman"/>
      <w:szCs w:val="21"/>
    </w:rPr>
  </w:style>
  <w:style w:type="paragraph" w:customStyle="1" w:styleId="597">
    <w:name w:val="样式 13 10 磅"/>
    <w:basedOn w:val="1"/>
    <w:qFormat/>
    <w:uiPriority w:val="0"/>
    <w:rPr>
      <w:rFonts w:hAnsi="Times New Roman" w:cs="Times New Roman"/>
      <w:szCs w:val="21"/>
    </w:rPr>
  </w:style>
  <w:style w:type="paragraph" w:customStyle="1" w:styleId="598">
    <w:name w:val="样式 12 10 磅"/>
    <w:basedOn w:val="1"/>
    <w:qFormat/>
    <w:uiPriority w:val="0"/>
    <w:rPr>
      <w:rFonts w:hAnsi="Times New Roman" w:cs="Times New Roman"/>
      <w:szCs w:val="21"/>
    </w:rPr>
  </w:style>
  <w:style w:type="paragraph" w:customStyle="1" w:styleId="599">
    <w:name w:val="样式 11 10 磅"/>
    <w:basedOn w:val="1"/>
    <w:qFormat/>
    <w:uiPriority w:val="0"/>
    <w:rPr>
      <w:rFonts w:hAnsi="Times New Roman" w:cs="Times New Roman"/>
      <w:szCs w:val="21"/>
    </w:rPr>
  </w:style>
  <w:style w:type="paragraph" w:customStyle="1" w:styleId="600">
    <w:name w:val="样式 10 10 磅"/>
    <w:basedOn w:val="1"/>
    <w:qFormat/>
    <w:uiPriority w:val="0"/>
    <w:rPr>
      <w:rFonts w:hAnsi="Times New Roman" w:cs="Times New Roman"/>
      <w:szCs w:val="21"/>
    </w:rPr>
  </w:style>
  <w:style w:type="paragraph" w:customStyle="1" w:styleId="601">
    <w:name w:val="样式 9 10 磅"/>
    <w:basedOn w:val="1"/>
    <w:qFormat/>
    <w:uiPriority w:val="0"/>
    <w:rPr>
      <w:rFonts w:hAnsi="Times New Roman" w:cs="Times New Roman"/>
      <w:szCs w:val="21"/>
    </w:rPr>
  </w:style>
  <w:style w:type="paragraph" w:customStyle="1" w:styleId="602">
    <w:name w:val="样式 8 10 磅"/>
    <w:basedOn w:val="1"/>
    <w:qFormat/>
    <w:uiPriority w:val="0"/>
    <w:rPr>
      <w:rFonts w:hAnsi="Times New Roman" w:cs="Times New Roman"/>
      <w:szCs w:val="21"/>
    </w:rPr>
  </w:style>
  <w:style w:type="paragraph" w:customStyle="1" w:styleId="603">
    <w:name w:val="样式 47 10 磅"/>
    <w:basedOn w:val="1"/>
    <w:qFormat/>
    <w:uiPriority w:val="0"/>
    <w:rPr>
      <w:rFonts w:ascii="Times New Roman" w:hAnsi="Times New Roman" w:cs="Times New Roman"/>
      <w:szCs w:val="21"/>
    </w:rPr>
  </w:style>
  <w:style w:type="paragraph" w:customStyle="1" w:styleId="604">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样式 42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7">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8">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9">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1">
    <w:name w:val="样式 27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2">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3">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4">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5">
    <w:name w:val="样式 28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样式 38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修订14"/>
    <w:hidden/>
    <w:unhideWhenUsed/>
    <w:qFormat/>
    <w:uiPriority w:val="99"/>
    <w:rPr>
      <w:rFonts w:ascii="宋体" w:hAnsi="宋体" w:eastAsia="宋体" w:cs="宋体"/>
      <w:sz w:val="21"/>
      <w:szCs w:val="24"/>
      <w:lang w:val="en-US" w:eastAsia="zh-CN" w:bidi="ar-SA"/>
    </w:rPr>
  </w:style>
  <w:style w:type="paragraph" w:customStyle="1" w:styleId="619">
    <w:name w:val="样式 25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0">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1">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622">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3">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4">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5">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6">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7">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8">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31">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2">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3">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4">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5">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6">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7">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8">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9">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修订15"/>
    <w:hidden/>
    <w:semiHidden/>
    <w:qFormat/>
    <w:uiPriority w:val="99"/>
    <w:rPr>
      <w:rFonts w:ascii="宋体" w:hAnsi="宋体" w:eastAsia="宋体" w:cs="宋体"/>
      <w:sz w:val="21"/>
      <w:szCs w:val="24"/>
      <w:lang w:val="en-US" w:eastAsia="zh-CN" w:bidi="ar-SA"/>
    </w:rPr>
  </w:style>
  <w:style w:type="character" w:customStyle="1" w:styleId="641">
    <w:name w:val="未处理的提及2"/>
    <w:basedOn w:val="130"/>
    <w:semiHidden/>
    <w:unhideWhenUsed/>
    <w:qFormat/>
    <w:uiPriority w:val="99"/>
    <w:rPr>
      <w:color w:val="605E5C"/>
      <w:shd w:val="clear" w:color="auto" w:fill="E1DFDD"/>
    </w:rPr>
  </w:style>
  <w:style w:type="paragraph" w:customStyle="1" w:styleId="642">
    <w:name w:val="修订16"/>
    <w:hidden/>
    <w:unhideWhenUsed/>
    <w:qFormat/>
    <w:uiPriority w:val="99"/>
    <w:rPr>
      <w:rFonts w:ascii="宋体" w:hAnsi="宋体" w:eastAsia="宋体" w:cs="宋体"/>
      <w:sz w:val="21"/>
      <w:szCs w:val="24"/>
      <w:lang w:val="en-US" w:eastAsia="zh-CN" w:bidi="ar-SA"/>
    </w:rPr>
  </w:style>
  <w:style w:type="paragraph" w:customStyle="1" w:styleId="643">
    <w:name w:val="Revision"/>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A915-20E8-4D6F-BC75-594C55C27C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49941</Words>
  <Characters>54821</Characters>
  <Lines>432</Lines>
  <Paragraphs>121</Paragraphs>
  <TotalTime>0</TotalTime>
  <ScaleCrop>false</ScaleCrop>
  <LinksUpToDate>false</LinksUpToDate>
  <CharactersWithSpaces>55718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2024-07-19T02:48:00Z</dcterms:created>
  <dc:creator>thsware</dc:creator>
  <cp:lastModifiedBy>微信用户</cp:lastModifiedBy>
  <cp:lastPrinted>2024-10-12T06:08:00Z</cp:lastPrinted>
  <dcterms:modified xsi:type="dcterms:W3CDTF">2024-11-22T04:44:31Z</dcterms:modified>
  <dc:title>招  标　文　件</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6F99D4B1A3AC4AA4BF00154783083266_13</vt:lpwstr>
  </property>
</Properties>
</file>