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rFonts w:hint="eastAsia"/>
        </w:rPr>
      </w:pPr>
    </w:p>
    <w:p>
      <w:pPr>
        <w:tabs>
          <w:tab w:val="clear" w:pos="426"/>
        </w:tabs>
        <w:rPr>
          <w:rFonts w:hint="eastAsia"/>
        </w:rPr>
      </w:pPr>
    </w:p>
    <w:p>
      <w:pPr>
        <w:tabs>
          <w:tab w:val="clear" w:pos="426"/>
        </w:tabs>
        <w:jc w:val="right"/>
        <w:rPr>
          <w:rFonts w:hint="eastAsia"/>
          <w:b/>
          <w:u w:val="single"/>
        </w:rPr>
      </w:pPr>
      <w:r>
        <w:rPr>
          <w:rFonts w:hint="eastAsia"/>
        </w:rPr>
        <w:t xml:space="preserve">                                                     项目编号：</w:t>
      </w:r>
      <w:r>
        <w:rPr>
          <w:rFonts w:hint="eastAsia"/>
          <w:b/>
          <w:u w:val="single"/>
        </w:rPr>
        <w:t>SSZX2024-370</w:t>
      </w:r>
    </w:p>
    <w:p>
      <w:pPr>
        <w:tabs>
          <w:tab w:val="clear" w:pos="426"/>
        </w:tabs>
        <w:rPr>
          <w:rFonts w:hint="eastAsia"/>
        </w:rPr>
      </w:pPr>
    </w:p>
    <w:p>
      <w:pPr>
        <w:tabs>
          <w:tab w:val="clear" w:pos="426"/>
        </w:tabs>
        <w:rPr>
          <w:rFonts w:hint="eastAsia"/>
        </w:rPr>
      </w:pPr>
    </w:p>
    <w:p>
      <w:pPr>
        <w:tabs>
          <w:tab w:val="clear" w:pos="426"/>
        </w:tabs>
        <w:rPr>
          <w:rFonts w:hint="eastAsia"/>
        </w:rPr>
      </w:pPr>
    </w:p>
    <w:p>
      <w:pPr>
        <w:widowControl w:val="0"/>
        <w:shd w:val="clear" w:color="auto" w:fill="auto"/>
        <w:tabs>
          <w:tab w:val="clear" w:pos="426"/>
        </w:tabs>
        <w:adjustRightInd/>
        <w:snapToGrid/>
        <w:spacing w:line="300" w:lineRule="auto"/>
        <w:jc w:val="center"/>
        <w:rPr>
          <w:rFonts w:hint="eastAsia" w:cs="Times New Roman"/>
          <w:spacing w:val="26"/>
          <w:kern w:val="2"/>
          <w:sz w:val="72"/>
          <w:szCs w:val="20"/>
        </w:rPr>
      </w:pPr>
    </w:p>
    <w:p>
      <w:pPr>
        <w:widowControl w:val="0"/>
        <w:shd w:val="clear" w:color="auto" w:fill="auto"/>
        <w:tabs>
          <w:tab w:val="clear" w:pos="426"/>
        </w:tabs>
        <w:adjustRightInd/>
        <w:snapToGrid/>
        <w:spacing w:line="300" w:lineRule="auto"/>
        <w:jc w:val="center"/>
        <w:rPr>
          <w:rFonts w:hint="eastAsia" w:cs="Times New Roman"/>
          <w:spacing w:val="26"/>
          <w:kern w:val="2"/>
          <w:sz w:val="72"/>
          <w:szCs w:val="20"/>
        </w:rPr>
      </w:pPr>
      <w:r>
        <w:rPr>
          <w:rFonts w:hint="eastAsia" w:cs="Times New Roman"/>
          <w:spacing w:val="26"/>
          <w:kern w:val="2"/>
          <w:sz w:val="72"/>
          <w:szCs w:val="20"/>
        </w:rPr>
        <w:t>招标文件</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jc w:val="center"/>
        <w:rPr>
          <w:rFonts w:ascii="黑体" w:hAnsi="Arial" w:eastAsia="黑体" w:cs="Arial"/>
          <w:sz w:val="52"/>
          <w:szCs w:val="52"/>
        </w:rPr>
      </w:pPr>
      <w:r>
        <w:rPr>
          <w:rFonts w:hint="eastAsia" w:ascii="黑体" w:hAnsi="Arial" w:eastAsia="黑体" w:cs="Arial"/>
          <w:sz w:val="52"/>
          <w:szCs w:val="52"/>
        </w:rPr>
        <w:t>【货物类】</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u w:val="single"/>
        </w:rPr>
      </w:pPr>
      <w:r>
        <w:rPr>
          <w:rFonts w:hint="eastAsia" w:cs="Times New Roman"/>
          <w:kern w:val="2"/>
          <w:sz w:val="30"/>
          <w:szCs w:val="20"/>
        </w:rPr>
        <w:t>项目名称：</w:t>
      </w:r>
      <w:r>
        <w:rPr>
          <w:rFonts w:hint="eastAsia" w:cs="Times New Roman"/>
          <w:kern w:val="2"/>
          <w:sz w:val="30"/>
          <w:szCs w:val="20"/>
          <w:u w:val="single"/>
        </w:rPr>
        <w:t>气相色谱三重四极杆质谱联用仪设备采购项目</w:t>
      </w: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hint="eastAsia" w:cs="Times New Roman"/>
          <w:kern w:val="2"/>
          <w:sz w:val="30"/>
          <w:szCs w:val="20"/>
        </w:rPr>
      </w:pPr>
      <w:r>
        <w:rPr>
          <w:rFonts w:hint="eastAsia" w:cs="Times New Roman"/>
          <w:kern w:val="2"/>
          <w:sz w:val="30"/>
          <w:szCs w:val="20"/>
        </w:rPr>
        <w:t>采购人名称：</w:t>
      </w:r>
      <w:r>
        <w:rPr>
          <w:rFonts w:hint="eastAsia" w:cs="Times New Roman"/>
          <w:kern w:val="2"/>
          <w:sz w:val="30"/>
          <w:szCs w:val="20"/>
          <w:u w:val="single"/>
        </w:rPr>
        <w:t>深圳海关食品检验检疫技术中心</w:t>
      </w:r>
    </w:p>
    <w:p>
      <w:pPr>
        <w:widowControl w:val="0"/>
        <w:shd w:val="clear" w:color="auto" w:fill="auto"/>
        <w:tabs>
          <w:tab w:val="clear" w:pos="426"/>
        </w:tabs>
        <w:adjustRightInd/>
        <w:snapToGrid/>
        <w:spacing w:line="300" w:lineRule="auto"/>
        <w:ind w:left="1500" w:hanging="1500" w:hangingChars="500"/>
        <w:rPr>
          <w:rFonts w:hint="eastAsia"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hint="eastAsia"/>
        </w:rPr>
      </w:pPr>
      <w:r>
        <w:rPr>
          <w:rFonts w:hint="eastAsia" w:cs="Times New Roman"/>
          <w:kern w:val="2"/>
          <w:sz w:val="30"/>
          <w:szCs w:val="20"/>
        </w:rPr>
        <w:t>采购代理机构名称：</w:t>
      </w:r>
      <w:r>
        <w:rPr>
          <w:rFonts w:hint="eastAsia" w:cs="Times New Roman"/>
          <w:kern w:val="2"/>
          <w:sz w:val="30"/>
          <w:szCs w:val="20"/>
          <w:u w:val="single"/>
        </w:rPr>
        <w:t>深圳市深水水务咨询有限公司</w:t>
      </w:r>
    </w:p>
    <w:p>
      <w:pPr>
        <w:tabs>
          <w:tab w:val="clear" w:pos="426"/>
        </w:tabs>
        <w:jc w:val="center"/>
        <w:rPr>
          <w:rFonts w:hint="eastAsia"/>
          <w:sz w:val="32"/>
          <w:szCs w:val="32"/>
        </w:rPr>
      </w:pPr>
      <w:r>
        <w:br w:type="page"/>
      </w:r>
      <w:r>
        <w:rPr>
          <w:rFonts w:hint="eastAsia"/>
          <w:b/>
          <w:sz w:val="32"/>
          <w:szCs w:val="32"/>
        </w:rPr>
        <w:t>目      录</w:t>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TOC \o "1-3" \h \z \u </w:instrText>
      </w:r>
      <w:r>
        <w:fldChar w:fldCharType="separate"/>
      </w:r>
      <w:r>
        <w:fldChar w:fldCharType="begin"/>
      </w:r>
      <w:r>
        <w:instrText xml:space="preserve"> HYPERLINK \l "_Toc1594" </w:instrText>
      </w:r>
      <w:r>
        <w:fldChar w:fldCharType="separate"/>
      </w:r>
      <w:r>
        <w:rPr>
          <w:rFonts w:hint="eastAsia" w:ascii="黑体" w:hAnsi="黑体" w:eastAsia="黑体" w:cs="黑体"/>
          <w:b/>
          <w:bCs/>
          <w:sz w:val="20"/>
          <w:szCs w:val="20"/>
        </w:rPr>
        <w:t>项目关键信息</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_Toc1594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1</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HYPERLINK \l "_Toc16410" </w:instrText>
      </w:r>
      <w:r>
        <w:fldChar w:fldCharType="separate"/>
      </w:r>
      <w:r>
        <w:rPr>
          <w:rFonts w:hint="eastAsia" w:ascii="黑体" w:hAnsi="黑体" w:eastAsia="黑体" w:cs="黑体"/>
          <w:b/>
          <w:bCs/>
          <w:sz w:val="20"/>
          <w:szCs w:val="20"/>
        </w:rPr>
        <w:t>招标文件第一册（专用部分）</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_Toc16410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3</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"_Toc20258" </w:instrText>
      </w:r>
      <w:r>
        <w:fldChar w:fldCharType="separate"/>
      </w:r>
      <w:r>
        <w:rPr>
          <w:rFonts w:hint="eastAsia"/>
          <w:b/>
          <w:bCs/>
          <w:sz w:val="20"/>
          <w:szCs w:val="20"/>
        </w:rPr>
        <w:t>第一章 投标邀请</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_Toc20258 \h </w:instrText>
      </w:r>
      <w:r>
        <w:rPr>
          <w:rFonts w:hint="eastAsia"/>
          <w:b/>
          <w:bCs/>
          <w:sz w:val="20"/>
          <w:szCs w:val="20"/>
        </w:rPr>
        <w:fldChar w:fldCharType="separate"/>
      </w:r>
      <w:r>
        <w:rPr>
          <w:rFonts w:hint="eastAsia"/>
          <w:b/>
          <w:bCs/>
          <w:sz w:val="20"/>
          <w:szCs w:val="20"/>
        </w:rPr>
        <w:t>3</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"_Toc13122" </w:instrText>
      </w:r>
      <w:r>
        <w:fldChar w:fldCharType="separate"/>
      </w:r>
      <w:r>
        <w:rPr>
          <w:rFonts w:hint="eastAsia"/>
          <w:b/>
          <w:bCs/>
          <w:sz w:val="20"/>
          <w:szCs w:val="20"/>
        </w:rPr>
        <w:t>第二章 项目需求</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_Toc13122 \h </w:instrText>
      </w:r>
      <w:r>
        <w:rPr>
          <w:rFonts w:hint="eastAsia"/>
          <w:b/>
          <w:bCs/>
          <w:sz w:val="20"/>
          <w:szCs w:val="20"/>
        </w:rPr>
        <w:fldChar w:fldCharType="separate"/>
      </w:r>
      <w:r>
        <w:rPr>
          <w:rFonts w:hint="eastAsia"/>
          <w:b/>
          <w:bCs/>
          <w:sz w:val="20"/>
          <w:szCs w:val="20"/>
        </w:rPr>
        <w:t>7</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"_Toc15786" </w:instrText>
      </w:r>
      <w:r>
        <w:fldChar w:fldCharType="separate"/>
      </w:r>
      <w:r>
        <w:rPr>
          <w:rFonts w:hint="eastAsia"/>
          <w:i w:val="0"/>
          <w:iCs w:val="0"/>
          <w:sz w:val="20"/>
          <w:szCs w:val="20"/>
        </w:rPr>
        <w:t xml:space="preserve">一、 </w:t>
      </w:r>
      <w:r>
        <w:rPr>
          <w:i w:val="0"/>
          <w:iCs w:val="0"/>
          <w:sz w:val="20"/>
          <w:szCs w:val="20"/>
        </w:rPr>
        <w:t>货物清单</w:t>
      </w:r>
      <w:r>
        <w:rPr>
          <w:rFonts w:hint="eastAsia"/>
          <w:i w:val="0"/>
          <w:iCs w:val="0"/>
          <w:sz w:val="20"/>
          <w:szCs w:val="20"/>
        </w:rPr>
        <w:t>一览表</w:t>
      </w:r>
      <w:r>
        <w:rPr>
          <w:i w:val="0"/>
          <w:iCs w:val="0"/>
          <w:sz w:val="20"/>
          <w:szCs w:val="20"/>
        </w:rPr>
        <w:tab/>
      </w:r>
      <w:r>
        <w:rPr>
          <w:i w:val="0"/>
          <w:iCs w:val="0"/>
          <w:sz w:val="20"/>
          <w:szCs w:val="20"/>
        </w:rPr>
        <w:fldChar w:fldCharType="begin"/>
      </w:r>
      <w:r>
        <w:rPr>
          <w:i w:val="0"/>
          <w:iCs w:val="0"/>
          <w:sz w:val="20"/>
          <w:szCs w:val="20"/>
        </w:rPr>
        <w:instrText xml:space="preserve"> PAGEREF _Toc15786 \h </w:instrText>
      </w:r>
      <w:r>
        <w:rPr>
          <w:i w:val="0"/>
          <w:iCs w:val="0"/>
          <w:sz w:val="20"/>
          <w:szCs w:val="20"/>
        </w:rPr>
        <w:fldChar w:fldCharType="separate"/>
      </w:r>
      <w:r>
        <w:rPr>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"_Toc31434" </w:instrText>
      </w:r>
      <w:r>
        <w:fldChar w:fldCharType="separate"/>
      </w:r>
      <w:r>
        <w:rPr>
          <w:rFonts w:hint="eastAsia"/>
          <w:i w:val="0"/>
          <w:iCs w:val="0"/>
          <w:sz w:val="20"/>
          <w:szCs w:val="20"/>
        </w:rPr>
        <w:t>二、 实质性响应条款</w:t>
      </w:r>
      <w:r>
        <w:rPr>
          <w:i w:val="0"/>
          <w:iCs w:val="0"/>
          <w:sz w:val="20"/>
          <w:szCs w:val="20"/>
        </w:rPr>
        <w:tab/>
      </w:r>
      <w:r>
        <w:rPr>
          <w:i w:val="0"/>
          <w:iCs w:val="0"/>
          <w:sz w:val="20"/>
          <w:szCs w:val="20"/>
        </w:rPr>
        <w:fldChar w:fldCharType="begin"/>
      </w:r>
      <w:r>
        <w:rPr>
          <w:i w:val="0"/>
          <w:iCs w:val="0"/>
          <w:sz w:val="20"/>
          <w:szCs w:val="20"/>
        </w:rPr>
        <w:instrText xml:space="preserve"> PAGEREF _Toc31434 \h </w:instrText>
      </w:r>
      <w:r>
        <w:rPr>
          <w:i w:val="0"/>
          <w:iCs w:val="0"/>
          <w:sz w:val="20"/>
          <w:szCs w:val="20"/>
        </w:rPr>
        <w:fldChar w:fldCharType="separate"/>
      </w:r>
      <w:r>
        <w:rPr>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"_Toc27732" </w:instrText>
      </w:r>
      <w:r>
        <w:fldChar w:fldCharType="separate"/>
      </w:r>
      <w:r>
        <w:rPr>
          <w:rFonts w:hint="eastAsia"/>
          <w:i w:val="0"/>
          <w:iCs w:val="0"/>
          <w:sz w:val="20"/>
          <w:szCs w:val="20"/>
        </w:rPr>
        <w:t>三、 技术要求</w:t>
      </w:r>
      <w:r>
        <w:rPr>
          <w:i w:val="0"/>
          <w:iCs w:val="0"/>
          <w:sz w:val="20"/>
          <w:szCs w:val="20"/>
        </w:rPr>
        <w:tab/>
      </w:r>
      <w:r>
        <w:rPr>
          <w:i w:val="0"/>
          <w:iCs w:val="0"/>
          <w:sz w:val="20"/>
          <w:szCs w:val="20"/>
        </w:rPr>
        <w:fldChar w:fldCharType="begin"/>
      </w:r>
      <w:r>
        <w:rPr>
          <w:i w:val="0"/>
          <w:iCs w:val="0"/>
          <w:sz w:val="20"/>
          <w:szCs w:val="20"/>
        </w:rPr>
        <w:instrText xml:space="preserve"> PAGEREF _Toc27732 \h </w:instrText>
      </w:r>
      <w:r>
        <w:rPr>
          <w:i w:val="0"/>
          <w:iCs w:val="0"/>
          <w:sz w:val="20"/>
          <w:szCs w:val="20"/>
        </w:rPr>
        <w:fldChar w:fldCharType="separate"/>
      </w:r>
      <w:r>
        <w:rPr>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"_Toc8996" </w:instrText>
      </w:r>
      <w:r>
        <w:fldChar w:fldCharType="separate"/>
      </w:r>
      <w:r>
        <w:rPr>
          <w:rFonts w:hint="eastAsia"/>
          <w:i w:val="0"/>
          <w:iCs w:val="0"/>
          <w:sz w:val="20"/>
          <w:szCs w:val="20"/>
        </w:rPr>
        <w:t>四、 商务要求</w:t>
      </w:r>
      <w:r>
        <w:rPr>
          <w:i w:val="0"/>
          <w:iCs w:val="0"/>
          <w:sz w:val="20"/>
          <w:szCs w:val="20"/>
        </w:rPr>
        <w:tab/>
      </w:r>
      <w:r>
        <w:rPr>
          <w:i w:val="0"/>
          <w:iCs w:val="0"/>
          <w:sz w:val="20"/>
          <w:szCs w:val="20"/>
        </w:rPr>
        <w:fldChar w:fldCharType="begin"/>
      </w:r>
      <w:r>
        <w:rPr>
          <w:i w:val="0"/>
          <w:iCs w:val="0"/>
          <w:sz w:val="20"/>
          <w:szCs w:val="20"/>
        </w:rPr>
        <w:instrText xml:space="preserve"> PAGEREF _Toc8996 \h </w:instrText>
      </w:r>
      <w:r>
        <w:rPr>
          <w:i w:val="0"/>
          <w:iCs w:val="0"/>
          <w:sz w:val="20"/>
          <w:szCs w:val="20"/>
        </w:rPr>
        <w:fldChar w:fldCharType="separate"/>
      </w:r>
      <w:r>
        <w:rPr>
          <w:i w:val="0"/>
          <w:iCs w:val="0"/>
          <w:sz w:val="20"/>
          <w:szCs w:val="20"/>
        </w:rPr>
        <w:t>13</w:t>
      </w:r>
      <w:r>
        <w:rPr>
          <w:i w:val="0"/>
          <w:iCs w:val="0"/>
          <w:sz w:val="20"/>
          <w:szCs w:val="20"/>
        </w:rPr>
        <w:fldChar w:fldCharType="end"/>
      </w:r>
      <w:r>
        <w:rPr>
          <w:i w:val="0"/>
          <w:iCs w:val="0"/>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"_Toc2525" </w:instrText>
      </w:r>
      <w:r>
        <w:fldChar w:fldCharType="separate"/>
      </w:r>
      <w:r>
        <w:rPr>
          <w:rFonts w:hint="eastAsia"/>
          <w:b/>
          <w:bCs/>
          <w:sz w:val="20"/>
          <w:szCs w:val="20"/>
        </w:rPr>
        <w:t>第三章 定价方式、合同类型和风险管理措施</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_Toc2525 \h </w:instrText>
      </w:r>
      <w:r>
        <w:rPr>
          <w:rFonts w:hint="eastAsia"/>
          <w:b/>
          <w:bCs/>
          <w:sz w:val="20"/>
          <w:szCs w:val="20"/>
        </w:rPr>
        <w:fldChar w:fldCharType="separate"/>
      </w:r>
      <w:r>
        <w:rPr>
          <w:rFonts w:hint="eastAsia"/>
          <w:b/>
          <w:bCs/>
          <w:sz w:val="20"/>
          <w:szCs w:val="20"/>
        </w:rPr>
        <w:t>16</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"_Toc27621" </w:instrText>
      </w:r>
      <w:r>
        <w:fldChar w:fldCharType="separate"/>
      </w:r>
      <w:r>
        <w:rPr>
          <w:rFonts w:hint="eastAsia"/>
          <w:i w:val="0"/>
          <w:iCs w:val="0"/>
          <w:smallCaps/>
          <w:sz w:val="20"/>
          <w:szCs w:val="20"/>
        </w:rPr>
        <w:t>一、 定价方式</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_Toc27621 \h </w:instrText>
      </w:r>
      <w:r>
        <w:rPr>
          <w:i w:val="0"/>
          <w:iCs w:val="0"/>
          <w:smallCaps/>
          <w:sz w:val="20"/>
          <w:szCs w:val="20"/>
        </w:rPr>
        <w:fldChar w:fldCharType="separate"/>
      </w:r>
      <w:r>
        <w:rPr>
          <w:i w:val="0"/>
          <w:iCs w:val="0"/>
          <w:smallCaps/>
          <w:sz w:val="20"/>
          <w:szCs w:val="20"/>
        </w:rPr>
        <w:t>16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"_Toc7208" </w:instrText>
      </w:r>
      <w:r>
        <w:fldChar w:fldCharType="separate"/>
      </w:r>
      <w:r>
        <w:rPr>
          <w:rFonts w:hint="eastAsia"/>
          <w:i w:val="0"/>
          <w:iCs w:val="0"/>
          <w:smallCaps/>
          <w:sz w:val="20"/>
          <w:szCs w:val="20"/>
        </w:rPr>
        <w:t>二、 合同类型</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_Toc7208 \h </w:instrText>
      </w:r>
      <w:r>
        <w:rPr>
          <w:i w:val="0"/>
          <w:iCs w:val="0"/>
          <w:smallCaps/>
          <w:sz w:val="20"/>
          <w:szCs w:val="20"/>
        </w:rPr>
        <w:fldChar w:fldCharType="separate"/>
      </w:r>
      <w:r>
        <w:rPr>
          <w:i w:val="0"/>
          <w:iCs w:val="0"/>
          <w:smallCaps/>
          <w:sz w:val="20"/>
          <w:szCs w:val="20"/>
        </w:rPr>
        <w:t>16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"_Toc32122" </w:instrText>
      </w:r>
      <w:r>
        <w:fldChar w:fldCharType="separate"/>
      </w:r>
      <w:r>
        <w:rPr>
          <w:rFonts w:hint="eastAsia"/>
          <w:i w:val="0"/>
          <w:iCs w:val="0"/>
          <w:smallCaps/>
          <w:sz w:val="20"/>
          <w:szCs w:val="20"/>
        </w:rPr>
        <w:t>三、 风险管理措施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_Toc32122 \h </w:instrText>
      </w:r>
      <w:r>
        <w:rPr>
          <w:i w:val="0"/>
          <w:iCs w:val="0"/>
          <w:smallCaps/>
          <w:sz w:val="20"/>
          <w:szCs w:val="20"/>
        </w:rPr>
        <w:fldChar w:fldCharType="separate"/>
      </w:r>
      <w:r>
        <w:rPr>
          <w:i w:val="0"/>
          <w:iCs w:val="0"/>
          <w:smallCaps/>
          <w:sz w:val="20"/>
          <w:szCs w:val="20"/>
        </w:rPr>
        <w:t>16</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"_Toc25501" </w:instrText>
      </w:r>
      <w:r>
        <w:fldChar w:fldCharType="separate"/>
      </w:r>
      <w:r>
        <w:rPr>
          <w:rFonts w:hint="eastAsia"/>
          <w:b/>
          <w:bCs/>
          <w:sz w:val="20"/>
          <w:szCs w:val="20"/>
        </w:rPr>
        <w:t>第四章 资格审查和评标方法</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_Toc25501 \h </w:instrText>
      </w:r>
      <w:r>
        <w:rPr>
          <w:rFonts w:hint="eastAsia"/>
          <w:b/>
          <w:bCs/>
          <w:sz w:val="20"/>
          <w:szCs w:val="20"/>
        </w:rPr>
        <w:fldChar w:fldCharType="separate"/>
      </w:r>
      <w:r>
        <w:rPr>
          <w:rFonts w:hint="eastAsia"/>
          <w:b/>
          <w:bCs/>
          <w:sz w:val="20"/>
          <w:szCs w:val="20"/>
        </w:rPr>
        <w:t>17</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"_Toc12702" </w:instrText>
      </w:r>
      <w:r>
        <w:fldChar w:fldCharType="separate"/>
      </w:r>
      <w:r>
        <w:rPr>
          <w:rFonts w:hint="eastAsia"/>
          <w:i w:val="0"/>
          <w:iCs w:val="0"/>
          <w:smallCaps/>
          <w:sz w:val="20"/>
          <w:szCs w:val="20"/>
        </w:rPr>
        <w:t>前附表（一）</w:t>
      </w:r>
      <w:r>
        <w:rPr>
          <w:i w:val="0"/>
          <w:iCs w:val="0"/>
          <w:smallCaps/>
          <w:sz w:val="20"/>
          <w:szCs w:val="20"/>
        </w:rPr>
        <w:t>资格审查表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_Toc12702 \h </w:instrText>
      </w:r>
      <w:r>
        <w:rPr>
          <w:i w:val="0"/>
          <w:iCs w:val="0"/>
          <w:smallCaps/>
          <w:sz w:val="20"/>
          <w:szCs w:val="20"/>
        </w:rPr>
        <w:fldChar w:fldCharType="separate"/>
      </w:r>
      <w:r>
        <w:rPr>
          <w:i w:val="0"/>
          <w:iCs w:val="0"/>
          <w:smallCaps/>
          <w:sz w:val="20"/>
          <w:szCs w:val="20"/>
        </w:rPr>
        <w:t>17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"_Toc10832" </w:instrText>
      </w:r>
      <w:r>
        <w:fldChar w:fldCharType="separate"/>
      </w:r>
      <w:r>
        <w:rPr>
          <w:rFonts w:hint="eastAsia"/>
          <w:i w:val="0"/>
          <w:iCs w:val="0"/>
          <w:smallCaps/>
          <w:sz w:val="20"/>
          <w:szCs w:val="20"/>
        </w:rPr>
        <w:t>前附表（二）符合性审查表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_Toc10832 \h </w:instrText>
      </w:r>
      <w:r>
        <w:rPr>
          <w:i w:val="0"/>
          <w:iCs w:val="0"/>
          <w:smallCaps/>
          <w:sz w:val="20"/>
          <w:szCs w:val="20"/>
        </w:rPr>
        <w:fldChar w:fldCharType="separate"/>
      </w:r>
      <w:r>
        <w:rPr>
          <w:i w:val="0"/>
          <w:iCs w:val="0"/>
          <w:smallCaps/>
          <w:sz w:val="20"/>
          <w:szCs w:val="20"/>
        </w:rPr>
        <w:t>18</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"_Toc11333" </w:instrText>
      </w:r>
      <w:r>
        <w:fldChar w:fldCharType="separate"/>
      </w:r>
      <w:r>
        <w:rPr>
          <w:rFonts w:hint="eastAsia"/>
          <w:i w:val="0"/>
          <w:iCs w:val="0"/>
          <w:smallCaps/>
          <w:sz w:val="20"/>
          <w:szCs w:val="20"/>
        </w:rPr>
        <w:t>前附表（三）综合评分法评分因素和权重分值表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_Toc11333 \h </w:instrText>
      </w:r>
      <w:r>
        <w:rPr>
          <w:i w:val="0"/>
          <w:iCs w:val="0"/>
          <w:smallCaps/>
          <w:sz w:val="20"/>
          <w:szCs w:val="20"/>
        </w:rPr>
        <w:fldChar w:fldCharType="separate"/>
      </w:r>
      <w:r>
        <w:rPr>
          <w:i w:val="0"/>
          <w:iCs w:val="0"/>
          <w:smallCaps/>
          <w:sz w:val="20"/>
          <w:szCs w:val="20"/>
        </w:rPr>
        <w:t>19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"_Toc26041" </w:instrText>
      </w:r>
      <w:r>
        <w:fldChar w:fldCharType="separate"/>
      </w:r>
      <w:r>
        <w:rPr>
          <w:rFonts w:hint="eastAsia"/>
          <w:i w:val="0"/>
          <w:iCs w:val="0"/>
          <w:smallCaps/>
          <w:sz w:val="20"/>
          <w:szCs w:val="20"/>
        </w:rPr>
        <w:t>前附表（四）</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_Toc26041 \h </w:instrText>
      </w:r>
      <w:r>
        <w:rPr>
          <w:i w:val="0"/>
          <w:iCs w:val="0"/>
          <w:smallCaps/>
          <w:sz w:val="20"/>
          <w:szCs w:val="20"/>
        </w:rPr>
        <w:fldChar w:fldCharType="separate"/>
      </w:r>
      <w:r>
        <w:rPr>
          <w:i w:val="0"/>
          <w:iCs w:val="0"/>
          <w:smallCaps/>
          <w:sz w:val="20"/>
          <w:szCs w:val="20"/>
        </w:rPr>
        <w:t>25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"_Toc12567" </w:instrText>
      </w:r>
      <w:r>
        <w:fldChar w:fldCharType="separate"/>
      </w:r>
      <w:r>
        <w:rPr>
          <w:rFonts w:hint="eastAsia"/>
          <w:i w:val="0"/>
          <w:iCs w:val="0"/>
          <w:smallCaps/>
          <w:sz w:val="20"/>
          <w:szCs w:val="20"/>
        </w:rPr>
        <w:t>1.资格审查</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_Toc12567 \h </w:instrText>
      </w:r>
      <w:r>
        <w:rPr>
          <w:i w:val="0"/>
          <w:iCs w:val="0"/>
          <w:smallCaps/>
          <w:sz w:val="20"/>
          <w:szCs w:val="20"/>
        </w:rPr>
        <w:fldChar w:fldCharType="separate"/>
      </w:r>
      <w:r>
        <w:rPr>
          <w:i w:val="0"/>
          <w:iCs w:val="0"/>
          <w:smallCaps/>
          <w:sz w:val="20"/>
          <w:szCs w:val="20"/>
        </w:rPr>
        <w:t>25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"_Toc1724" </w:instrText>
      </w:r>
      <w:r>
        <w:fldChar w:fldCharType="separate"/>
      </w:r>
      <w:r>
        <w:rPr>
          <w:rFonts w:hint="eastAsia"/>
          <w:i w:val="0"/>
          <w:iCs w:val="0"/>
          <w:smallCaps/>
          <w:sz w:val="20"/>
          <w:szCs w:val="20"/>
        </w:rPr>
        <w:t>2.评标方法</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_Toc1724 \h </w:instrText>
      </w:r>
      <w:r>
        <w:rPr>
          <w:i w:val="0"/>
          <w:iCs w:val="0"/>
          <w:smallCaps/>
          <w:sz w:val="20"/>
          <w:szCs w:val="20"/>
        </w:rPr>
        <w:fldChar w:fldCharType="separate"/>
      </w:r>
      <w:r>
        <w:rPr>
          <w:i w:val="0"/>
          <w:iCs w:val="0"/>
          <w:smallCaps/>
          <w:sz w:val="20"/>
          <w:szCs w:val="20"/>
        </w:rPr>
        <w:t>25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"_Toc16831" </w:instrText>
      </w:r>
      <w:r>
        <w:fldChar w:fldCharType="separate"/>
      </w:r>
      <w:r>
        <w:rPr>
          <w:rFonts w:hint="eastAsia"/>
          <w:i w:val="0"/>
          <w:iCs w:val="0"/>
          <w:smallCaps/>
          <w:sz w:val="20"/>
          <w:szCs w:val="20"/>
        </w:rPr>
        <w:t>3.符合性审查</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_Toc16831 \h </w:instrText>
      </w:r>
      <w:r>
        <w:rPr>
          <w:i w:val="0"/>
          <w:iCs w:val="0"/>
          <w:smallCaps/>
          <w:sz w:val="20"/>
          <w:szCs w:val="20"/>
        </w:rPr>
        <w:fldChar w:fldCharType="separate"/>
      </w:r>
      <w:r>
        <w:rPr>
          <w:i w:val="0"/>
          <w:iCs w:val="0"/>
          <w:smallCaps/>
          <w:sz w:val="20"/>
          <w:szCs w:val="20"/>
        </w:rPr>
        <w:t>26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"_Toc29518" </w:instrText>
      </w:r>
      <w:r>
        <w:fldChar w:fldCharType="separate"/>
      </w:r>
      <w:r>
        <w:rPr>
          <w:rFonts w:hint="eastAsia"/>
          <w:i w:val="0"/>
          <w:iCs w:val="0"/>
          <w:smallCaps/>
          <w:sz w:val="20"/>
          <w:szCs w:val="20"/>
        </w:rPr>
        <w:t>4.比较与评价</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_Toc29518 \h </w:instrText>
      </w:r>
      <w:r>
        <w:rPr>
          <w:i w:val="0"/>
          <w:iCs w:val="0"/>
          <w:smallCaps/>
          <w:sz w:val="20"/>
          <w:szCs w:val="20"/>
        </w:rPr>
        <w:fldChar w:fldCharType="separate"/>
      </w:r>
      <w:r>
        <w:rPr>
          <w:i w:val="0"/>
          <w:iCs w:val="0"/>
          <w:smallCaps/>
          <w:sz w:val="20"/>
          <w:szCs w:val="20"/>
        </w:rPr>
        <w:t>26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"_Toc13196" </w:instrText>
      </w:r>
      <w:r>
        <w:fldChar w:fldCharType="separate"/>
      </w:r>
      <w:r>
        <w:rPr>
          <w:rFonts w:hint="eastAsia"/>
          <w:i w:val="0"/>
          <w:iCs w:val="0"/>
          <w:smallCaps/>
          <w:sz w:val="20"/>
          <w:szCs w:val="20"/>
        </w:rPr>
        <w:t>5.编写评标报告</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_Toc13196 \h </w:instrText>
      </w:r>
      <w:r>
        <w:rPr>
          <w:i w:val="0"/>
          <w:iCs w:val="0"/>
          <w:smallCaps/>
          <w:sz w:val="20"/>
          <w:szCs w:val="20"/>
        </w:rPr>
        <w:fldChar w:fldCharType="separate"/>
      </w:r>
      <w:r>
        <w:rPr>
          <w:i w:val="0"/>
          <w:iCs w:val="0"/>
          <w:smallCaps/>
          <w:sz w:val="20"/>
          <w:szCs w:val="20"/>
        </w:rPr>
        <w:t>27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"_Toc15875" </w:instrText>
      </w:r>
      <w:r>
        <w:fldChar w:fldCharType="separate"/>
      </w:r>
      <w:r>
        <w:rPr>
          <w:rFonts w:hint="eastAsia"/>
          <w:i w:val="0"/>
          <w:iCs w:val="0"/>
          <w:smallCaps/>
          <w:sz w:val="20"/>
          <w:szCs w:val="20"/>
        </w:rPr>
        <w:t>6.评标委员会对招标失败的论证意见</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_Toc15875 \h </w:instrText>
      </w:r>
      <w:r>
        <w:rPr>
          <w:i w:val="0"/>
          <w:iCs w:val="0"/>
          <w:smallCaps/>
          <w:sz w:val="20"/>
          <w:szCs w:val="20"/>
        </w:rPr>
        <w:fldChar w:fldCharType="separate"/>
      </w:r>
      <w:r>
        <w:rPr>
          <w:i w:val="0"/>
          <w:iCs w:val="0"/>
          <w:smallCaps/>
          <w:sz w:val="20"/>
          <w:szCs w:val="20"/>
        </w:rPr>
        <w:t>27</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"_Toc7991" </w:instrText>
      </w:r>
      <w:r>
        <w:fldChar w:fldCharType="separate"/>
      </w:r>
      <w:r>
        <w:rPr>
          <w:rFonts w:hint="eastAsia"/>
          <w:b/>
          <w:bCs/>
          <w:sz w:val="20"/>
          <w:szCs w:val="20"/>
        </w:rPr>
        <w:t>第五章 合同文本</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_Toc7991 \h </w:instrText>
      </w:r>
      <w:r>
        <w:rPr>
          <w:rFonts w:hint="eastAsia"/>
          <w:b/>
          <w:bCs/>
          <w:sz w:val="20"/>
          <w:szCs w:val="20"/>
        </w:rPr>
        <w:fldChar w:fldCharType="separate"/>
      </w:r>
      <w:r>
        <w:rPr>
          <w:rFonts w:hint="eastAsia"/>
          <w:b/>
          <w:bCs/>
          <w:sz w:val="20"/>
          <w:szCs w:val="20"/>
        </w:rPr>
        <w:t>28</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"_Toc4933" </w:instrText>
      </w:r>
      <w:r>
        <w:fldChar w:fldCharType="separate"/>
      </w:r>
      <w:r>
        <w:rPr>
          <w:rFonts w:hint="eastAsia"/>
          <w:b/>
          <w:bCs/>
          <w:sz w:val="20"/>
          <w:szCs w:val="20"/>
        </w:rPr>
        <w:t>第六章 投标资料表</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_Toc4933 \h </w:instrText>
      </w:r>
      <w:r>
        <w:rPr>
          <w:rFonts w:hint="eastAsia"/>
          <w:b/>
          <w:bCs/>
          <w:sz w:val="20"/>
          <w:szCs w:val="20"/>
        </w:rPr>
        <w:fldChar w:fldCharType="separate"/>
      </w:r>
      <w:r>
        <w:rPr>
          <w:rFonts w:hint="eastAsia"/>
          <w:b/>
          <w:bCs/>
          <w:sz w:val="20"/>
          <w:szCs w:val="20"/>
        </w:rPr>
        <w:t>42</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"_Toc25551" </w:instrText>
      </w:r>
      <w:r>
        <w:fldChar w:fldCharType="separate"/>
      </w:r>
      <w:r>
        <w:rPr>
          <w:rFonts w:hint="eastAsia"/>
          <w:b/>
          <w:bCs/>
          <w:sz w:val="20"/>
          <w:szCs w:val="20"/>
        </w:rPr>
        <w:t>第七章 投标文件格式</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_Toc25551 \h </w:instrText>
      </w:r>
      <w:r>
        <w:rPr>
          <w:rFonts w:hint="eastAsia"/>
          <w:b/>
          <w:bCs/>
          <w:sz w:val="20"/>
          <w:szCs w:val="20"/>
        </w:rPr>
        <w:fldChar w:fldCharType="separate"/>
      </w:r>
      <w:r>
        <w:rPr>
          <w:rFonts w:hint="eastAsia"/>
          <w:b/>
          <w:bCs/>
          <w:sz w:val="20"/>
          <w:szCs w:val="20"/>
        </w:rPr>
        <w:t>43</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"_Toc20740" </w:instrText>
      </w:r>
      <w:r>
        <w:fldChar w:fldCharType="separate"/>
      </w:r>
      <w:r>
        <w:rPr>
          <w:rFonts w:hint="eastAsia"/>
          <w:i w:val="0"/>
          <w:iCs w:val="0"/>
          <w:smallCaps/>
          <w:sz w:val="20"/>
          <w:szCs w:val="20"/>
        </w:rPr>
        <w:t>投标文件编制说明</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_Toc20740 \h </w:instrText>
      </w:r>
      <w:r>
        <w:rPr>
          <w:i w:val="0"/>
          <w:iCs w:val="0"/>
          <w:smallCaps/>
          <w:sz w:val="20"/>
          <w:szCs w:val="20"/>
        </w:rPr>
        <w:fldChar w:fldCharType="separate"/>
      </w:r>
      <w:r>
        <w:rPr>
          <w:i w:val="0"/>
          <w:iCs w:val="0"/>
          <w:smallCaps/>
          <w:sz w:val="20"/>
          <w:szCs w:val="20"/>
        </w:rPr>
        <w:t>43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"_Toc32283" </w:instrText>
      </w:r>
      <w:r>
        <w:fldChar w:fldCharType="separate"/>
      </w:r>
      <w:r>
        <w:rPr>
          <w:rFonts w:hint="eastAsia"/>
          <w:i w:val="0"/>
          <w:iCs w:val="0"/>
          <w:smallCaps/>
          <w:sz w:val="20"/>
          <w:szCs w:val="20"/>
        </w:rPr>
        <w:t>格式1：投标函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_Toc32283 \h </w:instrText>
      </w:r>
      <w:r>
        <w:rPr>
          <w:i w:val="0"/>
          <w:iCs w:val="0"/>
          <w:smallCaps/>
          <w:sz w:val="20"/>
          <w:szCs w:val="20"/>
        </w:rPr>
        <w:fldChar w:fldCharType="separate"/>
      </w:r>
      <w:r>
        <w:rPr>
          <w:i w:val="0"/>
          <w:iCs w:val="0"/>
          <w:smallCaps/>
          <w:sz w:val="20"/>
          <w:szCs w:val="20"/>
        </w:rPr>
        <w:t>49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"_Toc9501" </w:instrText>
      </w:r>
      <w:r>
        <w:fldChar w:fldCharType="separate"/>
      </w:r>
      <w:r>
        <w:rPr>
          <w:rFonts w:hint="eastAsia"/>
          <w:i w:val="0"/>
          <w:iCs w:val="0"/>
          <w:smallCaps/>
          <w:sz w:val="20"/>
          <w:szCs w:val="20"/>
        </w:rPr>
        <w:t>格式2：法定代表人（单位负责人）证明书</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_Toc9501 \h </w:instrText>
      </w:r>
      <w:r>
        <w:rPr>
          <w:i w:val="0"/>
          <w:iCs w:val="0"/>
          <w:smallCaps/>
          <w:sz w:val="20"/>
          <w:szCs w:val="20"/>
        </w:rPr>
        <w:fldChar w:fldCharType="separate"/>
      </w:r>
      <w:r>
        <w:rPr>
          <w:i w:val="0"/>
          <w:iCs w:val="0"/>
          <w:smallCaps/>
          <w:sz w:val="20"/>
          <w:szCs w:val="20"/>
        </w:rPr>
        <w:t>50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"_Toc16372" </w:instrText>
      </w:r>
      <w:r>
        <w:fldChar w:fldCharType="separate"/>
      </w:r>
      <w:r>
        <w:rPr>
          <w:rFonts w:hint="eastAsia"/>
          <w:i w:val="0"/>
          <w:iCs w:val="0"/>
          <w:smallCaps/>
          <w:sz w:val="20"/>
          <w:szCs w:val="20"/>
        </w:rPr>
        <w:t>格式3：授权委托书</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_Toc16372 \h </w:instrText>
      </w:r>
      <w:r>
        <w:rPr>
          <w:i w:val="0"/>
          <w:iCs w:val="0"/>
          <w:smallCaps/>
          <w:sz w:val="20"/>
          <w:szCs w:val="20"/>
        </w:rPr>
        <w:fldChar w:fldCharType="separate"/>
      </w:r>
      <w:r>
        <w:rPr>
          <w:i w:val="0"/>
          <w:iCs w:val="0"/>
          <w:smallCaps/>
          <w:sz w:val="20"/>
          <w:szCs w:val="20"/>
        </w:rPr>
        <w:t>51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"_Toc12237" </w:instrText>
      </w:r>
      <w:r>
        <w:fldChar w:fldCharType="separate"/>
      </w:r>
      <w:r>
        <w:rPr>
          <w:rFonts w:hint="eastAsia"/>
          <w:i w:val="0"/>
          <w:iCs w:val="0"/>
          <w:smallCaps/>
          <w:sz w:val="20"/>
          <w:szCs w:val="20"/>
        </w:rPr>
        <w:t>格式4：资格条款偏离表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_Toc12237 \h </w:instrText>
      </w:r>
      <w:r>
        <w:rPr>
          <w:i w:val="0"/>
          <w:iCs w:val="0"/>
          <w:smallCaps/>
          <w:sz w:val="20"/>
          <w:szCs w:val="20"/>
        </w:rPr>
        <w:fldChar w:fldCharType="separate"/>
      </w:r>
      <w:r>
        <w:rPr>
          <w:i w:val="0"/>
          <w:iCs w:val="0"/>
          <w:smallCaps/>
          <w:sz w:val="20"/>
          <w:szCs w:val="20"/>
        </w:rPr>
        <w:t>52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"_Toc3927" </w:instrText>
      </w:r>
      <w:r>
        <w:fldChar w:fldCharType="separate"/>
      </w:r>
      <w:r>
        <w:rPr>
          <w:rFonts w:hint="eastAsia"/>
          <w:i w:val="0"/>
          <w:iCs w:val="0"/>
          <w:smallCaps/>
          <w:sz w:val="20"/>
          <w:szCs w:val="20"/>
        </w:rPr>
        <w:t>格式5：法人或者其他组织的营业执照等证明文件</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_Toc3927 \h </w:instrText>
      </w:r>
      <w:r>
        <w:rPr>
          <w:i w:val="0"/>
          <w:iCs w:val="0"/>
          <w:smallCaps/>
          <w:sz w:val="20"/>
          <w:szCs w:val="20"/>
        </w:rPr>
        <w:fldChar w:fldCharType="separate"/>
      </w:r>
      <w:r>
        <w:rPr>
          <w:i w:val="0"/>
          <w:iCs w:val="0"/>
          <w:smallCaps/>
          <w:sz w:val="20"/>
          <w:szCs w:val="20"/>
        </w:rPr>
        <w:t>54</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"_Toc21226" </w:instrText>
      </w:r>
      <w:r>
        <w:fldChar w:fldCharType="separate"/>
      </w:r>
      <w:r>
        <w:rPr>
          <w:rFonts w:hint="eastAsia"/>
          <w:i w:val="0"/>
          <w:iCs w:val="0"/>
          <w:smallCaps/>
          <w:sz w:val="20"/>
          <w:szCs w:val="20"/>
        </w:rPr>
        <w:t>格式6：投标人资格声明函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_Toc21226 \h </w:instrText>
      </w:r>
      <w:r>
        <w:rPr>
          <w:i w:val="0"/>
          <w:iCs w:val="0"/>
          <w:smallCaps/>
          <w:sz w:val="20"/>
          <w:szCs w:val="20"/>
        </w:rPr>
        <w:fldChar w:fldCharType="separate"/>
      </w:r>
      <w:r>
        <w:rPr>
          <w:i w:val="0"/>
          <w:iCs w:val="0"/>
          <w:smallCaps/>
          <w:sz w:val="20"/>
          <w:szCs w:val="20"/>
        </w:rPr>
        <w:t>55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"_Toc21325" </w:instrText>
      </w:r>
      <w:r>
        <w:fldChar w:fldCharType="separate"/>
      </w:r>
      <w:r>
        <w:rPr>
          <w:rFonts w:hint="eastAsia"/>
          <w:i w:val="0"/>
          <w:iCs w:val="0"/>
          <w:smallCaps/>
          <w:sz w:val="20"/>
          <w:szCs w:val="20"/>
        </w:rPr>
        <w:t>格式7：开标一览表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_Toc21325 \h </w:instrText>
      </w:r>
      <w:r>
        <w:rPr>
          <w:i w:val="0"/>
          <w:iCs w:val="0"/>
          <w:smallCaps/>
          <w:sz w:val="20"/>
          <w:szCs w:val="20"/>
        </w:rPr>
        <w:fldChar w:fldCharType="separate"/>
      </w:r>
      <w:r>
        <w:rPr>
          <w:i w:val="0"/>
          <w:iCs w:val="0"/>
          <w:smallCaps/>
          <w:sz w:val="20"/>
          <w:szCs w:val="20"/>
        </w:rPr>
        <w:t>57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"_Toc23484" </w:instrText>
      </w:r>
      <w:r>
        <w:fldChar w:fldCharType="separate"/>
      </w:r>
      <w:r>
        <w:rPr>
          <w:rFonts w:hint="eastAsia"/>
          <w:i w:val="0"/>
          <w:iCs w:val="0"/>
          <w:smallCaps/>
          <w:sz w:val="20"/>
          <w:szCs w:val="20"/>
        </w:rPr>
        <w:t>格式8：投标分项报价表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_Toc23484 \h </w:instrText>
      </w:r>
      <w:r>
        <w:rPr>
          <w:i w:val="0"/>
          <w:iCs w:val="0"/>
          <w:smallCaps/>
          <w:sz w:val="20"/>
          <w:szCs w:val="20"/>
        </w:rPr>
        <w:fldChar w:fldCharType="separate"/>
      </w:r>
      <w:r>
        <w:rPr>
          <w:i w:val="0"/>
          <w:iCs w:val="0"/>
          <w:smallCaps/>
          <w:sz w:val="20"/>
          <w:szCs w:val="20"/>
        </w:rPr>
        <w:t>58</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"_Toc9437" </w:instrText>
      </w:r>
      <w:r>
        <w:fldChar w:fldCharType="separate"/>
      </w:r>
      <w:r>
        <w:rPr>
          <w:rFonts w:hint="eastAsia"/>
          <w:i w:val="0"/>
          <w:iCs w:val="0"/>
          <w:smallCaps/>
          <w:sz w:val="20"/>
          <w:szCs w:val="20"/>
        </w:rPr>
        <w:t>格式9：技术规格偏离表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_Toc9437 \h </w:instrText>
      </w:r>
      <w:r>
        <w:rPr>
          <w:i w:val="0"/>
          <w:iCs w:val="0"/>
          <w:smallCaps/>
          <w:sz w:val="20"/>
          <w:szCs w:val="20"/>
        </w:rPr>
        <w:fldChar w:fldCharType="separate"/>
      </w:r>
      <w:r>
        <w:rPr>
          <w:i w:val="0"/>
          <w:iCs w:val="0"/>
          <w:smallCaps/>
          <w:sz w:val="20"/>
          <w:szCs w:val="20"/>
        </w:rPr>
        <w:t>59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"_Toc25758" </w:instrText>
      </w:r>
      <w:r>
        <w:fldChar w:fldCharType="separate"/>
      </w:r>
      <w:r>
        <w:rPr>
          <w:rFonts w:hint="eastAsia"/>
          <w:i w:val="0"/>
          <w:iCs w:val="0"/>
          <w:smallCaps/>
          <w:sz w:val="20"/>
          <w:szCs w:val="20"/>
        </w:rPr>
        <w:t>格式10：技术保障措施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_Toc25758 \h </w:instrText>
      </w:r>
      <w:r>
        <w:rPr>
          <w:i w:val="0"/>
          <w:iCs w:val="0"/>
          <w:smallCaps/>
          <w:sz w:val="20"/>
          <w:szCs w:val="20"/>
        </w:rPr>
        <w:fldChar w:fldCharType="separate"/>
      </w:r>
      <w:r>
        <w:rPr>
          <w:i w:val="0"/>
          <w:iCs w:val="0"/>
          <w:smallCaps/>
          <w:sz w:val="20"/>
          <w:szCs w:val="20"/>
        </w:rPr>
        <w:t>60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"_Toc19609" </w:instrText>
      </w:r>
      <w:r>
        <w:fldChar w:fldCharType="separate"/>
      </w:r>
      <w:r>
        <w:rPr>
          <w:rFonts w:hint="eastAsia"/>
          <w:i w:val="0"/>
          <w:iCs w:val="0"/>
          <w:smallCaps/>
          <w:sz w:val="20"/>
          <w:szCs w:val="20"/>
        </w:rPr>
        <w:t>格式11：售后服务方案</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_Toc19609 \h </w:instrText>
      </w:r>
      <w:r>
        <w:rPr>
          <w:i w:val="0"/>
          <w:iCs w:val="0"/>
          <w:smallCaps/>
          <w:sz w:val="20"/>
          <w:szCs w:val="20"/>
        </w:rPr>
        <w:fldChar w:fldCharType="separate"/>
      </w:r>
      <w:r>
        <w:rPr>
          <w:i w:val="0"/>
          <w:iCs w:val="0"/>
          <w:smallCaps/>
          <w:sz w:val="20"/>
          <w:szCs w:val="20"/>
        </w:rPr>
        <w:t>60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"_Toc29923" </w:instrText>
      </w:r>
      <w:r>
        <w:fldChar w:fldCharType="separate"/>
      </w:r>
      <w:r>
        <w:rPr>
          <w:rFonts w:hint="eastAsia"/>
          <w:i w:val="0"/>
          <w:iCs w:val="0"/>
          <w:smallCaps/>
          <w:sz w:val="20"/>
          <w:szCs w:val="20"/>
        </w:rPr>
        <w:t>格式12：商务条款偏离表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_Toc29923 \h </w:instrText>
      </w:r>
      <w:r>
        <w:rPr>
          <w:i w:val="0"/>
          <w:iCs w:val="0"/>
          <w:smallCaps/>
          <w:sz w:val="20"/>
          <w:szCs w:val="20"/>
        </w:rPr>
        <w:fldChar w:fldCharType="separate"/>
      </w:r>
      <w:r>
        <w:rPr>
          <w:i w:val="0"/>
          <w:iCs w:val="0"/>
          <w:smallCaps/>
          <w:sz w:val="20"/>
          <w:szCs w:val="20"/>
        </w:rPr>
        <w:t>61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"_Toc6533" </w:instrText>
      </w:r>
      <w:r>
        <w:fldChar w:fldCharType="separate"/>
      </w:r>
      <w:r>
        <w:rPr>
          <w:rFonts w:hint="eastAsia"/>
          <w:i w:val="0"/>
          <w:iCs w:val="0"/>
          <w:smallCaps/>
          <w:sz w:val="20"/>
          <w:szCs w:val="20"/>
        </w:rPr>
        <w:t>格式13：投标人综合概况简表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_Toc6533 \h </w:instrText>
      </w:r>
      <w:r>
        <w:rPr>
          <w:i w:val="0"/>
          <w:iCs w:val="0"/>
          <w:smallCaps/>
          <w:sz w:val="20"/>
          <w:szCs w:val="20"/>
        </w:rPr>
        <w:fldChar w:fldCharType="separate"/>
      </w:r>
      <w:r>
        <w:rPr>
          <w:i w:val="0"/>
          <w:iCs w:val="0"/>
          <w:smallCaps/>
          <w:sz w:val="20"/>
          <w:szCs w:val="20"/>
        </w:rPr>
        <w:t>62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"_Toc22664" </w:instrText>
      </w:r>
      <w:r>
        <w:fldChar w:fldCharType="separate"/>
      </w:r>
      <w:r>
        <w:rPr>
          <w:rFonts w:hint="eastAsia"/>
          <w:i w:val="0"/>
          <w:iCs w:val="0"/>
          <w:smallCaps/>
          <w:sz w:val="20"/>
          <w:szCs w:val="20"/>
        </w:rPr>
        <w:t>格式14：企业类型声明函（可选）</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_Toc22664 \h </w:instrText>
      </w:r>
      <w:r>
        <w:rPr>
          <w:i w:val="0"/>
          <w:iCs w:val="0"/>
          <w:smallCaps/>
          <w:sz w:val="20"/>
          <w:szCs w:val="20"/>
        </w:rPr>
        <w:fldChar w:fldCharType="separate"/>
      </w:r>
      <w:r>
        <w:rPr>
          <w:i w:val="0"/>
          <w:iCs w:val="0"/>
          <w:smallCaps/>
          <w:sz w:val="20"/>
          <w:szCs w:val="20"/>
        </w:rPr>
        <w:t>63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"_Toc17528" </w:instrText>
      </w:r>
      <w:r>
        <w:fldChar w:fldCharType="separate"/>
      </w:r>
      <w:r>
        <w:rPr>
          <w:rFonts w:hint="eastAsia"/>
          <w:i w:val="0"/>
          <w:iCs w:val="0"/>
          <w:smallCaps/>
          <w:sz w:val="20"/>
          <w:szCs w:val="20"/>
        </w:rPr>
        <w:t>格式15：残疾人福利性单位声明函（可选）</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_Toc17528 \h </w:instrText>
      </w:r>
      <w:r>
        <w:rPr>
          <w:i w:val="0"/>
          <w:iCs w:val="0"/>
          <w:smallCaps/>
          <w:sz w:val="20"/>
          <w:szCs w:val="20"/>
        </w:rPr>
        <w:fldChar w:fldCharType="separate"/>
      </w:r>
      <w:r>
        <w:rPr>
          <w:i w:val="0"/>
          <w:iCs w:val="0"/>
          <w:smallCaps/>
          <w:sz w:val="20"/>
          <w:szCs w:val="20"/>
        </w:rPr>
        <w:t>66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"_Toc14001" </w:instrText>
      </w:r>
      <w:r>
        <w:fldChar w:fldCharType="separate"/>
      </w:r>
      <w:r>
        <w:rPr>
          <w:rFonts w:hint="eastAsia"/>
          <w:i w:val="0"/>
          <w:iCs w:val="0"/>
          <w:smallCaps/>
          <w:sz w:val="20"/>
          <w:szCs w:val="20"/>
        </w:rPr>
        <w:t>格式16：同类项目业绩情况</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_Toc14001 \h </w:instrText>
      </w:r>
      <w:r>
        <w:rPr>
          <w:i w:val="0"/>
          <w:iCs w:val="0"/>
          <w:smallCaps/>
          <w:sz w:val="20"/>
          <w:szCs w:val="20"/>
        </w:rPr>
        <w:fldChar w:fldCharType="separate"/>
      </w:r>
      <w:r>
        <w:rPr>
          <w:i w:val="0"/>
          <w:iCs w:val="0"/>
          <w:smallCaps/>
          <w:sz w:val="20"/>
          <w:szCs w:val="20"/>
        </w:rPr>
        <w:t>67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"_Toc27416" </w:instrText>
      </w:r>
      <w:r>
        <w:fldChar w:fldCharType="separate"/>
      </w:r>
      <w:r>
        <w:rPr>
          <w:rFonts w:hint="eastAsia"/>
          <w:i w:val="0"/>
          <w:iCs w:val="0"/>
          <w:smallCaps/>
          <w:sz w:val="20"/>
          <w:szCs w:val="20"/>
        </w:rPr>
        <w:t>格式17：相关认证情况</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_Toc27416 \h </w:instrText>
      </w:r>
      <w:r>
        <w:rPr>
          <w:i w:val="0"/>
          <w:iCs w:val="0"/>
          <w:smallCaps/>
          <w:sz w:val="20"/>
          <w:szCs w:val="20"/>
        </w:rPr>
        <w:fldChar w:fldCharType="separate"/>
      </w:r>
      <w:r>
        <w:rPr>
          <w:i w:val="0"/>
          <w:iCs w:val="0"/>
          <w:smallCaps/>
          <w:sz w:val="20"/>
          <w:szCs w:val="20"/>
        </w:rPr>
        <w:t>68</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HYPERLINK \l "_Toc25882" </w:instrText>
      </w:r>
      <w:r>
        <w:fldChar w:fldCharType="separate"/>
      </w:r>
      <w:r>
        <w:rPr>
          <w:rFonts w:hint="eastAsia" w:ascii="黑体" w:hAnsi="黑体" w:eastAsia="黑体" w:cs="黑体"/>
          <w:b/>
          <w:bCs/>
          <w:sz w:val="20"/>
          <w:szCs w:val="20"/>
        </w:rPr>
        <w:t>招标文件第二册（通用部分）</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_Toc25882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69</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"_Toc18466" </w:instrText>
      </w:r>
      <w:r>
        <w:fldChar w:fldCharType="separate"/>
      </w:r>
      <w:r>
        <w:rPr>
          <w:rFonts w:hint="eastAsia"/>
          <w:b/>
          <w:bCs/>
          <w:sz w:val="20"/>
          <w:szCs w:val="20"/>
        </w:rPr>
        <w:t>第一章 总则</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_Toc18466 \h </w:instrText>
      </w:r>
      <w:r>
        <w:rPr>
          <w:rFonts w:hint="eastAsia"/>
          <w:b/>
          <w:bCs/>
          <w:sz w:val="20"/>
          <w:szCs w:val="20"/>
        </w:rPr>
        <w:fldChar w:fldCharType="separate"/>
      </w:r>
      <w:r>
        <w:rPr>
          <w:rFonts w:hint="eastAsia"/>
          <w:b/>
          <w:bCs/>
          <w:sz w:val="20"/>
          <w:szCs w:val="20"/>
        </w:rPr>
        <w:t>69</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"_Toc10191" </w:instrText>
      </w:r>
      <w:r>
        <w:fldChar w:fldCharType="separate"/>
      </w:r>
      <w:r>
        <w:rPr>
          <w:rFonts w:hint="eastAsia"/>
          <w:b/>
          <w:bCs/>
          <w:sz w:val="20"/>
          <w:szCs w:val="20"/>
        </w:rPr>
        <w:t>第二章 招标文件</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_Toc10191 \h </w:instrText>
      </w:r>
      <w:r>
        <w:rPr>
          <w:rFonts w:hint="eastAsia"/>
          <w:b/>
          <w:bCs/>
          <w:sz w:val="20"/>
          <w:szCs w:val="20"/>
        </w:rPr>
        <w:fldChar w:fldCharType="separate"/>
      </w:r>
      <w:r>
        <w:rPr>
          <w:rFonts w:hint="eastAsia"/>
          <w:b/>
          <w:bCs/>
          <w:sz w:val="20"/>
          <w:szCs w:val="20"/>
        </w:rPr>
        <w:t>71</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"_Toc15015" </w:instrText>
      </w:r>
      <w:r>
        <w:fldChar w:fldCharType="separate"/>
      </w:r>
      <w:r>
        <w:rPr>
          <w:rFonts w:hint="eastAsia"/>
          <w:b/>
          <w:bCs/>
          <w:sz w:val="20"/>
          <w:szCs w:val="20"/>
        </w:rPr>
        <w:t>第三章 投标文件的编制与递交</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_Toc15015 \h </w:instrText>
      </w:r>
      <w:r>
        <w:rPr>
          <w:rFonts w:hint="eastAsia"/>
          <w:b/>
          <w:bCs/>
          <w:sz w:val="20"/>
          <w:szCs w:val="20"/>
        </w:rPr>
        <w:fldChar w:fldCharType="separate"/>
      </w:r>
      <w:r>
        <w:rPr>
          <w:rFonts w:hint="eastAsia"/>
          <w:b/>
          <w:bCs/>
          <w:sz w:val="20"/>
          <w:szCs w:val="20"/>
        </w:rPr>
        <w:t>73</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"_Toc18415" </w:instrText>
      </w:r>
      <w:r>
        <w:fldChar w:fldCharType="separate"/>
      </w:r>
      <w:r>
        <w:rPr>
          <w:rFonts w:hint="eastAsia"/>
          <w:b/>
          <w:bCs/>
          <w:sz w:val="20"/>
          <w:szCs w:val="20"/>
        </w:rPr>
        <w:t>第四章 开标</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_Toc18415 \h </w:instrText>
      </w:r>
      <w:r>
        <w:rPr>
          <w:rFonts w:hint="eastAsia"/>
          <w:b/>
          <w:bCs/>
          <w:sz w:val="20"/>
          <w:szCs w:val="20"/>
        </w:rPr>
        <w:fldChar w:fldCharType="separate"/>
      </w:r>
      <w:r>
        <w:rPr>
          <w:rFonts w:hint="eastAsia"/>
          <w:b/>
          <w:bCs/>
          <w:sz w:val="20"/>
          <w:szCs w:val="20"/>
        </w:rPr>
        <w:t>77</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"_Toc31833" </w:instrText>
      </w:r>
      <w:r>
        <w:fldChar w:fldCharType="separate"/>
      </w:r>
      <w:r>
        <w:rPr>
          <w:rFonts w:hint="eastAsia"/>
          <w:b/>
          <w:bCs/>
          <w:sz w:val="20"/>
          <w:szCs w:val="20"/>
        </w:rPr>
        <w:t>第五章 评标要求</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_Toc31833 \h </w:instrText>
      </w:r>
      <w:r>
        <w:rPr>
          <w:rFonts w:hint="eastAsia"/>
          <w:b/>
          <w:bCs/>
          <w:sz w:val="20"/>
          <w:szCs w:val="20"/>
        </w:rPr>
        <w:fldChar w:fldCharType="separate"/>
      </w:r>
      <w:r>
        <w:rPr>
          <w:rFonts w:hint="eastAsia"/>
          <w:b/>
          <w:bCs/>
          <w:sz w:val="20"/>
          <w:szCs w:val="20"/>
        </w:rPr>
        <w:t>78</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"_Toc329" </w:instrText>
      </w:r>
      <w:r>
        <w:fldChar w:fldCharType="separate"/>
      </w:r>
      <w:r>
        <w:rPr>
          <w:rFonts w:hint="eastAsia"/>
          <w:b/>
          <w:bCs/>
          <w:sz w:val="20"/>
          <w:szCs w:val="20"/>
        </w:rPr>
        <w:t>第六章 评标程序及评标方法</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_Toc329 \h </w:instrText>
      </w:r>
      <w:r>
        <w:rPr>
          <w:rFonts w:hint="eastAsia"/>
          <w:b/>
          <w:bCs/>
          <w:sz w:val="20"/>
          <w:szCs w:val="20"/>
        </w:rPr>
        <w:fldChar w:fldCharType="separate"/>
      </w:r>
      <w:r>
        <w:rPr>
          <w:rFonts w:hint="eastAsia"/>
          <w:b/>
          <w:bCs/>
          <w:sz w:val="20"/>
          <w:szCs w:val="20"/>
        </w:rPr>
        <w:t>79</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"_Toc10018" </w:instrText>
      </w:r>
      <w:r>
        <w:fldChar w:fldCharType="separate"/>
      </w:r>
      <w:r>
        <w:rPr>
          <w:rFonts w:hint="eastAsia"/>
          <w:b/>
          <w:bCs/>
          <w:sz w:val="20"/>
          <w:szCs w:val="20"/>
        </w:rPr>
        <w:t>第七章 定标及公示</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_Toc10018 \h </w:instrText>
      </w:r>
      <w:r>
        <w:rPr>
          <w:rFonts w:hint="eastAsia"/>
          <w:b/>
          <w:bCs/>
          <w:sz w:val="20"/>
          <w:szCs w:val="20"/>
        </w:rPr>
        <w:fldChar w:fldCharType="separate"/>
      </w:r>
      <w:r>
        <w:rPr>
          <w:rFonts w:hint="eastAsia"/>
          <w:b/>
          <w:bCs/>
          <w:sz w:val="20"/>
          <w:szCs w:val="20"/>
        </w:rPr>
        <w:t>82</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"_Toc1549" </w:instrText>
      </w:r>
      <w:r>
        <w:fldChar w:fldCharType="separate"/>
      </w:r>
      <w:r>
        <w:rPr>
          <w:rFonts w:hint="eastAsia"/>
          <w:b/>
          <w:bCs/>
          <w:sz w:val="20"/>
          <w:szCs w:val="20"/>
        </w:rPr>
        <w:t>第八章 公开招标失败的后续处理</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_Toc1549 \h </w:instrText>
      </w:r>
      <w:r>
        <w:rPr>
          <w:rFonts w:hint="eastAsia"/>
          <w:b/>
          <w:bCs/>
          <w:sz w:val="20"/>
          <w:szCs w:val="20"/>
        </w:rPr>
        <w:fldChar w:fldCharType="separate"/>
      </w:r>
      <w:r>
        <w:rPr>
          <w:rFonts w:hint="eastAsia"/>
          <w:b/>
          <w:bCs/>
          <w:sz w:val="20"/>
          <w:szCs w:val="20"/>
        </w:rPr>
        <w:t>83</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"_Toc27804" </w:instrText>
      </w:r>
      <w:r>
        <w:fldChar w:fldCharType="separate"/>
      </w:r>
      <w:r>
        <w:rPr>
          <w:rFonts w:hint="eastAsia"/>
          <w:b/>
          <w:bCs/>
          <w:sz w:val="20"/>
          <w:szCs w:val="20"/>
        </w:rPr>
        <w:t>第九章 合同的授予与备案</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_Toc27804 \h </w:instrText>
      </w:r>
      <w:r>
        <w:rPr>
          <w:rFonts w:hint="eastAsia"/>
          <w:b/>
          <w:bCs/>
          <w:sz w:val="20"/>
          <w:szCs w:val="20"/>
        </w:rPr>
        <w:fldChar w:fldCharType="separate"/>
      </w:r>
      <w:r>
        <w:rPr>
          <w:rFonts w:hint="eastAsia"/>
          <w:b/>
          <w:bCs/>
          <w:sz w:val="20"/>
          <w:szCs w:val="20"/>
        </w:rPr>
        <w:t>86</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"_Toc4334" </w:instrText>
      </w:r>
      <w:r>
        <w:fldChar w:fldCharType="separate"/>
      </w:r>
      <w:r>
        <w:rPr>
          <w:rFonts w:hint="eastAsia"/>
          <w:b/>
          <w:bCs/>
          <w:sz w:val="20"/>
          <w:szCs w:val="20"/>
        </w:rPr>
        <w:t>第十章 质疑受理</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_Toc4334 \h </w:instrText>
      </w:r>
      <w:r>
        <w:rPr>
          <w:rFonts w:hint="eastAsia"/>
          <w:b/>
          <w:bCs/>
          <w:sz w:val="20"/>
          <w:szCs w:val="20"/>
        </w:rPr>
        <w:fldChar w:fldCharType="separate"/>
      </w:r>
      <w:r>
        <w:rPr>
          <w:rFonts w:hint="eastAsia"/>
          <w:b/>
          <w:bCs/>
          <w:sz w:val="20"/>
          <w:szCs w:val="20"/>
        </w:rPr>
        <w:t>86</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"_Toc13862" </w:instrText>
      </w:r>
      <w:r>
        <w:fldChar w:fldCharType="separate"/>
      </w:r>
      <w:r>
        <w:rPr>
          <w:rFonts w:hint="eastAsia"/>
          <w:b/>
          <w:bCs/>
          <w:sz w:val="20"/>
          <w:szCs w:val="20"/>
        </w:rPr>
        <w:t>招标代理服务取费说明</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_Toc13862 \h </w:instrText>
      </w:r>
      <w:r>
        <w:rPr>
          <w:rFonts w:hint="eastAsia"/>
          <w:b/>
          <w:bCs/>
          <w:sz w:val="20"/>
          <w:szCs w:val="20"/>
        </w:rPr>
        <w:fldChar w:fldCharType="separate"/>
      </w:r>
      <w:r>
        <w:rPr>
          <w:rFonts w:hint="eastAsia"/>
          <w:b/>
          <w:bCs/>
          <w:sz w:val="20"/>
          <w:szCs w:val="20"/>
        </w:rPr>
        <w:t>89</w:t>
      </w:r>
      <w:r>
        <w:rPr>
          <w:rFonts w:hint="eastAsia"/>
          <w:b/>
          <w:bCs/>
          <w:sz w:val="20"/>
          <w:szCs w:val="20"/>
        </w:rPr>
        <w:fldChar w:fldCharType="end"/>
      </w:r>
      <w:r>
        <w:rPr>
          <w:rFonts w:hint="eastAsia"/>
          <w:b/>
          <w:bCs/>
          <w:sz w:val="20"/>
          <w:szCs w:val="20"/>
        </w:rPr>
        <w:fldChar w:fldCharType="end"/>
      </w:r>
    </w:p>
    <w:p>
      <w:pPr>
        <w:tabs>
          <w:tab w:val="right" w:leader="dot" w:pos="8820"/>
          <w:tab w:val="right" w:leader="dot" w:pos="9240"/>
          <w:tab w:val="clear" w:pos="426"/>
        </w:tabs>
        <w:spacing w:line="240" w:lineRule="auto"/>
        <w:rPr>
          <w:rFonts w:hint="eastAsia"/>
        </w:rPr>
      </w:pPr>
      <w:r>
        <w:rPr>
          <w:smallCaps/>
        </w:rPr>
        <w:fldChar w:fldCharType="end"/>
      </w:r>
    </w:p>
    <w:p>
      <w:pPr>
        <w:tabs>
          <w:tab w:val="clear" w:pos="426"/>
        </w:tabs>
        <w:spacing w:line="240" w:lineRule="auto"/>
        <w:rPr>
          <w:rFonts w:hint="eastAsia"/>
        </w:rPr>
        <w:sectPr>
          <w:footerReference r:id="rId5" w:type="even"/>
          <w:pgSz w:w="11906" w:h="16838"/>
          <w:pgMar w:top="1134" w:right="1700" w:bottom="1134" w:left="1418" w:header="851" w:footer="992" w:gutter="0"/>
          <w:pgNumType w:start="0"/>
          <w:cols w:space="720" w:num="1"/>
          <w:titlePg/>
          <w:docGrid w:linePitch="462" w:charSpace="0"/>
        </w:sectPr>
      </w:pPr>
    </w:p>
    <w:p>
      <w:pPr>
        <w:pStyle w:val="62"/>
      </w:pPr>
      <w:bookmarkStart w:id="0" w:name="_Toc1594"/>
      <w:bookmarkStart w:id="1" w:name="_Toc432592808"/>
      <w:r>
        <w:rPr>
          <w:rFonts w:hint="eastAsia"/>
        </w:rPr>
        <w:t>项目关键信息</w:t>
      </w:r>
      <w:bookmarkEnd w:id="0"/>
      <w:bookmarkEnd w:id="1"/>
    </w:p>
    <w:tbl>
      <w:tblPr>
        <w:tblStyle w:val="8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项目编号</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SSZX2024-370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项目名称</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气相色谱三重四极杆质谱联用仪设备采购项目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asciiTheme="minorEastAsia" w:hAnsiTheme="minorEastAsia" w:eastAsiaTheme="minorEastAsia"/>
                <w:szCs w:val="21"/>
                <w:u w:val="none"/>
              </w:rPr>
              <w:t>项目类型</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asciiTheme="minorEastAsia" w:hAnsiTheme="minorEastAsia" w:eastAsiaTheme="minorEastAsia"/>
                <w:szCs w:val="21"/>
                <w:u w:val="none"/>
              </w:rPr>
              <w:t>采购方式</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asciiTheme="minorEastAsia" w:hAnsiTheme="minorEastAsia" w:eastAsiaTheme="minorEastAsia"/>
                <w:szCs w:val="21"/>
                <w:u w:val="none"/>
              </w:rPr>
              <w:t>货币类型</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asciiTheme="minorEastAsia" w:hAnsiTheme="minorEastAsia" w:eastAsiaTheme="minorEastAsia"/>
                <w:szCs w:val="21"/>
                <w:u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预算金额</w:t>
            </w:r>
          </w:p>
        </w:tc>
        <w:tc>
          <w:tcPr>
            <w:tcW w:w="5968" w:type="dxa"/>
            <w:vAlign w:val="center"/>
          </w:tcPr>
          <w:p>
            <w:pPr>
              <w:tabs>
                <w:tab w:val="clear" w:pos="426"/>
              </w:tabs>
              <w:adjustRightInd/>
              <w:snapToGrid/>
              <w:spacing w:line="320" w:lineRule="exact"/>
              <w:rPr>
                <w:rFonts w:hint="eastAsia"/>
                <w:u w:val="none"/>
              </w:rPr>
            </w:pPr>
            <w:r>
              <w:rPr>
                <w:rFonts w:hint="eastAsia"/>
                <w:u w:val="none"/>
              </w:rPr>
              <w:t>总预算金额：310.000000万元（人民币叁佰壹拾万元整）</w:t>
            </w:r>
          </w:p>
          <w:p>
            <w:pPr>
              <w:tabs>
                <w:tab w:val="clear" w:pos="426"/>
              </w:tabs>
              <w:adjustRightInd/>
              <w:snapToGrid/>
              <w:spacing w:line="320" w:lineRule="exact"/>
              <w:rPr>
                <w:rFonts w:hint="eastAsia"/>
                <w:u w:val="none"/>
              </w:rPr>
            </w:pPr>
            <w:r>
              <w:rPr>
                <w:rFonts w:hint="eastAsia"/>
                <w:u w:val="none"/>
              </w:rPr>
              <w:t>01包：155.000000万元（人民币壹佰伍拾伍万元整）</w:t>
            </w:r>
          </w:p>
          <w:p>
            <w:pPr>
              <w:tabs>
                <w:tab w:val="clear" w:pos="426"/>
              </w:tabs>
              <w:adjustRightInd/>
              <w:snapToGrid/>
              <w:spacing w:line="320" w:lineRule="exact"/>
              <w:rPr>
                <w:rFonts w:hint="eastAsia"/>
                <w:u w:val="none"/>
              </w:rPr>
            </w:pPr>
            <w:r>
              <w:rPr>
                <w:rFonts w:hint="eastAsia"/>
                <w:u w:val="none"/>
              </w:rPr>
              <w:t>02包：155.000000万元（人民币壹佰伍拾伍万元整）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最高限价</w:t>
            </w:r>
          </w:p>
        </w:tc>
        <w:tc>
          <w:tcPr>
            <w:tcW w:w="5968" w:type="dxa"/>
            <w:vAlign w:val="center"/>
          </w:tcPr>
          <w:p>
            <w:pPr>
              <w:tabs>
                <w:tab w:val="clear" w:pos="426"/>
              </w:tabs>
              <w:adjustRightInd/>
              <w:snapToGrid/>
              <w:spacing w:line="320" w:lineRule="exact"/>
              <w:rPr>
                <w:rFonts w:hint="eastAsia"/>
                <w:u w:val="none"/>
              </w:rPr>
            </w:pPr>
            <w:r>
              <w:rPr>
                <w:rFonts w:hint="eastAsia"/>
                <w:u w:val="none"/>
              </w:rPr>
              <w:t>总限价：310.000000万元（人民币叁佰壹拾万元整）</w:t>
            </w:r>
          </w:p>
          <w:p>
            <w:pPr>
              <w:tabs>
                <w:tab w:val="clear" w:pos="426"/>
              </w:tabs>
              <w:adjustRightInd/>
              <w:snapToGrid/>
              <w:spacing w:line="320" w:lineRule="exact"/>
              <w:rPr>
                <w:rFonts w:hint="eastAsia"/>
                <w:u w:val="none"/>
              </w:rPr>
            </w:pPr>
            <w:r>
              <w:rPr>
                <w:rFonts w:hint="eastAsia"/>
                <w:u w:val="none"/>
              </w:rPr>
              <w:t>01包限价：155.000000万元（人民币壹佰伍拾伍万元整）</w:t>
            </w:r>
          </w:p>
          <w:p>
            <w:pPr>
              <w:tabs>
                <w:tab w:val="clear" w:pos="426"/>
              </w:tabs>
              <w:adjustRightInd/>
              <w:snapToGrid/>
              <w:spacing w:line="320" w:lineRule="exact"/>
              <w:rPr>
                <w:rFonts w:hint="eastAsia"/>
                <w:u w:val="none"/>
              </w:rPr>
            </w:pPr>
            <w:r>
              <w:rPr>
                <w:rFonts w:hint="eastAsia"/>
                <w:u w:val="none"/>
              </w:rPr>
              <w:t>02包限价：155.000000万元（人民币壹佰伍拾伍万元整）</w:t>
            </w:r>
          </w:p>
          <w:p>
            <w:pPr>
              <w:tabs>
                <w:tab w:val="clear" w:pos="426"/>
              </w:tabs>
              <w:adjustRightInd/>
              <w:snapToGrid/>
              <w:spacing w:line="320" w:lineRule="exact"/>
              <w:rPr>
                <w:rFonts w:hint="eastAsia"/>
                <w:u w:val="none"/>
              </w:rPr>
            </w:pPr>
            <w:r>
              <w:rPr>
                <w:rFonts w:hint="eastAsia"/>
                <w:u w:val="none"/>
              </w:rPr>
              <w:t>不符合报价要求的投标文件将做无效处理。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报价要求</w:t>
            </w:r>
          </w:p>
        </w:tc>
        <w:tc>
          <w:tcPr>
            <w:tcW w:w="5968" w:type="dxa"/>
            <w:vAlign w:val="center"/>
          </w:tcPr>
          <w:p>
            <w:pPr>
              <w:tabs>
                <w:tab w:val="clear" w:pos="426"/>
              </w:tabs>
              <w:adjustRightInd/>
              <w:snapToGrid/>
              <w:spacing w:line="320" w:lineRule="exact"/>
              <w:rPr>
                <w:rFonts w:hint="eastAsia"/>
                <w:u w:val="none"/>
              </w:rPr>
            </w:pPr>
            <w:r>
              <w:rPr>
                <w:rFonts w:hint="eastAsia"/>
                <w:u w:val="none"/>
              </w:rPr>
              <w:t>1.投标报价以人民币元为计算单位。</w:t>
            </w:r>
          </w:p>
          <w:p>
            <w:pPr>
              <w:tabs>
                <w:tab w:val="clear" w:pos="426"/>
              </w:tabs>
              <w:adjustRightInd/>
              <w:snapToGrid/>
              <w:spacing w:line="320" w:lineRule="exact"/>
              <w:rPr>
                <w:rFonts w:hint="eastAsia"/>
                <w:u w:val="none"/>
              </w:rPr>
            </w:pPr>
            <w:r>
              <w:rPr>
                <w:rFonts w:hint="eastAsia"/>
                <w:u w:val="none"/>
              </w:rPr>
              <w:t>2.本项目投标上限金额为本项目预算金额（包含分项预算、总预算金额）。</w:t>
            </w:r>
          </w:p>
          <w:p>
            <w:pPr>
              <w:tabs>
                <w:tab w:val="clear" w:pos="426"/>
              </w:tabs>
              <w:adjustRightInd/>
              <w:snapToGrid/>
              <w:spacing w:line="320" w:lineRule="exact"/>
              <w:rPr>
                <w:rFonts w:hint="eastAsia"/>
                <w:u w:val="none"/>
              </w:rPr>
            </w:pPr>
            <w:r>
              <w:rPr>
                <w:rFonts w:hint="eastAsia"/>
                <w:u w:val="none"/>
              </w:rPr>
              <w:t>3投标人报价应包含合同期内所有内容所产生的费用。</w:t>
            </w:r>
          </w:p>
          <w:p>
            <w:pPr>
              <w:tabs>
                <w:tab w:val="clear" w:pos="426"/>
              </w:tabs>
              <w:adjustRightInd/>
              <w:snapToGrid/>
              <w:spacing w:line="320" w:lineRule="exact"/>
              <w:rPr>
                <w:rFonts w:hint="eastAsia"/>
                <w:u w:val="none"/>
              </w:rPr>
            </w:pPr>
            <w:r>
              <w:rPr>
                <w:rFonts w:hint="eastAsia"/>
                <w:u w:val="none"/>
              </w:rPr>
              <w:t>4.投标人应充分了解任何其它足以影响投标报价的情况，任何因忽视或误解项目情况而导致的索赔或合同期限延长申请将不获批准。投标人在投标报价时，应充分考虑投标报价的风险。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评定分离</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asciiTheme="minorEastAsia" w:hAnsiTheme="minorEastAsia" w:eastAsiaTheme="minorEastAsia"/>
                <w:szCs w:val="21"/>
                <w:u w:val="none"/>
              </w:rPr>
              <w:t>■</w:t>
            </w:r>
            <w:r>
              <w:rPr>
                <w:rFonts w:hint="eastAsia" w:asciiTheme="minorEastAsia" w:hAnsiTheme="minorEastAsia" w:eastAsiaTheme="minorEastAsia"/>
                <w:szCs w:val="21"/>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bCs/>
                <w:szCs w:val="21"/>
                <w:u w:val="none"/>
              </w:rPr>
            </w:pPr>
            <w:r>
              <w:rPr>
                <w:rFonts w:hint="eastAsia" w:asciiTheme="minorEastAsia" w:hAnsiTheme="minorEastAsia" w:eastAsiaTheme="minorEastAsia"/>
                <w:bCs/>
                <w:szCs w:val="21"/>
                <w:u w:val="none"/>
              </w:rPr>
              <w:t>评标方法</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asciiTheme="minorEastAsia" w:hAnsiTheme="minorEastAsia" w:eastAsiaTheme="minorEastAsia"/>
                <w:szCs w:val="21"/>
                <w:u w:val="none"/>
              </w:rPr>
              <w:t>■</w:t>
            </w:r>
            <w:r>
              <w:rPr>
                <w:rFonts w:hint="eastAsia" w:asciiTheme="minorEastAsia" w:hAnsiTheme="minorEastAsia" w:eastAsiaTheme="minorEastAsia"/>
                <w:szCs w:val="21"/>
                <w:u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bCs/>
                <w:szCs w:val="21"/>
                <w:u w:val="none"/>
              </w:rPr>
            </w:pPr>
            <w:r>
              <w:rPr>
                <w:rFonts w:hint="eastAsia" w:asciiTheme="minorEastAsia" w:hAnsiTheme="minorEastAsia" w:eastAsiaTheme="minorEastAsia"/>
                <w:bCs/>
                <w:szCs w:val="21"/>
                <w:u w:val="none"/>
              </w:rPr>
              <w:t>定标方法</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投标供应商的替代方案</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投标有效期</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90</w:t>
            </w:r>
            <w:r>
              <w:rPr>
                <w:rFonts w:asciiTheme="minorEastAsia" w:hAnsiTheme="minorEastAsia" w:eastAsiaTheme="minorEastAsia"/>
                <w:szCs w:val="21"/>
                <w:u w:val="none"/>
              </w:rPr>
              <w:t>日历</w:t>
            </w:r>
            <w:r>
              <w:rPr>
                <w:rFonts w:hint="eastAsia" w:asciiTheme="minorEastAsia" w:hAnsiTheme="minorEastAsia" w:eastAsiaTheme="minorEastAsia"/>
                <w:szCs w:val="21"/>
                <w:u w:val="none"/>
              </w:rPr>
              <w:t>天</w:t>
            </w:r>
            <w:r>
              <w:rPr>
                <w:rFonts w:asciiTheme="minorEastAsia" w:hAnsiTheme="minorEastAsia" w:eastAsiaTheme="minorEastAsia"/>
                <w:szCs w:val="21"/>
                <w:u w:val="none"/>
              </w:rPr>
              <w:t>（</w:t>
            </w:r>
            <w:r>
              <w:rPr>
                <w:rFonts w:hint="eastAsia" w:asciiTheme="minorEastAsia" w:hAnsiTheme="minorEastAsia" w:eastAsiaTheme="minorEastAsia"/>
                <w:szCs w:val="21"/>
                <w:u w:val="none"/>
              </w:rPr>
              <w:t>从投标截止之日算起</w:t>
            </w:r>
            <w:r>
              <w:rPr>
                <w:rFonts w:asciiTheme="minorEastAsia" w:hAnsiTheme="minorEastAsia" w:eastAsiaTheme="minorEastAsia"/>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投标保证金</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asciiTheme="minorEastAsia" w:hAnsiTheme="minorEastAsia" w:eastAsiaTheme="minorEastAsia"/>
                <w:szCs w:val="21"/>
                <w:u w:val="none"/>
              </w:rPr>
              <w:t>■</w:t>
            </w:r>
            <w:r>
              <w:rPr>
                <w:rFonts w:hint="eastAsia" w:asciiTheme="minorEastAsia" w:hAnsiTheme="minorEastAsia" w:eastAsiaTheme="minorEastAsia"/>
                <w:szCs w:val="21"/>
                <w:u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履约保证金</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■提交，履约保证金为合同金额的10%，提交形式：银行保函或银行电汇。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投标文件份数</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纸质投标文件一正、四副，开标信封一份</w:t>
            </w:r>
          </w:p>
          <w:p>
            <w:pPr>
              <w:tabs>
                <w:tab w:val="clear" w:pos="426"/>
              </w:tabs>
              <w:adjustRightInd/>
              <w:snapToGrid/>
              <w:spacing w:line="240" w:lineRule="auto"/>
              <w:rPr>
                <w:rFonts w:hint="eastAsia" w:asciiTheme="minorEastAsia" w:hAnsiTheme="minorEastAsia" w:eastAsiaTheme="minorEastAsia"/>
                <w:szCs w:val="21"/>
                <w:u w:val="none"/>
              </w:rPr>
            </w:pPr>
            <w:r>
              <w:rPr>
                <w:rFonts w:hint="eastAsia"/>
                <w:b/>
                <w:bCs/>
                <w:u w:val="none"/>
              </w:rPr>
              <w:t>备注：投标供应商制作标书时，若同时投标2个包，要求必须对2个包分别响应。每个包的投标文件以包为单位分开制作，按照本招标文件中的投标文件格式进行密封装订，并请注意填写封面投标包的相关信息。若只投标1个包，按照本招标文件中的投标文件格式进行密封装订，并请注意填写封面投标包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投标文件电子档</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电子光盘一张或</w:t>
            </w:r>
            <w:r>
              <w:rPr>
                <w:rFonts w:asciiTheme="minorEastAsia" w:hAnsiTheme="minorEastAsia" w:eastAsiaTheme="minorEastAsia"/>
                <w:szCs w:val="21"/>
                <w:u w:val="none"/>
              </w:rPr>
              <w:t>U盘一个</w:t>
            </w:r>
            <w:r>
              <w:rPr>
                <w:rFonts w:hint="eastAsia" w:asciiTheme="minorEastAsia" w:hAnsiTheme="minorEastAsia" w:eastAsiaTheme="minorEastAsia"/>
                <w:szCs w:val="21"/>
                <w:u w:val="none"/>
              </w:rPr>
              <w:t>（</w:t>
            </w:r>
            <w:r>
              <w:rPr>
                <w:rFonts w:asciiTheme="minorEastAsia" w:hAnsiTheme="minorEastAsia" w:eastAsiaTheme="minorEastAsia"/>
                <w:szCs w:val="21"/>
                <w:u w:val="none"/>
              </w:rPr>
              <w:t>WORD及</w:t>
            </w:r>
            <w:r>
              <w:rPr>
                <w:rFonts w:hint="eastAsia" w:asciiTheme="minorEastAsia" w:hAnsiTheme="minorEastAsia" w:eastAsiaTheme="minorEastAsia"/>
                <w:szCs w:val="21"/>
                <w:u w:val="none"/>
              </w:rPr>
              <w:t>投标文件正本盖章后的彩色扫描件，</w:t>
            </w:r>
            <w:r>
              <w:rPr>
                <w:rFonts w:asciiTheme="minorEastAsia" w:hAnsiTheme="minorEastAsia" w:eastAsiaTheme="minorEastAsia"/>
                <w:szCs w:val="21"/>
                <w:u w:val="none"/>
              </w:rPr>
              <w:t>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asciiTheme="minorEastAsia" w:hAnsiTheme="minorEastAsia" w:eastAsiaTheme="minorEastAsia"/>
                <w:szCs w:val="21"/>
                <w:u w:val="none"/>
              </w:rPr>
              <w:t>踏勘现场</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投标供应商提出疑问截止时间</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在获取采购文件或者采购文件公告期限届满之日起</w:t>
            </w:r>
            <w:r>
              <w:rPr>
                <w:rFonts w:asciiTheme="minorEastAsia" w:hAnsiTheme="minorEastAsia" w:eastAsiaTheme="minorEastAsia"/>
                <w:szCs w:val="21"/>
                <w:u w:val="none"/>
              </w:rPr>
              <w:t>7个工作日内对采购文件提出质疑</w:t>
            </w:r>
            <w:r>
              <w:rPr>
                <w:rFonts w:hint="eastAsia" w:asciiTheme="minorEastAsia" w:hAnsiTheme="minorEastAsia" w:eastAsiaTheme="minorEastAsia"/>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澄清或修补、答疑的期限</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截标之日（当日不计）15</w:t>
            </w:r>
            <w:r>
              <w:rPr>
                <w:rFonts w:asciiTheme="minorEastAsia" w:hAnsiTheme="minorEastAsia" w:eastAsiaTheme="minorEastAsia"/>
                <w:szCs w:val="21"/>
                <w:u w:val="none"/>
              </w:rPr>
              <w:t>日</w:t>
            </w:r>
            <w:r>
              <w:rPr>
                <w:rFonts w:hint="eastAsia" w:asciiTheme="minorEastAsia" w:hAnsiTheme="minorEastAsia" w:eastAsiaTheme="minorEastAsia"/>
                <w:szCs w:val="21"/>
                <w:u w:val="none"/>
              </w:rPr>
              <w:t>前17：30点前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招标代理</w:t>
            </w:r>
            <w:r>
              <w:rPr>
                <w:rFonts w:asciiTheme="minorEastAsia" w:hAnsiTheme="minorEastAsia" w:eastAsiaTheme="minorEastAsia"/>
                <w:szCs w:val="21"/>
                <w:u w:val="none"/>
              </w:rPr>
              <w:t>服务费</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采购代理机构以各包中标金额为计算基数，按差额定率累进法计算，向各包中标供应商收取</w:t>
            </w:r>
            <w:r>
              <w:rPr>
                <w:rFonts w:asciiTheme="minorEastAsia" w:hAnsiTheme="minorEastAsia" w:eastAsiaTheme="minorEastAsia"/>
                <w:szCs w:val="21"/>
                <w:u w:val="none"/>
              </w:rPr>
              <w:t>。</w:t>
            </w:r>
            <w:r>
              <w:rPr>
                <w:rFonts w:hint="eastAsia" w:asciiTheme="minorEastAsia" w:hAnsiTheme="minorEastAsia" w:eastAsiaTheme="minorEastAsia"/>
                <w:szCs w:val="21"/>
                <w:u w:val="none"/>
              </w:rPr>
              <w:t>招标代理服务费采用转账的方式，账户信息如下：户名：深圳市深水水务咨询有限公司；账号：</w:t>
            </w:r>
            <w:r>
              <w:rPr>
                <w:rFonts w:asciiTheme="minorEastAsia" w:hAnsiTheme="minorEastAsia" w:eastAsiaTheme="minorEastAsia"/>
                <w:szCs w:val="21"/>
                <w:u w:val="none"/>
              </w:rPr>
              <w:t>443899991010003343618</w:t>
            </w:r>
            <w:r>
              <w:rPr>
                <w:rFonts w:hint="eastAsia" w:asciiTheme="minorEastAsia" w:hAnsiTheme="minorEastAsia" w:eastAsiaTheme="minorEastAsia"/>
                <w:szCs w:val="21"/>
                <w:u w:val="none"/>
              </w:rPr>
              <w:t>；开户行：交通银行深圳金叶支行。</w:t>
            </w:r>
          </w:p>
        </w:tc>
      </w:tr>
    </w:tbl>
    <w:p>
      <w:pPr>
        <w:widowControl w:val="0"/>
        <w:shd w:val="clear" w:color="auto" w:fill="auto"/>
        <w:tabs>
          <w:tab w:val="clear" w:pos="426"/>
        </w:tabs>
        <w:adjustRightInd/>
        <w:snapToGrid/>
        <w:spacing w:line="240" w:lineRule="auto"/>
        <w:ind w:left="3040" w:hanging="3040" w:hangingChars="950"/>
        <w:rPr>
          <w:rFonts w:hint="eastAsia" w:cs="Times New Roman"/>
          <w:kern w:val="2"/>
          <w:sz w:val="32"/>
          <w:szCs w:val="20"/>
        </w:rPr>
      </w:pPr>
    </w:p>
    <w:p>
      <w:pPr>
        <w:pStyle w:val="81"/>
        <w:tabs>
          <w:tab w:val="clear" w:pos="426"/>
        </w:tabs>
      </w:pPr>
      <w:r>
        <w:br w:type="page"/>
      </w:r>
      <w:bookmarkStart w:id="2" w:name="_Toc16410"/>
      <w:r>
        <w:rPr>
          <w:rFonts w:hint="eastAsia"/>
        </w:rPr>
        <w:t>招标文件第一册（专用部分）</w:t>
      </w:r>
      <w:bookmarkEnd w:id="2"/>
    </w:p>
    <w:p>
      <w:pPr>
        <w:pStyle w:val="62"/>
      </w:pPr>
      <w:bookmarkStart w:id="3" w:name="_Toc265483798"/>
      <w:bookmarkStart w:id="4" w:name="_Toc432592813"/>
      <w:bookmarkStart w:id="5" w:name="_Toc20258"/>
      <w:r>
        <w:rPr>
          <w:rFonts w:hint="eastAsia"/>
        </w:rPr>
        <w:t>第一章</w:t>
      </w:r>
      <w:bookmarkEnd w:id="3"/>
      <w:bookmarkEnd w:id="4"/>
      <w:r>
        <w:rPr>
          <w:rFonts w:hint="eastAsia"/>
        </w:rPr>
        <w:t xml:space="preserve"> 投标邀请</w:t>
      </w:r>
      <w:bookmarkEnd w:id="5"/>
    </w:p>
    <w:p>
      <w:pPr>
        <w:widowControl w:val="0"/>
        <w:pBdr>
          <w:top w:val="single" w:color="auto" w:sz="4" w:space="1"/>
          <w:left w:val="single" w:color="auto" w:sz="4" w:space="4"/>
          <w:bottom w:val="single" w:color="auto" w:sz="4" w:space="1"/>
          <w:right w:val="single" w:color="auto" w:sz="4" w:space="4"/>
        </w:pBdr>
        <w:shd w:val="clear" w:color="auto" w:fill="auto"/>
        <w:adjustRightInd/>
        <w:snapToGrid/>
        <w:spacing w:line="240" w:lineRule="auto"/>
        <w:ind w:firstLine="420" w:firstLineChars="200"/>
        <w:rPr>
          <w:rFonts w:hint="eastAsia" w:cs="Times New Roman"/>
          <w:kern w:val="2"/>
          <w:szCs w:val="21"/>
        </w:rPr>
      </w:pPr>
      <w:bookmarkStart w:id="6" w:name="_Hlk62652657"/>
      <w:r>
        <w:rPr>
          <w:rFonts w:hint="eastAsia" w:cs="Times New Roman"/>
          <w:kern w:val="2"/>
          <w:szCs w:val="21"/>
        </w:rPr>
        <w:t>项目概况</w:t>
      </w:r>
    </w:p>
    <w:p>
      <w:pPr>
        <w:widowControl w:val="0"/>
        <w:pBdr>
          <w:top w:val="single" w:color="auto" w:sz="4" w:space="1"/>
          <w:left w:val="single" w:color="auto" w:sz="4" w:space="4"/>
          <w:bottom w:val="single" w:color="auto" w:sz="4" w:space="1"/>
          <w:right w:val="single" w:color="auto" w:sz="4" w:space="4"/>
        </w:pBdr>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气相色谱三重四极杆质谱联用仪设备采购项目的潜在投标人应在深圳市罗湖区清水河街道清水河社区清水河一路112号罗湖投资控股大厦裙楼401获取招标文件，并于202</w:t>
      </w:r>
      <w:r>
        <w:rPr>
          <w:rFonts w:cs="Times New Roman"/>
          <w:kern w:val="2"/>
          <w:szCs w:val="21"/>
        </w:rPr>
        <w:t>4</w:t>
      </w:r>
      <w:r>
        <w:rPr>
          <w:rFonts w:hint="eastAsia" w:cs="Times New Roman"/>
          <w:kern w:val="2"/>
          <w:szCs w:val="21"/>
        </w:rPr>
        <w:t>年</w:t>
      </w:r>
      <w:r>
        <w:rPr>
          <w:rFonts w:hint="eastAsia" w:cs="Times New Roman"/>
          <w:kern w:val="2"/>
          <w:szCs w:val="21"/>
          <w:lang w:val="en-US" w:eastAsia="zh-CN"/>
        </w:rPr>
        <w:t>11</w:t>
      </w:r>
      <w:r>
        <w:rPr>
          <w:rFonts w:hint="eastAsia" w:cs="Times New Roman"/>
          <w:kern w:val="2"/>
          <w:szCs w:val="21"/>
        </w:rPr>
        <w:t>月</w:t>
      </w:r>
      <w:r>
        <w:rPr>
          <w:rFonts w:hint="eastAsia" w:cs="Times New Roman"/>
          <w:kern w:val="2"/>
          <w:szCs w:val="21"/>
          <w:lang w:val="en-US" w:eastAsia="zh-CN"/>
        </w:rPr>
        <w:t>15</w:t>
      </w:r>
      <w:r>
        <w:rPr>
          <w:rFonts w:hint="eastAsia" w:cs="Times New Roman"/>
          <w:bCs/>
          <w:kern w:val="2"/>
          <w:szCs w:val="21"/>
        </w:rPr>
        <w:t>日</w:t>
      </w:r>
      <w:r>
        <w:rPr>
          <w:rFonts w:hint="eastAsia" w:cs="Times New Roman"/>
          <w:bCs/>
          <w:kern w:val="2"/>
          <w:szCs w:val="21"/>
          <w:lang w:val="en-US" w:eastAsia="zh-CN"/>
        </w:rPr>
        <w:t>09</w:t>
      </w:r>
      <w:r>
        <w:rPr>
          <w:rFonts w:hint="eastAsia" w:cs="Times New Roman"/>
          <w:bCs/>
          <w:kern w:val="2"/>
          <w:szCs w:val="21"/>
        </w:rPr>
        <w:t>点30分（北京时间）前递交投标</w:t>
      </w:r>
      <w:r>
        <w:rPr>
          <w:rFonts w:cs="Times New Roman"/>
          <w:bCs/>
          <w:kern w:val="2"/>
          <w:szCs w:val="21"/>
        </w:rPr>
        <w:t>文件</w:t>
      </w:r>
      <w:r>
        <w:rPr>
          <w:rFonts w:hint="eastAsia" w:cs="Times New Roman"/>
          <w:kern w:val="2"/>
          <w:szCs w:val="21"/>
        </w:rPr>
        <w:t>。</w:t>
      </w:r>
    </w:p>
    <w:p>
      <w:pPr>
        <w:widowControl w:val="0"/>
        <w:shd w:val="clear" w:color="auto" w:fill="auto"/>
        <w:adjustRightInd/>
        <w:snapToGrid/>
        <w:spacing w:line="240" w:lineRule="auto"/>
        <w:rPr>
          <w:rFonts w:hint="eastAsia" w:cs="Times New Roman"/>
          <w:kern w:val="2"/>
          <w:szCs w:val="21"/>
        </w:rPr>
      </w:pPr>
    </w:p>
    <w:p>
      <w:pPr>
        <w:spacing w:line="240" w:lineRule="auto"/>
        <w:rPr>
          <w:rFonts w:hint="eastAsia"/>
          <w:b/>
          <w:kern w:val="2"/>
          <w:szCs w:val="21"/>
        </w:rPr>
      </w:pPr>
      <w:bookmarkStart w:id="7" w:name="_Toc28359079"/>
      <w:bookmarkStart w:id="8" w:name="_Toc35393621"/>
      <w:bookmarkStart w:id="9" w:name="_Toc28359002"/>
      <w:bookmarkStart w:id="10" w:name="_Toc35393790"/>
      <w:bookmarkStart w:id="11" w:name="_Hlk24379207"/>
      <w:r>
        <w:rPr>
          <w:rFonts w:hint="eastAsia"/>
          <w:b/>
          <w:kern w:val="2"/>
          <w:szCs w:val="21"/>
        </w:rPr>
        <w:t>一、项目基本情况</w:t>
      </w:r>
      <w:bookmarkEnd w:id="7"/>
      <w:bookmarkEnd w:id="8"/>
      <w:bookmarkEnd w:id="9"/>
      <w:bookmarkEnd w:id="10"/>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项目编号：SSZX2024-370</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项目名称：气相色谱三重四极杆质谱联用仪设备采购项目</w:t>
      </w:r>
    </w:p>
    <w:bookmarkEnd w:id="11"/>
    <w:p>
      <w:pPr>
        <w:widowControl w:val="0"/>
        <w:shd w:val="clear" w:color="auto" w:fill="auto"/>
        <w:adjustRightInd/>
        <w:snapToGrid/>
        <w:spacing w:line="240" w:lineRule="auto"/>
        <w:ind w:firstLine="420" w:firstLineChars="200"/>
        <w:rPr>
          <w:rFonts w:hint="eastAsia"/>
          <w:szCs w:val="21"/>
        </w:rPr>
      </w:pPr>
      <w:r>
        <w:rPr>
          <w:rFonts w:hint="eastAsia" w:cs="Times New Roman"/>
          <w:kern w:val="2"/>
          <w:szCs w:val="21"/>
        </w:rPr>
        <w:t>预算金额：</w:t>
      </w:r>
      <w:r>
        <w:rPr>
          <w:rFonts w:hint="eastAsia"/>
        </w:rPr>
        <w:t>310.000000</w:t>
      </w:r>
      <w:r>
        <w:rPr>
          <w:rFonts w:hint="eastAsia" w:cs="Times New Roman"/>
          <w:kern w:val="2"/>
          <w:szCs w:val="21"/>
        </w:rPr>
        <w:t>万元</w:t>
      </w:r>
      <w:r>
        <w:rPr>
          <w:rFonts w:hint="eastAsia"/>
          <w:szCs w:val="21"/>
        </w:rPr>
        <w:t>（人民币）</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最高限价：</w:t>
      </w:r>
      <w:r>
        <w:rPr>
          <w:rFonts w:hint="eastAsia"/>
        </w:rPr>
        <w:t>310.000000</w:t>
      </w:r>
      <w:r>
        <w:rPr>
          <w:rFonts w:hint="eastAsia" w:cs="Times New Roman"/>
          <w:kern w:val="2"/>
          <w:szCs w:val="21"/>
        </w:rPr>
        <w:t>万元</w:t>
      </w:r>
      <w:r>
        <w:rPr>
          <w:rFonts w:hint="eastAsia"/>
          <w:szCs w:val="21"/>
        </w:rPr>
        <w:t>（人民币）</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采购需求：</w:t>
      </w:r>
    </w:p>
    <w:tbl>
      <w:tblPr>
        <w:tblStyle w:val="85"/>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56"/>
        <w:gridCol w:w="983"/>
        <w:gridCol w:w="2002"/>
        <w:gridCol w:w="710"/>
        <w:gridCol w:w="710"/>
        <w:gridCol w:w="1698"/>
        <w:gridCol w:w="1457"/>
        <w:gridCol w:w="1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包号</w:t>
            </w: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标的序号</w:t>
            </w:r>
          </w:p>
        </w:tc>
        <w:tc>
          <w:tcPr>
            <w:tcW w:w="10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标的名称</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数量</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单位</w:t>
            </w:r>
          </w:p>
        </w:tc>
        <w:tc>
          <w:tcPr>
            <w:tcW w:w="88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简要技术需求</w:t>
            </w:r>
          </w:p>
        </w:tc>
        <w:tc>
          <w:tcPr>
            <w:tcW w:w="7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备注</w:t>
            </w:r>
          </w:p>
        </w:tc>
        <w:tc>
          <w:tcPr>
            <w:tcW w:w="75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预算金额</w:t>
            </w:r>
          </w:p>
          <w:p>
            <w:pPr>
              <w:spacing w:line="240" w:lineRule="auto"/>
              <w:jc w:val="center"/>
              <w:rPr>
                <w:rFonts w:hint="eastAsia"/>
                <w:szCs w:val="21"/>
              </w:rPr>
            </w:pPr>
            <w:r>
              <w:rPr>
                <w:rFonts w:hint="eastAsia"/>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01</w:t>
            </w: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1</w:t>
            </w:r>
          </w:p>
        </w:tc>
        <w:tc>
          <w:tcPr>
            <w:tcW w:w="10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气相色谱三重四极杆质谱联用仪</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1</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888" w:type="pct"/>
            <w:vMerge w:val="restart"/>
            <w:tcBorders>
              <w:top w:val="single" w:color="auto" w:sz="4" w:space="0"/>
              <w:left w:val="single" w:color="auto" w:sz="4" w:space="0"/>
              <w:right w:val="single" w:color="auto" w:sz="4" w:space="0"/>
            </w:tcBorders>
            <w:vAlign w:val="center"/>
          </w:tcPr>
          <w:p>
            <w:pPr>
              <w:pStyle w:val="425"/>
            </w:pPr>
            <w:r>
              <w:rPr>
                <w:rFonts w:hint="eastAsia"/>
              </w:rPr>
              <w:t>用于检测食品中农药残留及污染物，详见招标文件项目需求书。</w:t>
            </w:r>
          </w:p>
        </w:tc>
        <w:tc>
          <w:tcPr>
            <w:tcW w:w="760" w:type="pct"/>
            <w:vMerge w:val="restart"/>
            <w:tcBorders>
              <w:top w:val="single" w:color="auto" w:sz="4" w:space="0"/>
              <w:left w:val="single" w:color="auto" w:sz="4" w:space="0"/>
              <w:right w:val="single" w:color="auto" w:sz="4" w:space="0"/>
            </w:tcBorders>
            <w:vAlign w:val="center"/>
          </w:tcPr>
          <w:p>
            <w:pPr>
              <w:pStyle w:val="425"/>
            </w:pPr>
            <w:r>
              <w:rPr>
                <w:rFonts w:hint="eastAsia"/>
              </w:rPr>
              <w:t>拒绝进口</w:t>
            </w:r>
          </w:p>
        </w:tc>
        <w:tc>
          <w:tcPr>
            <w:tcW w:w="755"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155.000000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02</w:t>
            </w: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2</w:t>
            </w:r>
          </w:p>
        </w:tc>
        <w:tc>
          <w:tcPr>
            <w:tcW w:w="10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气相色谱三重四极杆质谱联用仪</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1</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888" w:type="pct"/>
            <w:vMerge w:val="continue"/>
            <w:tcBorders>
              <w:left w:val="single" w:color="auto" w:sz="4" w:space="0"/>
              <w:bottom w:val="single" w:color="auto" w:sz="4" w:space="0"/>
              <w:right w:val="single" w:color="auto" w:sz="4" w:space="0"/>
            </w:tcBorders>
            <w:vAlign w:val="center"/>
          </w:tcPr>
          <w:p>
            <w:pPr>
              <w:pStyle w:val="425"/>
            </w:pPr>
          </w:p>
        </w:tc>
        <w:tc>
          <w:tcPr>
            <w:tcW w:w="760" w:type="pct"/>
            <w:vMerge w:val="continue"/>
            <w:tcBorders>
              <w:left w:val="single" w:color="auto" w:sz="4" w:space="0"/>
              <w:bottom w:val="single" w:color="auto" w:sz="4" w:space="0"/>
              <w:right w:val="single" w:color="auto" w:sz="4" w:space="0"/>
            </w:tcBorders>
            <w:vAlign w:val="center"/>
          </w:tcPr>
          <w:p>
            <w:pPr>
              <w:pStyle w:val="425"/>
            </w:pPr>
          </w:p>
        </w:tc>
        <w:tc>
          <w:tcPr>
            <w:tcW w:w="755"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155.000000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44" w:type="pct"/>
            <w:gridSpan w:val="7"/>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合计</w:t>
            </w:r>
          </w:p>
        </w:tc>
        <w:tc>
          <w:tcPr>
            <w:tcW w:w="755"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310.000000</w:t>
            </w:r>
          </w:p>
        </w:tc>
      </w:tr>
    </w:tbl>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合同履行期限：合同签订后30日内完成交货。</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本项目</w:t>
      </w:r>
      <w:bookmarkStart w:id="12" w:name="_Hlk180012946"/>
      <w:r>
        <w:rPr>
          <w:rFonts w:hint="eastAsia" w:cs="Times New Roman"/>
          <w:kern w:val="2"/>
          <w:szCs w:val="21"/>
        </w:rPr>
        <w:t>（不接受）</w:t>
      </w:r>
      <w:bookmarkEnd w:id="12"/>
      <w:r>
        <w:rPr>
          <w:rFonts w:hint="eastAsia" w:cs="Times New Roman"/>
          <w:kern w:val="2"/>
          <w:szCs w:val="21"/>
        </w:rPr>
        <w:t>联合体投标。</w:t>
      </w:r>
      <w:bookmarkStart w:id="13" w:name="_Toc35393622"/>
      <w:bookmarkStart w:id="14" w:name="_Toc28359003"/>
      <w:bookmarkStart w:id="15" w:name="_Toc28359080"/>
      <w:bookmarkStart w:id="16" w:name="_Toc35393791"/>
    </w:p>
    <w:p>
      <w:pPr>
        <w:spacing w:line="240" w:lineRule="auto"/>
        <w:rPr>
          <w:rFonts w:hint="eastAsia"/>
          <w:b/>
          <w:kern w:val="2"/>
          <w:szCs w:val="21"/>
        </w:rPr>
      </w:pPr>
      <w:r>
        <w:rPr>
          <w:rFonts w:hint="eastAsia"/>
          <w:b/>
          <w:kern w:val="2"/>
          <w:szCs w:val="21"/>
        </w:rPr>
        <w:t>二、申请人的资格要求</w:t>
      </w:r>
      <w:bookmarkEnd w:id="13"/>
      <w:bookmarkEnd w:id="14"/>
      <w:bookmarkEnd w:id="15"/>
      <w:bookmarkEnd w:id="16"/>
      <w:r>
        <w:rPr>
          <w:rFonts w:hint="eastAsia"/>
          <w:b/>
          <w:kern w:val="2"/>
          <w:szCs w:val="21"/>
        </w:rPr>
        <w:t>：</w:t>
      </w:r>
    </w:p>
    <w:p>
      <w:pPr>
        <w:widowControl w:val="0"/>
        <w:shd w:val="clear" w:color="auto" w:fill="auto"/>
        <w:adjustRightInd/>
        <w:snapToGrid/>
        <w:spacing w:line="240" w:lineRule="auto"/>
        <w:ind w:firstLine="420" w:firstLineChars="200"/>
        <w:rPr>
          <w:rFonts w:hAnsi="Times New Roman" w:cs="Times New Roman"/>
          <w:kern w:val="2"/>
          <w:szCs w:val="21"/>
        </w:rPr>
      </w:pPr>
      <w:bookmarkStart w:id="17" w:name="_Toc35393623"/>
      <w:bookmarkStart w:id="18" w:name="_Toc28359004"/>
      <w:bookmarkStart w:id="19" w:name="_Toc28359081"/>
      <w:bookmarkStart w:id="20" w:name="_Toc35393792"/>
      <w:r>
        <w:rPr>
          <w:rFonts w:hint="eastAsia" w:hAnsi="Times New Roman" w:cs="Times New Roman"/>
          <w:kern w:val="2"/>
          <w:szCs w:val="21"/>
        </w:rPr>
        <w:t>1.满足《中华人民共和国政府采购法》第二十二条规定。</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2.落实政府采购政策需满足的资格要求：</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本项目不属于专门面向中小企业采购的项目。</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3.本项目的特定资格要求：</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1）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（2）本项目不</w:t>
      </w:r>
      <w:r>
        <w:rPr>
          <w:rFonts w:hAnsi="Times New Roman" w:cs="Times New Roman"/>
          <w:kern w:val="2"/>
          <w:szCs w:val="21"/>
        </w:rPr>
        <w:t>接受投标人选用进口产品参与投标。</w:t>
      </w:r>
      <w:r>
        <w:rPr>
          <w:rFonts w:hint="eastAsia" w:hAnsi="Times New Roman" w:cs="Times New Roman"/>
          <w:kern w:val="2"/>
          <w:szCs w:val="21"/>
        </w:rPr>
        <w:t>（进口产品是指通过中国海关报关验收进入中国境内且产自境外的产品）。</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3</w:t>
      </w:r>
      <w:r>
        <w:rPr>
          <w:rFonts w:hint="eastAsia" w:hAnsi="Times New Roman" w:cs="Times New Roman"/>
          <w:kern w:val="2"/>
          <w:szCs w:val="21"/>
        </w:rPr>
        <w:t>）</w:t>
      </w:r>
      <w:r>
        <w:rPr>
          <w:rFonts w:hAnsi="Times New Roman" w:cs="Times New Roman"/>
          <w:kern w:val="2"/>
          <w:szCs w:val="21"/>
        </w:rPr>
        <w:t>根据财库〔2016〕125号文的有关规定，投标人需未被列入失信被执行人、重大税收违法案件当事人名单、政府采购严重违法失信行为记录名单（提供书面《</w:t>
      </w:r>
      <w:r>
        <w:rPr>
          <w:rFonts w:hint="eastAsia" w:hAnsi="Times New Roman" w:cs="Times New Roman"/>
          <w:kern w:val="2"/>
          <w:szCs w:val="21"/>
        </w:rPr>
        <w:t>投标人资格声明函</w:t>
      </w:r>
      <w:r>
        <w:rPr>
          <w:rFonts w:hAnsi="Times New Roman" w:cs="Times New Roman"/>
          <w:kern w:val="2"/>
          <w:szCs w:val="21"/>
        </w:rPr>
        <w:t>》加盖公章，采购代理机构将通过“信用中国”网站（www.creditchina.gov.cn）、中国政府采购网（www.ccgp.gov.cn）等渠道查询相关主体信用记录，并做好信用信息查询记录和证据留存，信用信息查询记录及相关证据将与其他采购文件一并保存）。</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（4）投标人参与本项目投标前三年内，在经营活动中没有重大违法记录（提供《投标人资格声明函》，并加盖投标人公章）。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（5）投标人参与本项目投标近三年内，在经营活动中没有发生重大安全和质量事故（提供《投标人资格声明函》，并加盖投标人公章）。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（6）投标人参与本项目政府采购活动时不存在被有关部门禁止参与政府采购活动且在有效期内的情况（提供《投标人资格声明函》，并加盖投标人公章）。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7）单位负责人为同一人或者存在直接控股、管理关系的不同供应商，不得参加同一合同项下的政府采购活动（提供《投标人资格声明函》，并加盖投标人公章，采购代理机构将通过国家企业信用信息公示系统（https://www.gsxt.gov.cn/index.html）或机关赋码和事业单位登记管理网（http://www.gjsy.gov.cn/sydwfrxxcx/）或全国社会组织信用信息公示平台（https://xxgs.chinanpo.mca.gov.cn/gsxt/newList）网站查询投标人信息，并做好信用信息查询记录和证据留存，信用信息查询记录及相关证据将与其他采购文件一并保存，相关信息以截标当日的查询结果为准）。</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（8）为采购项目提供整体设计、规范编制或者项目管理、监理、检测等服务的供应商，不得再参加该采购项目的其他采购活动（提供《投标人资格声明函》，并加盖投标人公章）。</w:t>
      </w:r>
    </w:p>
    <w:p>
      <w:pPr>
        <w:widowControl w:val="0"/>
        <w:shd w:val="clear" w:color="auto" w:fill="auto"/>
        <w:adjustRightInd/>
        <w:snapToGrid/>
        <w:spacing w:line="240" w:lineRule="auto"/>
        <w:ind w:firstLine="420" w:firstLineChars="200"/>
        <w:rPr>
          <w:rFonts w:hint="eastAsia" w:hAnsi="Times New Roman" w:cs="Times New Roman" w:eastAsiaTheme="minorEastAsia"/>
          <w:kern w:val="2"/>
          <w:szCs w:val="21"/>
          <w:lang w:eastAsia="zh-CN"/>
        </w:rPr>
      </w:pPr>
      <w:r>
        <w:rPr>
          <w:rFonts w:hint="eastAsia" w:hAnsi="Times New Roman" w:cs="Times New Roman"/>
          <w:kern w:val="2"/>
          <w:szCs w:val="21"/>
        </w:rPr>
        <w:t>（9）参与本项目政府采购活动不存在与其他采购参加人串通投标、隐瞒真实情况、提供虚假资料等违法违规情形（提供《投标人资格声明函》，并加盖投标人公章）</w:t>
      </w:r>
      <w:r>
        <w:rPr>
          <w:rFonts w:hint="eastAsia" w:hAnsi="Times New Roman" w:cs="Times New Roman"/>
          <w:kern w:val="2"/>
          <w:szCs w:val="21"/>
          <w:lang w:eastAsia="zh-CN"/>
        </w:rPr>
        <w:t>。</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（10）本项目不接受联合体形式进行投标，不允许转包及分包。</w:t>
      </w:r>
    </w:p>
    <w:p>
      <w:pPr>
        <w:spacing w:line="240" w:lineRule="auto"/>
        <w:rPr>
          <w:rFonts w:hint="eastAsia"/>
          <w:b/>
          <w:kern w:val="2"/>
          <w:szCs w:val="21"/>
        </w:rPr>
      </w:pPr>
      <w:r>
        <w:rPr>
          <w:rFonts w:hint="eastAsia"/>
          <w:b/>
          <w:kern w:val="2"/>
          <w:szCs w:val="21"/>
        </w:rPr>
        <w:t>三、获取招标文件</w:t>
      </w:r>
      <w:bookmarkEnd w:id="17"/>
      <w:bookmarkEnd w:id="18"/>
      <w:bookmarkEnd w:id="19"/>
      <w:bookmarkEnd w:id="20"/>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时间：2024年10月25日至2024年11月7日，每天上午9:00至12:00，下午14:00至18:00（北京时间，</w:t>
      </w:r>
      <w:r>
        <w:rPr>
          <w:rFonts w:hAnsi="Times New Roman" w:cs="Times New Roman"/>
          <w:kern w:val="2"/>
          <w:szCs w:val="21"/>
        </w:rPr>
        <w:t>法定节假日</w:t>
      </w:r>
      <w:r>
        <w:rPr>
          <w:rFonts w:hint="eastAsia" w:hAnsi="Times New Roman" w:cs="Times New Roman"/>
          <w:kern w:val="2"/>
          <w:szCs w:val="21"/>
        </w:rPr>
        <w:t>除外）</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地点：深圳市罗湖区清水河街道清水河社区清水河一路112号罗湖投资控股大厦裙楼401</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方式：现场购买。</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报名须提交：投标人的营业执照复印件；法定代表人（单位负责人）证明书原件、法定代表人（单位负责人）身份证复印件、授权委托书原件、被授权委托人身份证复印件、被授权委托人联系方式（电话、邮箱）。以上资料均需加盖公章，原件中标备查。</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售价：500元/份，本公告包含的招标文件售价总和</w:t>
      </w:r>
    </w:p>
    <w:p>
      <w:pPr>
        <w:spacing w:line="240" w:lineRule="auto"/>
        <w:rPr>
          <w:rFonts w:hint="eastAsia"/>
          <w:b/>
          <w:kern w:val="2"/>
          <w:szCs w:val="21"/>
        </w:rPr>
      </w:pPr>
      <w:bookmarkStart w:id="21" w:name="_Toc28359005"/>
      <w:bookmarkStart w:id="22" w:name="_Toc28359082"/>
      <w:bookmarkStart w:id="23" w:name="_Toc35393793"/>
      <w:bookmarkStart w:id="24" w:name="_Toc35393624"/>
      <w:r>
        <w:rPr>
          <w:rFonts w:hint="eastAsia"/>
          <w:b/>
          <w:kern w:val="2"/>
          <w:szCs w:val="21"/>
        </w:rPr>
        <w:t>四、提交投标文件</w:t>
      </w:r>
      <w:bookmarkEnd w:id="21"/>
      <w:bookmarkEnd w:id="22"/>
      <w:r>
        <w:rPr>
          <w:rFonts w:hint="eastAsia"/>
          <w:b/>
          <w:kern w:val="2"/>
          <w:szCs w:val="21"/>
        </w:rPr>
        <w:t>截止时间、开标时间和地点</w:t>
      </w:r>
      <w:bookmarkEnd w:id="23"/>
      <w:bookmarkEnd w:id="24"/>
    </w:p>
    <w:p>
      <w:pPr>
        <w:widowControl w:val="0"/>
        <w:shd w:val="clear" w:color="auto" w:fill="auto"/>
        <w:adjustRightInd/>
        <w:snapToGrid/>
        <w:spacing w:line="240" w:lineRule="auto"/>
        <w:ind w:firstLine="420" w:firstLineChars="200"/>
        <w:rPr>
          <w:rFonts w:hint="eastAsia" w:cs="Times New Roman"/>
          <w:bCs/>
          <w:kern w:val="2"/>
          <w:szCs w:val="21"/>
        </w:rPr>
      </w:pPr>
      <w:r>
        <w:rPr>
          <w:rFonts w:hint="eastAsia" w:cs="Times New Roman"/>
          <w:bCs/>
          <w:kern w:val="2"/>
          <w:szCs w:val="21"/>
        </w:rPr>
        <w:t>提交投标文件截止时间：202</w:t>
      </w:r>
      <w:r>
        <w:rPr>
          <w:rFonts w:cs="Times New Roman"/>
          <w:bCs/>
          <w:kern w:val="2"/>
          <w:szCs w:val="21"/>
        </w:rPr>
        <w:t>4</w:t>
      </w:r>
      <w:r>
        <w:rPr>
          <w:rFonts w:hint="eastAsia" w:cs="Times New Roman"/>
          <w:bCs/>
          <w:kern w:val="2"/>
          <w:szCs w:val="21"/>
        </w:rPr>
        <w:t>年</w:t>
      </w:r>
      <w:r>
        <w:rPr>
          <w:rFonts w:hint="eastAsia" w:cs="Times New Roman"/>
          <w:kern w:val="2"/>
          <w:szCs w:val="21"/>
          <w:lang w:val="en-US" w:eastAsia="zh-CN"/>
        </w:rPr>
        <w:t>11</w:t>
      </w:r>
      <w:r>
        <w:rPr>
          <w:rFonts w:hint="eastAsia" w:cs="Times New Roman"/>
          <w:bCs/>
          <w:kern w:val="2"/>
          <w:szCs w:val="21"/>
        </w:rPr>
        <w:t>月</w:t>
      </w:r>
      <w:r>
        <w:rPr>
          <w:rFonts w:hint="eastAsia" w:cs="Times New Roman"/>
          <w:kern w:val="2"/>
          <w:szCs w:val="21"/>
          <w:lang w:val="en-US" w:eastAsia="zh-CN"/>
        </w:rPr>
        <w:t>15</w:t>
      </w:r>
      <w:r>
        <w:rPr>
          <w:rFonts w:hint="eastAsia" w:cs="Times New Roman"/>
          <w:bCs/>
          <w:kern w:val="2"/>
          <w:szCs w:val="21"/>
        </w:rPr>
        <w:t>日</w:t>
      </w:r>
      <w:r>
        <w:rPr>
          <w:rFonts w:hint="eastAsia" w:cs="Times New Roman"/>
          <w:bCs/>
          <w:kern w:val="2"/>
          <w:szCs w:val="21"/>
          <w:lang w:val="en-US" w:eastAsia="zh-CN"/>
        </w:rPr>
        <w:t>09</w:t>
      </w:r>
      <w:r>
        <w:rPr>
          <w:rFonts w:hint="eastAsia" w:cs="Times New Roman"/>
          <w:bCs/>
          <w:kern w:val="2"/>
          <w:szCs w:val="21"/>
        </w:rPr>
        <w:t>点</w:t>
      </w:r>
      <w:r>
        <w:rPr>
          <w:rFonts w:cs="Times New Roman"/>
          <w:bCs/>
          <w:kern w:val="2"/>
          <w:szCs w:val="21"/>
        </w:rPr>
        <w:t>30</w:t>
      </w:r>
      <w:r>
        <w:rPr>
          <w:rFonts w:hint="eastAsia" w:cs="Times New Roman"/>
          <w:bCs/>
          <w:kern w:val="2"/>
          <w:szCs w:val="21"/>
        </w:rPr>
        <w:t>分（北京时间）</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开标时间：202</w:t>
      </w:r>
      <w:r>
        <w:rPr>
          <w:rFonts w:hAnsi="Times New Roman" w:cs="Times New Roman"/>
          <w:kern w:val="2"/>
          <w:szCs w:val="21"/>
        </w:rPr>
        <w:t>4</w:t>
      </w:r>
      <w:r>
        <w:rPr>
          <w:rFonts w:hint="eastAsia" w:hAnsi="Times New Roman" w:cs="Times New Roman"/>
          <w:kern w:val="2"/>
          <w:szCs w:val="21"/>
        </w:rPr>
        <w:t>年</w:t>
      </w:r>
      <w:r>
        <w:rPr>
          <w:rFonts w:hint="eastAsia" w:hAnsi="Times New Roman" w:cs="Times New Roman"/>
          <w:kern w:val="2"/>
          <w:szCs w:val="21"/>
          <w:lang w:val="en-US" w:eastAsia="zh-CN"/>
        </w:rPr>
        <w:t>11</w:t>
      </w:r>
      <w:r>
        <w:rPr>
          <w:rFonts w:hint="eastAsia" w:hAnsi="Times New Roman" w:cs="Times New Roman"/>
          <w:kern w:val="2"/>
          <w:szCs w:val="21"/>
        </w:rPr>
        <w:t>月</w:t>
      </w:r>
      <w:r>
        <w:rPr>
          <w:rFonts w:hint="eastAsia" w:hAnsi="Times New Roman" w:cs="Times New Roman"/>
          <w:kern w:val="2"/>
          <w:szCs w:val="21"/>
          <w:lang w:val="en-US" w:eastAsia="zh-CN"/>
        </w:rPr>
        <w:t>15</w:t>
      </w:r>
      <w:r>
        <w:rPr>
          <w:rFonts w:hint="eastAsia" w:hAnsi="Times New Roman" w:cs="Times New Roman"/>
          <w:kern w:val="2"/>
          <w:szCs w:val="21"/>
        </w:rPr>
        <w:t>日</w:t>
      </w:r>
      <w:r>
        <w:rPr>
          <w:rFonts w:hint="eastAsia" w:hAnsi="Times New Roman" w:cs="Times New Roman"/>
          <w:kern w:val="2"/>
          <w:szCs w:val="21"/>
          <w:lang w:val="en-US" w:eastAsia="zh-CN"/>
        </w:rPr>
        <w:t>09</w:t>
      </w:r>
      <w:r>
        <w:rPr>
          <w:rFonts w:hint="eastAsia" w:hAnsi="Times New Roman" w:cs="Times New Roman"/>
          <w:kern w:val="2"/>
          <w:szCs w:val="21"/>
        </w:rPr>
        <w:t>点30分（北京时间）</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地点：深圳市罗湖区清水河街道清水河社区清水河一路112号罗湖投资控股大厦裙楼401</w:t>
      </w:r>
    </w:p>
    <w:p>
      <w:pPr>
        <w:spacing w:line="240" w:lineRule="auto"/>
        <w:rPr>
          <w:rFonts w:hint="eastAsia"/>
          <w:b/>
          <w:kern w:val="2"/>
          <w:szCs w:val="21"/>
        </w:rPr>
      </w:pPr>
      <w:bookmarkStart w:id="25" w:name="_Toc28359007"/>
      <w:bookmarkStart w:id="26" w:name="_Toc35393625"/>
      <w:bookmarkStart w:id="27" w:name="_Toc28359084"/>
      <w:bookmarkStart w:id="28" w:name="_Toc35393794"/>
      <w:r>
        <w:rPr>
          <w:rFonts w:hint="eastAsia"/>
          <w:b/>
          <w:kern w:val="2"/>
          <w:szCs w:val="21"/>
        </w:rPr>
        <w:t>五、公告期限</w:t>
      </w:r>
      <w:bookmarkEnd w:id="25"/>
      <w:bookmarkEnd w:id="26"/>
      <w:bookmarkEnd w:id="27"/>
      <w:bookmarkEnd w:id="28"/>
    </w:p>
    <w:p>
      <w:pPr>
        <w:widowControl w:val="0"/>
        <w:shd w:val="clear" w:color="auto" w:fill="auto"/>
        <w:adjustRightInd/>
        <w:snapToGrid/>
        <w:spacing w:line="240" w:lineRule="auto"/>
        <w:ind w:firstLine="420" w:firstLineChars="200"/>
        <w:rPr>
          <w:rFonts w:hint="eastAsia"/>
          <w:szCs w:val="21"/>
        </w:rPr>
      </w:pPr>
      <w:r>
        <w:rPr>
          <w:rFonts w:hint="eastAsia"/>
          <w:szCs w:val="21"/>
        </w:rPr>
        <w:t>自本公告发布之日起5个工作日。</w:t>
      </w:r>
      <w:bookmarkStart w:id="29" w:name="_Toc35393795"/>
      <w:bookmarkStart w:id="30" w:name="_Toc35393626"/>
    </w:p>
    <w:p>
      <w:pPr>
        <w:spacing w:line="240" w:lineRule="auto"/>
        <w:rPr>
          <w:rFonts w:hint="eastAsia"/>
          <w:b/>
          <w:kern w:val="2"/>
          <w:szCs w:val="21"/>
        </w:rPr>
      </w:pPr>
      <w:r>
        <w:rPr>
          <w:rFonts w:hint="eastAsia"/>
          <w:b/>
          <w:kern w:val="2"/>
          <w:szCs w:val="21"/>
        </w:rPr>
        <w:t>六、</w:t>
      </w:r>
      <w:bookmarkStart w:id="31" w:name="_Hlk155780018"/>
      <w:r>
        <w:rPr>
          <w:rFonts w:hint="eastAsia"/>
          <w:b/>
          <w:kern w:val="2"/>
          <w:szCs w:val="21"/>
        </w:rPr>
        <w:t>其他补充事宜</w:t>
      </w:r>
      <w:bookmarkEnd w:id="29"/>
      <w:bookmarkEnd w:id="30"/>
      <w:bookmarkEnd w:id="31"/>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1</w:t>
      </w:r>
      <w:r>
        <w:rPr>
          <w:rFonts w:cs="Times New Roman"/>
          <w:kern w:val="2"/>
          <w:szCs w:val="21"/>
        </w:rPr>
        <w:t>.</w:t>
      </w:r>
      <w:r>
        <w:rPr>
          <w:rFonts w:hint="eastAsia" w:cs="Times New Roman"/>
          <w:kern w:val="2"/>
          <w:szCs w:val="21"/>
        </w:rPr>
        <w:t>答疑事项：</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（1）本项目实行网下纸质答疑，凡对招标文件有任何疑问的（包括认为招标文件的技术指标或参数存在排他性或歧视性条款），请投标供应商在获取采购文件或者采购文件公告期限届满之日起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rPr>
        <w:t>7个工作日内对采购文件提出质疑，根据《中华人民共和国政府采购法》第六章、《中华人民共和国政府采购法实施条例》的有关质疑的指引及要求填写质疑函件，并将质疑函件以及相关质疑内容的证明材料原件送达深圳市深水水务咨询有限公司，逾期不受理。</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2）投标供应商有义务在招标活动期间浏览本公告“六、其他补充事宜”中的相关网站，采购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2.特别说明：</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（1）本项目共2个包，包划分详见招标文件第二章项目需求-一、货物清单一览表。</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（2）本项目通过公开招标各包确定1家中标供应商，投标供应商可选择1个包或2个包进行投标响应。</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（3）评标委员会依次评审01包、02包。</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4）每个包由评标委员会推荐评标总得分前三名的投标供应商作为候选中标供应商，每个包评标总得分第一名的投标供应商作为对应包的中标供应商，01包排名第一的中标供应商亦可作为02包的中标供应商（兼投兼中原则）。</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3.投标文件提交方式补充说明：</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各投标人法定代表人或其授权代表可通过邮寄方式，按照规定的递交投标文件截止时间前向我公司邮寄投标文件，快递单上写明供应商名称、招标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widowControl w:val="0"/>
        <w:shd w:val="clear" w:color="auto" w:fill="auto"/>
        <w:adjustRightInd/>
        <w:snapToGrid/>
        <w:spacing w:line="240" w:lineRule="auto"/>
        <w:ind w:left="495"/>
        <w:rPr>
          <w:rFonts w:hint="eastAsia" w:cs="Times New Roman"/>
          <w:kern w:val="2"/>
          <w:szCs w:val="21"/>
        </w:rPr>
      </w:pPr>
      <w:r>
        <w:rPr>
          <w:rFonts w:hint="eastAsia" w:hAnsi="Times New Roman" w:cs="Times New Roman"/>
          <w:kern w:val="2"/>
          <w:szCs w:val="21"/>
        </w:rPr>
        <w:t>4.</w:t>
      </w:r>
      <w:r>
        <w:rPr>
          <w:rFonts w:hint="eastAsia" w:cs="Times New Roman"/>
          <w:kern w:val="2"/>
          <w:szCs w:val="21"/>
        </w:rPr>
        <w:t>信息发布平台：</w:t>
      </w:r>
    </w:p>
    <w:p>
      <w:pPr>
        <w:widowControl w:val="0"/>
        <w:shd w:val="clear" w:color="auto" w:fill="auto"/>
        <w:adjustRightInd/>
        <w:snapToGrid/>
        <w:spacing w:line="240" w:lineRule="auto"/>
        <w:ind w:left="495"/>
        <w:rPr>
          <w:rFonts w:hint="eastAsia"/>
          <w:szCs w:val="21"/>
        </w:rPr>
      </w:pPr>
      <w:r>
        <w:rPr>
          <w:rFonts w:hint="eastAsia"/>
          <w:szCs w:val="21"/>
        </w:rPr>
        <w:t>深圳海关门户网（</w:t>
      </w:r>
      <w:r>
        <w:rPr>
          <w:szCs w:val="21"/>
        </w:rPr>
        <w:t>http://shenzhen.customs.gov.cn</w:t>
      </w:r>
      <w:r>
        <w:rPr>
          <w:rFonts w:hint="eastAsia"/>
          <w:szCs w:val="21"/>
        </w:rPr>
        <w:t>）；</w:t>
      </w:r>
    </w:p>
    <w:p>
      <w:pPr>
        <w:widowControl w:val="0"/>
        <w:shd w:val="clear" w:color="auto" w:fill="auto"/>
        <w:adjustRightInd/>
        <w:snapToGrid/>
        <w:spacing w:line="240" w:lineRule="auto"/>
        <w:ind w:left="495"/>
        <w:rPr>
          <w:rFonts w:hint="eastAsia"/>
          <w:szCs w:val="21"/>
        </w:rPr>
      </w:pPr>
      <w:r>
        <w:rPr>
          <w:rFonts w:hint="eastAsia"/>
          <w:szCs w:val="21"/>
        </w:rPr>
        <w:t>中国政府采购网（</w:t>
      </w:r>
      <w:r>
        <w:rPr>
          <w:szCs w:val="21"/>
        </w:rPr>
        <w:t>http://www.ccgp.gov.cn）；</w:t>
      </w:r>
    </w:p>
    <w:p>
      <w:pPr>
        <w:widowControl w:val="0"/>
        <w:shd w:val="clear" w:color="auto" w:fill="auto"/>
        <w:adjustRightInd/>
        <w:snapToGrid/>
        <w:spacing w:line="240" w:lineRule="auto"/>
        <w:ind w:left="495"/>
        <w:rPr>
          <w:rFonts w:hint="eastAsia" w:cs="Times New Roman"/>
          <w:kern w:val="2"/>
          <w:szCs w:val="21"/>
        </w:rPr>
      </w:pPr>
      <w:r>
        <w:rPr>
          <w:rFonts w:hint="eastAsia"/>
          <w:szCs w:val="21"/>
        </w:rPr>
        <w:t>采购代理机构官网（</w:t>
      </w:r>
      <w:r>
        <w:rPr>
          <w:szCs w:val="21"/>
        </w:rPr>
        <w:t>http://www.szsszx.com/</w:t>
      </w:r>
      <w:r>
        <w:rPr>
          <w:rFonts w:hint="eastAsia"/>
          <w:szCs w:val="21"/>
        </w:rPr>
        <w:t>）。</w:t>
      </w:r>
    </w:p>
    <w:p>
      <w:pPr>
        <w:spacing w:line="240" w:lineRule="auto"/>
        <w:rPr>
          <w:rFonts w:hint="eastAsia"/>
          <w:b/>
          <w:kern w:val="2"/>
          <w:szCs w:val="21"/>
        </w:rPr>
      </w:pPr>
      <w:bookmarkStart w:id="32" w:name="_Toc28359085"/>
      <w:bookmarkStart w:id="33" w:name="_Toc35393796"/>
      <w:bookmarkStart w:id="34" w:name="_Toc28359008"/>
      <w:bookmarkStart w:id="35" w:name="_Toc35393627"/>
      <w:r>
        <w:rPr>
          <w:rFonts w:hint="eastAsia"/>
          <w:b/>
          <w:kern w:val="2"/>
          <w:szCs w:val="21"/>
        </w:rPr>
        <w:t>七、对本次招标提出询问，请按</w:t>
      </w:r>
      <w:r>
        <w:rPr>
          <w:b/>
          <w:kern w:val="2"/>
          <w:szCs w:val="21"/>
        </w:rPr>
        <w:t>以下方式</w:t>
      </w:r>
      <w:r>
        <w:rPr>
          <w:rFonts w:hint="eastAsia"/>
          <w:b/>
          <w:kern w:val="2"/>
          <w:szCs w:val="21"/>
        </w:rPr>
        <w:t>联系</w:t>
      </w:r>
      <w:bookmarkEnd w:id="32"/>
      <w:bookmarkEnd w:id="33"/>
      <w:bookmarkEnd w:id="34"/>
      <w:bookmarkEnd w:id="35"/>
      <w:r>
        <w:rPr>
          <w:rFonts w:hint="eastAsia"/>
          <w:b/>
          <w:kern w:val="2"/>
          <w:szCs w:val="21"/>
        </w:rPr>
        <w:t>。</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1.采购人信息</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名称：深圳海关食品检验检疫技术中心</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地址：深圳市福田区福强路</w:t>
      </w:r>
      <w:r>
        <w:rPr>
          <w:rFonts w:cs="Times New Roman"/>
          <w:kern w:val="2"/>
          <w:szCs w:val="21"/>
        </w:rPr>
        <w:t>1011号</w:t>
      </w:r>
    </w:p>
    <w:p>
      <w:pPr>
        <w:widowControl w:val="0"/>
        <w:shd w:val="clear" w:color="auto" w:fill="auto"/>
        <w:adjustRightInd/>
        <w:snapToGrid/>
        <w:spacing w:line="240" w:lineRule="auto"/>
        <w:ind w:left="495"/>
        <w:rPr>
          <w:rFonts w:hint="eastAsia" w:cs="Times New Roman"/>
          <w:kern w:val="2"/>
          <w:szCs w:val="21"/>
        </w:rPr>
      </w:pPr>
      <w:bookmarkStart w:id="36" w:name="_Toc28359009"/>
      <w:bookmarkStart w:id="37" w:name="_Toc28359086"/>
      <w:r>
        <w:rPr>
          <w:rFonts w:hint="eastAsia" w:cs="Times New Roman"/>
          <w:kern w:val="2"/>
          <w:szCs w:val="21"/>
        </w:rPr>
        <w:t>联系方式：刘先生</w:t>
      </w:r>
      <w:r>
        <w:rPr>
          <w:rFonts w:cs="Times New Roman"/>
          <w:kern w:val="2"/>
          <w:szCs w:val="21"/>
        </w:rPr>
        <w:t>0755-84394179</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采购人监督投诉电话：</w:t>
      </w:r>
      <w:r>
        <w:rPr>
          <w:rFonts w:cs="Times New Roman"/>
          <w:kern w:val="2"/>
          <w:szCs w:val="21"/>
        </w:rPr>
        <w:t>0755-84398457</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2.采购代理机构信息</w:t>
      </w:r>
      <w:bookmarkEnd w:id="36"/>
      <w:bookmarkEnd w:id="37"/>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名</w:t>
      </w:r>
      <w:r>
        <w:rPr>
          <w:rFonts w:cs="Times New Roman"/>
          <w:kern w:val="2"/>
          <w:szCs w:val="21"/>
        </w:rPr>
        <w:t>称：深圳市深水水务咨询有限公司</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地</w:t>
      </w:r>
      <w:r>
        <w:rPr>
          <w:rFonts w:cs="Times New Roman"/>
          <w:kern w:val="2"/>
          <w:szCs w:val="21"/>
        </w:rPr>
        <w:t>址：深圳市罗湖区清水河街道清水河社区清水河一路112号罗湖投资控股大厦裙楼401</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联系方式：庄晓琴</w:t>
      </w:r>
      <w:r>
        <w:rPr>
          <w:rFonts w:cs="Times New Roman"/>
          <w:kern w:val="2"/>
          <w:szCs w:val="21"/>
        </w:rPr>
        <w:t>0755-25165821/13688812350/Email：498174886@qq.com</w:t>
      </w:r>
    </w:p>
    <w:p>
      <w:pPr>
        <w:widowControl w:val="0"/>
        <w:shd w:val="clear" w:color="auto" w:fill="auto"/>
        <w:adjustRightInd/>
        <w:snapToGrid/>
        <w:spacing w:line="240" w:lineRule="auto"/>
        <w:ind w:left="495"/>
        <w:rPr>
          <w:rFonts w:hint="eastAsia" w:cs="Times New Roman"/>
          <w:kern w:val="2"/>
          <w:szCs w:val="21"/>
        </w:rPr>
      </w:pPr>
      <w:r>
        <w:rPr>
          <w:rFonts w:cs="Times New Roman"/>
          <w:kern w:val="2"/>
          <w:szCs w:val="21"/>
        </w:rPr>
        <w:t>3.项目联系方式</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项目联系人：庄晓琴、李夏冰</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电</w:t>
      </w:r>
      <w:r>
        <w:rPr>
          <w:rFonts w:cs="Times New Roman"/>
          <w:kern w:val="2"/>
          <w:szCs w:val="21"/>
        </w:rPr>
        <w:t>话：0755-25165821/13688812350</w:t>
      </w:r>
    </w:p>
    <w:p>
      <w:pPr>
        <w:spacing w:line="240" w:lineRule="auto"/>
        <w:ind w:firstLine="424" w:firstLineChars="202"/>
        <w:jc w:val="right"/>
        <w:rPr>
          <w:rFonts w:hint="eastAsia"/>
          <w:szCs w:val="21"/>
        </w:rPr>
      </w:pPr>
      <w:r>
        <w:rPr>
          <w:rFonts w:hint="eastAsia"/>
          <w:szCs w:val="21"/>
        </w:rPr>
        <w:t>深圳市深水水务咨询有限公司</w:t>
      </w:r>
    </w:p>
    <w:p>
      <w:pPr>
        <w:spacing w:line="240" w:lineRule="auto"/>
        <w:ind w:firstLine="424" w:firstLineChars="202"/>
        <w:jc w:val="right"/>
        <w:rPr>
          <w:rFonts w:hint="eastAsia"/>
          <w:szCs w:val="21"/>
        </w:rPr>
      </w:pPr>
      <w:r>
        <w:rPr>
          <w:rFonts w:hint="eastAsia"/>
          <w:szCs w:val="21"/>
        </w:rPr>
        <w:t>202</w:t>
      </w:r>
      <w:r>
        <w:rPr>
          <w:szCs w:val="21"/>
        </w:rPr>
        <w:t>4</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24</w:t>
      </w:r>
      <w:r>
        <w:rPr>
          <w:rFonts w:hint="eastAsia"/>
          <w:szCs w:val="21"/>
        </w:rPr>
        <w:t>日</w:t>
      </w:r>
    </w:p>
    <w:bookmarkEnd w:id="6"/>
    <w:p>
      <w:pPr>
        <w:rPr>
          <w:rFonts w:hint="eastAsia"/>
        </w:rPr>
      </w:pPr>
      <w:r>
        <w:rPr>
          <w:rFonts w:hint="eastAsia"/>
        </w:rPr>
        <w:br w:type="page"/>
      </w:r>
    </w:p>
    <w:p>
      <w:pPr>
        <w:pStyle w:val="62"/>
      </w:pPr>
      <w:bookmarkStart w:id="38" w:name="_Toc13122"/>
      <w:r>
        <w:rPr>
          <w:rFonts w:hint="eastAsia"/>
        </w:rPr>
        <w:t>第二章 项目需求</w:t>
      </w:r>
      <w:bookmarkEnd w:id="38"/>
    </w:p>
    <w:p>
      <w:pPr>
        <w:numPr>
          <w:ilvl w:val="0"/>
          <w:numId w:val="2"/>
        </w:numPr>
        <w:adjustRightInd/>
        <w:snapToGrid/>
        <w:spacing w:before="280" w:after="290" w:line="377" w:lineRule="auto"/>
        <w:jc w:val="left"/>
        <w:outlineLvl w:val="2"/>
        <w:rPr>
          <w:rFonts w:hint="eastAsia"/>
          <w:b/>
          <w:sz w:val="24"/>
        </w:rPr>
      </w:pPr>
      <w:bookmarkStart w:id="39" w:name="_Toc150960244"/>
      <w:bookmarkStart w:id="40" w:name="_Toc15786"/>
      <w:bookmarkStart w:id="41" w:name="_Toc151386154"/>
      <w:r>
        <w:rPr>
          <w:b/>
          <w:sz w:val="24"/>
        </w:rPr>
        <w:t>货物清单</w:t>
      </w:r>
      <w:r>
        <w:rPr>
          <w:rFonts w:hint="eastAsia"/>
          <w:b/>
          <w:sz w:val="24"/>
        </w:rPr>
        <w:t>一览表</w:t>
      </w:r>
      <w:bookmarkEnd w:id="39"/>
      <w:bookmarkEnd w:id="40"/>
      <w:bookmarkEnd w:id="41"/>
    </w:p>
    <w:tbl>
      <w:tblPr>
        <w:tblStyle w:val="85"/>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50"/>
        <w:gridCol w:w="1650"/>
        <w:gridCol w:w="1140"/>
        <w:gridCol w:w="525"/>
        <w:gridCol w:w="1095"/>
        <w:gridCol w:w="155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240" w:lineRule="auto"/>
              <w:jc w:val="center"/>
              <w:rPr>
                <w:rFonts w:hint="eastAsia"/>
                <w:b/>
                <w:bCs/>
                <w:szCs w:val="21"/>
              </w:rPr>
            </w:pPr>
            <w:r>
              <w:rPr>
                <w:rFonts w:hint="eastAsia"/>
                <w:b/>
                <w:bCs/>
                <w:szCs w:val="21"/>
              </w:rPr>
              <w:t>包号</w:t>
            </w:r>
          </w:p>
        </w:tc>
        <w:tc>
          <w:tcPr>
            <w:tcW w:w="1250" w:type="dxa"/>
            <w:vAlign w:val="center"/>
          </w:tcPr>
          <w:p>
            <w:pPr>
              <w:spacing w:line="240" w:lineRule="auto"/>
              <w:jc w:val="center"/>
              <w:rPr>
                <w:rFonts w:hint="eastAsia"/>
                <w:b/>
                <w:bCs/>
                <w:szCs w:val="21"/>
              </w:rPr>
            </w:pPr>
            <w:r>
              <w:rPr>
                <w:rFonts w:hint="eastAsia"/>
                <w:b/>
                <w:bCs/>
                <w:szCs w:val="21"/>
              </w:rPr>
              <w:t>标的序号</w:t>
            </w:r>
          </w:p>
        </w:tc>
        <w:tc>
          <w:tcPr>
            <w:tcW w:w="1650" w:type="dxa"/>
            <w:vAlign w:val="center"/>
          </w:tcPr>
          <w:p>
            <w:pPr>
              <w:spacing w:line="240" w:lineRule="auto"/>
              <w:jc w:val="center"/>
              <w:rPr>
                <w:rFonts w:hint="eastAsia"/>
                <w:b/>
                <w:bCs/>
                <w:szCs w:val="21"/>
              </w:rPr>
            </w:pPr>
            <w:r>
              <w:rPr>
                <w:rFonts w:hint="eastAsia"/>
                <w:b/>
                <w:bCs/>
                <w:szCs w:val="21"/>
              </w:rPr>
              <w:t>货物（标的）名称</w:t>
            </w:r>
          </w:p>
        </w:tc>
        <w:tc>
          <w:tcPr>
            <w:tcW w:w="1140" w:type="dxa"/>
            <w:vAlign w:val="center"/>
          </w:tcPr>
          <w:p>
            <w:pPr>
              <w:spacing w:line="240" w:lineRule="auto"/>
              <w:jc w:val="center"/>
              <w:rPr>
                <w:rFonts w:hint="eastAsia"/>
                <w:b/>
                <w:bCs/>
                <w:szCs w:val="21"/>
              </w:rPr>
            </w:pPr>
            <w:r>
              <w:rPr>
                <w:rFonts w:hint="eastAsia"/>
                <w:b/>
                <w:bCs/>
                <w:szCs w:val="21"/>
              </w:rPr>
              <w:t>计量单位</w:t>
            </w:r>
          </w:p>
        </w:tc>
        <w:tc>
          <w:tcPr>
            <w:tcW w:w="525" w:type="dxa"/>
            <w:vAlign w:val="center"/>
          </w:tcPr>
          <w:p>
            <w:pPr>
              <w:spacing w:line="240" w:lineRule="auto"/>
              <w:jc w:val="center"/>
              <w:rPr>
                <w:rFonts w:hint="eastAsia"/>
                <w:b/>
                <w:bCs/>
                <w:szCs w:val="21"/>
              </w:rPr>
            </w:pPr>
            <w:r>
              <w:rPr>
                <w:rFonts w:hint="eastAsia"/>
                <w:b/>
                <w:bCs/>
                <w:szCs w:val="21"/>
              </w:rPr>
              <w:t>数量</w:t>
            </w:r>
          </w:p>
        </w:tc>
        <w:tc>
          <w:tcPr>
            <w:tcW w:w="1095" w:type="dxa"/>
            <w:vAlign w:val="center"/>
          </w:tcPr>
          <w:p>
            <w:pPr>
              <w:spacing w:line="240" w:lineRule="auto"/>
              <w:jc w:val="center"/>
              <w:rPr>
                <w:rFonts w:hint="eastAsia"/>
                <w:b/>
                <w:bCs/>
                <w:szCs w:val="21"/>
              </w:rPr>
            </w:pPr>
            <w:r>
              <w:rPr>
                <w:rFonts w:hint="eastAsia"/>
                <w:b/>
                <w:bCs/>
                <w:szCs w:val="21"/>
              </w:rPr>
              <w:t>是否进口</w:t>
            </w:r>
          </w:p>
        </w:tc>
        <w:tc>
          <w:tcPr>
            <w:tcW w:w="1551" w:type="dxa"/>
            <w:vAlign w:val="center"/>
          </w:tcPr>
          <w:p>
            <w:pPr>
              <w:spacing w:line="240" w:lineRule="auto"/>
              <w:jc w:val="center"/>
              <w:rPr>
                <w:rFonts w:hint="eastAsia"/>
                <w:b/>
                <w:bCs/>
                <w:szCs w:val="21"/>
              </w:rPr>
            </w:pPr>
            <w:r>
              <w:rPr>
                <w:rFonts w:hint="eastAsia"/>
                <w:b/>
                <w:bCs/>
                <w:szCs w:val="21"/>
              </w:rPr>
              <w:t>是否创新产品</w:t>
            </w:r>
          </w:p>
        </w:tc>
        <w:tc>
          <w:tcPr>
            <w:tcW w:w="1305" w:type="dxa"/>
            <w:vAlign w:val="center"/>
          </w:tcPr>
          <w:p>
            <w:pPr>
              <w:spacing w:line="240" w:lineRule="auto"/>
              <w:jc w:val="center"/>
              <w:rPr>
                <w:rFonts w:hint="eastAsia"/>
                <w:szCs w:val="21"/>
              </w:rPr>
            </w:pPr>
            <w:r>
              <w:rPr>
                <w:rFonts w:hint="eastAsia" w:cs="Times New Roman"/>
                <w:b/>
                <w:bCs/>
                <w:szCs w:val="21"/>
              </w:rPr>
              <w:t>财政</w:t>
            </w:r>
            <w:r>
              <w:rPr>
                <w:rFonts w:cs="Times New Roman"/>
                <w:b/>
                <w:bCs/>
                <w:szCs w:val="21"/>
              </w:rPr>
              <w:t>预算</w:t>
            </w:r>
            <w:r>
              <w:rPr>
                <w:rFonts w:hint="eastAsia" w:cs="Times New Roman"/>
                <w:b/>
                <w:bCs/>
                <w:szCs w:val="21"/>
              </w:rPr>
              <w:t>限</w:t>
            </w:r>
            <w:r>
              <w:rPr>
                <w:rFonts w:cs="Times New Roman"/>
                <w:b/>
                <w:bCs/>
                <w:szCs w:val="21"/>
              </w:rPr>
              <w:t>额(</w:t>
            </w:r>
            <w:r>
              <w:rPr>
                <w:rFonts w:hint="eastAsia" w:cs="Times New Roman"/>
                <w:b/>
                <w:bCs/>
                <w:szCs w:val="21"/>
              </w:rPr>
              <w:t>万</w:t>
            </w:r>
            <w:r>
              <w:rPr>
                <w:rFonts w:cs="Times New Roman"/>
                <w:b/>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930" w:type="dxa"/>
            <w:vAlign w:val="center"/>
          </w:tcPr>
          <w:p>
            <w:pPr>
              <w:spacing w:line="240" w:lineRule="auto"/>
              <w:jc w:val="center"/>
              <w:rPr>
                <w:rFonts w:hint="eastAsia"/>
                <w:szCs w:val="21"/>
              </w:rPr>
            </w:pPr>
            <w:r>
              <w:rPr>
                <w:rFonts w:hint="eastAsia"/>
                <w:szCs w:val="21"/>
              </w:rPr>
              <w:t>01</w:t>
            </w:r>
          </w:p>
        </w:tc>
        <w:tc>
          <w:tcPr>
            <w:tcW w:w="1250" w:type="dxa"/>
            <w:vAlign w:val="center"/>
          </w:tcPr>
          <w:p>
            <w:pPr>
              <w:spacing w:line="240" w:lineRule="auto"/>
              <w:jc w:val="center"/>
              <w:rPr>
                <w:rFonts w:hint="eastAsia"/>
                <w:szCs w:val="21"/>
              </w:rPr>
            </w:pPr>
            <w:r>
              <w:rPr>
                <w:rFonts w:hint="eastAsia"/>
                <w:szCs w:val="21"/>
              </w:rPr>
              <w:t>1</w:t>
            </w:r>
          </w:p>
        </w:tc>
        <w:tc>
          <w:tcPr>
            <w:tcW w:w="1650" w:type="dxa"/>
            <w:vAlign w:val="center"/>
          </w:tcPr>
          <w:p>
            <w:pPr>
              <w:spacing w:line="240" w:lineRule="auto"/>
              <w:jc w:val="center"/>
              <w:rPr>
                <w:rFonts w:hint="eastAsia"/>
                <w:szCs w:val="21"/>
              </w:rPr>
            </w:pPr>
            <w:r>
              <w:rPr>
                <w:rFonts w:hint="eastAsia"/>
                <w:szCs w:val="21"/>
              </w:rPr>
              <w:t>气相色谱三重四极杆质谱联用仪</w:t>
            </w:r>
          </w:p>
        </w:tc>
        <w:tc>
          <w:tcPr>
            <w:tcW w:w="1140" w:type="dxa"/>
            <w:vAlign w:val="center"/>
          </w:tcPr>
          <w:p>
            <w:pPr>
              <w:spacing w:line="240" w:lineRule="auto"/>
              <w:jc w:val="center"/>
              <w:rPr>
                <w:rFonts w:hint="eastAsia"/>
                <w:szCs w:val="21"/>
              </w:rPr>
            </w:pPr>
            <w:r>
              <w:rPr>
                <w:rFonts w:hint="eastAsia"/>
                <w:szCs w:val="21"/>
              </w:rPr>
              <w:t>台</w:t>
            </w:r>
          </w:p>
        </w:tc>
        <w:tc>
          <w:tcPr>
            <w:tcW w:w="525" w:type="dxa"/>
            <w:vAlign w:val="center"/>
          </w:tcPr>
          <w:p>
            <w:pPr>
              <w:spacing w:line="240" w:lineRule="auto"/>
              <w:jc w:val="center"/>
              <w:rPr>
                <w:rFonts w:hint="eastAsia"/>
                <w:szCs w:val="21"/>
              </w:rPr>
            </w:pPr>
            <w:r>
              <w:rPr>
                <w:rFonts w:hint="eastAsia"/>
                <w:szCs w:val="21"/>
              </w:rPr>
              <w:t>1</w:t>
            </w:r>
          </w:p>
        </w:tc>
        <w:tc>
          <w:tcPr>
            <w:tcW w:w="1095" w:type="dxa"/>
            <w:vAlign w:val="center"/>
          </w:tcPr>
          <w:p>
            <w:pPr>
              <w:spacing w:line="240" w:lineRule="auto"/>
              <w:jc w:val="center"/>
              <w:rPr>
                <w:rFonts w:hint="eastAsia"/>
                <w:szCs w:val="21"/>
              </w:rPr>
            </w:pPr>
            <w:r>
              <w:rPr>
                <w:rFonts w:hint="eastAsia"/>
                <w:szCs w:val="21"/>
              </w:rPr>
              <w:t>否</w:t>
            </w:r>
          </w:p>
        </w:tc>
        <w:tc>
          <w:tcPr>
            <w:tcW w:w="1551" w:type="dxa"/>
            <w:vAlign w:val="center"/>
          </w:tcPr>
          <w:p>
            <w:pPr>
              <w:spacing w:line="240" w:lineRule="auto"/>
              <w:jc w:val="center"/>
              <w:rPr>
                <w:rFonts w:hint="eastAsia"/>
                <w:szCs w:val="21"/>
              </w:rPr>
            </w:pPr>
            <w:r>
              <w:rPr>
                <w:rFonts w:hint="eastAsia"/>
                <w:szCs w:val="21"/>
              </w:rPr>
              <w:t>否</w:t>
            </w:r>
          </w:p>
        </w:tc>
        <w:tc>
          <w:tcPr>
            <w:tcW w:w="1305" w:type="dxa"/>
            <w:vAlign w:val="center"/>
          </w:tcPr>
          <w:p>
            <w:pPr>
              <w:pStyle w:val="425"/>
              <w:rPr>
                <w:rFonts w:hint="eastAsia" w:hAnsi="宋体"/>
                <w:szCs w:val="21"/>
              </w:rPr>
            </w:pPr>
            <w:r>
              <w:rPr>
                <w:rFonts w:hint="eastAsia"/>
              </w:rPr>
              <w:t>155.000000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930" w:type="dxa"/>
            <w:vAlign w:val="center"/>
          </w:tcPr>
          <w:p>
            <w:pPr>
              <w:spacing w:line="240" w:lineRule="auto"/>
              <w:jc w:val="center"/>
              <w:rPr>
                <w:rFonts w:hint="eastAsia"/>
                <w:szCs w:val="21"/>
              </w:rPr>
            </w:pPr>
            <w:r>
              <w:rPr>
                <w:rFonts w:hint="eastAsia"/>
                <w:szCs w:val="21"/>
              </w:rPr>
              <w:t>02</w:t>
            </w:r>
          </w:p>
        </w:tc>
        <w:tc>
          <w:tcPr>
            <w:tcW w:w="1250" w:type="dxa"/>
            <w:vAlign w:val="center"/>
          </w:tcPr>
          <w:p>
            <w:pPr>
              <w:spacing w:line="240" w:lineRule="auto"/>
              <w:jc w:val="center"/>
              <w:rPr>
                <w:rFonts w:hint="eastAsia"/>
                <w:szCs w:val="21"/>
              </w:rPr>
            </w:pPr>
            <w:r>
              <w:rPr>
                <w:rFonts w:hint="eastAsia"/>
                <w:szCs w:val="21"/>
              </w:rPr>
              <w:t>2</w:t>
            </w:r>
          </w:p>
        </w:tc>
        <w:tc>
          <w:tcPr>
            <w:tcW w:w="1650" w:type="dxa"/>
            <w:vAlign w:val="center"/>
          </w:tcPr>
          <w:p>
            <w:pPr>
              <w:spacing w:line="240" w:lineRule="auto"/>
              <w:jc w:val="center"/>
              <w:rPr>
                <w:rFonts w:hint="eastAsia"/>
                <w:szCs w:val="21"/>
              </w:rPr>
            </w:pPr>
            <w:r>
              <w:rPr>
                <w:rFonts w:hint="eastAsia"/>
                <w:szCs w:val="21"/>
              </w:rPr>
              <w:t>气相色谱三重四极杆质谱联用仪</w:t>
            </w:r>
          </w:p>
        </w:tc>
        <w:tc>
          <w:tcPr>
            <w:tcW w:w="1140" w:type="dxa"/>
            <w:vAlign w:val="center"/>
          </w:tcPr>
          <w:p>
            <w:pPr>
              <w:spacing w:line="240" w:lineRule="auto"/>
              <w:jc w:val="center"/>
              <w:rPr>
                <w:rFonts w:hint="eastAsia"/>
                <w:szCs w:val="21"/>
              </w:rPr>
            </w:pPr>
            <w:r>
              <w:rPr>
                <w:rFonts w:hint="eastAsia"/>
                <w:szCs w:val="21"/>
              </w:rPr>
              <w:t>台</w:t>
            </w:r>
          </w:p>
        </w:tc>
        <w:tc>
          <w:tcPr>
            <w:tcW w:w="525" w:type="dxa"/>
            <w:vAlign w:val="center"/>
          </w:tcPr>
          <w:p>
            <w:pPr>
              <w:spacing w:line="240" w:lineRule="auto"/>
              <w:jc w:val="center"/>
              <w:rPr>
                <w:rFonts w:hint="eastAsia"/>
                <w:szCs w:val="21"/>
              </w:rPr>
            </w:pPr>
            <w:r>
              <w:rPr>
                <w:rFonts w:hint="eastAsia"/>
                <w:szCs w:val="21"/>
              </w:rPr>
              <w:t>1</w:t>
            </w:r>
          </w:p>
        </w:tc>
        <w:tc>
          <w:tcPr>
            <w:tcW w:w="1095" w:type="dxa"/>
            <w:vAlign w:val="center"/>
          </w:tcPr>
          <w:p>
            <w:pPr>
              <w:spacing w:line="240" w:lineRule="auto"/>
              <w:jc w:val="center"/>
              <w:rPr>
                <w:rFonts w:hint="eastAsia"/>
                <w:szCs w:val="21"/>
              </w:rPr>
            </w:pPr>
            <w:r>
              <w:rPr>
                <w:rFonts w:hint="eastAsia"/>
                <w:szCs w:val="21"/>
              </w:rPr>
              <w:t>否</w:t>
            </w:r>
          </w:p>
        </w:tc>
        <w:tc>
          <w:tcPr>
            <w:tcW w:w="1551" w:type="dxa"/>
            <w:vAlign w:val="center"/>
          </w:tcPr>
          <w:p>
            <w:pPr>
              <w:spacing w:line="240" w:lineRule="auto"/>
              <w:jc w:val="center"/>
              <w:rPr>
                <w:rFonts w:hint="eastAsia"/>
                <w:szCs w:val="21"/>
              </w:rPr>
            </w:pPr>
            <w:r>
              <w:rPr>
                <w:rFonts w:hint="eastAsia"/>
                <w:szCs w:val="21"/>
              </w:rPr>
              <w:t>否</w:t>
            </w:r>
          </w:p>
        </w:tc>
        <w:tc>
          <w:tcPr>
            <w:tcW w:w="1305" w:type="dxa"/>
            <w:vAlign w:val="center"/>
          </w:tcPr>
          <w:p>
            <w:pPr>
              <w:pStyle w:val="425"/>
              <w:rPr>
                <w:rFonts w:hint="eastAsia" w:hAnsi="宋体"/>
                <w:szCs w:val="21"/>
              </w:rPr>
            </w:pPr>
            <w:r>
              <w:rPr>
                <w:rFonts w:hint="eastAsia"/>
              </w:rPr>
              <w:t>155.000000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141" w:type="dxa"/>
            <w:gridSpan w:val="7"/>
            <w:vAlign w:val="center"/>
          </w:tcPr>
          <w:p>
            <w:pPr>
              <w:spacing w:line="240" w:lineRule="auto"/>
              <w:jc w:val="center"/>
              <w:rPr>
                <w:rFonts w:hint="eastAsia"/>
                <w:szCs w:val="21"/>
              </w:rPr>
            </w:pPr>
            <w:r>
              <w:rPr>
                <w:rFonts w:hint="eastAsia"/>
                <w:szCs w:val="21"/>
              </w:rPr>
              <w:t>合计</w:t>
            </w:r>
          </w:p>
        </w:tc>
        <w:tc>
          <w:tcPr>
            <w:tcW w:w="1305" w:type="dxa"/>
            <w:vAlign w:val="center"/>
          </w:tcPr>
          <w:p>
            <w:pPr>
              <w:pStyle w:val="425"/>
              <w:rPr>
                <w:szCs w:val="21"/>
              </w:rPr>
            </w:pPr>
            <w:r>
              <w:rPr>
                <w:rFonts w:hint="eastAsia"/>
              </w:rPr>
              <w:t>310.000000</w:t>
            </w:r>
          </w:p>
        </w:tc>
      </w:tr>
    </w:tbl>
    <w:p>
      <w:pPr>
        <w:spacing w:line="276" w:lineRule="auto"/>
        <w:ind w:firstLine="420" w:firstLineChars="200"/>
        <w:rPr>
          <w:rFonts w:hint="eastAsia"/>
          <w:szCs w:val="21"/>
        </w:rPr>
      </w:pPr>
      <w:r>
        <w:rPr>
          <w:rFonts w:hint="eastAsia"/>
          <w:szCs w:val="21"/>
        </w:rPr>
        <w:t>备注：</w:t>
      </w:r>
    </w:p>
    <w:p>
      <w:pPr>
        <w:spacing w:line="276" w:lineRule="auto"/>
        <w:ind w:firstLine="420" w:firstLineChars="200"/>
        <w:rPr>
          <w:rFonts w:hint="eastAsia"/>
          <w:szCs w:val="21"/>
        </w:rPr>
      </w:pPr>
      <w:r>
        <w:rPr>
          <w:rFonts w:hint="eastAsia"/>
          <w:szCs w:val="21"/>
        </w:rPr>
        <w:t>1.注明“接受进口”的产品（产品名称）允许供应商选用进口产品参与投标，但不排斥国内产品。</w:t>
      </w:r>
    </w:p>
    <w:p>
      <w:pPr>
        <w:spacing w:line="276" w:lineRule="auto"/>
        <w:ind w:firstLine="420" w:firstLineChars="200"/>
        <w:rPr>
          <w:rFonts w:hint="eastAsia"/>
          <w:szCs w:val="21"/>
        </w:rPr>
      </w:pPr>
      <w:r>
        <w:rPr>
          <w:rFonts w:hint="eastAsia"/>
          <w:szCs w:val="21"/>
        </w:rPr>
        <w:t>2</w:t>
      </w:r>
      <w:r>
        <w:rPr>
          <w:szCs w:val="21"/>
        </w:rPr>
        <w:t>.</w:t>
      </w:r>
      <w:r>
        <w:rPr>
          <w:rFonts w:hint="eastAsia"/>
          <w:szCs w:val="21"/>
        </w:rPr>
        <w:t>注明“拒绝进口”的产品（产品名称）均不接受供应商选用进口产品参与投标。</w:t>
      </w:r>
    </w:p>
    <w:p>
      <w:pPr>
        <w:spacing w:line="276" w:lineRule="auto"/>
        <w:ind w:firstLine="420" w:firstLineChars="200"/>
        <w:rPr>
          <w:rFonts w:hint="eastAsia"/>
          <w:szCs w:val="21"/>
        </w:rPr>
      </w:pPr>
      <w:r>
        <w:rPr>
          <w:rFonts w:hint="eastAsia"/>
          <w:szCs w:val="21"/>
        </w:rPr>
        <w:t>3</w:t>
      </w:r>
      <w:r>
        <w:rPr>
          <w:szCs w:val="21"/>
        </w:rPr>
        <w:t>.</w:t>
      </w:r>
      <w:r>
        <w:rPr>
          <w:rFonts w:hint="eastAsia"/>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276" w:lineRule="auto"/>
        <w:ind w:firstLine="420" w:firstLineChars="200"/>
        <w:rPr>
          <w:rFonts w:hint="eastAsia"/>
          <w:szCs w:val="21"/>
        </w:rPr>
      </w:pPr>
      <w:r>
        <w:rPr>
          <w:rFonts w:hint="eastAsia"/>
          <w:bCs/>
          <w:szCs w:val="21"/>
        </w:rPr>
        <w:t>4</w:t>
      </w:r>
      <w:r>
        <w:rPr>
          <w:bCs/>
          <w:szCs w:val="21"/>
        </w:rPr>
        <w:t>.</w:t>
      </w:r>
      <w:r>
        <w:rPr>
          <w:rFonts w:hint="eastAsia"/>
          <w:szCs w:val="21"/>
        </w:rPr>
        <w:t>《货物清单一览表》不允许出现负偏离，否则将导致投标无效，以投标文件格式中的《货物说明一览表》为准。</w:t>
      </w:r>
    </w:p>
    <w:p>
      <w:pPr>
        <w:numPr>
          <w:ilvl w:val="0"/>
          <w:numId w:val="2"/>
        </w:numPr>
        <w:adjustRightInd/>
        <w:snapToGrid/>
        <w:spacing w:before="280" w:after="290" w:line="377" w:lineRule="auto"/>
        <w:jc w:val="left"/>
        <w:outlineLvl w:val="2"/>
        <w:rPr>
          <w:rFonts w:hint="eastAsia"/>
          <w:b/>
          <w:sz w:val="24"/>
        </w:rPr>
      </w:pPr>
      <w:bookmarkStart w:id="42" w:name="_Toc31434"/>
      <w:bookmarkStart w:id="43" w:name="_Toc150960245"/>
      <w:bookmarkStart w:id="44" w:name="_Toc151386155"/>
      <w:r>
        <w:rPr>
          <w:rFonts w:hint="eastAsia"/>
          <w:b/>
          <w:sz w:val="24"/>
        </w:rPr>
        <w:t>实质性响应条款</w:t>
      </w:r>
      <w:bookmarkEnd w:id="42"/>
      <w:bookmarkEnd w:id="43"/>
      <w:bookmarkEnd w:id="44"/>
    </w:p>
    <w:tbl>
      <w:tblPr>
        <w:tblStyle w:val="85"/>
        <w:tblW w:w="4738"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589"/>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序号</w:t>
            </w:r>
          </w:p>
        </w:tc>
        <w:tc>
          <w:tcPr>
            <w:tcW w:w="876" w:type="pct"/>
            <w:vAlign w:val="center"/>
          </w:tcPr>
          <w:p>
            <w:pPr>
              <w:spacing w:line="240" w:lineRule="auto"/>
              <w:jc w:val="center"/>
              <w:rPr>
                <w:rFonts w:hint="eastAsia"/>
                <w:b/>
                <w:szCs w:val="21"/>
              </w:rPr>
            </w:pPr>
            <w:r>
              <w:rPr>
                <w:rFonts w:hint="eastAsia"/>
                <w:b/>
                <w:szCs w:val="21"/>
              </w:rPr>
              <w:t>目录</w:t>
            </w:r>
          </w:p>
        </w:tc>
        <w:tc>
          <w:tcPr>
            <w:tcW w:w="3704" w:type="pct"/>
            <w:vAlign w:val="center"/>
          </w:tcPr>
          <w:p>
            <w:pPr>
              <w:spacing w:line="240" w:lineRule="auto"/>
              <w:jc w:val="center"/>
              <w:rPr>
                <w:rFonts w:hint="eastAsia"/>
                <w:b/>
                <w:szCs w:val="21"/>
              </w:rPr>
            </w:pPr>
            <w:r>
              <w:rPr>
                <w:rFonts w:hint="eastAsia"/>
                <w:b/>
                <w:szCs w:val="21"/>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1</w:t>
            </w:r>
          </w:p>
        </w:tc>
        <w:tc>
          <w:tcPr>
            <w:tcW w:w="876" w:type="pct"/>
            <w:vAlign w:val="center"/>
          </w:tcPr>
          <w:p>
            <w:pPr>
              <w:tabs>
                <w:tab w:val="clear" w:pos="426"/>
              </w:tabs>
              <w:spacing w:line="240" w:lineRule="auto"/>
              <w:jc w:val="left"/>
              <w:rPr>
                <w:rFonts w:hint="eastAsia" w:cs="Times New Roman"/>
                <w:kern w:val="2"/>
                <w:szCs w:val="21"/>
              </w:rPr>
            </w:pPr>
            <w:r>
              <w:rPr>
                <w:rFonts w:hint="eastAsia" w:cs="Times New Roman"/>
                <w:kern w:val="2"/>
                <w:szCs w:val="21"/>
              </w:rPr>
              <w:t>技术要求</w:t>
            </w:r>
          </w:p>
        </w:tc>
        <w:tc>
          <w:tcPr>
            <w:tcW w:w="3704" w:type="pct"/>
            <w:vAlign w:val="center"/>
          </w:tcPr>
          <w:p>
            <w:pPr>
              <w:spacing w:line="240" w:lineRule="auto"/>
              <w:rPr>
                <w:rFonts w:hint="eastAsia"/>
                <w:szCs w:val="21"/>
                <w:lang w:bidi="ar"/>
              </w:rPr>
            </w:pPr>
            <w:r>
              <w:rPr>
                <w:rFonts w:hint="eastAsia" w:cs="Times New Roman"/>
                <w:kern w:val="2"/>
                <w:szCs w:val="21"/>
              </w:rPr>
              <w:t>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2</w:t>
            </w:r>
          </w:p>
        </w:tc>
        <w:tc>
          <w:tcPr>
            <w:tcW w:w="876" w:type="pct"/>
            <w:vAlign w:val="center"/>
          </w:tcPr>
          <w:p>
            <w:pPr>
              <w:tabs>
                <w:tab w:val="clear" w:pos="426"/>
              </w:tabs>
              <w:spacing w:line="240" w:lineRule="auto"/>
              <w:jc w:val="left"/>
              <w:rPr>
                <w:rFonts w:hint="eastAsia" w:cs="Times New Roman"/>
                <w:kern w:val="2"/>
                <w:szCs w:val="21"/>
              </w:rPr>
            </w:pPr>
            <w:r>
              <w:rPr>
                <w:rFonts w:hint="eastAsia" w:cs="Times New Roman"/>
                <w:kern w:val="2"/>
                <w:szCs w:val="21"/>
              </w:rPr>
              <w:t>商务要求</w:t>
            </w:r>
          </w:p>
        </w:tc>
        <w:tc>
          <w:tcPr>
            <w:tcW w:w="3704" w:type="pct"/>
            <w:vAlign w:val="center"/>
          </w:tcPr>
          <w:p>
            <w:pPr>
              <w:spacing w:line="240" w:lineRule="auto"/>
              <w:rPr>
                <w:rFonts w:hint="eastAsia"/>
                <w:szCs w:val="21"/>
                <w:lang w:bidi="ar"/>
              </w:rPr>
            </w:pPr>
            <w:r>
              <w:rPr>
                <w:rFonts w:hint="eastAsia" w:cs="Times New Roman"/>
                <w:kern w:val="2"/>
                <w:szCs w:val="21"/>
              </w:rPr>
              <w:t>带★内容。</w:t>
            </w:r>
          </w:p>
        </w:tc>
      </w:tr>
    </w:tbl>
    <w:p>
      <w:pPr>
        <w:spacing w:line="276" w:lineRule="auto"/>
        <w:ind w:firstLine="420" w:firstLineChars="200"/>
        <w:rPr>
          <w:rFonts w:hint="eastAsia"/>
          <w:bCs/>
          <w:szCs w:val="21"/>
        </w:rPr>
      </w:pPr>
      <w:r>
        <w:rPr>
          <w:rFonts w:hint="eastAsia"/>
          <w:bCs/>
          <w:szCs w:val="21"/>
        </w:rPr>
        <w:t>备注：</w:t>
      </w:r>
    </w:p>
    <w:p>
      <w:pPr>
        <w:spacing w:line="276" w:lineRule="auto"/>
        <w:ind w:firstLine="420" w:firstLineChars="200"/>
        <w:rPr>
          <w:rFonts w:hint="eastAsia"/>
          <w:bCs/>
          <w:szCs w:val="21"/>
        </w:rPr>
      </w:pPr>
      <w:r>
        <w:rPr>
          <w:bCs/>
          <w:szCs w:val="21"/>
        </w:rPr>
        <w:t>1.</w:t>
      </w:r>
      <w:r>
        <w:rPr>
          <w:rFonts w:hint="eastAsia"/>
          <w:bCs/>
          <w:szCs w:val="21"/>
        </w:rPr>
        <w:t>请各位投标人仔细核对：确保投标文件已按照招标文件要求，在招标文件规定的投标文件格式中的对应节点进行逐一响应，不允许有任何负偏离，否则将作投标无效处理</w:t>
      </w:r>
      <w:r>
        <w:rPr>
          <w:bCs/>
          <w:szCs w:val="21"/>
        </w:rPr>
        <w:t>。</w:t>
      </w:r>
    </w:p>
    <w:p>
      <w:pPr>
        <w:numPr>
          <w:ilvl w:val="0"/>
          <w:numId w:val="2"/>
        </w:numPr>
        <w:adjustRightInd/>
        <w:snapToGrid/>
        <w:spacing w:before="280" w:after="290" w:line="377" w:lineRule="auto"/>
        <w:jc w:val="left"/>
        <w:outlineLvl w:val="2"/>
        <w:rPr>
          <w:rFonts w:hint="eastAsia"/>
          <w:b/>
          <w:sz w:val="24"/>
        </w:rPr>
      </w:pPr>
      <w:bookmarkStart w:id="45" w:name="_Toc150960246"/>
      <w:bookmarkStart w:id="46" w:name="_Toc151386156"/>
      <w:bookmarkStart w:id="47" w:name="_Toc27732"/>
      <w:r>
        <w:rPr>
          <w:rFonts w:hint="eastAsia"/>
          <w:b/>
          <w:sz w:val="24"/>
        </w:rPr>
        <w:t>技术要求</w:t>
      </w:r>
      <w:bookmarkEnd w:id="45"/>
      <w:bookmarkEnd w:id="46"/>
      <w:bookmarkEnd w:id="47"/>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包号：01 技术要求</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6"/>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adjustRightInd/>
              <w:snapToGrid/>
              <w:spacing w:line="240" w:lineRule="auto"/>
              <w:jc w:val="center"/>
              <w:rPr>
                <w:rFonts w:hint="eastAsia" w:cs="Times New Roman"/>
                <w:b/>
                <w:bCs/>
                <w:kern w:val="2"/>
                <w:szCs w:val="21"/>
                <w:highlight w:val="none"/>
              </w:rPr>
            </w:pPr>
            <w:r>
              <w:rPr>
                <w:rFonts w:hint="eastAsia" w:cs="Times New Roman"/>
                <w:b/>
                <w:bCs/>
                <w:kern w:val="2"/>
                <w:szCs w:val="21"/>
                <w:highlight w:val="none"/>
              </w:rPr>
              <w:t>技术参数要求</w:t>
            </w:r>
          </w:p>
        </w:tc>
        <w:tc>
          <w:tcPr>
            <w:tcW w:w="1094" w:type="dxa"/>
            <w:vAlign w:val="center"/>
          </w:tcPr>
          <w:p>
            <w:pPr>
              <w:widowControl w:val="0"/>
              <w:shd w:val="clear" w:color="auto" w:fill="auto"/>
              <w:adjustRightInd/>
              <w:snapToGrid/>
              <w:spacing w:line="240" w:lineRule="auto"/>
              <w:jc w:val="center"/>
              <w:rPr>
                <w:rFonts w:hint="eastAsia" w:cs="Times New Roman"/>
                <w:b/>
                <w:bCs/>
                <w:kern w:val="2"/>
                <w:szCs w:val="21"/>
                <w:highlight w:val="none"/>
              </w:rPr>
            </w:pPr>
            <w:r>
              <w:rPr>
                <w:rFonts w:hint="eastAsia" w:cs="Times New Roman"/>
                <w:b/>
                <w:bCs/>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1、柱箱</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▲1.1、具备远程智能访问功能，在不开启电脑和色谱工作站的情况下，可远程直接连接仪器主机IP地址，并且对仪器采集方法和序列进行编辑。</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▲1.2、仪器主机具有不小于7英寸触摸屏，无需物理按键即可实时访问仪器状态，配置和流路信息。可快速访问关键功能，例如编辑方法参数、诊断、维护、日志和帮助界面。</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1.3、在实验室环境改变的情况下，大气压和温度补偿技术，可保证仪器获得稳 定的保留时间和检测器基线。</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1.4、温度范围：最高≥450˚C，温度设置精度：0.1˚C。</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1.5、最长运行时间：</w:t>
            </w:r>
            <w:r>
              <w:rPr>
                <w:rFonts w:hint="eastAsia"/>
                <w:b w:val="0"/>
                <w:bCs w:val="0"/>
                <w:highlight w:val="none"/>
                <w:lang w:val="en-US" w:eastAsia="zh-CN"/>
              </w:rPr>
              <w:t>≥</w:t>
            </w:r>
            <w:r>
              <w:rPr>
                <w:rFonts w:hint="eastAsia" w:cs="Times New Roman"/>
                <w:kern w:val="2"/>
                <w:szCs w:val="21"/>
                <w:highlight w:val="none"/>
                <w:lang w:val="en-US" w:eastAsia="zh-CN"/>
              </w:rPr>
              <w:t>900</w:t>
            </w:r>
            <w:r>
              <w:rPr>
                <w:rFonts w:hint="eastAsia" w:cs="Times New Roman"/>
                <w:kern w:val="2"/>
                <w:szCs w:val="21"/>
                <w:highlight w:val="none"/>
              </w:rPr>
              <w:t>分钟。</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1.6、在微通道EPC构架基础上，可以防止颗粒、水汽和油等气体污染物，使得EPC可靠性和使用寿命有显著提高。准确的压力控制精度，为低压应用提供了更高的保留时间锁定精度。</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▲1.7、仪器主机标准配备</w:t>
            </w:r>
            <w:r>
              <w:rPr>
                <w:rFonts w:hint="eastAsia" w:cs="Times New Roman"/>
                <w:kern w:val="2"/>
                <w:szCs w:val="21"/>
                <w:highlight w:val="none"/>
                <w:lang w:eastAsia="zh-CN"/>
              </w:rPr>
              <w:t>不少于</w:t>
            </w:r>
            <w:r>
              <w:rPr>
                <w:rFonts w:hint="eastAsia" w:cs="Times New Roman"/>
                <w:kern w:val="2"/>
                <w:szCs w:val="21"/>
                <w:highlight w:val="none"/>
              </w:rPr>
              <w:t xml:space="preserve">六个气相色谱柱智能识别接口和三个USB 接口，智能识别接口可读取柱识别器，自动识别色谱柱型号规格和使用信息，无需在软件上设置。 </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 xml:space="preserve">2、进样口  </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2.1分流不分流进样口</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2.1.1流量控制：具有恒流、恒压等操作模式的电子气路控制</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 xml:space="preserve">2.1.2快速扳转系统，更换衬管无需拆卸螺丝，方便易维护 </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 xml:space="preserve">2.1.3最高使用温度 ≥400˚C </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2.1.4压力设定范围：最大值≥100psi</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highlight w:val="none"/>
              </w:rPr>
            </w:pPr>
            <w:r>
              <w:rPr>
                <w:rFonts w:hint="eastAsia" w:cs="Times New Roman"/>
                <w:b/>
                <w:bCs/>
                <w:kern w:val="2"/>
                <w:szCs w:val="21"/>
                <w:highlight w:val="none"/>
              </w:rPr>
              <w:t>★2.1.5 最大分流比＞12000：1</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b/>
                <w:bCs/>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▲2.1.6进样口使用隔垫的直径尺寸≥10mm</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2.2多模式进样口</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2.2.1可编程电子参数设定压力、流速、分流比，电子流量控制隔垫吹扫，最大压力可到100psi</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▲2.2.2进样口可以程序升温阶数不少于8阶</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▲2.2.3最大升温速率：最大升温速率不小于880˚C/min</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3、液体自动进样器</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▲3.1、自动进样器和扩展盘2mL样品瓶位数≥165位。</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3.2、进样量范围：0.1～50uL。</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3.3、自动进样针可以自行调节进样深度。</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4、质谱部分</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highlight w:val="none"/>
              </w:rPr>
            </w:pPr>
            <w:r>
              <w:rPr>
                <w:rFonts w:hint="eastAsia" w:cs="Times New Roman"/>
                <w:b/>
                <w:bCs/>
                <w:kern w:val="2"/>
                <w:szCs w:val="21"/>
                <w:highlight w:val="none"/>
              </w:rPr>
              <w:t>★4.1、质量数范围：10～1050 m/z。</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b/>
                <w:bCs/>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highlight w:val="none"/>
              </w:rPr>
            </w:pPr>
            <w:r>
              <w:rPr>
                <w:rFonts w:hint="eastAsia" w:cs="Times New Roman"/>
                <w:b/>
                <w:bCs/>
                <w:kern w:val="2"/>
                <w:szCs w:val="21"/>
                <w:highlight w:val="none"/>
              </w:rPr>
              <w:t>★4.2、仪器灵敏度指标: IDL≤</w:t>
            </w:r>
            <w:r>
              <w:rPr>
                <w:rFonts w:hint="eastAsia" w:cs="Times New Roman"/>
                <w:b/>
                <w:bCs/>
                <w:kern w:val="2"/>
                <w:szCs w:val="21"/>
                <w:highlight w:val="none"/>
                <w:lang w:val="en-US" w:eastAsia="zh-CN"/>
              </w:rPr>
              <w:t>1.0</w:t>
            </w:r>
            <w:r>
              <w:rPr>
                <w:rFonts w:hint="eastAsia" w:cs="Times New Roman"/>
                <w:b/>
                <w:bCs/>
                <w:kern w:val="2"/>
                <w:szCs w:val="21"/>
                <w:highlight w:val="none"/>
              </w:rPr>
              <w:t>fg八氟萘（OFN），</w:t>
            </w:r>
            <w:r>
              <w:rPr>
                <w:rFonts w:hint="eastAsia" w:cs="Times New Roman"/>
                <w:b/>
                <w:bCs/>
                <w:kern w:val="2"/>
                <w:szCs w:val="21"/>
                <w:highlight w:val="none"/>
                <w:lang w:eastAsia="zh-CN"/>
              </w:rPr>
              <w:t>兼容</w:t>
            </w:r>
            <w:r>
              <w:rPr>
                <w:rFonts w:hint="eastAsia" w:cs="Times New Roman"/>
                <w:b/>
                <w:bCs/>
                <w:kern w:val="2"/>
                <w:szCs w:val="21"/>
                <w:highlight w:val="none"/>
              </w:rPr>
              <w:t>使用最常规的规格为长30米，膜厚0.25μm，口径0.25mm的-5MS 色谱柱。</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b/>
                <w:bCs/>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4.3、分辨率：0.4～4amu，可调。</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4.4、质量轴稳定性：±0.10u/24小时。</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4.5、碰撞池具有氦气消除功能，可有效消除载气氦气所带来的背景噪音干扰，氦气消除气体流量范围在0～5.0 mL/min可调。采用线性加速高压碰撞，氦气淬灭消除中性噪音的六极杆碰撞池装置设计，消除“记忆效应”和“交叉污染”。</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4.6、扫描速率：最大800个MRM离子对/秒，最小MRM驻留时间：0.5ms。</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▲4.7、最大离子化能量：不低于300eV。</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▲4.8、离子源: EI源，独立控温，最高温度可到350˚C。灯丝电流：0～280uA。</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▲4.9、离子源具有自清洁功能，能实现在线清洁和离线清洁两种模式。</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▲4.10、质谱端单独氢气传输通道: 除氦气载气外，额外配备单独的质谱端安装的氢气传输通道。</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▲4.11、质量分析器：整体石英镀金双曲面四极杆，非金属材质。</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▲4.12、四极杆可独立控温，最高可达190˚C，非预四极杆加热，软件可直接设定温度，抗污染能力强，免维护。</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4.13、气质接口温度: 独立控温，最高温度可到350˚C。</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5、数据处理系统</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5.1、气相色谱、质谱、质谱工作站之间的数据传输全部依靠自身安装的LAN网卡实现，而非USB接口。</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5.2、Windows 10</w:t>
            </w:r>
            <w:r>
              <w:rPr>
                <w:rFonts w:hint="eastAsia" w:cs="Times New Roman"/>
                <w:kern w:val="2"/>
                <w:szCs w:val="21"/>
                <w:highlight w:val="none"/>
                <w:lang w:eastAsia="zh-CN"/>
              </w:rPr>
              <w:t>或以上专业版</w:t>
            </w:r>
            <w:r>
              <w:rPr>
                <w:rFonts w:hint="eastAsia" w:cs="Times New Roman"/>
                <w:kern w:val="2"/>
                <w:szCs w:val="21"/>
                <w:highlight w:val="none"/>
              </w:rPr>
              <w:t>操作环境，色谱分析软件应包括：气相色谱和质谱仪运行控制软件；数据采集、分析、储存及定性定量分析。全中文的操作界面以及所有在线帮助。</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5.3、手动/自动调谐, 数据采集, 数据检索, 分析结果报告, 定量分析及谱库检索功能。</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5.4、具有保留时间锁定功能。此功能通过软件自动调整仪器工作参数，</w:t>
            </w:r>
            <w:r>
              <w:rPr>
                <w:rFonts w:hint="eastAsia" w:cs="Times New Roman"/>
                <w:kern w:val="2"/>
                <w:szCs w:val="21"/>
                <w:highlight w:val="none"/>
                <w:lang w:eastAsia="zh-CN"/>
              </w:rPr>
              <w:t>不少于</w:t>
            </w:r>
            <w:r>
              <w:rPr>
                <w:rFonts w:hint="eastAsia" w:cs="Times New Roman"/>
                <w:kern w:val="2"/>
                <w:szCs w:val="21"/>
                <w:highlight w:val="none"/>
              </w:rPr>
              <w:t>五个不同条件下进样，分析锁定目标化合物而实现。</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5.5、仪器工作站。</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6" w:type="dxa"/>
          </w:tcPr>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★6、配置要求：</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 xml:space="preserve">6.1、气相色谱主机 1套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6.2、三重四极杆质谱主机 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6.3、分流不分流进样口1套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6.4、多模式进样口</w:t>
            </w:r>
            <w:r>
              <w:rPr>
                <w:rFonts w:hint="eastAsia" w:cs="Times New Roman"/>
                <w:b/>
                <w:bCs/>
                <w:kern w:val="2"/>
                <w:szCs w:val="21"/>
                <w:highlight w:val="none"/>
                <w:lang w:eastAsia="zh-CN"/>
              </w:rPr>
              <w:t>或类似进样口</w:t>
            </w:r>
            <w:r>
              <w:rPr>
                <w:rFonts w:hint="eastAsia" w:cs="Times New Roman"/>
                <w:b/>
                <w:bCs/>
                <w:kern w:val="2"/>
                <w:szCs w:val="21"/>
                <w:highlight w:val="none"/>
              </w:rPr>
              <w:t>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6.5、液体自动进样器 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6.6、反吹模块1套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6.7、仪器工作站2套，高速数据处理输出系统1套，高速数据处理输入输出系统1套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6.8、化学工作站软件 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6.9、</w:t>
            </w:r>
            <w:r>
              <w:rPr>
                <w:rFonts w:hint="eastAsia" w:cs="Times New Roman"/>
                <w:b/>
                <w:bCs/>
                <w:kern w:val="2"/>
                <w:szCs w:val="21"/>
                <w:highlight w:val="none"/>
                <w:lang w:eastAsia="zh-CN"/>
              </w:rPr>
              <w:t>配套</w:t>
            </w:r>
            <w:r>
              <w:rPr>
                <w:rFonts w:hint="eastAsia" w:cs="Times New Roman"/>
                <w:b/>
                <w:bCs/>
                <w:kern w:val="2"/>
                <w:szCs w:val="21"/>
                <w:highlight w:val="none"/>
              </w:rPr>
              <w:t>耗材1批（至少包括10μL进样针5支，顶空进样针5支，衬管O形圈5个，调谐液1个，氦气通用捕集阱1个，氧气/水分捕集阱1个，灯丝组件EI源2个，泵油2L，载气净化器1个，色谱柱1个，柱螺帽10个，进样口衬管（高惰性、分流）10个，进样口衬管（高惰性、不分流）50个，分流平板进样口密封垫包括垫圈2个，气相安装工具包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6.10、氢气发生器1台（纯度大于10</w:t>
            </w:r>
            <w:r>
              <w:rPr>
                <w:rFonts w:hint="eastAsia" w:cs="Times New Roman"/>
                <w:b/>
                <w:bCs/>
                <w:kern w:val="2"/>
                <w:szCs w:val="21"/>
                <w:highlight w:val="none"/>
                <w:vertAlign w:val="superscript"/>
              </w:rPr>
              <w:t>6</w:t>
            </w:r>
            <w:r>
              <w:rPr>
                <w:rFonts w:hint="eastAsia" w:cs="Times New Roman"/>
                <w:b/>
                <w:bCs/>
                <w:kern w:val="2"/>
                <w:szCs w:val="21"/>
                <w:highlight w:val="none"/>
              </w:rPr>
              <w:t>）</w:t>
            </w:r>
          </w:p>
          <w:p>
            <w:pPr>
              <w:widowControl w:val="0"/>
              <w:shd w:val="clear" w:color="auto" w:fill="auto"/>
              <w:tabs>
                <w:tab w:val="clear" w:pos="426"/>
              </w:tabs>
              <w:adjustRightInd/>
              <w:snapToGrid/>
              <w:spacing w:line="240" w:lineRule="auto"/>
              <w:ind w:firstLine="422" w:firstLineChars="200"/>
              <w:rPr>
                <w:rFonts w:hint="eastAsia" w:cs="Times New Roman"/>
                <w:kern w:val="2"/>
                <w:szCs w:val="21"/>
                <w:highlight w:val="none"/>
              </w:rPr>
            </w:pPr>
            <w:r>
              <w:rPr>
                <w:rFonts w:hint="eastAsia" w:cs="Times New Roman"/>
                <w:b/>
                <w:bCs/>
                <w:kern w:val="2"/>
                <w:szCs w:val="21"/>
                <w:highlight w:val="none"/>
              </w:rPr>
              <w:t>6.11、Nist谱库1套、农残数据库1套</w:t>
            </w:r>
          </w:p>
        </w:tc>
        <w:tc>
          <w:tcPr>
            <w:tcW w:w="1094"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b/>
                <w:bCs/>
                <w:kern w:val="2"/>
                <w:szCs w:val="21"/>
                <w:highlight w:val="none"/>
              </w:rPr>
              <w:t>★</w:t>
            </w:r>
          </w:p>
        </w:tc>
      </w:tr>
    </w:tbl>
    <w:p>
      <w:pPr>
        <w:widowControl w:val="0"/>
        <w:shd w:val="clear" w:color="auto" w:fill="auto"/>
        <w:adjustRightInd/>
        <w:snapToGrid/>
        <w:spacing w:line="240" w:lineRule="auto"/>
        <w:ind w:firstLine="420" w:firstLineChars="200"/>
        <w:jc w:val="left"/>
        <w:rPr>
          <w:rFonts w:hint="eastAsia" w:cs="Times New Roman"/>
          <w:kern w:val="2"/>
          <w:szCs w:val="21"/>
        </w:rPr>
      </w:pPr>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包号：02 技术要求</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1"/>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adjustRightInd/>
              <w:snapToGrid/>
              <w:spacing w:line="240" w:lineRule="auto"/>
              <w:jc w:val="center"/>
              <w:rPr>
                <w:rFonts w:hint="eastAsia" w:cs="Times New Roman"/>
                <w:b/>
                <w:bCs/>
                <w:kern w:val="2"/>
                <w:szCs w:val="21"/>
                <w:highlight w:val="none"/>
              </w:rPr>
            </w:pPr>
            <w:r>
              <w:rPr>
                <w:rFonts w:hint="eastAsia" w:cs="Times New Roman"/>
                <w:b/>
                <w:bCs/>
                <w:kern w:val="2"/>
                <w:szCs w:val="21"/>
                <w:highlight w:val="none"/>
              </w:rPr>
              <w:t>技术参数要求</w:t>
            </w:r>
          </w:p>
        </w:tc>
        <w:tc>
          <w:tcPr>
            <w:tcW w:w="1109" w:type="dxa"/>
            <w:vAlign w:val="center"/>
          </w:tcPr>
          <w:p>
            <w:pPr>
              <w:widowControl w:val="0"/>
              <w:shd w:val="clear" w:color="auto" w:fill="auto"/>
              <w:adjustRightInd/>
              <w:snapToGrid/>
              <w:spacing w:line="240" w:lineRule="auto"/>
              <w:jc w:val="center"/>
              <w:rPr>
                <w:rFonts w:hint="eastAsia" w:cs="Times New Roman"/>
                <w:b/>
                <w:bCs/>
                <w:kern w:val="2"/>
                <w:szCs w:val="21"/>
                <w:highlight w:val="none"/>
              </w:rPr>
            </w:pPr>
            <w:r>
              <w:rPr>
                <w:rFonts w:hint="eastAsia" w:cs="Times New Roman"/>
                <w:b/>
                <w:bCs/>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1、柱箱</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▲1.1、具备远程智能访问功能，在不开启电脑和色谱工作站的情况下，可远程直接连接仪器主机IP地址，并且对仪器采集方法和序列进行编辑。</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▲1.2、仪器主机具有不小于7英寸触摸屏，无需物理按键即可实时访问仪器状态，配置和流路信息。可快速访问关键功能，例如编辑方法参数、诊断、维护、日志和帮助界面。</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1.3、在实验室环境改变的情况下，大气压和温度补偿技术，可保证仪器获得稳定的保留时间和检测器基线。</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1.4、温度范围：最高≥450˚C ，温度设置精度：0.1˚C 。</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1.5、最长运行时间：</w:t>
            </w:r>
            <w:r>
              <w:rPr>
                <w:rFonts w:hint="eastAsia"/>
                <w:b w:val="0"/>
                <w:bCs w:val="0"/>
                <w:highlight w:val="none"/>
                <w:lang w:val="en-US" w:eastAsia="zh-CN"/>
              </w:rPr>
              <w:t>≥</w:t>
            </w:r>
            <w:r>
              <w:rPr>
                <w:rFonts w:hint="eastAsia" w:cs="Times New Roman"/>
                <w:kern w:val="2"/>
                <w:szCs w:val="21"/>
                <w:highlight w:val="none"/>
                <w:lang w:val="en-US" w:eastAsia="zh-CN"/>
              </w:rPr>
              <w:t>900</w:t>
            </w:r>
            <w:r>
              <w:rPr>
                <w:rFonts w:hint="eastAsia" w:cs="Times New Roman"/>
                <w:kern w:val="2"/>
                <w:szCs w:val="21"/>
                <w:highlight w:val="none"/>
              </w:rPr>
              <w:t>分钟。</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1.6、在最新的微通道EPC构架基础上，可以防止颗粒、水汽和油等气体污染物，使得EPC可靠性和使用寿命有显著提高。准确的压力控制精度，为低压应用提供了更高的保留时间锁定精度。</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▲1.7、仪器主机标准配备</w:t>
            </w:r>
            <w:r>
              <w:rPr>
                <w:rFonts w:hint="eastAsia" w:cs="Times New Roman"/>
                <w:kern w:val="2"/>
                <w:szCs w:val="21"/>
                <w:highlight w:val="none"/>
                <w:lang w:eastAsia="zh-CN"/>
              </w:rPr>
              <w:t>不少于</w:t>
            </w:r>
            <w:r>
              <w:rPr>
                <w:rFonts w:hint="eastAsia" w:cs="Times New Roman"/>
                <w:kern w:val="2"/>
                <w:szCs w:val="21"/>
                <w:highlight w:val="none"/>
              </w:rPr>
              <w:t>六个气相色谱柱智能识别接口和三个USB接口，智能识别接口可读取柱识别器，自动识别色谱柱型号规格和使用信息，无需在软件上设置。</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▲1.8、标配大容量的柱温箱，内部体积不小于</w:t>
            </w:r>
            <w:r>
              <w:rPr>
                <w:rFonts w:hint="eastAsia" w:cs="Times New Roman"/>
                <w:kern w:val="2"/>
                <w:szCs w:val="21"/>
                <w:highlight w:val="none"/>
                <w:lang w:val="en-US" w:eastAsia="zh-CN"/>
              </w:rPr>
              <w:t>13</w:t>
            </w:r>
            <w:r>
              <w:rPr>
                <w:rFonts w:hint="eastAsia" w:cs="Times New Roman"/>
                <w:kern w:val="2"/>
                <w:szCs w:val="21"/>
                <w:highlight w:val="none"/>
              </w:rPr>
              <w:t>L。</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 xml:space="preserve">2、进样口  </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2.1分流不分流进样口</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2.1.1流量控制：具有恒流、恒压等操作模式的电子气路控制</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 xml:space="preserve">▲2.1.2快速扳转系统，更换衬管无需拆卸螺丝，方便易维护 </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 xml:space="preserve">2.1.3最高使用温度≥400˚C </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2.1.4压力设定范围：最大值≥100psi</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highlight w:val="none"/>
              </w:rPr>
            </w:pPr>
            <w:r>
              <w:rPr>
                <w:rFonts w:hint="eastAsia" w:cs="Times New Roman"/>
                <w:b/>
                <w:bCs/>
                <w:kern w:val="2"/>
                <w:szCs w:val="21"/>
                <w:highlight w:val="none"/>
              </w:rPr>
              <w:t>★2.1.5 最大分流比＞12000：1</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b/>
                <w:bCs/>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▲2.1.6进样口使用隔垫的直径尺寸≥10mm</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2.2多模式进样口</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2.2.1可编程电子参数设定压力、流速、分流比，电子流量控制隔垫吹扫，最大压力可到100psi</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▲2.2.2进样口可以程序升温阶数不少于8阶</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▲2.2.3最大升温速率：最大升温速率不小于880˚C/min</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3、三合一自动进样器</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3.1、液体自动进样器</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3.1.1、液体进样位数≥160位</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3.1.2、进样体积：1.2uL到10000uL</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3.2、顶空进样器</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3.2.1、样品位数：≥45位</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3.2.2、使用惰性吹扫设计，全流路无阀设计</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3.2.3、顶空加热温度：40～150˚C</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3.3、固相微萃取模块</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3.3.1、具备最大吸附相</w:t>
            </w:r>
            <w:r>
              <w:rPr>
                <w:rFonts w:hint="eastAsia" w:cs="Times New Roman"/>
                <w:kern w:val="2"/>
                <w:szCs w:val="21"/>
                <w:highlight w:val="none"/>
                <w:lang w:eastAsia="zh-CN"/>
              </w:rPr>
              <w:t>不小于</w:t>
            </w:r>
            <w:r>
              <w:rPr>
                <w:rFonts w:hint="eastAsia" w:cs="Times New Roman"/>
                <w:kern w:val="2"/>
                <w:szCs w:val="21"/>
                <w:highlight w:val="none"/>
                <w:lang w:val="en-US" w:eastAsia="zh-CN"/>
              </w:rPr>
              <w:t>15</w:t>
            </w:r>
            <w:r>
              <w:rPr>
                <w:rFonts w:hint="eastAsia" w:cs="Times New Roman"/>
                <w:kern w:val="2"/>
                <w:szCs w:val="21"/>
                <w:highlight w:val="none"/>
              </w:rPr>
              <w:t>uL</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3.3.2、配备专用萃取老化装置</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4、质谱部分</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highlight w:val="none"/>
              </w:rPr>
            </w:pPr>
            <w:r>
              <w:rPr>
                <w:rFonts w:hint="eastAsia" w:cs="Times New Roman"/>
                <w:b/>
                <w:bCs/>
                <w:kern w:val="2"/>
                <w:szCs w:val="21"/>
                <w:highlight w:val="none"/>
              </w:rPr>
              <w:t>★4.1、质量数范围：10～1050 m/z。</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b/>
                <w:bCs/>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highlight w:val="none"/>
              </w:rPr>
            </w:pPr>
            <w:r>
              <w:rPr>
                <w:rFonts w:hint="eastAsia" w:cs="Times New Roman"/>
                <w:b/>
                <w:bCs/>
                <w:kern w:val="2"/>
                <w:szCs w:val="21"/>
                <w:highlight w:val="none"/>
              </w:rPr>
              <w:t>★4.2、仪器灵敏度指标: IDL≤</w:t>
            </w:r>
            <w:r>
              <w:rPr>
                <w:rFonts w:hint="eastAsia" w:cs="Times New Roman"/>
                <w:b/>
                <w:bCs/>
                <w:kern w:val="2"/>
                <w:szCs w:val="21"/>
                <w:highlight w:val="none"/>
                <w:lang w:val="en-US" w:eastAsia="zh-CN"/>
              </w:rPr>
              <w:t>1.0</w:t>
            </w:r>
            <w:r>
              <w:rPr>
                <w:rFonts w:hint="eastAsia" w:cs="Times New Roman"/>
                <w:b/>
                <w:bCs/>
                <w:kern w:val="2"/>
                <w:szCs w:val="21"/>
                <w:highlight w:val="none"/>
              </w:rPr>
              <w:t>fg，</w:t>
            </w:r>
            <w:r>
              <w:rPr>
                <w:rFonts w:hint="eastAsia" w:cs="Times New Roman"/>
                <w:b/>
                <w:bCs/>
                <w:kern w:val="2"/>
                <w:szCs w:val="21"/>
                <w:highlight w:val="none"/>
                <w:lang w:eastAsia="zh-CN"/>
              </w:rPr>
              <w:t>兼容</w:t>
            </w:r>
            <w:r>
              <w:rPr>
                <w:rFonts w:hint="eastAsia" w:cs="Times New Roman"/>
                <w:b/>
                <w:bCs/>
                <w:kern w:val="2"/>
                <w:szCs w:val="21"/>
                <w:highlight w:val="none"/>
              </w:rPr>
              <w:t>使用最常规的规格为长30米，膜厚0.25μm，口径0.25mm的-5MS 色谱柱。</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b/>
                <w:bCs/>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4.3、分辨率：0.4～4amu，可调。</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4.4、质量轴稳定性：±0.10u/24小时。</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4.5、碰撞池具有氦气消除功能，可有效消除载气氦气所带来的背景噪音干扰，氦气消除气体流量范围在0～5.0mL/min可调。采用线性加速高压碰撞，氦气淬灭消除中性噪音的六极杆碰撞池装置设计，消除“记忆效应”和“交叉污染”。</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4.6、扫描速率：最大800个MRM离子对/秒，最小MRM驻留时间：0.5ms。</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▲4.7、最大离子化能量：不低于300eV。</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▲4.8、离子源: EI源，独立控温，最高温度可到350˚C。灯丝电流</w:t>
            </w:r>
            <w:bookmarkStart w:id="194" w:name="_GoBack"/>
            <w:bookmarkEnd w:id="194"/>
            <w:r>
              <w:rPr>
                <w:rFonts w:hint="eastAsia" w:cs="Times New Roman"/>
                <w:kern w:val="2"/>
                <w:szCs w:val="21"/>
                <w:highlight w:val="none"/>
              </w:rPr>
              <w:t>：0～280uA。</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▲4.9、离子源具有自清洁功能，能实现在线清洁和离线清洁两种模式。</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▲4.10、质谱端单独氢气传输通道: 除氦气载气外，额外配备单独的质谱端安装的氢气传输通道</w:t>
            </w:r>
            <w:r>
              <w:rPr>
                <w:rFonts w:hint="eastAsia"/>
                <w:highlight w:val="none"/>
              </w:rPr>
              <w:t>。</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▲4.11、质量分析器：整体石英镀金双曲面四极杆，非金属材质。</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▲4.12、四极杆可独立控温，最高可达190˚C，非预四极杆加热，软件可直接设定温度，抗污染能力强，免维护。</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4.13、气质接口温度: 独立控温，最高温度可到350˚C。</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5、数据处理系统</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r>
              <w:rPr>
                <w:rFonts w:hint="eastAsia" w:cs="Times New Roman"/>
                <w:kern w:val="2"/>
                <w:szCs w:val="21"/>
                <w:highlight w:val="none"/>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5.1、气相色谱、质谱、质谱工作站之间的数据传输全部依靠自身安装的LAN网卡实现，而非USB接口。</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5.2、Windows 10</w:t>
            </w:r>
            <w:r>
              <w:rPr>
                <w:rFonts w:hint="eastAsia" w:cs="Times New Roman"/>
                <w:kern w:val="2"/>
                <w:szCs w:val="21"/>
                <w:highlight w:val="none"/>
                <w:lang w:eastAsia="zh-CN"/>
              </w:rPr>
              <w:t>或以上</w:t>
            </w:r>
            <w:r>
              <w:rPr>
                <w:rFonts w:hint="eastAsia" w:cs="Times New Roman"/>
                <w:kern w:val="2"/>
                <w:szCs w:val="21"/>
                <w:highlight w:val="none"/>
              </w:rPr>
              <w:t>专业版操作环境，色谱分析软件应包括：气相色谱和质谱仪运行控制软件；数据采集、分析、储存及定性定量分析。全中文的操作界面以及所有在线帮助。</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5.3、手动/自动调谐, 数据采集, 数据检索, 分析结果报告, 定量分析及谱库检索功能。</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5.4、具有保留时间锁定功能。此功能通过软件自动调整仪器工作参数，在</w:t>
            </w:r>
            <w:r>
              <w:rPr>
                <w:rFonts w:hint="eastAsia" w:cs="Times New Roman"/>
                <w:kern w:val="2"/>
                <w:szCs w:val="21"/>
                <w:highlight w:val="none"/>
                <w:lang w:eastAsia="zh-CN"/>
              </w:rPr>
              <w:t>不少于</w:t>
            </w:r>
            <w:r>
              <w:rPr>
                <w:rFonts w:hint="eastAsia" w:cs="Times New Roman"/>
                <w:kern w:val="2"/>
                <w:szCs w:val="21"/>
                <w:highlight w:val="none"/>
              </w:rPr>
              <w:t>五个不同条件下进样，分析锁定目标化合物而实现。</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5.5、仪器工作站。</w:t>
            </w:r>
          </w:p>
        </w:tc>
        <w:tc>
          <w:tcPr>
            <w:tcW w:w="1109"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1" w:type="dxa"/>
          </w:tcPr>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★6、配置要求：</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 xml:space="preserve">6.1、气相色谱主机 1套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6.2、三重四极杆质谱主机 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6.3、分流不分流进样口1套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6.4、多模式进样口1套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6.5、三合一自动进样器 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6.6、反吹模块1套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6.7、仪器工作站及高速数据处理输出系统各2套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6.8、化学工作站软件 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6.9、</w:t>
            </w:r>
            <w:r>
              <w:rPr>
                <w:rFonts w:hint="eastAsia" w:cs="Times New Roman"/>
                <w:b/>
                <w:bCs/>
                <w:kern w:val="2"/>
                <w:szCs w:val="21"/>
                <w:highlight w:val="none"/>
                <w:lang w:eastAsia="zh-CN"/>
              </w:rPr>
              <w:t>配套</w:t>
            </w:r>
            <w:r>
              <w:rPr>
                <w:rFonts w:hint="eastAsia" w:cs="Times New Roman"/>
                <w:b/>
                <w:bCs/>
                <w:kern w:val="2"/>
                <w:szCs w:val="21"/>
                <w:highlight w:val="none"/>
              </w:rPr>
              <w:t>耗材1批（至少包括10μL进样针5支，顶空进样针5支，衬管O形圈5个，调谐液1个，氦气通用捕集阱1个，氧气/水分捕集阱1个，灯丝组件EI源2个，泵油2L，载气净化器1个，色谱柱1个，柱螺帽10个，进样口衬管（高惰性、分流）10个，进样口衬管（高惰性、不分流）50个，分流平板进样口密封垫包括垫圈2个，气相安装工具包1套）</w:t>
            </w:r>
          </w:p>
          <w:p>
            <w:pPr>
              <w:widowControl w:val="0"/>
              <w:shd w:val="clear" w:color="auto" w:fill="auto"/>
              <w:adjustRightInd/>
              <w:snapToGrid/>
              <w:spacing w:line="240" w:lineRule="auto"/>
              <w:ind w:firstLine="422" w:firstLineChars="200"/>
              <w:jc w:val="left"/>
              <w:rPr>
                <w:rFonts w:hint="eastAsia" w:cs="Times New Roman"/>
                <w:b/>
                <w:bCs/>
                <w:kern w:val="2"/>
                <w:szCs w:val="21"/>
                <w:highlight w:val="none"/>
              </w:rPr>
            </w:pPr>
            <w:r>
              <w:rPr>
                <w:rFonts w:hint="eastAsia" w:cs="Times New Roman"/>
                <w:b/>
                <w:bCs/>
                <w:kern w:val="2"/>
                <w:szCs w:val="21"/>
                <w:highlight w:val="none"/>
              </w:rPr>
              <w:t>6.10、氢气发生器1台（纯度大于10</w:t>
            </w:r>
            <w:r>
              <w:rPr>
                <w:rFonts w:hint="eastAsia" w:cs="Times New Roman"/>
                <w:b/>
                <w:bCs/>
                <w:kern w:val="2"/>
                <w:szCs w:val="21"/>
                <w:highlight w:val="none"/>
                <w:vertAlign w:val="superscript"/>
              </w:rPr>
              <w:t>6</w:t>
            </w:r>
            <w:r>
              <w:rPr>
                <w:rFonts w:hint="eastAsia" w:cs="Times New Roman"/>
                <w:b/>
                <w:bCs/>
                <w:kern w:val="2"/>
                <w:szCs w:val="21"/>
                <w:highlight w:val="none"/>
              </w:rPr>
              <w:t>）</w:t>
            </w:r>
          </w:p>
          <w:p>
            <w:pPr>
              <w:widowControl w:val="0"/>
              <w:shd w:val="clear" w:color="auto" w:fill="auto"/>
              <w:adjustRightInd/>
              <w:snapToGrid/>
              <w:spacing w:line="240" w:lineRule="auto"/>
              <w:ind w:firstLine="422" w:firstLineChars="200"/>
              <w:jc w:val="left"/>
              <w:rPr>
                <w:rFonts w:hint="eastAsia" w:cs="Times New Roman"/>
                <w:kern w:val="2"/>
                <w:szCs w:val="21"/>
                <w:highlight w:val="none"/>
              </w:rPr>
            </w:pPr>
            <w:r>
              <w:rPr>
                <w:rFonts w:hint="eastAsia" w:cs="Times New Roman"/>
                <w:b/>
                <w:bCs/>
                <w:kern w:val="2"/>
                <w:szCs w:val="21"/>
                <w:highlight w:val="none"/>
              </w:rPr>
              <w:t>6.11、Nist谱库1套、农残数据库1套</w:t>
            </w:r>
          </w:p>
        </w:tc>
        <w:tc>
          <w:tcPr>
            <w:tcW w:w="1109" w:type="dxa"/>
            <w:vAlign w:val="center"/>
          </w:tcPr>
          <w:p>
            <w:pPr>
              <w:widowControl w:val="0"/>
              <w:shd w:val="clear" w:color="auto" w:fill="auto"/>
              <w:adjustRightInd/>
              <w:snapToGrid/>
              <w:spacing w:line="240" w:lineRule="auto"/>
              <w:jc w:val="center"/>
              <w:rPr>
                <w:rFonts w:hint="eastAsia" w:cs="Times New Roman"/>
                <w:kern w:val="2"/>
                <w:szCs w:val="21"/>
                <w:highlight w:val="none"/>
              </w:rPr>
            </w:pPr>
            <w:r>
              <w:rPr>
                <w:rFonts w:hint="eastAsia" w:cs="Times New Roman"/>
                <w:b/>
                <w:bCs/>
                <w:kern w:val="2"/>
                <w:szCs w:val="21"/>
                <w:highlight w:val="none"/>
              </w:rPr>
              <w:t>★</w:t>
            </w:r>
          </w:p>
        </w:tc>
      </w:tr>
    </w:tbl>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1</w:t>
      </w:r>
      <w:r>
        <w:rPr>
          <w:rFonts w:hint="eastAsia" w:cs="Times New Roman"/>
          <w:b/>
          <w:bCs/>
          <w:kern w:val="2"/>
          <w:szCs w:val="21"/>
        </w:rPr>
        <w:t>.</w:t>
      </w:r>
      <w:r>
        <w:rPr>
          <w:rFonts w:cs="Times New Roman"/>
          <w:b/>
          <w:bCs/>
          <w:kern w:val="2"/>
          <w:szCs w:val="21"/>
        </w:rPr>
        <w:t xml:space="preserve">带“★”指标项为实质性条款，如出现负偏离，将被视为未实质性满足招标文件要求作投标无效处理。带“▲”指标项为重要参数，负偏离时依相关评分准则内容作重点扣分处理。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2</w:t>
      </w:r>
      <w:r>
        <w:rPr>
          <w:rFonts w:hint="eastAsia" w:cs="Times New Roman"/>
          <w:b/>
          <w:bCs/>
          <w:kern w:val="2"/>
          <w:szCs w:val="21"/>
        </w:rPr>
        <w:t>.技术参数要求</w:t>
      </w:r>
      <w:r>
        <w:rPr>
          <w:rFonts w:cs="Times New Roman"/>
          <w:b/>
          <w:bCs/>
          <w:kern w:val="2"/>
          <w:szCs w:val="21"/>
        </w:rPr>
        <w:t>中，用</w:t>
      </w:r>
      <w:r>
        <w:rPr>
          <w:rFonts w:cs="Times New Roman"/>
          <w:b/>
          <w:bCs/>
          <w:color w:val="FF0000"/>
          <w:kern w:val="2"/>
          <w:szCs w:val="21"/>
        </w:rPr>
        <w:t>红色加粗字体</w:t>
      </w:r>
      <w:r>
        <w:rPr>
          <w:rFonts w:cs="Times New Roman"/>
          <w:b/>
          <w:bCs/>
          <w:kern w:val="2"/>
          <w:szCs w:val="21"/>
        </w:rPr>
        <w:t>标注的技术条款为要求提供证明资料的条款，其余为未要求提供证明资料的条款，无需提供相关证明资料。</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3.备注为“标题”的</w:t>
      </w:r>
      <w:r>
        <w:rPr>
          <w:rFonts w:hint="eastAsia" w:cs="Times New Roman"/>
          <w:b/>
          <w:bCs/>
          <w:kern w:val="2"/>
          <w:szCs w:val="21"/>
          <w:lang w:val="en-US" w:eastAsia="zh-CN"/>
        </w:rPr>
        <w:t>技术参数内容</w:t>
      </w:r>
      <w:r>
        <w:rPr>
          <w:rFonts w:hint="eastAsia" w:cs="Times New Roman"/>
          <w:b/>
          <w:bCs/>
          <w:kern w:val="2"/>
          <w:szCs w:val="21"/>
        </w:rPr>
        <w:t>不参与评分。</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4.涉及区间的参数，产品参数区间包含招标要求视为正偏离，不能全部包含视为负偏离。例：区间要求为30-120℃,如投标文件响应为 20-125℃ 、10-121℃ 等情形均视正偏离。区间要求为30-120℃,如投标文件响应为30-110℃ 、</w:t>
      </w:r>
      <w:r>
        <w:rPr>
          <w:rFonts w:hint="eastAsia" w:cs="Times New Roman"/>
          <w:b/>
          <w:bCs/>
          <w:kern w:val="2"/>
          <w:szCs w:val="21"/>
          <w:lang w:val="en-US" w:eastAsia="zh-CN"/>
        </w:rPr>
        <w:t>4</w:t>
      </w:r>
      <w:r>
        <w:rPr>
          <w:rFonts w:hint="eastAsia" w:cs="Times New Roman"/>
          <w:b/>
          <w:bCs/>
          <w:kern w:val="2"/>
          <w:szCs w:val="21"/>
        </w:rPr>
        <w:t>0-120℃、30℃等情形均视负偏离。</w:t>
      </w:r>
    </w:p>
    <w:p>
      <w:pPr>
        <w:numPr>
          <w:ilvl w:val="0"/>
          <w:numId w:val="2"/>
        </w:numPr>
        <w:adjustRightInd/>
        <w:snapToGrid/>
        <w:spacing w:before="280" w:after="290" w:line="377" w:lineRule="auto"/>
        <w:jc w:val="left"/>
        <w:outlineLvl w:val="2"/>
        <w:rPr>
          <w:rFonts w:hint="eastAsia"/>
          <w:b/>
          <w:sz w:val="24"/>
        </w:rPr>
      </w:pPr>
      <w:bookmarkStart w:id="48" w:name="_Toc8996"/>
      <w:bookmarkStart w:id="49" w:name="_Toc151386157"/>
      <w:bookmarkStart w:id="50" w:name="_Toc150960247"/>
      <w:r>
        <w:rPr>
          <w:rFonts w:hint="eastAsia"/>
          <w:b/>
          <w:sz w:val="24"/>
        </w:rPr>
        <w:t>商务要求</w:t>
      </w:r>
      <w:bookmarkEnd w:id="48"/>
      <w:bookmarkEnd w:id="49"/>
      <w:bookmarkEnd w:id="50"/>
    </w:p>
    <w:p>
      <w:pPr>
        <w:widowControl w:val="0"/>
        <w:shd w:val="clear" w:color="auto" w:fill="auto"/>
        <w:tabs>
          <w:tab w:val="clear" w:pos="426"/>
        </w:tabs>
        <w:adjustRightInd/>
        <w:snapToGrid/>
        <w:spacing w:line="240" w:lineRule="auto"/>
        <w:ind w:firstLine="422" w:firstLineChars="200"/>
        <w:jc w:val="center"/>
        <w:rPr>
          <w:rFonts w:hint="eastAsia" w:cs="Times New Roman"/>
          <w:b/>
          <w:bCs/>
          <w:kern w:val="2"/>
          <w:szCs w:val="21"/>
        </w:rPr>
      </w:pPr>
      <w:r>
        <w:rPr>
          <w:rFonts w:hint="eastAsia" w:cs="Times New Roman"/>
          <w:b/>
          <w:bCs/>
          <w:kern w:val="2"/>
          <w:szCs w:val="21"/>
          <w:lang w:val="en-US" w:eastAsia="zh-CN"/>
        </w:rPr>
        <w:t>包号：</w:t>
      </w:r>
      <w:r>
        <w:rPr>
          <w:rFonts w:hint="eastAsia" w:cs="Times New Roman"/>
          <w:b/>
          <w:bCs/>
          <w:kern w:val="2"/>
          <w:szCs w:val="21"/>
        </w:rPr>
        <w:t xml:space="preserve">01、02 </w:t>
      </w:r>
      <w:r>
        <w:rPr>
          <w:rFonts w:hint="eastAsia" w:cs="Times New Roman"/>
          <w:b/>
          <w:bCs/>
          <w:kern w:val="2"/>
          <w:szCs w:val="21"/>
          <w:lang w:val="en-US" w:eastAsia="zh-CN"/>
        </w:rPr>
        <w:t xml:space="preserve"> </w:t>
      </w:r>
      <w:r>
        <w:rPr>
          <w:rFonts w:hint="eastAsia" w:cs="Times New Roman"/>
          <w:b/>
          <w:bCs/>
          <w:kern w:val="2"/>
          <w:szCs w:val="21"/>
        </w:rPr>
        <w:t>商务要求</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w:t>
      </w:r>
      <w:r>
        <w:rPr>
          <w:rFonts w:hint="eastAsia" w:cs="Times New Roman"/>
          <w:b/>
          <w:bCs/>
          <w:kern w:val="2"/>
          <w:szCs w:val="21"/>
        </w:rPr>
        <w:t>1.</w:t>
      </w:r>
      <w:r>
        <w:rPr>
          <w:rFonts w:hint="eastAsia" w:cs="Times New Roman"/>
          <w:b/>
          <w:bCs/>
          <w:kern w:val="2"/>
          <w:szCs w:val="21"/>
          <w:lang w:eastAsia="zh-TW"/>
        </w:rPr>
        <w:t>交货期：合同签订后30日内完成交货</w:t>
      </w:r>
      <w:r>
        <w:rPr>
          <w:rFonts w:hint="eastAsia" w:cs="Times New Roman"/>
          <w:b/>
          <w:bCs/>
          <w:kern w:val="2"/>
          <w:szCs w:val="21"/>
        </w:rPr>
        <w:t>。</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cs="Times New Roman"/>
          <w:b/>
          <w:bCs/>
          <w:kern w:val="2"/>
          <w:szCs w:val="21"/>
        </w:rPr>
        <w:t>★</w:t>
      </w:r>
      <w:r>
        <w:rPr>
          <w:rFonts w:hint="eastAsia" w:cs="Times New Roman"/>
          <w:b/>
          <w:bCs/>
          <w:kern w:val="2"/>
          <w:szCs w:val="21"/>
        </w:rPr>
        <w:t>2.</w:t>
      </w:r>
      <w:r>
        <w:rPr>
          <w:rFonts w:hint="eastAsia" w:cs="Times New Roman"/>
          <w:b/>
          <w:bCs/>
          <w:kern w:val="2"/>
          <w:szCs w:val="21"/>
          <w:lang w:eastAsia="zh-TW"/>
        </w:rPr>
        <w:t>交货地点：深圳市福田区福强路1011号深圳海关福强路办公区A栋指定地点。</w:t>
      </w:r>
    </w:p>
    <w:p>
      <w:pPr>
        <w:widowControl w:val="0"/>
        <w:shd w:val="clear" w:color="auto" w:fill="auto"/>
        <w:tabs>
          <w:tab w:val="clear" w:pos="426"/>
        </w:tabs>
        <w:adjustRightInd/>
        <w:snapToGrid/>
        <w:spacing w:line="240" w:lineRule="auto"/>
        <w:ind w:firstLine="420" w:firstLineChars="200"/>
        <w:rPr>
          <w:rFonts w:hint="eastAsia" w:cs="Times New Roman"/>
          <w:kern w:val="2"/>
          <w:szCs w:val="21"/>
          <w:lang w:eastAsia="zh-TW"/>
        </w:rPr>
      </w:pPr>
      <w:r>
        <w:rPr>
          <w:rFonts w:hint="eastAsia" w:cs="Times New Roman"/>
          <w:kern w:val="2"/>
          <w:szCs w:val="21"/>
        </w:rPr>
        <w:t>3.</w:t>
      </w:r>
      <w:r>
        <w:rPr>
          <w:rFonts w:hint="eastAsia" w:cs="Times New Roman"/>
          <w:kern w:val="2"/>
          <w:szCs w:val="21"/>
          <w:lang w:eastAsia="zh-TW"/>
        </w:rPr>
        <w:t>签定合同日期：自中标(成交)通知书发出之日起</w:t>
      </w:r>
      <w:r>
        <w:rPr>
          <w:rFonts w:hint="eastAsia" w:cs="Times New Roman"/>
          <w:kern w:val="2"/>
          <w:szCs w:val="21"/>
        </w:rPr>
        <w:t>30</w:t>
      </w:r>
      <w:r>
        <w:rPr>
          <w:rFonts w:hint="eastAsia" w:cs="Times New Roman"/>
          <w:kern w:val="2"/>
          <w:szCs w:val="21"/>
          <w:lang w:eastAsia="zh-TW"/>
        </w:rPr>
        <w:t>日内。</w:t>
      </w:r>
    </w:p>
    <w:p>
      <w:pPr>
        <w:widowControl w:val="0"/>
        <w:shd w:val="clear" w:color="auto" w:fill="auto"/>
        <w:tabs>
          <w:tab w:val="clear" w:pos="426"/>
        </w:tabs>
        <w:adjustRightInd/>
        <w:snapToGrid/>
        <w:spacing w:line="240" w:lineRule="auto"/>
        <w:ind w:firstLine="420" w:firstLineChars="200"/>
        <w:rPr>
          <w:rFonts w:hint="eastAsia" w:cs="Times New Roman"/>
          <w:kern w:val="2"/>
          <w:szCs w:val="21"/>
          <w:lang w:eastAsia="zh-TW"/>
        </w:rPr>
      </w:pPr>
      <w:r>
        <w:rPr>
          <w:rFonts w:hint="eastAsia" w:cs="Times New Roman"/>
          <w:kern w:val="2"/>
          <w:szCs w:val="21"/>
        </w:rPr>
        <w:t>4</w:t>
      </w:r>
      <w:r>
        <w:rPr>
          <w:rFonts w:hint="eastAsia" w:cs="Times New Roman"/>
          <w:kern w:val="2"/>
          <w:szCs w:val="21"/>
          <w:lang w:eastAsia="zh-TW"/>
        </w:rPr>
        <w:t>.计量：提供验收前计量，计量机构由</w:t>
      </w:r>
      <w:r>
        <w:rPr>
          <w:rFonts w:hint="eastAsia" w:cs="Times New Roman"/>
          <w:kern w:val="2"/>
          <w:szCs w:val="21"/>
        </w:rPr>
        <w:t>采购人</w:t>
      </w:r>
      <w:r>
        <w:rPr>
          <w:rFonts w:hint="eastAsia" w:cs="Times New Roman"/>
          <w:kern w:val="2"/>
          <w:szCs w:val="21"/>
          <w:lang w:eastAsia="zh-TW"/>
        </w:rPr>
        <w:t>指定</w:t>
      </w:r>
      <w:r>
        <w:rPr>
          <w:rFonts w:hint="eastAsia" w:cs="Times New Roman"/>
          <w:kern w:val="2"/>
          <w:szCs w:val="21"/>
        </w:rPr>
        <w:t>，采购人无需另行支付费用</w:t>
      </w:r>
      <w:r>
        <w:rPr>
          <w:rFonts w:hint="eastAsia" w:cs="Times New Roman"/>
          <w:kern w:val="2"/>
          <w:szCs w:val="21"/>
          <w:lang w:eastAsia="zh-TW"/>
        </w:rPr>
        <w:t>。</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cs="Times New Roman"/>
          <w:b/>
          <w:bCs/>
          <w:kern w:val="2"/>
          <w:szCs w:val="21"/>
        </w:rPr>
        <w:t>★</w:t>
      </w:r>
      <w:r>
        <w:rPr>
          <w:rFonts w:hint="eastAsia" w:cs="Times New Roman"/>
          <w:b/>
          <w:bCs/>
          <w:kern w:val="2"/>
          <w:szCs w:val="21"/>
        </w:rPr>
        <w:t>5</w:t>
      </w:r>
      <w:r>
        <w:rPr>
          <w:rFonts w:hint="eastAsia" w:cs="Times New Roman"/>
          <w:b/>
          <w:bCs/>
          <w:kern w:val="2"/>
          <w:szCs w:val="21"/>
          <w:lang w:eastAsia="zh-TW"/>
        </w:rPr>
        <w:t>.质保期：设备验收合格后，提供三年保修。保修期内提供仪器保修服务</w:t>
      </w:r>
      <w:r>
        <w:rPr>
          <w:rFonts w:hint="eastAsia" w:cs="Times New Roman"/>
          <w:b/>
          <w:bCs/>
          <w:kern w:val="2"/>
          <w:szCs w:val="21"/>
        </w:rPr>
        <w:t>，</w:t>
      </w:r>
      <w:r>
        <w:rPr>
          <w:rFonts w:hint="eastAsia" w:cs="Times New Roman"/>
          <w:b/>
          <w:bCs/>
          <w:kern w:val="2"/>
          <w:szCs w:val="21"/>
          <w:lang w:eastAsia="zh-TW"/>
        </w:rPr>
        <w:t>正常使用情况下的任何非人为故障维修</w:t>
      </w:r>
      <w:r>
        <w:rPr>
          <w:rFonts w:hint="eastAsia" w:cs="Times New Roman"/>
          <w:b/>
          <w:bCs/>
          <w:kern w:val="2"/>
          <w:szCs w:val="21"/>
        </w:rPr>
        <w:t>，</w:t>
      </w:r>
      <w:r>
        <w:rPr>
          <w:rFonts w:hint="eastAsia" w:cs="Times New Roman"/>
          <w:b/>
          <w:bCs/>
          <w:kern w:val="2"/>
          <w:szCs w:val="21"/>
          <w:lang w:eastAsia="zh-TW"/>
        </w:rPr>
        <w:t>每年一次全面的定期保养服务，采购人均无需另行支付费用</w:t>
      </w:r>
      <w:r>
        <w:rPr>
          <w:rFonts w:hint="eastAsia" w:cs="Times New Roman"/>
          <w:b/>
          <w:bCs/>
          <w:kern w:val="2"/>
          <w:szCs w:val="21"/>
        </w:rPr>
        <w:t>。</w:t>
      </w:r>
      <w:r>
        <w:rPr>
          <w:rFonts w:hint="eastAsia" w:cs="Times New Roman"/>
          <w:b/>
          <w:bCs/>
          <w:kern w:val="2"/>
          <w:szCs w:val="21"/>
          <w:lang w:eastAsia="zh-TW"/>
        </w:rPr>
        <w:t>工作站终身软件更新</w:t>
      </w:r>
      <w:r>
        <w:rPr>
          <w:rFonts w:hint="eastAsia" w:cs="Times New Roman"/>
          <w:b/>
          <w:bCs/>
          <w:kern w:val="2"/>
          <w:szCs w:val="21"/>
        </w:rPr>
        <w:t>，</w:t>
      </w:r>
      <w:r>
        <w:rPr>
          <w:rFonts w:hint="eastAsia" w:cs="Times New Roman"/>
          <w:b/>
          <w:bCs/>
          <w:kern w:val="2"/>
          <w:szCs w:val="21"/>
          <w:lang w:eastAsia="zh-TW"/>
        </w:rPr>
        <w:t>采购人均无需另行支付费用。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cs="Times New Roman"/>
          <w:b/>
          <w:bCs/>
          <w:kern w:val="2"/>
          <w:szCs w:val="21"/>
        </w:rPr>
        <w:t>★</w:t>
      </w:r>
      <w:r>
        <w:rPr>
          <w:rFonts w:hint="eastAsia" w:cs="Times New Roman"/>
          <w:b/>
          <w:bCs/>
          <w:kern w:val="2"/>
          <w:szCs w:val="21"/>
        </w:rPr>
        <w:t>6</w:t>
      </w:r>
      <w:r>
        <w:rPr>
          <w:rFonts w:hint="eastAsia" w:cs="Times New Roman"/>
          <w:b/>
          <w:bCs/>
          <w:kern w:val="2"/>
          <w:szCs w:val="21"/>
          <w:lang w:eastAsia="zh-TW"/>
        </w:rPr>
        <w:t>.维护响应：</w:t>
      </w:r>
      <w:r>
        <w:rPr>
          <w:rFonts w:hint="eastAsia"/>
          <w:b/>
          <w:bCs/>
        </w:rPr>
        <w:t>中标人提供三年7*24小时的技术支持与售后服务，提供专线电话支持服务，</w:t>
      </w:r>
      <w:r>
        <w:rPr>
          <w:rFonts w:hint="eastAsia" w:cs="Times New Roman"/>
          <w:b/>
          <w:bCs/>
          <w:kern w:val="2"/>
          <w:szCs w:val="21"/>
          <w:lang w:eastAsia="zh-TW"/>
        </w:rPr>
        <w:t>2小时内响应，保证48小时内到达现场并解决故障，设备保修期时间从签署设备验收合格起计算</w:t>
      </w:r>
      <w:r>
        <w:rPr>
          <w:rFonts w:hint="eastAsia" w:cs="Times New Roman"/>
          <w:b/>
          <w:bCs/>
          <w:kern w:val="2"/>
          <w:szCs w:val="21"/>
        </w:rPr>
        <w:t>，采购人无需另行支付费用</w:t>
      </w:r>
      <w:r>
        <w:rPr>
          <w:rFonts w:hint="eastAsia" w:cs="Times New Roman"/>
          <w:b/>
          <w:bCs/>
          <w:kern w:val="2"/>
          <w:szCs w:val="21"/>
          <w:lang w:eastAsia="zh-TW"/>
        </w:rPr>
        <w:t>。</w:t>
      </w:r>
    </w:p>
    <w:p>
      <w:pPr>
        <w:widowControl w:val="0"/>
        <w:shd w:val="clear" w:color="auto" w:fill="auto"/>
        <w:tabs>
          <w:tab w:val="clear" w:pos="426"/>
        </w:tabs>
        <w:adjustRightInd/>
        <w:snapToGrid/>
        <w:spacing w:line="240" w:lineRule="auto"/>
        <w:ind w:firstLine="420" w:firstLineChars="200"/>
        <w:rPr>
          <w:rFonts w:hint="eastAsia" w:cs="Times New Roman"/>
          <w:kern w:val="2"/>
          <w:szCs w:val="21"/>
          <w:lang w:eastAsia="zh-TW"/>
        </w:rPr>
      </w:pPr>
      <w:r>
        <w:rPr>
          <w:rFonts w:hint="eastAsia" w:cs="Times New Roman"/>
          <w:kern w:val="2"/>
          <w:szCs w:val="21"/>
        </w:rPr>
        <w:t>7</w:t>
      </w:r>
      <w:r>
        <w:rPr>
          <w:rFonts w:hint="eastAsia" w:cs="Times New Roman"/>
          <w:kern w:val="2"/>
          <w:szCs w:val="21"/>
          <w:lang w:eastAsia="zh-TW"/>
        </w:rPr>
        <w:t>.提供3个国内培训名额(含培训费、食宿、交通等差旅费用)，培训不少于3天。</w:t>
      </w:r>
    </w:p>
    <w:p>
      <w:pPr>
        <w:widowControl w:val="0"/>
        <w:shd w:val="clear" w:color="auto" w:fill="auto"/>
        <w:tabs>
          <w:tab w:val="clear" w:pos="426"/>
        </w:tabs>
        <w:adjustRightInd/>
        <w:snapToGrid/>
        <w:spacing w:line="240" w:lineRule="auto"/>
        <w:ind w:firstLine="420" w:firstLineChars="200"/>
        <w:rPr>
          <w:rFonts w:hint="eastAsia" w:cs="Times New Roman"/>
          <w:kern w:val="2"/>
          <w:szCs w:val="21"/>
          <w:lang w:eastAsia="zh-TW"/>
        </w:rPr>
      </w:pPr>
      <w:r>
        <w:rPr>
          <w:rFonts w:hint="eastAsia" w:cs="Times New Roman"/>
          <w:kern w:val="2"/>
          <w:szCs w:val="21"/>
        </w:rPr>
        <w:t>8</w:t>
      </w:r>
      <w:r>
        <w:rPr>
          <w:rFonts w:hint="eastAsia" w:cs="Times New Roman"/>
          <w:kern w:val="2"/>
          <w:szCs w:val="21"/>
          <w:lang w:eastAsia="zh-TW"/>
        </w:rPr>
        <w:t>.其他要求：投标报价包含所有货物运输、安装调试、使用培训等费用。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cs="Times New Roman"/>
          <w:b/>
          <w:bCs/>
          <w:kern w:val="2"/>
          <w:szCs w:val="21"/>
        </w:rPr>
        <w:t>★</w:t>
      </w:r>
      <w:r>
        <w:rPr>
          <w:rFonts w:hint="eastAsia" w:cs="Times New Roman"/>
          <w:b/>
          <w:bCs/>
          <w:kern w:val="2"/>
          <w:szCs w:val="21"/>
        </w:rPr>
        <w:t>9</w:t>
      </w:r>
      <w:r>
        <w:rPr>
          <w:rFonts w:hint="eastAsia" w:cs="Times New Roman"/>
          <w:b/>
          <w:bCs/>
          <w:kern w:val="2"/>
          <w:szCs w:val="21"/>
          <w:lang w:eastAsia="zh-TW"/>
        </w:rPr>
        <w:t>.履约验收方案</w:t>
      </w:r>
      <w:r>
        <w:rPr>
          <w:rFonts w:hint="eastAsia" w:cs="Times New Roman"/>
          <w:b/>
          <w:bCs/>
          <w:kern w:val="2"/>
          <w:szCs w:val="21"/>
        </w:rPr>
        <w:t>：</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（1）货物运至</w:t>
      </w:r>
      <w:r>
        <w:rPr>
          <w:rFonts w:hint="eastAsia" w:cs="Times New Roman"/>
          <w:b/>
          <w:bCs/>
          <w:kern w:val="2"/>
          <w:szCs w:val="21"/>
        </w:rPr>
        <w:t>采购人</w:t>
      </w:r>
      <w:r>
        <w:rPr>
          <w:rFonts w:hint="eastAsia" w:cs="Times New Roman"/>
          <w:b/>
          <w:bCs/>
          <w:kern w:val="2"/>
          <w:szCs w:val="21"/>
          <w:lang w:eastAsia="zh-TW"/>
        </w:rPr>
        <w:t>指定地点后，双方应派人员按照本合同规定对货物进行验收，</w:t>
      </w:r>
      <w:r>
        <w:rPr>
          <w:rFonts w:hint="eastAsia" w:cs="Times New Roman"/>
          <w:b/>
          <w:bCs/>
          <w:kern w:val="2"/>
          <w:szCs w:val="21"/>
        </w:rPr>
        <w:t>中标人</w:t>
      </w:r>
      <w:r>
        <w:rPr>
          <w:rFonts w:hint="eastAsia" w:cs="Times New Roman"/>
          <w:b/>
          <w:bCs/>
          <w:kern w:val="2"/>
          <w:szCs w:val="21"/>
          <w:lang w:eastAsia="zh-TW"/>
        </w:rPr>
        <w:t>应提供交货清单等文件供</w:t>
      </w:r>
      <w:r>
        <w:rPr>
          <w:rFonts w:hint="eastAsia" w:cs="Times New Roman"/>
          <w:b/>
          <w:bCs/>
          <w:kern w:val="2"/>
          <w:szCs w:val="21"/>
        </w:rPr>
        <w:t>采购人</w:t>
      </w:r>
      <w:r>
        <w:rPr>
          <w:rFonts w:hint="eastAsia" w:cs="Times New Roman"/>
          <w:b/>
          <w:bCs/>
          <w:kern w:val="2"/>
          <w:szCs w:val="21"/>
          <w:lang w:eastAsia="zh-TW"/>
        </w:rPr>
        <w:t>审查，</w:t>
      </w:r>
      <w:r>
        <w:rPr>
          <w:rFonts w:hint="eastAsia" w:cs="Times New Roman"/>
          <w:b/>
          <w:bCs/>
          <w:kern w:val="2"/>
          <w:szCs w:val="21"/>
        </w:rPr>
        <w:t>采购人</w:t>
      </w:r>
      <w:r>
        <w:rPr>
          <w:rFonts w:hint="eastAsia" w:cs="Times New Roman"/>
          <w:b/>
          <w:bCs/>
          <w:kern w:val="2"/>
          <w:szCs w:val="21"/>
          <w:lang w:eastAsia="zh-TW"/>
        </w:rPr>
        <w:t>将按合同清单进行规格、数量、外观的检查。</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 xml:space="preserve">（2）收货后 </w:t>
      </w:r>
      <w:r>
        <w:rPr>
          <w:rFonts w:hint="eastAsia" w:cs="Times New Roman"/>
          <w:b/>
          <w:bCs/>
          <w:kern w:val="2"/>
          <w:szCs w:val="21"/>
        </w:rPr>
        <w:t>30</w:t>
      </w:r>
      <w:r>
        <w:rPr>
          <w:rFonts w:hint="eastAsia" w:cs="Times New Roman"/>
          <w:b/>
          <w:bCs/>
          <w:kern w:val="2"/>
          <w:szCs w:val="21"/>
          <w:lang w:eastAsia="zh-TW"/>
        </w:rPr>
        <w:t>个工作日内</w:t>
      </w:r>
      <w:r>
        <w:rPr>
          <w:rFonts w:hint="eastAsia" w:cs="Times New Roman"/>
          <w:b/>
          <w:bCs/>
          <w:kern w:val="2"/>
          <w:szCs w:val="21"/>
        </w:rPr>
        <w:t>采购人</w:t>
      </w:r>
      <w:r>
        <w:rPr>
          <w:rFonts w:hint="eastAsia" w:cs="Times New Roman"/>
          <w:b/>
          <w:bCs/>
          <w:kern w:val="2"/>
          <w:szCs w:val="21"/>
          <w:lang w:eastAsia="zh-TW"/>
        </w:rPr>
        <w:t>与</w:t>
      </w:r>
      <w:r>
        <w:rPr>
          <w:rFonts w:hint="eastAsia" w:cs="Times New Roman"/>
          <w:b/>
          <w:bCs/>
          <w:kern w:val="2"/>
          <w:szCs w:val="21"/>
        </w:rPr>
        <w:t>中标人</w:t>
      </w:r>
      <w:r>
        <w:rPr>
          <w:rFonts w:hint="eastAsia" w:cs="Times New Roman"/>
          <w:b/>
          <w:bCs/>
          <w:kern w:val="2"/>
          <w:szCs w:val="21"/>
          <w:lang w:eastAsia="zh-TW"/>
        </w:rPr>
        <w:t>进行到货验收工作。如验收合格，</w:t>
      </w:r>
      <w:r>
        <w:rPr>
          <w:rFonts w:hint="eastAsia" w:cs="Times New Roman"/>
          <w:b/>
          <w:bCs/>
          <w:kern w:val="2"/>
          <w:szCs w:val="21"/>
        </w:rPr>
        <w:t>采购人</w:t>
      </w:r>
      <w:r>
        <w:rPr>
          <w:rFonts w:hint="eastAsia" w:cs="Times New Roman"/>
          <w:b/>
          <w:bCs/>
          <w:kern w:val="2"/>
          <w:szCs w:val="21"/>
          <w:lang w:eastAsia="zh-TW"/>
        </w:rPr>
        <w:t>应及时履行验收手续，双方签署设备到货验收报告；如验收不合格，</w:t>
      </w:r>
      <w:r>
        <w:rPr>
          <w:rFonts w:hint="eastAsia" w:cs="Times New Roman"/>
          <w:b/>
          <w:bCs/>
          <w:kern w:val="2"/>
          <w:szCs w:val="21"/>
        </w:rPr>
        <w:t>采购人</w:t>
      </w:r>
      <w:r>
        <w:rPr>
          <w:rFonts w:hint="eastAsia" w:cs="Times New Roman"/>
          <w:b/>
          <w:bCs/>
          <w:kern w:val="2"/>
          <w:szCs w:val="21"/>
          <w:lang w:eastAsia="zh-TW"/>
        </w:rPr>
        <w:t>应以书面形式通知</w:t>
      </w:r>
      <w:r>
        <w:rPr>
          <w:rFonts w:hint="eastAsia" w:cs="Times New Roman"/>
          <w:b/>
          <w:bCs/>
          <w:kern w:val="2"/>
          <w:szCs w:val="21"/>
        </w:rPr>
        <w:t>中标人</w:t>
      </w:r>
      <w:r>
        <w:rPr>
          <w:rFonts w:hint="eastAsia" w:cs="Times New Roman"/>
          <w:b/>
          <w:bCs/>
          <w:kern w:val="2"/>
          <w:szCs w:val="21"/>
          <w:lang w:eastAsia="zh-TW"/>
        </w:rPr>
        <w:t>原因，</w:t>
      </w:r>
      <w:r>
        <w:rPr>
          <w:rFonts w:hint="eastAsia" w:cs="Times New Roman"/>
          <w:b/>
          <w:bCs/>
          <w:kern w:val="2"/>
          <w:szCs w:val="21"/>
        </w:rPr>
        <w:t>中标人</w:t>
      </w:r>
      <w:r>
        <w:rPr>
          <w:rFonts w:hint="eastAsia" w:cs="Times New Roman"/>
          <w:b/>
          <w:bCs/>
          <w:kern w:val="2"/>
          <w:szCs w:val="21"/>
          <w:lang w:eastAsia="zh-TW"/>
        </w:rPr>
        <w:t>收到通知后 10 个工作日内提供解决方案。</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（3）在验收工作中，双方应于现场依据本合同规定的验收依据共同对商品的数量、型号规格、技术性能指标等进行验证。发现数量不足或有质量、技术等问题，</w:t>
      </w:r>
      <w:r>
        <w:rPr>
          <w:rFonts w:hint="eastAsia" w:cs="Times New Roman"/>
          <w:b/>
          <w:bCs/>
          <w:kern w:val="2"/>
          <w:szCs w:val="21"/>
        </w:rPr>
        <w:t>中标人</w:t>
      </w:r>
      <w:r>
        <w:rPr>
          <w:rFonts w:hint="eastAsia" w:cs="Times New Roman"/>
          <w:b/>
          <w:bCs/>
          <w:kern w:val="2"/>
          <w:szCs w:val="21"/>
          <w:lang w:eastAsia="zh-TW"/>
        </w:rPr>
        <w:t>应按照合同要求采取补足、更换或退货等处理措施，并承担由此发生的一切费用和损失。</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（4）涉及设备安装调试的，</w:t>
      </w:r>
      <w:r>
        <w:rPr>
          <w:rFonts w:hint="eastAsia"/>
          <w:b/>
          <w:bCs/>
        </w:rPr>
        <w:t>中标人</w:t>
      </w:r>
      <w:r>
        <w:rPr>
          <w:rFonts w:hint="eastAsia" w:cs="Times New Roman"/>
          <w:b/>
          <w:bCs/>
          <w:kern w:val="2"/>
          <w:szCs w:val="21"/>
          <w:lang w:eastAsia="zh-TW"/>
        </w:rPr>
        <w:t>负责在</w:t>
      </w:r>
      <w:r>
        <w:rPr>
          <w:rFonts w:hint="eastAsia" w:cs="Times New Roman"/>
          <w:b/>
          <w:bCs/>
          <w:kern w:val="2"/>
          <w:szCs w:val="21"/>
        </w:rPr>
        <w:t>采购人</w:t>
      </w:r>
      <w:r>
        <w:rPr>
          <w:rFonts w:hint="eastAsia" w:cs="Times New Roman"/>
          <w:b/>
          <w:bCs/>
          <w:kern w:val="2"/>
          <w:szCs w:val="21"/>
          <w:lang w:eastAsia="zh-TW"/>
        </w:rPr>
        <w:t>配合下完成所供设备安装调试并保证与用户原有设备互联互通，有关技术问题由</w:t>
      </w:r>
      <w:r>
        <w:rPr>
          <w:rFonts w:hint="eastAsia"/>
          <w:b/>
          <w:bCs/>
        </w:rPr>
        <w:t>中标人</w:t>
      </w:r>
      <w:r>
        <w:rPr>
          <w:rFonts w:hint="eastAsia" w:cs="Times New Roman"/>
          <w:b/>
          <w:bCs/>
          <w:kern w:val="2"/>
          <w:szCs w:val="21"/>
          <w:lang w:eastAsia="zh-TW"/>
        </w:rPr>
        <w:t>和制造商协同解决。安装调试后，双方签署设备安装调试验收报告。</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（5）</w:t>
      </w:r>
      <w:r>
        <w:rPr>
          <w:rFonts w:hint="eastAsia" w:cs="Times New Roman"/>
          <w:b/>
          <w:bCs/>
          <w:kern w:val="2"/>
          <w:szCs w:val="21"/>
        </w:rPr>
        <w:t>采购人</w:t>
      </w:r>
      <w:r>
        <w:rPr>
          <w:rFonts w:hint="eastAsia" w:cs="Times New Roman"/>
          <w:b/>
          <w:bCs/>
          <w:kern w:val="2"/>
          <w:szCs w:val="21"/>
          <w:lang w:eastAsia="zh-TW"/>
        </w:rPr>
        <w:t>认为必要时，对大型或者复杂的货物采购项目，可以邀请国家认可的质量检测机构参加验收工作，相关验收意见作为验收报告的参考资料，相关费用由</w:t>
      </w:r>
      <w:r>
        <w:rPr>
          <w:rFonts w:hint="eastAsia" w:cs="Times New Roman"/>
          <w:b/>
          <w:bCs/>
          <w:kern w:val="2"/>
          <w:szCs w:val="21"/>
        </w:rPr>
        <w:t>中标人</w:t>
      </w:r>
      <w:r>
        <w:rPr>
          <w:rFonts w:hint="eastAsia" w:cs="Times New Roman"/>
          <w:b/>
          <w:bCs/>
          <w:kern w:val="2"/>
          <w:szCs w:val="21"/>
          <w:lang w:eastAsia="zh-TW"/>
        </w:rPr>
        <w:t>承担。</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（6）验收标准以双方达成的对质量和技术标准的约定、</w:t>
      </w:r>
      <w:r>
        <w:rPr>
          <w:rFonts w:hint="eastAsia" w:cs="Times New Roman"/>
          <w:b/>
          <w:bCs/>
          <w:kern w:val="2"/>
          <w:szCs w:val="21"/>
        </w:rPr>
        <w:t>中标人</w:t>
      </w:r>
      <w:r>
        <w:rPr>
          <w:rFonts w:hint="eastAsia" w:cs="Times New Roman"/>
          <w:b/>
          <w:bCs/>
          <w:kern w:val="2"/>
          <w:szCs w:val="21"/>
          <w:lang w:eastAsia="zh-TW"/>
        </w:rPr>
        <w:t>承诺的质量和技术标准、国家或行业规定的相关质量和技术标准中最高者为准，且应充分满足</w:t>
      </w:r>
      <w:r>
        <w:rPr>
          <w:rFonts w:hint="eastAsia" w:cs="Times New Roman"/>
          <w:b/>
          <w:bCs/>
          <w:kern w:val="2"/>
          <w:szCs w:val="21"/>
        </w:rPr>
        <w:t>采购人</w:t>
      </w:r>
      <w:r>
        <w:rPr>
          <w:rFonts w:hint="eastAsia" w:cs="Times New Roman"/>
          <w:b/>
          <w:bCs/>
          <w:kern w:val="2"/>
          <w:szCs w:val="21"/>
          <w:lang w:eastAsia="zh-TW"/>
        </w:rPr>
        <w:t xml:space="preserve">使用要求。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cs="Times New Roman"/>
          <w:b/>
          <w:bCs/>
          <w:kern w:val="2"/>
          <w:szCs w:val="21"/>
        </w:rPr>
        <w:t>★</w:t>
      </w:r>
      <w:r>
        <w:rPr>
          <w:rFonts w:hint="eastAsia" w:cs="Times New Roman"/>
          <w:b/>
          <w:bCs/>
          <w:kern w:val="2"/>
          <w:szCs w:val="21"/>
        </w:rPr>
        <w:t>10.</w:t>
      </w:r>
      <w:r>
        <w:rPr>
          <w:rFonts w:hint="eastAsia" w:cs="Times New Roman"/>
          <w:b/>
          <w:bCs/>
          <w:kern w:val="2"/>
          <w:szCs w:val="21"/>
          <w:lang w:eastAsia="zh-TW"/>
        </w:rPr>
        <w:t>付款方式：</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1</w:t>
      </w:r>
      <w:r>
        <w:rPr>
          <w:rFonts w:hint="eastAsia" w:cs="Times New Roman"/>
          <w:b/>
          <w:bCs/>
          <w:kern w:val="2"/>
          <w:szCs w:val="21"/>
          <w:lang w:eastAsia="zh-TW"/>
        </w:rPr>
        <w:t>）中标人向采购人交付履约保函或保证金，比例等于合同金额的10%，并提交下列单据之日起10个工作日内，采购人向中标人支付合同总价50%合同款。</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中标人提交单据：合同（正文部分复印件）、中标通知书（或成交通知书复印件）、发票（原件）、履约保函或保证金单据复印件（如有）。</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2</w:t>
      </w:r>
      <w:r>
        <w:rPr>
          <w:rFonts w:hint="eastAsia" w:cs="Times New Roman"/>
          <w:b/>
          <w:bCs/>
          <w:kern w:val="2"/>
          <w:szCs w:val="21"/>
          <w:lang w:eastAsia="zh-TW"/>
        </w:rPr>
        <w:t>）设备全部到货并经采购人（用户）签收后，中标人向采购人提交下列单据之日起10个工作日内，采购人向中标人支付合同总价50%合同款。</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中标人提交单据：合同(正文部分复印件）、中标通知书（或成交通知书复印件）、发票（原件）、设备到货签收单（复印件）。</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3</w:t>
      </w:r>
      <w:r>
        <w:rPr>
          <w:rFonts w:hint="eastAsia" w:cs="Times New Roman"/>
          <w:b/>
          <w:bCs/>
          <w:kern w:val="2"/>
          <w:szCs w:val="21"/>
          <w:lang w:eastAsia="zh-TW"/>
        </w:rPr>
        <w:t>）设备全部安装调试，并经采购人（用户）验收合格后，中标人向采购人提交下列单据之日起30日内，采购人向中标人无息退还履约保函或保证金。</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中标人提交单据：退还申请（原件）、安装调试验收合格报告（复印件）。</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4</w:t>
      </w:r>
      <w:r>
        <w:rPr>
          <w:rFonts w:hint="eastAsia" w:cs="Times New Roman"/>
          <w:b/>
          <w:bCs/>
          <w:kern w:val="2"/>
          <w:szCs w:val="21"/>
          <w:lang w:eastAsia="zh-TW"/>
        </w:rPr>
        <w:t>）因财政集中支付延误时间不计算在内。中标人提交付款单据延迟、缺失及账户信息错误的，采购人有权相应顺延付款期限，且采购人不承担延误付款责任。</w:t>
      </w:r>
    </w:p>
    <w:p>
      <w:pPr>
        <w:widowControl w:val="0"/>
        <w:shd w:val="clear" w:color="auto" w:fill="auto"/>
        <w:tabs>
          <w:tab w:val="clear" w:pos="426"/>
        </w:tabs>
        <w:adjustRightInd/>
        <w:snapToGrid/>
        <w:spacing w:line="240" w:lineRule="auto"/>
        <w:rPr>
          <w:rFonts w:hint="eastAsia" w:cs="Times New Roman"/>
          <w:b/>
          <w:bCs/>
          <w:kern w:val="2"/>
          <w:szCs w:val="21"/>
        </w:rPr>
      </w:pPr>
    </w:p>
    <w:p>
      <w:pPr>
        <w:widowControl w:val="0"/>
        <w:shd w:val="clear" w:color="auto" w:fill="auto"/>
        <w:tabs>
          <w:tab w:val="clear" w:pos="426"/>
        </w:tabs>
        <w:adjustRightInd/>
        <w:snapToGrid/>
        <w:spacing w:line="240" w:lineRule="auto"/>
        <w:ind w:left="420" w:leftChars="200"/>
        <w:rPr>
          <w:rFonts w:hint="eastAsia" w:cs="Times New Roman"/>
          <w:b/>
          <w:bCs/>
          <w:kern w:val="2"/>
          <w:szCs w:val="21"/>
        </w:rPr>
      </w:pPr>
      <w:r>
        <w:rPr>
          <w:rFonts w:hint="eastAsia" w:cs="Times New Roman"/>
          <w:b/>
          <w:bCs/>
          <w:kern w:val="2"/>
          <w:szCs w:val="21"/>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1.商务</w:t>
      </w:r>
      <w:r>
        <w:rPr>
          <w:rFonts w:cs="Times New Roman"/>
          <w:b/>
          <w:bCs/>
          <w:kern w:val="2"/>
          <w:szCs w:val="21"/>
        </w:rPr>
        <w:t>要求分为一般</w:t>
      </w:r>
      <w:r>
        <w:rPr>
          <w:rFonts w:hint="eastAsia" w:cs="Times New Roman"/>
          <w:b/>
          <w:bCs/>
          <w:kern w:val="2"/>
          <w:szCs w:val="21"/>
        </w:rPr>
        <w:t>商务</w:t>
      </w:r>
      <w:r>
        <w:rPr>
          <w:rFonts w:cs="Times New Roman"/>
          <w:b/>
          <w:bCs/>
          <w:kern w:val="2"/>
          <w:szCs w:val="21"/>
        </w:rPr>
        <w:t>要求、重要</w:t>
      </w:r>
      <w:r>
        <w:rPr>
          <w:rFonts w:hint="eastAsia" w:cs="Times New Roman"/>
          <w:b/>
          <w:bCs/>
          <w:kern w:val="2"/>
          <w:szCs w:val="21"/>
        </w:rPr>
        <w:t>商务</w:t>
      </w:r>
      <w:r>
        <w:rPr>
          <w:rFonts w:cs="Times New Roman"/>
          <w:b/>
          <w:bCs/>
          <w:kern w:val="2"/>
          <w:szCs w:val="21"/>
        </w:rPr>
        <w:t>要求（以“▲”标注）和实质性</w:t>
      </w:r>
      <w:r>
        <w:rPr>
          <w:rFonts w:hint="eastAsia" w:cs="Times New Roman"/>
          <w:b/>
          <w:bCs/>
          <w:kern w:val="2"/>
          <w:szCs w:val="21"/>
        </w:rPr>
        <w:t>商务</w:t>
      </w:r>
      <w:r>
        <w:rPr>
          <w:rFonts w:cs="Times New Roman"/>
          <w:b/>
          <w:bCs/>
          <w:kern w:val="2"/>
          <w:szCs w:val="21"/>
        </w:rPr>
        <w:t>要求（以</w:t>
      </w:r>
      <w:r>
        <w:rPr>
          <w:rFonts w:hint="eastAsia" w:cs="Times New Roman"/>
          <w:b/>
          <w:bCs/>
          <w:kern w:val="2"/>
          <w:szCs w:val="21"/>
        </w:rPr>
        <w:t>“</w:t>
      </w:r>
      <w:r>
        <w:rPr>
          <w:rFonts w:cs="Times New Roman"/>
          <w:b/>
          <w:bCs/>
          <w:kern w:val="2"/>
          <w:szCs w:val="21"/>
        </w:rPr>
        <w:t>★”标注）。一般商务要求和重要商务要求若出现不响应或负偏离，其综合评分的相关分数将予以扣减，但不作为投标无效条款。实质性商务要求（以</w:t>
      </w:r>
      <w:r>
        <w:rPr>
          <w:rFonts w:hint="eastAsia" w:cs="Times New Roman"/>
          <w:b/>
          <w:bCs/>
          <w:kern w:val="2"/>
          <w:szCs w:val="21"/>
        </w:rPr>
        <w:t>“</w:t>
      </w:r>
      <w:r>
        <w:rPr>
          <w:rFonts w:cs="Times New Roman"/>
          <w:b/>
          <w:bCs/>
          <w:kern w:val="2"/>
          <w:szCs w:val="21"/>
        </w:rPr>
        <w:t>★”标注）若出现不响应或任何一项负偏离，将导致投标无效。</w:t>
      </w:r>
    </w:p>
    <w:p>
      <w:pPr>
        <w:shd w:val="clear" w:color="auto" w:fill="auto"/>
        <w:tabs>
          <w:tab w:val="clear" w:pos="426"/>
        </w:tabs>
        <w:adjustRightInd/>
        <w:snapToGrid/>
        <w:spacing w:line="240" w:lineRule="auto"/>
        <w:jc w:val="left"/>
        <w:rPr>
          <w:rFonts w:ascii="Cambria" w:hAnsi="Cambria" w:cs="Times New Roman"/>
          <w:b/>
          <w:bCs/>
          <w:kern w:val="28"/>
          <w:sz w:val="28"/>
          <w:szCs w:val="32"/>
        </w:rPr>
      </w:pPr>
      <w:r>
        <w:br w:type="page"/>
      </w:r>
    </w:p>
    <w:p>
      <w:pPr>
        <w:pStyle w:val="62"/>
      </w:pPr>
      <w:bookmarkStart w:id="51" w:name="_Toc2525"/>
      <w:r>
        <w:rPr>
          <w:rFonts w:hint="eastAsia"/>
        </w:rPr>
        <w:t>第三章 定价方式、合同类型和风险管理措施</w:t>
      </w:r>
      <w:bookmarkEnd w:id="51"/>
    </w:p>
    <w:p>
      <w:pPr>
        <w:numPr>
          <w:ilvl w:val="0"/>
          <w:numId w:val="3"/>
        </w:numPr>
        <w:adjustRightInd/>
        <w:snapToGrid/>
        <w:spacing w:before="280" w:after="290" w:line="377" w:lineRule="auto"/>
        <w:jc w:val="left"/>
        <w:outlineLvl w:val="2"/>
        <w:rPr>
          <w:rFonts w:hint="eastAsia"/>
          <w:b/>
          <w:sz w:val="24"/>
        </w:rPr>
      </w:pPr>
      <w:bookmarkStart w:id="52" w:name="_Toc21605"/>
      <w:bookmarkStart w:id="53" w:name="_Toc27621"/>
      <w:bookmarkStart w:id="54" w:name="_Toc157893754"/>
      <w:r>
        <w:rPr>
          <w:rFonts w:hint="eastAsia"/>
          <w:b/>
          <w:sz w:val="24"/>
        </w:rPr>
        <w:t>定价方式</w:t>
      </w:r>
      <w:bookmarkEnd w:id="52"/>
      <w:bookmarkEnd w:id="53"/>
      <w:bookmarkEnd w:id="54"/>
    </w:p>
    <w:p>
      <w:pPr>
        <w:widowControl w:val="0"/>
        <w:shd w:val="clear" w:color="auto" w:fill="auto"/>
        <w:tabs>
          <w:tab w:val="clear" w:pos="426"/>
        </w:tabs>
        <w:adjustRightInd/>
        <w:snapToGrid/>
        <w:spacing w:line="240" w:lineRule="auto"/>
        <w:ind w:firstLine="420" w:firstLineChars="200"/>
        <w:rPr>
          <w:rFonts w:hint="eastAsia"/>
          <w:kern w:val="2"/>
        </w:rPr>
      </w:pPr>
      <w:r>
        <w:rPr>
          <w:rFonts w:hint="eastAsia"/>
          <w:kern w:val="2"/>
        </w:rPr>
        <w:t>固定总价</w:t>
      </w:r>
      <w:r>
        <w:rPr>
          <w:rFonts w:hint="eastAsia"/>
        </w:rPr>
        <w:t>。</w:t>
      </w:r>
    </w:p>
    <w:p>
      <w:pPr>
        <w:numPr>
          <w:ilvl w:val="0"/>
          <w:numId w:val="3"/>
        </w:numPr>
        <w:adjustRightInd/>
        <w:snapToGrid/>
        <w:spacing w:before="280" w:after="290" w:line="377" w:lineRule="auto"/>
        <w:jc w:val="left"/>
        <w:outlineLvl w:val="2"/>
        <w:rPr>
          <w:rFonts w:hint="eastAsia"/>
          <w:b/>
          <w:sz w:val="24"/>
        </w:rPr>
      </w:pPr>
      <w:bookmarkStart w:id="55" w:name="_Toc18675"/>
      <w:bookmarkStart w:id="56" w:name="_Toc7208"/>
      <w:bookmarkStart w:id="57" w:name="_Toc157893755"/>
      <w:r>
        <w:rPr>
          <w:rFonts w:hint="eastAsia"/>
          <w:b/>
          <w:sz w:val="24"/>
        </w:rPr>
        <w:t>合同类型</w:t>
      </w:r>
      <w:bookmarkEnd w:id="55"/>
      <w:bookmarkEnd w:id="56"/>
      <w:bookmarkEnd w:id="57"/>
    </w:p>
    <w:p>
      <w:pPr>
        <w:widowControl w:val="0"/>
        <w:shd w:val="clear" w:color="auto" w:fill="auto"/>
        <w:tabs>
          <w:tab w:val="clear" w:pos="426"/>
        </w:tabs>
        <w:adjustRightInd/>
        <w:snapToGrid/>
        <w:spacing w:line="240" w:lineRule="auto"/>
        <w:ind w:firstLine="420" w:firstLineChars="200"/>
        <w:rPr>
          <w:rFonts w:hint="eastAsia"/>
          <w:kern w:val="2"/>
        </w:rPr>
      </w:pPr>
      <w:r>
        <w:rPr>
          <w:rFonts w:hint="eastAsia"/>
          <w:kern w:val="2"/>
        </w:rPr>
        <w:t>买卖合同</w:t>
      </w:r>
      <w:r>
        <w:rPr>
          <w:rFonts w:hint="eastAsia"/>
        </w:rPr>
        <w:t>。</w:t>
      </w:r>
    </w:p>
    <w:p>
      <w:pPr>
        <w:numPr>
          <w:ilvl w:val="0"/>
          <w:numId w:val="3"/>
        </w:numPr>
        <w:adjustRightInd/>
        <w:snapToGrid/>
        <w:spacing w:before="280" w:after="290" w:line="377" w:lineRule="auto"/>
        <w:jc w:val="left"/>
        <w:outlineLvl w:val="2"/>
        <w:rPr>
          <w:rFonts w:hint="eastAsia"/>
          <w:b/>
          <w:sz w:val="24"/>
        </w:rPr>
      </w:pPr>
      <w:bookmarkStart w:id="58" w:name="_Toc32122"/>
      <w:bookmarkStart w:id="59" w:name="_Toc24693"/>
      <w:bookmarkStart w:id="60" w:name="_Toc157893757"/>
      <w:r>
        <w:rPr>
          <w:rFonts w:hint="eastAsia"/>
          <w:b/>
          <w:sz w:val="24"/>
        </w:rPr>
        <w:t>风险管理措施</w:t>
      </w:r>
      <w:bookmarkEnd w:id="58"/>
      <w:bookmarkEnd w:id="59"/>
      <w:bookmarkEnd w:id="60"/>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spacing w:line="240" w:lineRule="auto"/>
              <w:rPr>
                <w:rFonts w:hint="eastAsia"/>
                <w:b/>
                <w:bCs/>
                <w:szCs w:val="21"/>
              </w:rPr>
            </w:pPr>
            <w:r>
              <w:rPr>
                <w:rFonts w:hint="eastAsia"/>
                <w:b/>
                <w:bCs/>
                <w:szCs w:val="21"/>
              </w:rPr>
              <w:t>阶段</w:t>
            </w:r>
          </w:p>
        </w:tc>
        <w:tc>
          <w:tcPr>
            <w:tcW w:w="1185" w:type="dxa"/>
          </w:tcPr>
          <w:p>
            <w:pPr>
              <w:spacing w:line="240" w:lineRule="auto"/>
              <w:rPr>
                <w:rFonts w:hint="eastAsia"/>
                <w:b/>
                <w:bCs/>
                <w:szCs w:val="21"/>
              </w:rPr>
            </w:pPr>
            <w:r>
              <w:rPr>
                <w:rFonts w:hint="eastAsia"/>
                <w:b/>
                <w:bCs/>
                <w:szCs w:val="21"/>
              </w:rPr>
              <w:t>风险事项</w:t>
            </w:r>
          </w:p>
        </w:tc>
        <w:tc>
          <w:tcPr>
            <w:tcW w:w="1185" w:type="dxa"/>
          </w:tcPr>
          <w:p>
            <w:pPr>
              <w:spacing w:line="240" w:lineRule="auto"/>
              <w:rPr>
                <w:rFonts w:hint="eastAsia"/>
                <w:b/>
                <w:bCs/>
                <w:szCs w:val="21"/>
              </w:rPr>
            </w:pPr>
            <w:r>
              <w:rPr>
                <w:rFonts w:hint="eastAsia"/>
                <w:b/>
                <w:bCs/>
                <w:szCs w:val="21"/>
              </w:rPr>
              <w:t>风险描述</w:t>
            </w:r>
          </w:p>
        </w:tc>
        <w:tc>
          <w:tcPr>
            <w:tcW w:w="1185" w:type="dxa"/>
          </w:tcPr>
          <w:p>
            <w:pPr>
              <w:spacing w:line="240" w:lineRule="auto"/>
              <w:rPr>
                <w:rFonts w:hint="eastAsia"/>
                <w:b/>
                <w:bCs/>
                <w:szCs w:val="21"/>
              </w:rPr>
            </w:pPr>
            <w:r>
              <w:rPr>
                <w:rFonts w:hint="eastAsia"/>
                <w:b/>
                <w:bCs/>
                <w:szCs w:val="21"/>
              </w:rPr>
              <w:t>风险等级</w:t>
            </w:r>
          </w:p>
        </w:tc>
        <w:tc>
          <w:tcPr>
            <w:tcW w:w="1185" w:type="dxa"/>
          </w:tcPr>
          <w:p>
            <w:pPr>
              <w:spacing w:line="240" w:lineRule="auto"/>
              <w:rPr>
                <w:rFonts w:hint="eastAsia"/>
                <w:b/>
                <w:bCs/>
                <w:szCs w:val="21"/>
              </w:rPr>
            </w:pPr>
            <w:r>
              <w:rPr>
                <w:rFonts w:hint="eastAsia"/>
                <w:b/>
                <w:bCs/>
                <w:szCs w:val="21"/>
              </w:rPr>
              <w:t>防控措施</w:t>
            </w:r>
          </w:p>
        </w:tc>
        <w:tc>
          <w:tcPr>
            <w:tcW w:w="1185" w:type="dxa"/>
          </w:tcPr>
          <w:p>
            <w:pPr>
              <w:spacing w:line="240" w:lineRule="auto"/>
              <w:rPr>
                <w:rFonts w:hint="eastAsia"/>
                <w:b/>
                <w:bCs/>
                <w:szCs w:val="21"/>
              </w:rPr>
            </w:pPr>
            <w:r>
              <w:rPr>
                <w:rFonts w:hint="eastAsia"/>
                <w:b/>
                <w:bCs/>
                <w:szCs w:val="21"/>
              </w:rPr>
              <w:t>责任人</w:t>
            </w:r>
          </w:p>
        </w:tc>
        <w:tc>
          <w:tcPr>
            <w:tcW w:w="1186" w:type="dxa"/>
          </w:tcPr>
          <w:p>
            <w:pPr>
              <w:spacing w:line="240" w:lineRule="auto"/>
              <w:rPr>
                <w:rFonts w:hint="eastAsia"/>
                <w:b/>
                <w:bCs/>
                <w:szCs w:val="21"/>
              </w:rPr>
            </w:pPr>
            <w:r>
              <w:rPr>
                <w:rFonts w:hint="eastAsia"/>
                <w:b/>
                <w:bCs/>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采购阶段</w:t>
            </w:r>
          </w:p>
        </w:tc>
        <w:tc>
          <w:tcPr>
            <w:tcW w:w="1185" w:type="dxa"/>
          </w:tcPr>
          <w:p>
            <w:pPr>
              <w:tabs>
                <w:tab w:val="left" w:pos="1330"/>
                <w:tab w:val="clear" w:pos="426"/>
              </w:tabs>
              <w:spacing w:line="240" w:lineRule="auto"/>
              <w:rPr>
                <w:rFonts w:hint="eastAsia"/>
                <w:szCs w:val="21"/>
              </w:rPr>
            </w:pPr>
            <w:r>
              <w:rPr>
                <w:rFonts w:hint="eastAsia"/>
                <w:szCs w:val="21"/>
              </w:rPr>
              <w:t>需求编制</w:t>
            </w:r>
          </w:p>
        </w:tc>
        <w:tc>
          <w:tcPr>
            <w:tcW w:w="1185" w:type="dxa"/>
          </w:tcPr>
          <w:p>
            <w:pPr>
              <w:tabs>
                <w:tab w:val="left" w:pos="1330"/>
                <w:tab w:val="clear" w:pos="426"/>
              </w:tabs>
              <w:spacing w:line="240" w:lineRule="auto"/>
              <w:rPr>
                <w:rFonts w:hint="eastAsia"/>
                <w:szCs w:val="21"/>
              </w:rPr>
            </w:pPr>
            <w:r>
              <w:rPr>
                <w:rFonts w:hint="eastAsia"/>
                <w:szCs w:val="21"/>
              </w:rPr>
              <w:t>需求编制与实际不符</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仔细与需求部门确认需求表填写是否与实际需求一致</w:t>
            </w:r>
          </w:p>
        </w:tc>
        <w:tc>
          <w:tcPr>
            <w:tcW w:w="1185" w:type="dxa"/>
          </w:tcPr>
          <w:p>
            <w:pPr>
              <w:tabs>
                <w:tab w:val="left" w:pos="1330"/>
                <w:tab w:val="clear" w:pos="426"/>
              </w:tabs>
              <w:spacing w:line="240" w:lineRule="auto"/>
              <w:rPr>
                <w:rFonts w:hint="eastAsia"/>
                <w:szCs w:val="21"/>
              </w:rPr>
            </w:pPr>
            <w:r>
              <w:rPr>
                <w:rFonts w:hint="eastAsia"/>
                <w:szCs w:val="21"/>
              </w:rPr>
              <w:t>采购人</w:t>
            </w:r>
          </w:p>
        </w:tc>
        <w:tc>
          <w:tcPr>
            <w:tcW w:w="1186" w:type="dxa"/>
          </w:tcPr>
          <w:p>
            <w:pPr>
              <w:tabs>
                <w:tab w:val="left" w:pos="1330"/>
                <w:tab w:val="clear" w:pos="426"/>
              </w:tabs>
              <w:spacing w:line="240" w:lineRule="auto"/>
              <w:rPr>
                <w:rFonts w:hint="eastAsia"/>
                <w:szCs w:val="21"/>
              </w:rPr>
            </w:pPr>
            <w:r>
              <w:rPr>
                <w:rFonts w:hint="eastAsia"/>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采购阶段</w:t>
            </w:r>
          </w:p>
        </w:tc>
        <w:tc>
          <w:tcPr>
            <w:tcW w:w="1185" w:type="dxa"/>
          </w:tcPr>
          <w:p>
            <w:pPr>
              <w:tabs>
                <w:tab w:val="left" w:pos="1330"/>
                <w:tab w:val="clear" w:pos="426"/>
              </w:tabs>
              <w:spacing w:line="240" w:lineRule="auto"/>
              <w:rPr>
                <w:rFonts w:hint="eastAsia"/>
                <w:szCs w:val="21"/>
              </w:rPr>
            </w:pPr>
            <w:r>
              <w:rPr>
                <w:rFonts w:hint="eastAsia"/>
                <w:szCs w:val="21"/>
              </w:rPr>
              <w:t>采购活动</w:t>
            </w:r>
          </w:p>
        </w:tc>
        <w:tc>
          <w:tcPr>
            <w:tcW w:w="1185" w:type="dxa"/>
          </w:tcPr>
          <w:p>
            <w:pPr>
              <w:tabs>
                <w:tab w:val="left" w:pos="1330"/>
                <w:tab w:val="clear" w:pos="426"/>
              </w:tabs>
              <w:spacing w:line="240" w:lineRule="auto"/>
              <w:rPr>
                <w:rFonts w:hint="eastAsia"/>
                <w:szCs w:val="21"/>
              </w:rPr>
            </w:pPr>
            <w:r>
              <w:rPr>
                <w:rFonts w:hint="eastAsia"/>
                <w:szCs w:val="21"/>
              </w:rPr>
              <w:t>标书的填写符合性及与需求的符合性</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仔细与采购人员确认填写是否与实际需求一致</w:t>
            </w:r>
          </w:p>
        </w:tc>
        <w:tc>
          <w:tcPr>
            <w:tcW w:w="1185" w:type="dxa"/>
          </w:tcPr>
          <w:p>
            <w:pPr>
              <w:tabs>
                <w:tab w:val="left" w:pos="1330"/>
                <w:tab w:val="clear" w:pos="426"/>
              </w:tabs>
              <w:spacing w:line="240" w:lineRule="auto"/>
              <w:rPr>
                <w:rFonts w:hint="eastAsia"/>
                <w:szCs w:val="21"/>
              </w:rPr>
            </w:pPr>
            <w:r>
              <w:rPr>
                <w:rFonts w:hint="eastAsia"/>
                <w:szCs w:val="21"/>
              </w:rPr>
              <w:t>代理机构</w:t>
            </w:r>
          </w:p>
        </w:tc>
        <w:tc>
          <w:tcPr>
            <w:tcW w:w="1186" w:type="dxa"/>
          </w:tcPr>
          <w:p>
            <w:pPr>
              <w:tabs>
                <w:tab w:val="left" w:pos="1330"/>
                <w:tab w:val="clear" w:pos="426"/>
              </w:tabs>
              <w:spacing w:line="240" w:lineRule="auto"/>
              <w:rPr>
                <w:rFonts w:hint="eastAsia"/>
                <w:szCs w:val="21"/>
              </w:rPr>
            </w:pPr>
            <w:r>
              <w:rPr>
                <w:rFonts w:hint="eastAsia"/>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合同履约阶段</w:t>
            </w:r>
          </w:p>
        </w:tc>
        <w:tc>
          <w:tcPr>
            <w:tcW w:w="1185" w:type="dxa"/>
          </w:tcPr>
          <w:p>
            <w:pPr>
              <w:tabs>
                <w:tab w:val="left" w:pos="1330"/>
                <w:tab w:val="clear" w:pos="426"/>
              </w:tabs>
              <w:spacing w:line="240" w:lineRule="auto"/>
              <w:rPr>
                <w:rFonts w:hint="eastAsia"/>
                <w:szCs w:val="21"/>
              </w:rPr>
            </w:pPr>
            <w:r>
              <w:rPr>
                <w:rFonts w:hint="eastAsia"/>
                <w:szCs w:val="21"/>
              </w:rPr>
              <w:t>合同履约</w:t>
            </w:r>
          </w:p>
        </w:tc>
        <w:tc>
          <w:tcPr>
            <w:tcW w:w="1185" w:type="dxa"/>
          </w:tcPr>
          <w:p>
            <w:pPr>
              <w:tabs>
                <w:tab w:val="left" w:pos="1330"/>
                <w:tab w:val="clear" w:pos="426"/>
              </w:tabs>
              <w:spacing w:line="240" w:lineRule="auto"/>
              <w:rPr>
                <w:rFonts w:hint="eastAsia"/>
                <w:szCs w:val="21"/>
              </w:rPr>
            </w:pPr>
            <w:r>
              <w:rPr>
                <w:rFonts w:hint="eastAsia"/>
                <w:szCs w:val="21"/>
              </w:rPr>
              <w:t>供应商不能按照合同准时履约</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在合同中详细写明无法按时履约应该承担的法律责任</w:t>
            </w:r>
          </w:p>
        </w:tc>
        <w:tc>
          <w:tcPr>
            <w:tcW w:w="1185" w:type="dxa"/>
          </w:tcPr>
          <w:p>
            <w:pPr>
              <w:tabs>
                <w:tab w:val="left" w:pos="1330"/>
                <w:tab w:val="clear" w:pos="426"/>
              </w:tabs>
              <w:spacing w:line="240" w:lineRule="auto"/>
              <w:rPr>
                <w:rFonts w:hint="eastAsia"/>
                <w:szCs w:val="21"/>
              </w:rPr>
            </w:pPr>
            <w:r>
              <w:rPr>
                <w:rFonts w:hint="eastAsia"/>
                <w:szCs w:val="21"/>
              </w:rPr>
              <w:t>供应商</w:t>
            </w:r>
          </w:p>
        </w:tc>
        <w:tc>
          <w:tcPr>
            <w:tcW w:w="1186" w:type="dxa"/>
          </w:tcPr>
          <w:p>
            <w:pPr>
              <w:tabs>
                <w:tab w:val="left" w:pos="1330"/>
                <w:tab w:val="clear" w:pos="426"/>
              </w:tabs>
              <w:spacing w:line="240" w:lineRule="auto"/>
              <w:rPr>
                <w:rFonts w:hint="eastAsia"/>
                <w:szCs w:val="21"/>
              </w:rPr>
            </w:pPr>
            <w:r>
              <w:rPr>
                <w:rFonts w:hint="eastAsia"/>
                <w:szCs w:val="21"/>
              </w:rPr>
              <w:t>合同履约环节</w:t>
            </w:r>
          </w:p>
        </w:tc>
      </w:tr>
    </w:tbl>
    <w:p>
      <w:pPr>
        <w:rPr>
          <w:rFonts w:hint="eastAsia"/>
        </w:rPr>
      </w:pPr>
    </w:p>
    <w:p>
      <w:pPr>
        <w:rPr>
          <w:rFonts w:hint="eastAsia"/>
        </w:rPr>
      </w:pPr>
      <w:r>
        <w:rPr>
          <w:rFonts w:hint="eastAsia"/>
        </w:rPr>
        <w:br w:type="page"/>
      </w:r>
    </w:p>
    <w:p>
      <w:pPr>
        <w:pStyle w:val="62"/>
      </w:pPr>
      <w:bookmarkStart w:id="61" w:name="_Toc25501"/>
      <w:r>
        <w:rPr>
          <w:rFonts w:hint="eastAsia"/>
        </w:rPr>
        <w:t>第四章 资格审查和评标方法</w:t>
      </w:r>
      <w:bookmarkEnd w:id="61"/>
    </w:p>
    <w:p>
      <w:pPr>
        <w:pStyle w:val="62"/>
      </w:pPr>
      <w:bookmarkStart w:id="62" w:name="_Toc12702"/>
      <w:r>
        <w:rPr>
          <w:rFonts w:hint="eastAsia"/>
        </w:rPr>
        <w:t>前附表（一）</w:t>
      </w:r>
      <w:r>
        <w:t>资格审查表</w:t>
      </w:r>
      <w:bookmarkEnd w:id="62"/>
    </w:p>
    <w:p>
      <w:pPr>
        <w:tabs>
          <w:tab w:val="clear" w:pos="426"/>
        </w:tabs>
        <w:spacing w:before="231" w:beforeLines="50" w:after="231" w:afterLines="50"/>
        <w:jc w:val="center"/>
        <w:rPr>
          <w:rFonts w:hint="eastAsia"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rPr>
            </w:pPr>
            <w:r>
              <w:rPr>
                <w:rFonts w:hint="eastAsia"/>
                <w:b/>
              </w:rPr>
              <w:t>序号</w:t>
            </w:r>
          </w:p>
        </w:tc>
        <w:tc>
          <w:tcPr>
            <w:tcW w:w="8806" w:type="dxa"/>
            <w:vAlign w:val="center"/>
          </w:tcPr>
          <w:p>
            <w:pPr>
              <w:tabs>
                <w:tab w:val="clear" w:pos="426"/>
              </w:tabs>
              <w:adjustRightInd/>
              <w:snapToGrid/>
              <w:spacing w:line="240" w:lineRule="auto"/>
              <w:jc w:val="center"/>
              <w:rPr>
                <w:rFonts w:hint="eastAsia"/>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numPr>
                <w:ilvl w:val="0"/>
                <w:numId w:val="4"/>
              </w:numPr>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投标供应商具备招标资质要求，且提交相应资质证明材料；(详见招标公告“申请人的资格要求”，其中未列示的资质要求不得导致废标。)</w:t>
            </w:r>
          </w:p>
        </w:tc>
      </w:tr>
    </w:tbl>
    <w:p>
      <w:pPr>
        <w:pStyle w:val="62"/>
      </w:pPr>
      <w:r>
        <w:rPr>
          <w:sz w:val="24"/>
        </w:rPr>
        <w:br w:type="page"/>
      </w:r>
      <w:bookmarkStart w:id="63" w:name="_Toc10832"/>
      <w:bookmarkStart w:id="64" w:name="_Toc435514846"/>
      <w:r>
        <w:rPr>
          <w:rFonts w:hint="eastAsia"/>
          <w:sz w:val="24"/>
        </w:rPr>
        <w:t>前附表（二）符合性审查表</w:t>
      </w:r>
      <w:bookmarkEnd w:id="63"/>
    </w:p>
    <w:p>
      <w:pPr>
        <w:tabs>
          <w:tab w:val="clear" w:pos="426"/>
        </w:tabs>
        <w:spacing w:before="231" w:beforeLines="50" w:after="231" w:afterLines="50"/>
        <w:jc w:val="center"/>
        <w:rPr>
          <w:rFonts w:hint="eastAsia"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rPr>
            </w:pPr>
            <w:r>
              <w:rPr>
                <w:rFonts w:hint="eastAsia"/>
                <w:b/>
              </w:rPr>
              <w:t>序号</w:t>
            </w:r>
          </w:p>
        </w:tc>
        <w:tc>
          <w:tcPr>
            <w:tcW w:w="8806" w:type="dxa"/>
            <w:vAlign w:val="center"/>
          </w:tcPr>
          <w:p>
            <w:pPr>
              <w:tabs>
                <w:tab w:val="clear" w:pos="426"/>
              </w:tabs>
              <w:adjustRightInd/>
              <w:snapToGrid/>
              <w:spacing w:line="240" w:lineRule="auto"/>
              <w:jc w:val="center"/>
              <w:rPr>
                <w:rFonts w:hint="eastAsia"/>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未按招标文件所提供的样式填写</w:t>
            </w:r>
            <w:r>
              <w:t>《</w:t>
            </w:r>
            <w:r>
              <w:rPr>
                <w:rFonts w:hint="eastAsia"/>
              </w:rPr>
              <w:t>投标函》；未按招标文件所提供的《投标人资格声明函》进行承诺；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投标总价或分项报价高于预算限额（最高投标限价）；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投标文件载明的质保期低于招标文件规定的期限；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所投产品、工程、服务在商务、技术等方面没有实质性满足招标文件要求的；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ascii="Times New Roman" w:hAnsi="Times New Roman" w:cs="Times New Roman"/>
              </w:rPr>
              <w:t>投标报价有严重缺漏项目或对招标文件规定的</w:t>
            </w:r>
            <w:r>
              <w:rPr>
                <w:rFonts w:hint="eastAsia" w:ascii="Times New Roman" w:hAnsi="Times New Roman" w:cs="Times New Roman"/>
              </w:rPr>
              <w:t>货物</w:t>
            </w:r>
            <w:r>
              <w:rPr>
                <w:rFonts w:ascii="Times New Roman" w:hAnsi="Times New Roman" w:cs="Times New Roman"/>
              </w:rPr>
              <w:t>清单项目及数量进行修改</w:t>
            </w:r>
            <w:r>
              <w:rPr>
                <w:rFonts w:hint="eastAsia"/>
              </w:rPr>
              <w:t>或采购标的响应不全；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《技术规格偏离表》或《商务条款偏离表》填写不全、不明或不实；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法律、法规规定的属于投标无效的其他情形。</w:t>
            </w:r>
          </w:p>
        </w:tc>
      </w:tr>
    </w:tbl>
    <w:p>
      <w:pPr>
        <w:rPr>
          <w:rFonts w:hint="eastAsia"/>
        </w:rPr>
      </w:pPr>
      <w:r>
        <w:br w:type="page"/>
      </w:r>
    </w:p>
    <w:p>
      <w:pPr>
        <w:pStyle w:val="62"/>
        <w:tabs>
          <w:tab w:val="center" w:pos="4677"/>
          <w:tab w:val="left" w:pos="8376"/>
        </w:tabs>
        <w:jc w:val="left"/>
      </w:pPr>
      <w:bookmarkStart w:id="65" w:name="_Toc11333"/>
      <w:r>
        <w:tab/>
      </w:r>
      <w:r>
        <w:rPr>
          <w:rFonts w:hint="eastAsia"/>
        </w:rPr>
        <w:t>前附表（三）综合评分法评分因素和权重分值表</w:t>
      </w:r>
      <w:bookmarkEnd w:id="65"/>
      <w:r>
        <w:tab/>
      </w:r>
    </w:p>
    <w:p>
      <w:pPr>
        <w:jc w:val="center"/>
        <w:rPr>
          <w:rFonts w:hint="eastAsia"/>
        </w:rPr>
      </w:pPr>
      <w:r>
        <w:rPr>
          <w:rFonts w:hint="eastAsia"/>
        </w:rPr>
        <w:t>01包</w:t>
      </w:r>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评分项及评分规则</w:t>
            </w:r>
          </w:p>
        </w:tc>
        <w:tc>
          <w:tcPr>
            <w:tcW w:w="1187" w:type="dxa"/>
            <w:vAlign w:val="center"/>
          </w:tcPr>
          <w:p>
            <w:pPr>
              <w:autoSpaceDE w:val="0"/>
              <w:autoSpaceDN w:val="0"/>
              <w:jc w:val="center"/>
              <w:rPr>
                <w:rFonts w:hint="eastAsia"/>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一、价格部分</w:t>
            </w:r>
          </w:p>
        </w:tc>
        <w:tc>
          <w:tcPr>
            <w:tcW w:w="1187" w:type="dxa"/>
            <w:vAlign w:val="center"/>
          </w:tcPr>
          <w:p>
            <w:pPr>
              <w:autoSpaceDE w:val="0"/>
              <w:autoSpaceDN w:val="0"/>
              <w:jc w:val="center"/>
              <w:rPr>
                <w:rFonts w:hint="eastAsia"/>
                <w:b/>
                <w:szCs w:val="21"/>
              </w:rPr>
            </w:pPr>
            <w:r>
              <w:rPr>
                <w:rFonts w:hint="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szCs w:val="21"/>
              </w:rPr>
            </w:pPr>
            <w:r>
              <w:rPr>
                <w:rFonts w:hint="eastAsia"/>
                <w:szCs w:val="21"/>
              </w:rPr>
              <w:t>价格分采用低价优先法计算，即满足招标文件要求且投标价格最低的投标报价为评标基准价，其价格分为满分。其他投标人的价格分统一按照下列公式计算：</w:t>
            </w:r>
          </w:p>
          <w:p>
            <w:pPr>
              <w:jc w:val="left"/>
              <w:rPr>
                <w:rFonts w:hint="eastAsia"/>
                <w:szCs w:val="21"/>
              </w:rPr>
            </w:pPr>
            <w:r>
              <w:rPr>
                <w:rFonts w:hint="eastAsia"/>
                <w:szCs w:val="21"/>
              </w:rPr>
              <w:t>投标报价得分=(评标基准价／投标报价)×30</w:t>
            </w:r>
          </w:p>
          <w:p>
            <w:pPr>
              <w:rPr>
                <w:rFonts w:hint="eastAsia"/>
                <w:szCs w:val="21"/>
              </w:rPr>
            </w:pPr>
            <w:r>
              <w:rPr>
                <w:rFonts w:hint="eastAsia"/>
                <w:snapToGrid w:val="0"/>
                <w:szCs w:val="21"/>
              </w:rPr>
              <w:t>备注：1、因落实政府采购政策进行价格调整的，以调整后的价格计算评标基准价和投标报价</w:t>
            </w:r>
            <w:r>
              <w:rPr>
                <w:rFonts w:hint="eastAsia"/>
                <w:bCs/>
                <w:snapToGrid w:val="0"/>
                <w:szCs w:val="21"/>
              </w:rPr>
              <w:t>；</w:t>
            </w:r>
            <w:r>
              <w:rPr>
                <w:rFonts w:hint="eastAsia"/>
                <w:snapToGrid w:val="0"/>
                <w:szCs w:val="21"/>
              </w:rPr>
              <w:t>2、投标报价得分四舍五入后，小数点后保留两位有效数</w:t>
            </w:r>
            <w:r>
              <w:rPr>
                <w:rFonts w:hint="eastAsia"/>
                <w:szCs w:val="21"/>
              </w:rPr>
              <w:t>。</w:t>
            </w:r>
          </w:p>
        </w:tc>
        <w:tc>
          <w:tcPr>
            <w:tcW w:w="1187" w:type="dxa"/>
            <w:vAlign w:val="center"/>
          </w:tcPr>
          <w:p>
            <w:pPr>
              <w:autoSpaceDE w:val="0"/>
              <w:autoSpaceDN w:val="0"/>
              <w:jc w:val="center"/>
              <w:rPr>
                <w:rFonts w:hint="eastAsia"/>
                <w:szCs w:val="21"/>
              </w:rPr>
            </w:pPr>
            <w:r>
              <w:rPr>
                <w:rFonts w:hint="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szCs w:val="21"/>
              </w:rPr>
            </w:pPr>
            <w:r>
              <w:rPr>
                <w:rFonts w:hint="eastAsia"/>
                <w:b/>
                <w:szCs w:val="21"/>
              </w:rPr>
              <w:t>二、技术部分</w:t>
            </w:r>
          </w:p>
        </w:tc>
        <w:tc>
          <w:tcPr>
            <w:tcW w:w="1187" w:type="dxa"/>
            <w:vAlign w:val="center"/>
          </w:tcPr>
          <w:p>
            <w:pPr>
              <w:autoSpaceDE w:val="0"/>
              <w:autoSpaceDN w:val="0"/>
              <w:jc w:val="center"/>
              <w:rPr>
                <w:rFonts w:hint="eastAsia"/>
                <w:b/>
                <w:szCs w:val="21"/>
              </w:rPr>
            </w:pPr>
            <w:r>
              <w:rPr>
                <w:rFonts w:hint="eastAsia"/>
                <w:b/>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技术规格偏离情况</w:t>
            </w:r>
          </w:p>
        </w:tc>
        <w:tc>
          <w:tcPr>
            <w:tcW w:w="709" w:type="dxa"/>
            <w:vAlign w:val="center"/>
          </w:tcPr>
          <w:p>
            <w:pPr>
              <w:jc w:val="center"/>
              <w:rPr>
                <w:rFonts w:hint="eastAsia"/>
                <w:szCs w:val="21"/>
              </w:rPr>
            </w:pPr>
            <w:r>
              <w:rPr>
                <w:rFonts w:hint="eastAsia"/>
                <w:szCs w:val="21"/>
              </w:rPr>
              <w:t>50</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完全满足招标文件技术指标、参数要求，应答完整的得50分；“★”为不可偏离参数；以此为基础，投标人的技术响应低于招标文件中规定的“▲”技术要求每有一项减3分；投标人一般技术响应低于招标文件规定的，每有一项减 0.</w:t>
            </w:r>
            <w:r>
              <w:rPr>
                <w:rFonts w:hint="eastAsia"/>
                <w:szCs w:val="21"/>
                <w:lang w:val="en-US" w:eastAsia="zh-CN"/>
              </w:rPr>
              <w:t>5</w:t>
            </w:r>
            <w:r>
              <w:rPr>
                <w:rFonts w:hint="eastAsia"/>
                <w:szCs w:val="21"/>
              </w:rPr>
              <w:t>分。本项最低得0分。</w:t>
            </w:r>
          </w:p>
          <w:p>
            <w:pPr>
              <w:jc w:val="left"/>
              <w:rPr>
                <w:rFonts w:hint="eastAsia"/>
                <w:szCs w:val="21"/>
              </w:rPr>
            </w:pPr>
            <w:r>
              <w:rPr>
                <w:rFonts w:hint="eastAsia"/>
                <w:szCs w:val="21"/>
              </w:rPr>
              <w:t>（二）评分依据：</w:t>
            </w:r>
          </w:p>
          <w:p>
            <w:pPr>
              <w:jc w:val="left"/>
              <w:rPr>
                <w:rFonts w:hint="eastAsia"/>
                <w:szCs w:val="21"/>
              </w:rPr>
            </w:pPr>
            <w:r>
              <w:rPr>
                <w:rFonts w:hint="eastAsia"/>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技术保障措施</w:t>
            </w:r>
          </w:p>
        </w:tc>
        <w:tc>
          <w:tcPr>
            <w:tcW w:w="709" w:type="dxa"/>
            <w:vAlign w:val="center"/>
          </w:tcPr>
          <w:p>
            <w:pPr>
              <w:jc w:val="center"/>
              <w:rPr>
                <w:rFonts w:hint="eastAsia"/>
                <w:szCs w:val="21"/>
              </w:rPr>
            </w:pPr>
            <w:r>
              <w:rPr>
                <w:rFonts w:hint="eastAsia"/>
                <w:szCs w:val="21"/>
              </w:rPr>
              <w:t>4</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投标人在投标文件中详细说明技术保障措施，包含以下内容：</w:t>
            </w:r>
          </w:p>
          <w:p>
            <w:pPr>
              <w:jc w:val="left"/>
              <w:rPr>
                <w:rFonts w:hint="eastAsia"/>
                <w:szCs w:val="21"/>
              </w:rPr>
            </w:pPr>
            <w:r>
              <w:rPr>
                <w:rFonts w:hint="eastAsia"/>
                <w:szCs w:val="21"/>
              </w:rPr>
              <w:t>（1）供货方案；</w:t>
            </w:r>
          </w:p>
          <w:p>
            <w:pPr>
              <w:jc w:val="left"/>
              <w:rPr>
                <w:rFonts w:hint="eastAsia"/>
                <w:szCs w:val="21"/>
              </w:rPr>
            </w:pPr>
            <w:r>
              <w:rPr>
                <w:rFonts w:hint="eastAsia"/>
                <w:szCs w:val="21"/>
              </w:rPr>
              <w:t>（2）安装调试方案；</w:t>
            </w:r>
          </w:p>
          <w:p>
            <w:pPr>
              <w:jc w:val="left"/>
              <w:rPr>
                <w:rFonts w:hint="eastAsia"/>
                <w:szCs w:val="21"/>
              </w:rPr>
            </w:pPr>
            <w:r>
              <w:rPr>
                <w:rFonts w:hint="eastAsia"/>
                <w:szCs w:val="21"/>
              </w:rPr>
              <w:t>（3）质量管理措施。</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1.供货方案全面、有针对性的得2分；方案内容简单、笼统，存在较多的不足的得1分；未提供的0分。</w:t>
            </w:r>
          </w:p>
          <w:p>
            <w:pPr>
              <w:jc w:val="left"/>
              <w:rPr>
                <w:rFonts w:hint="eastAsia"/>
                <w:szCs w:val="21"/>
              </w:rPr>
            </w:pPr>
            <w:r>
              <w:rPr>
                <w:rFonts w:hint="eastAsia"/>
                <w:szCs w:val="21"/>
              </w:rPr>
              <w:t>2.安装调试方案全面、有针对性的得1分；方案内容简单、笼统，存在较多的不足的得0.5分；未提供的0分。</w:t>
            </w:r>
          </w:p>
          <w:p>
            <w:pPr>
              <w:jc w:val="left"/>
              <w:rPr>
                <w:rFonts w:hint="eastAsia"/>
                <w:szCs w:val="21"/>
              </w:rPr>
            </w:pPr>
            <w:r>
              <w:rPr>
                <w:rFonts w:hint="eastAsia"/>
                <w:szCs w:val="21"/>
              </w:rPr>
              <w:t>3.质量管理措施切实、有效的得1分；质量管理措施简单、笼统，存在较多的不足的得0.5分；未提供的0分。</w:t>
            </w:r>
          </w:p>
          <w:p>
            <w:pPr>
              <w:jc w:val="left"/>
              <w:rPr>
                <w:rFonts w:hint="eastAsia"/>
                <w:szCs w:val="21"/>
              </w:rPr>
            </w:pPr>
            <w:r>
              <w:rPr>
                <w:rFonts w:hint="eastAsia"/>
                <w:szCs w:val="21"/>
              </w:rPr>
              <w:t>以上3项合计最高4分。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售后服务方案</w:t>
            </w:r>
          </w:p>
        </w:tc>
        <w:tc>
          <w:tcPr>
            <w:tcW w:w="709" w:type="dxa"/>
            <w:vAlign w:val="center"/>
          </w:tcPr>
          <w:p>
            <w:pPr>
              <w:jc w:val="center"/>
              <w:rPr>
                <w:rFonts w:hint="eastAsia"/>
                <w:szCs w:val="21"/>
              </w:rPr>
            </w:pPr>
            <w:r>
              <w:rPr>
                <w:rFonts w:hint="eastAsia"/>
                <w:szCs w:val="21"/>
              </w:rPr>
              <w:t>6</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投标人提供售后服务方案，包含以下内容：</w:t>
            </w:r>
          </w:p>
          <w:p>
            <w:pPr>
              <w:jc w:val="left"/>
              <w:rPr>
                <w:rFonts w:hint="eastAsia"/>
                <w:szCs w:val="21"/>
              </w:rPr>
            </w:pPr>
            <w:r>
              <w:rPr>
                <w:rFonts w:hint="eastAsia"/>
                <w:szCs w:val="21"/>
              </w:rPr>
              <w:t>（1）售后服务机构及维护人员配置；</w:t>
            </w:r>
          </w:p>
          <w:p>
            <w:pPr>
              <w:jc w:val="left"/>
              <w:rPr>
                <w:rFonts w:hint="eastAsia"/>
                <w:szCs w:val="21"/>
              </w:rPr>
            </w:pPr>
            <w:r>
              <w:rPr>
                <w:rFonts w:hint="eastAsia"/>
                <w:szCs w:val="21"/>
              </w:rPr>
              <w:t>（2）维修维护方案；</w:t>
            </w:r>
          </w:p>
          <w:p>
            <w:pPr>
              <w:jc w:val="left"/>
              <w:rPr>
                <w:rFonts w:hint="eastAsia"/>
                <w:szCs w:val="21"/>
              </w:rPr>
            </w:pPr>
            <w:r>
              <w:rPr>
                <w:rFonts w:hint="eastAsia"/>
                <w:szCs w:val="21"/>
              </w:rPr>
              <w:t>（3）技术培训方案；</w:t>
            </w:r>
          </w:p>
          <w:p>
            <w:pPr>
              <w:jc w:val="left"/>
              <w:rPr>
                <w:rFonts w:hint="eastAsia"/>
                <w:szCs w:val="21"/>
              </w:rPr>
            </w:pPr>
            <w:r>
              <w:rPr>
                <w:rFonts w:hint="eastAsia"/>
                <w:szCs w:val="21"/>
              </w:rPr>
              <w:t>（4）备品备件支持计划。</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pPr>
              <w:jc w:val="left"/>
              <w:rPr>
                <w:rFonts w:hint="eastAsia"/>
                <w:szCs w:val="21"/>
              </w:rPr>
            </w:pPr>
            <w:r>
              <w:rPr>
                <w:rFonts w:hint="eastAsia"/>
                <w:szCs w:val="21"/>
              </w:rPr>
              <w:t xml:space="preserve">2.维修维护方案完善、操作性强、符合项目实际的得1.5分；维修维护方案较完善、操作性较强、较符合项目实际的得1分；维修维护方案笼统、存在不足的得0.5分；未提供维修保养方案的得0分； </w:t>
            </w:r>
          </w:p>
          <w:p>
            <w:pPr>
              <w:jc w:val="left"/>
              <w:rPr>
                <w:rFonts w:hint="eastAsia"/>
                <w:szCs w:val="21"/>
              </w:rPr>
            </w:pPr>
            <w:r>
              <w:rPr>
                <w:rFonts w:hint="eastAsia"/>
                <w:szCs w:val="21"/>
              </w:rPr>
              <w:t>3.培训内容完善、培训计划周全、安排合理的得1.5分；培训内容较完善、培训计划笼统的得1分：培训方案笼统、与本项目内容有偏差的得0.5分；未提供培训计划的得0分；</w:t>
            </w:r>
          </w:p>
          <w:p>
            <w:pPr>
              <w:jc w:val="left"/>
              <w:rPr>
                <w:rFonts w:hint="eastAsia"/>
                <w:szCs w:val="21"/>
              </w:rPr>
            </w:pPr>
            <w:r>
              <w:rPr>
                <w:rFonts w:hint="eastAsia"/>
                <w:szCs w:val="21"/>
              </w:rPr>
              <w:t>4.响应速度快、备品备件齐全的得1.5分；响应速度较快、备品备件较齐全的得1分；响应速度慢、备品备件不够齐全的得 0.5分：未提供的不得分。</w:t>
            </w:r>
          </w:p>
          <w:p>
            <w:pPr>
              <w:jc w:val="left"/>
              <w:rPr>
                <w:rFonts w:hint="eastAsia"/>
                <w:szCs w:val="21"/>
              </w:rPr>
            </w:pPr>
            <w:r>
              <w:rPr>
                <w:rFonts w:hint="eastAsia"/>
                <w:szCs w:val="21"/>
              </w:rPr>
              <w:t>以上4项合计最高6分。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szCs w:val="21"/>
              </w:rPr>
            </w:pPr>
            <w:r>
              <w:rPr>
                <w:rFonts w:hint="eastAsia"/>
                <w:b/>
                <w:bCs/>
                <w:szCs w:val="21"/>
              </w:rPr>
              <w:t>三、商务部分</w:t>
            </w:r>
          </w:p>
        </w:tc>
        <w:tc>
          <w:tcPr>
            <w:tcW w:w="1187" w:type="dxa"/>
            <w:vAlign w:val="center"/>
          </w:tcPr>
          <w:p>
            <w:pPr>
              <w:autoSpaceDE w:val="0"/>
              <w:autoSpaceDN w:val="0"/>
              <w:jc w:val="center"/>
              <w:rPr>
                <w:rFonts w:hint="eastAsia"/>
                <w:b/>
                <w:bCs/>
                <w:szCs w:val="21"/>
              </w:rPr>
            </w:pPr>
            <w:r>
              <w:rPr>
                <w:rFonts w:hint="eastAsia"/>
                <w:b/>
                <w:bCs/>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商务需求条款偏离情况</w:t>
            </w:r>
          </w:p>
        </w:tc>
        <w:tc>
          <w:tcPr>
            <w:tcW w:w="709" w:type="dxa"/>
            <w:vAlign w:val="center"/>
          </w:tcPr>
          <w:p>
            <w:pPr>
              <w:jc w:val="center"/>
              <w:rPr>
                <w:rFonts w:hint="eastAsia"/>
                <w:szCs w:val="21"/>
              </w:rPr>
            </w:pPr>
            <w:r>
              <w:rPr>
                <w:rFonts w:hint="eastAsia"/>
                <w:szCs w:val="21"/>
              </w:rPr>
              <w:t>4</w:t>
            </w:r>
          </w:p>
        </w:tc>
        <w:tc>
          <w:tcPr>
            <w:tcW w:w="5953" w:type="dxa"/>
            <w:vAlign w:val="center"/>
          </w:tcPr>
          <w:p>
            <w:pPr>
              <w:autoSpaceDE w:val="0"/>
              <w:autoSpaceDN w:val="0"/>
              <w:jc w:val="left"/>
              <w:rPr>
                <w:rFonts w:hint="eastAsia"/>
                <w:szCs w:val="21"/>
              </w:rPr>
            </w:pPr>
            <w:r>
              <w:rPr>
                <w:rFonts w:hint="eastAsia"/>
                <w:szCs w:val="21"/>
              </w:rPr>
              <w:t>投标人应如实填写《商务条款偏离表》，评审委员会根据服务条款响应情况进行评审：</w:t>
            </w:r>
          </w:p>
          <w:p>
            <w:pPr>
              <w:jc w:val="left"/>
              <w:rPr>
                <w:rFonts w:hint="eastAsia"/>
                <w:szCs w:val="21"/>
              </w:rPr>
            </w:pPr>
            <w:r>
              <w:rPr>
                <w:rFonts w:hint="eastAsia"/>
                <w:szCs w:val="21"/>
              </w:rPr>
              <w:t>完全满足招标文件商务要求，应答完整的得4分；“★”为不可偏离条款；以此为基础，投标人一般商务响应低于招标文件规定的，每有一项减</w:t>
            </w:r>
            <w:r>
              <w:rPr>
                <w:rFonts w:hint="eastAsia"/>
                <w:szCs w:val="21"/>
                <w:lang w:val="en-US" w:eastAsia="zh-CN"/>
              </w:rPr>
              <w:t>1</w:t>
            </w:r>
            <w:r>
              <w:rPr>
                <w:rFonts w:hint="eastAsia"/>
                <w:szCs w:val="21"/>
              </w:rPr>
              <w:t>分。本项最低得0分。</w:t>
            </w:r>
          </w:p>
          <w:p>
            <w:pPr>
              <w:autoSpaceDE w:val="0"/>
              <w:autoSpaceDN w:val="0"/>
              <w:jc w:val="left"/>
              <w:rPr>
                <w:rFonts w:hint="eastAsia"/>
                <w:szCs w:val="21"/>
              </w:rPr>
            </w:pPr>
            <w:r>
              <w:rPr>
                <w:rFonts w:hint="eastAsia"/>
                <w:szCs w:val="21"/>
              </w:rPr>
              <w:t>商务要求中包含子项条款的，按子项条款响应情况逐项评分。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同类项目业绩情况</w:t>
            </w:r>
          </w:p>
        </w:tc>
        <w:tc>
          <w:tcPr>
            <w:tcW w:w="709" w:type="dxa"/>
            <w:vAlign w:val="center"/>
          </w:tcPr>
          <w:p>
            <w:pPr>
              <w:jc w:val="center"/>
              <w:rPr>
                <w:rFonts w:hint="eastAsia"/>
                <w:szCs w:val="21"/>
              </w:rPr>
            </w:pPr>
            <w:r>
              <w:rPr>
                <w:rFonts w:hint="eastAsia"/>
                <w:szCs w:val="21"/>
              </w:rPr>
              <w:t>4</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rPr>
                <w:rFonts w:hint="eastAsia"/>
                <w:szCs w:val="21"/>
              </w:rPr>
            </w:pPr>
            <w:r>
              <w:rPr>
                <w:rFonts w:hint="eastAsia"/>
                <w:szCs w:val="21"/>
              </w:rPr>
              <w:t>自2021年10月1日至本项目投标截止日，（以合同签订日期为准）投标人具有气相色谱三重四极杆质谱联用仪产品销售业绩的，每提供1个项目得0.5分，最高得4分。</w:t>
            </w:r>
          </w:p>
          <w:p>
            <w:pPr>
              <w:autoSpaceDE w:val="0"/>
              <w:autoSpaceDN w:val="0"/>
              <w:jc w:val="left"/>
              <w:rPr>
                <w:rFonts w:hint="eastAsia"/>
                <w:szCs w:val="21"/>
              </w:rPr>
            </w:pPr>
            <w:r>
              <w:rPr>
                <w:rFonts w:hint="eastAsia"/>
                <w:szCs w:val="21"/>
              </w:rPr>
              <w:t>（二）评分依据：</w:t>
            </w:r>
          </w:p>
          <w:p>
            <w:pPr>
              <w:rPr>
                <w:rFonts w:hint="eastAsia"/>
                <w:szCs w:val="21"/>
              </w:rPr>
            </w:pPr>
            <w:r>
              <w:rPr>
                <w:rFonts w:hint="eastAsia"/>
                <w:szCs w:val="21"/>
              </w:rPr>
              <w:t>1. 提供合同关键页且各项信息不得有任何遮挡；</w:t>
            </w:r>
          </w:p>
          <w:p>
            <w:pPr>
              <w:rPr>
                <w:rFonts w:hint="eastAsia"/>
                <w:szCs w:val="21"/>
              </w:rPr>
            </w:pPr>
            <w:r>
              <w:rPr>
                <w:rFonts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相关认证情况</w:t>
            </w:r>
          </w:p>
        </w:tc>
        <w:tc>
          <w:tcPr>
            <w:tcW w:w="709" w:type="dxa"/>
            <w:vAlign w:val="center"/>
          </w:tcPr>
          <w:p>
            <w:pPr>
              <w:jc w:val="center"/>
              <w:rPr>
                <w:rFonts w:hint="eastAsia"/>
                <w:szCs w:val="21"/>
              </w:rPr>
            </w:pPr>
            <w:r>
              <w:rPr>
                <w:rFonts w:hint="eastAsia"/>
                <w:szCs w:val="21"/>
              </w:rPr>
              <w:t>2</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autoSpaceDE w:val="0"/>
              <w:autoSpaceDN w:val="0"/>
              <w:jc w:val="left"/>
              <w:rPr>
                <w:rFonts w:hint="eastAsia"/>
                <w:szCs w:val="21"/>
              </w:rPr>
            </w:pPr>
            <w:r>
              <w:rPr>
                <w:rFonts w:hint="eastAsia"/>
                <w:szCs w:val="21"/>
              </w:rPr>
              <w:t>所投产品生产厂家具有质量管理体系认证证书、环境管理体系认证证书、职业健康安全管理体系认证证书，每提供1个有效认证证书得1分，提供2个或以上有效认证证书得2分。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rFonts w:hint="eastAsia"/>
                <w:szCs w:val="21"/>
              </w:rPr>
              <w:t>1. 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szCs w:val="21"/>
              </w:rPr>
            </w:pPr>
            <w:r>
              <w:rPr>
                <w:rFonts w:hint="eastAsia"/>
                <w:szCs w:val="21"/>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rPr>
                <w:rFonts w:hint="eastAsia"/>
                <w:szCs w:val="21"/>
              </w:rPr>
            </w:pPr>
            <w:r>
              <w:rPr>
                <w:rFonts w:hint="eastAsia"/>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bl>
    <w:p>
      <w:pPr>
        <w:jc w:val="center"/>
        <w:rPr>
          <w:rFonts w:hint="eastAsia"/>
        </w:rPr>
      </w:pPr>
      <w:r>
        <w:rPr>
          <w:rFonts w:hint="eastAsia"/>
        </w:rPr>
        <w:t>02包</w:t>
      </w:r>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评分项及评分规则</w:t>
            </w:r>
          </w:p>
        </w:tc>
        <w:tc>
          <w:tcPr>
            <w:tcW w:w="1187" w:type="dxa"/>
            <w:vAlign w:val="center"/>
          </w:tcPr>
          <w:p>
            <w:pPr>
              <w:autoSpaceDE w:val="0"/>
              <w:autoSpaceDN w:val="0"/>
              <w:jc w:val="center"/>
              <w:rPr>
                <w:rFonts w:hint="eastAsia"/>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一、价格部分</w:t>
            </w:r>
          </w:p>
        </w:tc>
        <w:tc>
          <w:tcPr>
            <w:tcW w:w="1187" w:type="dxa"/>
            <w:vAlign w:val="center"/>
          </w:tcPr>
          <w:p>
            <w:pPr>
              <w:autoSpaceDE w:val="0"/>
              <w:autoSpaceDN w:val="0"/>
              <w:jc w:val="center"/>
              <w:rPr>
                <w:rFonts w:hint="eastAsia"/>
                <w:b/>
                <w:szCs w:val="21"/>
              </w:rPr>
            </w:pPr>
            <w:r>
              <w:rPr>
                <w:rFonts w:hint="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szCs w:val="21"/>
              </w:rPr>
            </w:pPr>
            <w:r>
              <w:rPr>
                <w:rFonts w:hint="eastAsia"/>
                <w:szCs w:val="21"/>
              </w:rPr>
              <w:t>价格分采用低价优先法计算，即满足招标文件要求且投标价格最低的投标报价为评标基准价，其价格分为满分。其他投标人的价格分统一按照下列公式计算：</w:t>
            </w:r>
          </w:p>
          <w:p>
            <w:pPr>
              <w:jc w:val="left"/>
              <w:rPr>
                <w:rFonts w:hint="eastAsia"/>
                <w:szCs w:val="21"/>
              </w:rPr>
            </w:pPr>
            <w:r>
              <w:rPr>
                <w:rFonts w:hint="eastAsia"/>
                <w:szCs w:val="21"/>
              </w:rPr>
              <w:t>投标报价得分=(评标基准价／投标报价)×30</w:t>
            </w:r>
          </w:p>
          <w:p>
            <w:pPr>
              <w:rPr>
                <w:rFonts w:hint="eastAsia"/>
                <w:szCs w:val="21"/>
              </w:rPr>
            </w:pPr>
            <w:r>
              <w:rPr>
                <w:rFonts w:hint="eastAsia"/>
                <w:snapToGrid w:val="0"/>
                <w:szCs w:val="21"/>
              </w:rPr>
              <w:t>备注：1、因落实政府采购政策进行价格调整的，以调整后的价格计算评标基准价和投标报价</w:t>
            </w:r>
            <w:r>
              <w:rPr>
                <w:rFonts w:hint="eastAsia"/>
                <w:bCs/>
                <w:snapToGrid w:val="0"/>
                <w:szCs w:val="21"/>
              </w:rPr>
              <w:t>；</w:t>
            </w:r>
            <w:r>
              <w:rPr>
                <w:rFonts w:hint="eastAsia"/>
                <w:snapToGrid w:val="0"/>
                <w:szCs w:val="21"/>
              </w:rPr>
              <w:t>2、投标报价得分四舍五入后，小数点后保留两位有效数</w:t>
            </w:r>
            <w:r>
              <w:rPr>
                <w:rFonts w:hint="eastAsia"/>
                <w:szCs w:val="21"/>
              </w:rPr>
              <w:t>。</w:t>
            </w:r>
          </w:p>
        </w:tc>
        <w:tc>
          <w:tcPr>
            <w:tcW w:w="1187" w:type="dxa"/>
            <w:vAlign w:val="center"/>
          </w:tcPr>
          <w:p>
            <w:pPr>
              <w:autoSpaceDE w:val="0"/>
              <w:autoSpaceDN w:val="0"/>
              <w:jc w:val="center"/>
              <w:rPr>
                <w:rFonts w:hint="eastAsia"/>
                <w:szCs w:val="21"/>
              </w:rPr>
            </w:pPr>
            <w:r>
              <w:rPr>
                <w:rFonts w:hint="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szCs w:val="21"/>
              </w:rPr>
            </w:pPr>
            <w:r>
              <w:rPr>
                <w:rFonts w:hint="eastAsia"/>
                <w:b/>
                <w:szCs w:val="21"/>
              </w:rPr>
              <w:t>二、技术部分</w:t>
            </w:r>
          </w:p>
        </w:tc>
        <w:tc>
          <w:tcPr>
            <w:tcW w:w="1187" w:type="dxa"/>
            <w:vAlign w:val="center"/>
          </w:tcPr>
          <w:p>
            <w:pPr>
              <w:autoSpaceDE w:val="0"/>
              <w:autoSpaceDN w:val="0"/>
              <w:jc w:val="center"/>
              <w:rPr>
                <w:rFonts w:hint="eastAsia"/>
                <w:b/>
                <w:szCs w:val="21"/>
              </w:rPr>
            </w:pPr>
            <w:r>
              <w:rPr>
                <w:rFonts w:hint="eastAsia"/>
                <w:b/>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技术规格偏离情况</w:t>
            </w:r>
          </w:p>
        </w:tc>
        <w:tc>
          <w:tcPr>
            <w:tcW w:w="709" w:type="dxa"/>
            <w:vAlign w:val="center"/>
          </w:tcPr>
          <w:p>
            <w:pPr>
              <w:jc w:val="center"/>
              <w:rPr>
                <w:rFonts w:hint="eastAsia"/>
                <w:szCs w:val="21"/>
              </w:rPr>
            </w:pPr>
            <w:r>
              <w:rPr>
                <w:rFonts w:hint="eastAsia"/>
                <w:szCs w:val="21"/>
              </w:rPr>
              <w:t>50</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完全满足招标文件技术指标、参数要求，应答完整的得50分；以此为基础，投标人的技术响应低于招标文件中规定的“▲”技术要求每有一项减3分；投标人一般技术响应低于招标文件规定的，每有一项减 0.</w:t>
            </w:r>
            <w:r>
              <w:rPr>
                <w:rFonts w:hint="eastAsia"/>
                <w:szCs w:val="21"/>
                <w:lang w:val="en-US" w:eastAsia="zh-CN"/>
              </w:rPr>
              <w:t>3</w:t>
            </w:r>
            <w:r>
              <w:rPr>
                <w:rFonts w:hint="eastAsia"/>
                <w:szCs w:val="21"/>
              </w:rPr>
              <w:t>分。本项最低得0分。</w:t>
            </w:r>
          </w:p>
          <w:p>
            <w:pPr>
              <w:jc w:val="left"/>
              <w:rPr>
                <w:rFonts w:hint="eastAsia"/>
                <w:szCs w:val="21"/>
              </w:rPr>
            </w:pPr>
          </w:p>
          <w:p>
            <w:pPr>
              <w:jc w:val="left"/>
              <w:rPr>
                <w:rFonts w:hint="eastAsia"/>
                <w:szCs w:val="21"/>
              </w:rPr>
            </w:pPr>
            <w:r>
              <w:rPr>
                <w:rFonts w:hint="eastAsia"/>
                <w:szCs w:val="21"/>
              </w:rPr>
              <w:t>（二）评分依据：</w:t>
            </w:r>
          </w:p>
          <w:p>
            <w:pPr>
              <w:jc w:val="left"/>
              <w:rPr>
                <w:rFonts w:hint="eastAsia"/>
                <w:szCs w:val="21"/>
              </w:rPr>
            </w:pPr>
            <w:r>
              <w:rPr>
                <w:rFonts w:hint="eastAsia"/>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技术保障措施</w:t>
            </w:r>
          </w:p>
        </w:tc>
        <w:tc>
          <w:tcPr>
            <w:tcW w:w="709" w:type="dxa"/>
            <w:vAlign w:val="center"/>
          </w:tcPr>
          <w:p>
            <w:pPr>
              <w:jc w:val="center"/>
              <w:rPr>
                <w:rFonts w:hint="eastAsia"/>
                <w:szCs w:val="21"/>
              </w:rPr>
            </w:pPr>
            <w:r>
              <w:rPr>
                <w:rFonts w:hint="eastAsia"/>
                <w:szCs w:val="21"/>
              </w:rPr>
              <w:t>4</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投标人在投标文件中详细说明技术保障措施，包含以下内容：</w:t>
            </w:r>
          </w:p>
          <w:p>
            <w:pPr>
              <w:jc w:val="left"/>
              <w:rPr>
                <w:rFonts w:hint="eastAsia"/>
                <w:szCs w:val="21"/>
              </w:rPr>
            </w:pPr>
            <w:r>
              <w:rPr>
                <w:rFonts w:hint="eastAsia"/>
                <w:szCs w:val="21"/>
              </w:rPr>
              <w:t>（1）供货方案；</w:t>
            </w:r>
          </w:p>
          <w:p>
            <w:pPr>
              <w:jc w:val="left"/>
              <w:rPr>
                <w:rFonts w:hint="eastAsia"/>
                <w:szCs w:val="21"/>
              </w:rPr>
            </w:pPr>
            <w:r>
              <w:rPr>
                <w:rFonts w:hint="eastAsia"/>
                <w:szCs w:val="21"/>
              </w:rPr>
              <w:t>（2）安装调试方案；</w:t>
            </w:r>
          </w:p>
          <w:p>
            <w:pPr>
              <w:jc w:val="left"/>
              <w:rPr>
                <w:rFonts w:hint="eastAsia"/>
                <w:szCs w:val="21"/>
              </w:rPr>
            </w:pPr>
            <w:r>
              <w:rPr>
                <w:rFonts w:hint="eastAsia"/>
                <w:szCs w:val="21"/>
              </w:rPr>
              <w:t>（3）质量管理措施。</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1.供货方案全面、有针对性的得2分；方案内容简单、笼统，存在较多的不足的得1分；未提供的0分。</w:t>
            </w:r>
          </w:p>
          <w:p>
            <w:pPr>
              <w:jc w:val="left"/>
              <w:rPr>
                <w:rFonts w:hint="eastAsia"/>
                <w:szCs w:val="21"/>
              </w:rPr>
            </w:pPr>
            <w:r>
              <w:rPr>
                <w:rFonts w:hint="eastAsia"/>
                <w:szCs w:val="21"/>
              </w:rPr>
              <w:t>2.安装调试方案全面、有针对性的得1分；方案内容简单、笼统，存在较多的不足的得0.5分；未提供的0分。</w:t>
            </w:r>
          </w:p>
          <w:p>
            <w:pPr>
              <w:jc w:val="left"/>
              <w:rPr>
                <w:rFonts w:hint="eastAsia"/>
                <w:szCs w:val="21"/>
              </w:rPr>
            </w:pPr>
            <w:r>
              <w:rPr>
                <w:rFonts w:hint="eastAsia"/>
                <w:szCs w:val="21"/>
              </w:rPr>
              <w:t>3.质量管理措施切实、有效的得1分；质量管理措施简单、笼统，存在较多的不足的得0.5分；未提供的0分。</w:t>
            </w:r>
          </w:p>
          <w:p>
            <w:pPr>
              <w:jc w:val="left"/>
              <w:rPr>
                <w:rFonts w:hint="eastAsia"/>
                <w:szCs w:val="21"/>
              </w:rPr>
            </w:pPr>
            <w:r>
              <w:rPr>
                <w:rFonts w:hint="eastAsia"/>
                <w:szCs w:val="21"/>
              </w:rPr>
              <w:t>以上3项合计最高4分。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售后服务方案</w:t>
            </w:r>
          </w:p>
        </w:tc>
        <w:tc>
          <w:tcPr>
            <w:tcW w:w="709" w:type="dxa"/>
            <w:vAlign w:val="center"/>
          </w:tcPr>
          <w:p>
            <w:pPr>
              <w:jc w:val="center"/>
              <w:rPr>
                <w:rFonts w:hint="eastAsia"/>
                <w:szCs w:val="21"/>
              </w:rPr>
            </w:pPr>
            <w:r>
              <w:rPr>
                <w:rFonts w:hint="eastAsia"/>
                <w:szCs w:val="21"/>
              </w:rPr>
              <w:t>6</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投标人提供售后服务方案，包含以下内容：</w:t>
            </w:r>
          </w:p>
          <w:p>
            <w:pPr>
              <w:jc w:val="left"/>
              <w:rPr>
                <w:rFonts w:hint="eastAsia"/>
                <w:szCs w:val="21"/>
              </w:rPr>
            </w:pPr>
            <w:r>
              <w:rPr>
                <w:rFonts w:hint="eastAsia"/>
                <w:szCs w:val="21"/>
              </w:rPr>
              <w:t>（1）售后服务机构及维护人员配置；</w:t>
            </w:r>
          </w:p>
          <w:p>
            <w:pPr>
              <w:jc w:val="left"/>
              <w:rPr>
                <w:rFonts w:hint="eastAsia"/>
                <w:szCs w:val="21"/>
              </w:rPr>
            </w:pPr>
            <w:r>
              <w:rPr>
                <w:rFonts w:hint="eastAsia"/>
                <w:szCs w:val="21"/>
              </w:rPr>
              <w:t>（2）维修维护方案；</w:t>
            </w:r>
          </w:p>
          <w:p>
            <w:pPr>
              <w:jc w:val="left"/>
              <w:rPr>
                <w:rFonts w:hint="eastAsia"/>
                <w:szCs w:val="21"/>
              </w:rPr>
            </w:pPr>
            <w:r>
              <w:rPr>
                <w:rFonts w:hint="eastAsia"/>
                <w:szCs w:val="21"/>
              </w:rPr>
              <w:t>（3）技术培训方案；</w:t>
            </w:r>
          </w:p>
          <w:p>
            <w:pPr>
              <w:jc w:val="left"/>
              <w:rPr>
                <w:rFonts w:hint="eastAsia"/>
                <w:szCs w:val="21"/>
              </w:rPr>
            </w:pPr>
            <w:r>
              <w:rPr>
                <w:rFonts w:hint="eastAsia"/>
                <w:szCs w:val="21"/>
              </w:rPr>
              <w:t>（4）备品备件支持计划。</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pPr>
              <w:jc w:val="left"/>
              <w:rPr>
                <w:rFonts w:hint="eastAsia"/>
                <w:szCs w:val="21"/>
              </w:rPr>
            </w:pPr>
            <w:r>
              <w:rPr>
                <w:rFonts w:hint="eastAsia"/>
                <w:szCs w:val="21"/>
              </w:rPr>
              <w:t xml:space="preserve">2.维修维护方案完善、操作性强、符合项目实际的得1.5分；维修维护方案较完善、操作性较强、较符合项目实际的得1分；维修维护方案笼统、存在不足的得0.5分；未提供维修保养方案的得0分； </w:t>
            </w:r>
          </w:p>
          <w:p>
            <w:pPr>
              <w:jc w:val="left"/>
              <w:rPr>
                <w:rFonts w:hint="eastAsia"/>
                <w:szCs w:val="21"/>
              </w:rPr>
            </w:pPr>
            <w:r>
              <w:rPr>
                <w:rFonts w:hint="eastAsia"/>
                <w:szCs w:val="21"/>
              </w:rPr>
              <w:t>3.培训内容完善、培训计划周全、安排合理的得1.5分；培训内容较完善、培训计划笼统的得1分：培训方案笼统、与本项目内容有偏差的得0.5分；未提供培训计划的得0分；</w:t>
            </w:r>
          </w:p>
          <w:p>
            <w:pPr>
              <w:jc w:val="left"/>
              <w:rPr>
                <w:rFonts w:hint="eastAsia"/>
                <w:szCs w:val="21"/>
              </w:rPr>
            </w:pPr>
            <w:r>
              <w:rPr>
                <w:rFonts w:hint="eastAsia"/>
                <w:szCs w:val="21"/>
              </w:rPr>
              <w:t>4.响应速度快、备品备件齐全的得1.5分；响应速度较快、备品备件较齐全的得1分；响应速度慢、备品备件不够齐全的得 0.5分：未提供的不得分。</w:t>
            </w:r>
          </w:p>
          <w:p>
            <w:pPr>
              <w:jc w:val="left"/>
              <w:rPr>
                <w:rFonts w:hint="eastAsia"/>
                <w:szCs w:val="21"/>
              </w:rPr>
            </w:pPr>
            <w:r>
              <w:rPr>
                <w:rFonts w:hint="eastAsia"/>
                <w:szCs w:val="21"/>
              </w:rPr>
              <w:t>以上4项合计最高6分。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szCs w:val="21"/>
              </w:rPr>
            </w:pPr>
            <w:r>
              <w:rPr>
                <w:rFonts w:hint="eastAsia"/>
                <w:b/>
                <w:bCs/>
                <w:szCs w:val="21"/>
              </w:rPr>
              <w:t>三、商务部分</w:t>
            </w:r>
          </w:p>
        </w:tc>
        <w:tc>
          <w:tcPr>
            <w:tcW w:w="1187" w:type="dxa"/>
            <w:vAlign w:val="center"/>
          </w:tcPr>
          <w:p>
            <w:pPr>
              <w:autoSpaceDE w:val="0"/>
              <w:autoSpaceDN w:val="0"/>
              <w:jc w:val="center"/>
              <w:rPr>
                <w:rFonts w:hint="eastAsia"/>
                <w:b/>
                <w:bCs/>
                <w:szCs w:val="21"/>
              </w:rPr>
            </w:pPr>
            <w:r>
              <w:rPr>
                <w:rFonts w:hint="eastAsia"/>
                <w:b/>
                <w:bCs/>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商务需求条款偏离情况</w:t>
            </w:r>
          </w:p>
        </w:tc>
        <w:tc>
          <w:tcPr>
            <w:tcW w:w="709" w:type="dxa"/>
            <w:vAlign w:val="center"/>
          </w:tcPr>
          <w:p>
            <w:pPr>
              <w:jc w:val="center"/>
              <w:rPr>
                <w:rFonts w:hint="eastAsia"/>
                <w:szCs w:val="21"/>
              </w:rPr>
            </w:pPr>
            <w:r>
              <w:rPr>
                <w:rFonts w:hint="eastAsia"/>
                <w:szCs w:val="21"/>
              </w:rPr>
              <w:t>4</w:t>
            </w:r>
          </w:p>
        </w:tc>
        <w:tc>
          <w:tcPr>
            <w:tcW w:w="5953" w:type="dxa"/>
            <w:vAlign w:val="center"/>
          </w:tcPr>
          <w:p>
            <w:pPr>
              <w:autoSpaceDE w:val="0"/>
              <w:autoSpaceDN w:val="0"/>
              <w:jc w:val="left"/>
              <w:rPr>
                <w:rFonts w:hint="eastAsia"/>
                <w:szCs w:val="21"/>
              </w:rPr>
            </w:pPr>
            <w:r>
              <w:rPr>
                <w:rFonts w:hint="eastAsia"/>
                <w:szCs w:val="21"/>
              </w:rPr>
              <w:t>投标人应如实填写《商务条款偏离表》，评审委员会根据服务条款响应情况进行评审：</w:t>
            </w:r>
          </w:p>
          <w:p>
            <w:pPr>
              <w:jc w:val="left"/>
              <w:rPr>
                <w:rFonts w:hint="eastAsia"/>
                <w:szCs w:val="21"/>
              </w:rPr>
            </w:pPr>
            <w:r>
              <w:rPr>
                <w:rFonts w:hint="eastAsia"/>
                <w:szCs w:val="21"/>
              </w:rPr>
              <w:t>完全满足招标文件商务要求，应答完整的得4分；“★”为不可偏离条款；以此为基础，投标人一般商务响应低于招标文件规定的，每有一项减</w:t>
            </w:r>
            <w:r>
              <w:rPr>
                <w:rFonts w:hint="eastAsia"/>
                <w:szCs w:val="21"/>
                <w:lang w:val="en-US" w:eastAsia="zh-CN"/>
              </w:rPr>
              <w:t>1</w:t>
            </w:r>
            <w:r>
              <w:rPr>
                <w:rFonts w:hint="eastAsia"/>
                <w:szCs w:val="21"/>
              </w:rPr>
              <w:t>分。本项最低得0分。</w:t>
            </w:r>
          </w:p>
          <w:p>
            <w:pPr>
              <w:autoSpaceDE w:val="0"/>
              <w:autoSpaceDN w:val="0"/>
              <w:jc w:val="left"/>
              <w:rPr>
                <w:rFonts w:hint="eastAsia"/>
                <w:szCs w:val="21"/>
              </w:rPr>
            </w:pPr>
            <w:r>
              <w:rPr>
                <w:rFonts w:hint="eastAsia"/>
                <w:szCs w:val="21"/>
              </w:rPr>
              <w:t>商务要求中包含子项条款的，按子项条款响应情况逐项评分。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同类项目业绩情况</w:t>
            </w:r>
          </w:p>
        </w:tc>
        <w:tc>
          <w:tcPr>
            <w:tcW w:w="709" w:type="dxa"/>
            <w:vAlign w:val="center"/>
          </w:tcPr>
          <w:p>
            <w:pPr>
              <w:jc w:val="center"/>
              <w:rPr>
                <w:rFonts w:hint="eastAsia"/>
                <w:szCs w:val="21"/>
              </w:rPr>
            </w:pPr>
            <w:r>
              <w:rPr>
                <w:rFonts w:hint="eastAsia"/>
                <w:szCs w:val="21"/>
              </w:rPr>
              <w:t>4</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rPr>
                <w:rFonts w:hint="eastAsia"/>
                <w:szCs w:val="21"/>
              </w:rPr>
            </w:pPr>
            <w:r>
              <w:rPr>
                <w:rFonts w:hint="eastAsia"/>
                <w:szCs w:val="21"/>
              </w:rPr>
              <w:t>自2021年10月1日至本项目投标截止日，（以合同签订日期为准）投标人具有气相色谱三重四极杆质谱联用仪产品销售业绩的，每提供1个项目得0.5分，最高得4分。</w:t>
            </w:r>
          </w:p>
          <w:p>
            <w:pPr>
              <w:autoSpaceDE w:val="0"/>
              <w:autoSpaceDN w:val="0"/>
              <w:jc w:val="left"/>
              <w:rPr>
                <w:rFonts w:hint="eastAsia"/>
                <w:szCs w:val="21"/>
              </w:rPr>
            </w:pPr>
            <w:r>
              <w:rPr>
                <w:rFonts w:hint="eastAsia"/>
                <w:szCs w:val="21"/>
              </w:rPr>
              <w:t>（二）评分依据：</w:t>
            </w:r>
          </w:p>
          <w:p>
            <w:pPr>
              <w:rPr>
                <w:rFonts w:hint="eastAsia"/>
                <w:szCs w:val="21"/>
              </w:rPr>
            </w:pPr>
            <w:r>
              <w:rPr>
                <w:rFonts w:hint="eastAsia"/>
                <w:szCs w:val="21"/>
              </w:rPr>
              <w:t>1. 提供合同关键页且各项信息不得有任何遮挡；</w:t>
            </w:r>
          </w:p>
          <w:p>
            <w:pPr>
              <w:rPr>
                <w:rFonts w:hint="eastAsia"/>
                <w:szCs w:val="21"/>
              </w:rPr>
            </w:pPr>
            <w:r>
              <w:rPr>
                <w:rFonts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相关认证情况</w:t>
            </w:r>
          </w:p>
        </w:tc>
        <w:tc>
          <w:tcPr>
            <w:tcW w:w="709" w:type="dxa"/>
            <w:vAlign w:val="center"/>
          </w:tcPr>
          <w:p>
            <w:pPr>
              <w:jc w:val="center"/>
              <w:rPr>
                <w:rFonts w:hint="eastAsia"/>
                <w:szCs w:val="21"/>
              </w:rPr>
            </w:pPr>
            <w:r>
              <w:rPr>
                <w:rFonts w:hint="eastAsia"/>
                <w:szCs w:val="21"/>
              </w:rPr>
              <w:t>2</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autoSpaceDE w:val="0"/>
              <w:autoSpaceDN w:val="0"/>
              <w:jc w:val="left"/>
              <w:rPr>
                <w:rFonts w:hint="eastAsia"/>
                <w:szCs w:val="21"/>
              </w:rPr>
            </w:pPr>
            <w:r>
              <w:rPr>
                <w:rFonts w:hint="eastAsia"/>
                <w:szCs w:val="21"/>
              </w:rPr>
              <w:t>所投产品生产厂家具有质量管理体系认证证书、环境管理体系认证证书、职业健康安全管理体系认证证书，每提供1个有效认证证书得1分，提供2个或以上有效认证证书得2分。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rFonts w:hint="eastAsia"/>
                <w:szCs w:val="21"/>
              </w:rPr>
              <w:t>1. 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szCs w:val="21"/>
              </w:rPr>
            </w:pPr>
            <w:r>
              <w:rPr>
                <w:rFonts w:hint="eastAsia"/>
                <w:szCs w:val="21"/>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rPr>
                <w:rFonts w:hint="eastAsia"/>
                <w:szCs w:val="21"/>
              </w:rPr>
            </w:pPr>
            <w:r>
              <w:rPr>
                <w:rFonts w:hint="eastAsia"/>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bl>
    <w:p>
      <w:pPr>
        <w:tabs>
          <w:tab w:val="clear" w:pos="426"/>
        </w:tabs>
        <w:spacing w:line="240" w:lineRule="auto"/>
        <w:rPr>
          <w:rFonts w:hint="eastAsia"/>
        </w:rPr>
      </w:pPr>
      <w:r>
        <w:rPr>
          <w:rFonts w:hint="eastAsia"/>
        </w:rPr>
        <w:t>备注：</w:t>
      </w:r>
    </w:p>
    <w:p>
      <w:pPr>
        <w:tabs>
          <w:tab w:val="clear" w:pos="426"/>
        </w:tabs>
        <w:spacing w:line="240" w:lineRule="auto"/>
        <w:ind w:firstLine="420" w:firstLineChars="200"/>
        <w:rPr>
          <w:rFonts w:hint="eastAsia"/>
        </w:rPr>
      </w:pPr>
      <w:r>
        <w:rPr>
          <w:rFonts w:hint="eastAsia"/>
        </w:rPr>
        <w:t>1. 缺项则该项为0分或不合格为0分。</w:t>
      </w:r>
    </w:p>
    <w:p>
      <w:pPr>
        <w:tabs>
          <w:tab w:val="clear" w:pos="426"/>
        </w:tabs>
        <w:spacing w:line="240" w:lineRule="auto"/>
        <w:ind w:firstLine="420" w:firstLineChars="200"/>
        <w:rPr>
          <w:rFonts w:hint="eastAsia"/>
        </w:rPr>
      </w:pPr>
      <w:r>
        <w:rPr>
          <w:rFonts w:hint="eastAsia"/>
        </w:rPr>
        <w:t>2.</w:t>
      </w:r>
      <w:r>
        <w:t xml:space="preserve"> 价格、技术、商务部分为针对项目具体情况设置项目，累加满分为100分，固定额外加分部分为固定设置项，对涉及政策导向优先采购产品进行额外加分</w:t>
      </w:r>
      <w:r>
        <w:rPr>
          <w:rFonts w:hint="eastAsia"/>
        </w:rPr>
        <w:t>。</w:t>
      </w:r>
    </w:p>
    <w:p>
      <w:pPr>
        <w:tabs>
          <w:tab w:val="clear" w:pos="426"/>
        </w:tabs>
        <w:spacing w:line="240" w:lineRule="auto"/>
        <w:ind w:firstLine="420" w:firstLineChars="200"/>
        <w:rPr>
          <w:rFonts w:hint="eastAsia"/>
        </w:rPr>
      </w:pPr>
      <w:r>
        <w:rPr>
          <w:rFonts w:hint="eastAsia"/>
        </w:rPr>
        <w:t>3. 综合以上分析比较，评委会将对各投标文件进行书面的量化评定，得分</w:t>
      </w:r>
      <w:r>
        <w:t>精确到小数点后两位</w:t>
      </w:r>
      <w:r>
        <w:rPr>
          <w:rFonts w:hint="eastAsia"/>
        </w:rPr>
        <w:t>。</w:t>
      </w:r>
    </w:p>
    <w:p>
      <w:pPr>
        <w:tabs>
          <w:tab w:val="clear" w:pos="426"/>
        </w:tabs>
        <w:spacing w:line="240" w:lineRule="auto"/>
        <w:ind w:firstLine="420" w:firstLineChars="200"/>
        <w:rPr>
          <w:rFonts w:hint="eastAsia"/>
        </w:rPr>
      </w:pPr>
      <w:r>
        <w:rPr>
          <w:rFonts w:hint="eastAsia"/>
        </w:rPr>
        <w:t>4. 客观评分项，所有评审专家应当统一打分分值；主观评分项，评审专家应当按照打分标准独立打分。</w:t>
      </w:r>
    </w:p>
    <w:p>
      <w:pPr>
        <w:rPr>
          <w:rFonts w:hint="eastAsia"/>
        </w:rPr>
      </w:pPr>
    </w:p>
    <w:p>
      <w:pPr>
        <w:rPr>
          <w:rFonts w:hint="eastAsia"/>
        </w:rPr>
      </w:pPr>
    </w:p>
    <w:p>
      <w:pPr>
        <w:rPr>
          <w:rFonts w:hint="eastAsia"/>
        </w:rPr>
      </w:pPr>
      <w:r>
        <w:rPr>
          <w:rFonts w:hint="eastAsia"/>
        </w:rPr>
        <w:br w:type="page"/>
      </w:r>
    </w:p>
    <w:p>
      <w:pPr>
        <w:pStyle w:val="62"/>
      </w:pPr>
      <w:bookmarkStart w:id="66" w:name="_Toc26041"/>
      <w:r>
        <w:rPr>
          <w:rFonts w:hint="eastAsia"/>
        </w:rPr>
        <w:t>前附表（四）</w:t>
      </w:r>
      <w:bookmarkEnd w:id="66"/>
    </w:p>
    <w:p>
      <w:pPr>
        <w:adjustRightInd/>
        <w:snapToGrid/>
        <w:spacing w:before="280" w:after="290" w:line="377" w:lineRule="auto"/>
        <w:jc w:val="left"/>
        <w:outlineLvl w:val="2"/>
        <w:rPr>
          <w:rFonts w:hint="eastAsia"/>
          <w:b/>
          <w:sz w:val="24"/>
        </w:rPr>
      </w:pPr>
      <w:bookmarkStart w:id="67" w:name="_Toc12567"/>
      <w:r>
        <w:rPr>
          <w:rFonts w:hint="eastAsia"/>
          <w:b/>
          <w:sz w:val="24"/>
        </w:rPr>
        <w:t>1.资格审查</w:t>
      </w:r>
      <w:bookmarkEnd w:id="67"/>
    </w:p>
    <w:p>
      <w:pPr>
        <w:tabs>
          <w:tab w:val="clear" w:pos="426"/>
        </w:tabs>
        <w:spacing w:line="300" w:lineRule="auto"/>
        <w:ind w:firstLine="420" w:firstLineChars="200"/>
        <w:rPr>
          <w:rFonts w:hint="eastAsia"/>
        </w:rPr>
      </w:pPr>
      <w:r>
        <w:rPr>
          <w:rFonts w:hint="eastAsia"/>
        </w:rPr>
        <w:t>依据法律法规和招标文件的规定，对投标文件中的资格证明等进行审查，以确定投标供应商是否具备投标资格。审查内容请详见“前附表（一）资格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rPr>
      </w:pPr>
      <w:bookmarkStart w:id="68" w:name="_Toc1724"/>
      <w:r>
        <w:rPr>
          <w:rFonts w:hint="eastAsia"/>
          <w:b/>
          <w:sz w:val="24"/>
        </w:rPr>
        <w:t>2.评标方法</w:t>
      </w:r>
      <w:bookmarkEnd w:id="68"/>
    </w:p>
    <w:p>
      <w:pPr>
        <w:tabs>
          <w:tab w:val="clear" w:pos="426"/>
        </w:tabs>
        <w:spacing w:line="300" w:lineRule="auto"/>
        <w:ind w:firstLine="420" w:firstLineChars="200"/>
        <w:rPr>
          <w:rFonts w:hint="eastAsia"/>
        </w:rPr>
      </w:pPr>
      <w:r>
        <w:rPr>
          <w:rFonts w:hint="eastAsia"/>
        </w:rPr>
        <w:t>2.1本项目评标方法为：综合评分法</w:t>
      </w:r>
    </w:p>
    <w:p>
      <w:pPr>
        <w:tabs>
          <w:tab w:val="clear" w:pos="426"/>
        </w:tabs>
        <w:spacing w:line="300" w:lineRule="auto"/>
        <w:ind w:firstLine="422" w:firstLineChars="200"/>
        <w:rPr>
          <w:rFonts w:hint="eastAsia"/>
          <w:b/>
          <w:bCs/>
        </w:rPr>
      </w:pPr>
      <w:r>
        <w:rPr>
          <w:rFonts w:hint="eastAsia"/>
          <w:b/>
          <w:bCs/>
        </w:rPr>
        <w:t>（1）本项目共2个包，包划分详见招标文件第二章项目需求-一、货物清单一览表。</w:t>
      </w:r>
    </w:p>
    <w:p>
      <w:pPr>
        <w:tabs>
          <w:tab w:val="clear" w:pos="426"/>
        </w:tabs>
        <w:spacing w:line="300" w:lineRule="auto"/>
        <w:ind w:firstLine="422" w:firstLineChars="200"/>
        <w:rPr>
          <w:rFonts w:hint="eastAsia"/>
          <w:b/>
          <w:bCs/>
        </w:rPr>
      </w:pPr>
      <w:r>
        <w:rPr>
          <w:rFonts w:hint="eastAsia"/>
          <w:b/>
          <w:bCs/>
        </w:rPr>
        <w:t>（2）本项目通过公开招标每包确定1家中标供应商，投标供应商可选择1个包或2个包进行投标响应。</w:t>
      </w:r>
    </w:p>
    <w:p>
      <w:pPr>
        <w:tabs>
          <w:tab w:val="clear" w:pos="426"/>
        </w:tabs>
        <w:spacing w:line="300" w:lineRule="auto"/>
        <w:ind w:firstLine="422" w:firstLineChars="200"/>
        <w:rPr>
          <w:rFonts w:hint="eastAsia"/>
          <w:b/>
          <w:bCs/>
        </w:rPr>
      </w:pPr>
      <w:r>
        <w:rPr>
          <w:rFonts w:hint="eastAsia"/>
          <w:b/>
          <w:bCs/>
        </w:rPr>
        <w:t>（3）评标委员会依次评审01包、02包。</w:t>
      </w:r>
    </w:p>
    <w:p>
      <w:pPr>
        <w:tabs>
          <w:tab w:val="clear" w:pos="426"/>
        </w:tabs>
        <w:spacing w:line="300" w:lineRule="auto"/>
        <w:ind w:firstLine="422" w:firstLineChars="200"/>
        <w:rPr>
          <w:rFonts w:hint="eastAsia"/>
          <w:b/>
          <w:bCs/>
        </w:rPr>
      </w:pPr>
      <w:r>
        <w:rPr>
          <w:rFonts w:hint="eastAsia"/>
          <w:b/>
          <w:bCs/>
        </w:rPr>
        <w:t>（4）每个包由评标委员会推荐评标总得分前三名的投标供应商作为候选中标供应商，每个包评标总得分第一名的投标供应商作为对应包的中标供应商，01包排名第一的中标供应商亦可作为02包的中标供应商（兼投兼中原则）。</w:t>
      </w:r>
    </w:p>
    <w:p>
      <w:pPr>
        <w:tabs>
          <w:tab w:val="clear" w:pos="426"/>
        </w:tabs>
        <w:spacing w:line="300" w:lineRule="auto"/>
        <w:ind w:firstLine="422" w:firstLineChars="200"/>
        <w:rPr>
          <w:rFonts w:hint="eastAsia"/>
          <w:b/>
          <w:bCs/>
        </w:rPr>
      </w:pPr>
      <w:r>
        <w:rPr>
          <w:rFonts w:hint="eastAsia"/>
          <w:b/>
          <w:bCs/>
        </w:rPr>
        <w:t>（5）根据公开招标竞争性原则，当某个包合格投标供应商数量小于3名时，该包废标，但不影响其他包；当两个包合格投标供应商数量均小于3名时，本项目废标，采购代理机构重新组织采购。</w:t>
      </w:r>
    </w:p>
    <w:p>
      <w:pPr>
        <w:tabs>
          <w:tab w:val="clear" w:pos="426"/>
        </w:tabs>
        <w:spacing w:line="300" w:lineRule="auto"/>
        <w:ind w:firstLine="420" w:firstLineChars="200"/>
        <w:rPr>
          <w:rFonts w:hint="eastAsia"/>
        </w:rPr>
      </w:pPr>
      <w:r>
        <w:rPr>
          <w:rFonts w:hint="eastAsia"/>
        </w:rPr>
        <w:t>（6）当某包合格投标供应商数量大于等于3名时，评标委员会依据本次评标所采用的综合评分法，按照招标文件中规定的各项因素进行量化打分，每个投标单位的总得分取算术平均值确定其评标总得分。</w:t>
      </w:r>
    </w:p>
    <w:p>
      <w:pPr>
        <w:tabs>
          <w:tab w:val="clear" w:pos="426"/>
        </w:tabs>
        <w:spacing w:line="300" w:lineRule="auto"/>
        <w:ind w:firstLine="420" w:firstLineChars="200"/>
        <w:rPr>
          <w:rFonts w:hint="eastAsia"/>
        </w:rPr>
      </w:pPr>
      <w:r>
        <w:rPr>
          <w:rFonts w:hint="eastAsia"/>
        </w:rPr>
        <w:t>候选中标供应商分包按评审后得分由高到低顺序排列。得分相同的，按投标报价由低到高顺序排列。得分且投标报价相同的，按技术指标或服务方案优劣顺序排列。得分且投标报价相同的且技术指标或服务方案优劣相同的，采取随机抽取方式确定候选中标供应商推荐资格。</w:t>
      </w:r>
    </w:p>
    <w:p>
      <w:pPr>
        <w:tabs>
          <w:tab w:val="clear" w:pos="426"/>
        </w:tabs>
        <w:spacing w:line="300" w:lineRule="auto"/>
        <w:ind w:firstLine="420" w:firstLineChars="200"/>
        <w:rPr>
          <w:rFonts w:hint="eastAsia"/>
        </w:rPr>
      </w:pPr>
      <w:r>
        <w:rPr>
          <w:rFonts w:hint="eastAsia"/>
        </w:rPr>
        <w:t>评标委员会对每个通过资格性检查和符合性检查且报价不超过预算控制金额的投标供应商进行评审、打分，然后汇总每个投标供应商每项评分因素的评分。</w:t>
      </w:r>
    </w:p>
    <w:p>
      <w:pPr>
        <w:tabs>
          <w:tab w:val="clear" w:pos="426"/>
        </w:tabs>
        <w:spacing w:line="300" w:lineRule="auto"/>
        <w:ind w:firstLine="420" w:firstLineChars="200"/>
        <w:rPr>
          <w:rFonts w:hint="eastAsia"/>
        </w:rPr>
      </w:pPr>
      <w:r>
        <w:rPr>
          <w:rFonts w:hint="eastAsia"/>
        </w:rPr>
        <w:t>2.2中标人放弃中标资格或者中标人的中标资格被依法确认无效的，将重新组织采购。因情况紧急，重新组织采购不能满足采购人要求的，采购人可以确定备选中标人为替补中标人。采购人确定备选中标人为替补中标人的，代理机构将替补中标人的情况予以公示，公示无异议的，确定新的中标人；公示有异议且异议成立的将重新组织采购。替补中标人放弃中标资格或者中标资格被依法确认无效的，将重新组织采购。</w:t>
      </w:r>
    </w:p>
    <w:p>
      <w:pPr>
        <w:tabs>
          <w:tab w:val="clear" w:pos="426"/>
        </w:tabs>
        <w:spacing w:line="300" w:lineRule="auto"/>
        <w:ind w:firstLine="420" w:firstLineChars="200"/>
        <w:rPr>
          <w:rFonts w:hint="eastAsia"/>
        </w:rPr>
      </w:pPr>
      <w:r>
        <w:rPr>
          <w:rFonts w:hint="eastAsia"/>
        </w:rPr>
        <w:t>2.3价格分计算方法</w:t>
      </w:r>
    </w:p>
    <w:p>
      <w:pPr>
        <w:tabs>
          <w:tab w:val="clear" w:pos="426"/>
        </w:tabs>
        <w:spacing w:line="300" w:lineRule="auto"/>
        <w:ind w:firstLine="420" w:firstLineChars="200"/>
        <w:rPr>
          <w:rFonts w:hint="eastAsia"/>
        </w:rPr>
      </w:pPr>
      <w:r>
        <w:rPr>
          <w:rFonts w:hint="eastAsia"/>
        </w:rPr>
        <w:t>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rFonts w:hint="eastAsia"/>
        </w:rPr>
      </w:pPr>
      <w:r>
        <w:rPr>
          <w:rFonts w:hint="eastAsia"/>
        </w:rPr>
        <w:t>投标报价得分=(评标基准价／投标报价)×30</w:t>
      </w:r>
    </w:p>
    <w:p>
      <w:pPr>
        <w:tabs>
          <w:tab w:val="clear" w:pos="426"/>
        </w:tabs>
        <w:spacing w:line="300" w:lineRule="auto"/>
        <w:ind w:firstLine="420" w:firstLineChars="200"/>
        <w:rPr>
          <w:rFonts w:hint="eastAsia"/>
        </w:rPr>
      </w:pPr>
      <w:r>
        <w:rPr>
          <w:rFonts w:hint="eastAsia"/>
        </w:rPr>
        <w:t>2.4评标优惠政策</w:t>
      </w:r>
    </w:p>
    <w:p>
      <w:pPr>
        <w:tabs>
          <w:tab w:val="clear" w:pos="426"/>
        </w:tabs>
        <w:spacing w:line="300" w:lineRule="auto"/>
        <w:ind w:firstLine="422" w:firstLineChars="200"/>
        <w:rPr>
          <w:rFonts w:hint="eastAsia"/>
          <w:b/>
          <w:bCs/>
          <w:szCs w:val="21"/>
        </w:rPr>
      </w:pPr>
      <w:r>
        <w:rPr>
          <w:rFonts w:hint="eastAsia"/>
          <w:b/>
          <w:bCs/>
        </w:rPr>
        <w:t>本项目采购标的对应</w:t>
      </w:r>
      <w:r>
        <w:rPr>
          <w:rFonts w:hint="eastAsia"/>
          <w:b/>
          <w:bCs/>
          <w:szCs w:val="21"/>
        </w:rPr>
        <w:t>的中小企业划分标准所属行业为</w:t>
      </w:r>
      <w:r>
        <w:rPr>
          <w:rFonts w:hint="eastAsia"/>
          <w:b/>
          <w:bCs/>
          <w:szCs w:val="21"/>
          <w:u w:val="single"/>
        </w:rPr>
        <w:t>工业</w:t>
      </w:r>
      <w:r>
        <w:rPr>
          <w:rFonts w:hint="eastAsia"/>
          <w:b/>
          <w:bCs/>
          <w:szCs w:val="21"/>
        </w:rPr>
        <w:t>。</w:t>
      </w:r>
    </w:p>
    <w:p>
      <w:pPr>
        <w:tabs>
          <w:tab w:val="clear" w:pos="426"/>
        </w:tabs>
        <w:spacing w:line="300" w:lineRule="auto"/>
        <w:ind w:firstLine="420" w:firstLineChars="200"/>
        <w:rPr>
          <w:rFonts w:hint="eastAsia"/>
          <w:szCs w:val="21"/>
        </w:rPr>
      </w:pPr>
      <w: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w:t>
      </w:r>
      <w:r>
        <w:rPr>
          <w:b/>
          <w:bCs/>
        </w:rPr>
        <w:t>扣除</w:t>
      </w:r>
      <w:r>
        <w:rPr>
          <w:rFonts w:hint="eastAsia"/>
          <w:b/>
          <w:bCs/>
          <w:u w:val="single"/>
        </w:rPr>
        <w:t>10</w:t>
      </w:r>
      <w:r>
        <w:rPr>
          <w:b/>
          <w:bCs/>
          <w:u w:val="single"/>
        </w:rPr>
        <w:t>%</w:t>
      </w:r>
      <w:r>
        <w:t>后参与评审。对于同时属于小微企业、监狱</w:t>
      </w:r>
      <w:r>
        <w:rPr>
          <w:szCs w:val="21"/>
        </w:rPr>
        <w:t>企业或残疾人福利性</w:t>
      </w:r>
      <w:r>
        <w:rPr>
          <w:rFonts w:hint="eastAsia"/>
          <w:szCs w:val="21"/>
        </w:rPr>
        <w:t>单位的，不重复进行投标报价扣除。如有其它政策支持因素（如鼓励创新等）需一并列出。</w:t>
      </w:r>
    </w:p>
    <w:p>
      <w:pPr>
        <w:tabs>
          <w:tab w:val="clear" w:pos="426"/>
        </w:tabs>
        <w:spacing w:line="300" w:lineRule="auto"/>
        <w:ind w:firstLine="420" w:firstLineChars="200"/>
        <w:rPr>
          <w:rFonts w:hint="eastAsia"/>
          <w:szCs w:val="21"/>
        </w:rPr>
      </w:pPr>
      <w:r>
        <w:rPr>
          <w:rFonts w:hint="eastAsia"/>
          <w:szCs w:val="21"/>
        </w:rPr>
        <w:t>2.5</w:t>
      </w:r>
      <w:r>
        <w:rPr>
          <w:szCs w:val="21"/>
        </w:rPr>
        <w:t>其他需要落实的政府采购政策</w:t>
      </w:r>
    </w:p>
    <w:p>
      <w:pPr>
        <w:tabs>
          <w:tab w:val="clear" w:pos="426"/>
        </w:tabs>
        <w:spacing w:line="300" w:lineRule="auto"/>
        <w:ind w:firstLine="420" w:firstLineChars="200"/>
        <w:rPr>
          <w:rFonts w:hint="eastAsia"/>
          <w:szCs w:val="21"/>
        </w:rPr>
      </w:pPr>
      <w:r>
        <w:rPr>
          <w:szCs w:val="21"/>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tabs>
          <w:tab w:val="clear" w:pos="426"/>
        </w:tabs>
        <w:spacing w:line="300" w:lineRule="auto"/>
        <w:ind w:firstLine="420" w:firstLineChars="200"/>
        <w:rPr>
          <w:rFonts w:hint="eastAsia"/>
          <w:szCs w:val="21"/>
        </w:rPr>
      </w:pPr>
      <w:r>
        <w:rPr>
          <w:szCs w:val="21"/>
        </w:rPr>
        <w:t>根据财政部《关于在政府采购活动中查询及使用信用记录有关问题的通知》（财库〔2016〕125号），供应商信用信息的查询渠道为“信用中国（https：//www.creditchina.gov.cn/）”中的“信用服务”栏的“重大税收违法案件当事人名单”“失信被执行人”、“中国政府采购网（http：//www.ccgp.gov.cn/）” 中的“政府采购严重违法失信行为记录名单”，相关信息以开标当日的查询结果为准。</w:t>
      </w:r>
    </w:p>
    <w:p>
      <w:pPr>
        <w:tabs>
          <w:tab w:val="clear" w:pos="426"/>
        </w:tabs>
        <w:spacing w:line="300" w:lineRule="auto"/>
        <w:ind w:firstLine="420" w:firstLineChars="200"/>
        <w:rPr>
          <w:rFonts w:hint="eastAsia"/>
          <w:szCs w:val="21"/>
        </w:rPr>
      </w:pPr>
      <w:r>
        <w:rPr>
          <w:rFonts w:hint="eastAsia"/>
          <w:szCs w:val="21"/>
        </w:rPr>
        <w:t>2.6</w:t>
      </w:r>
      <w:r>
        <w:rPr>
          <w:szCs w:val="21"/>
        </w:rPr>
        <w:t>评标专家应对通过投标文件初审进入评标程序的投标文件先评技术标、再评商务标；</w:t>
      </w:r>
    </w:p>
    <w:p>
      <w:pPr>
        <w:tabs>
          <w:tab w:val="clear" w:pos="426"/>
        </w:tabs>
        <w:spacing w:line="300" w:lineRule="auto"/>
        <w:ind w:firstLine="420" w:firstLineChars="200"/>
        <w:rPr>
          <w:rFonts w:hint="eastAsia"/>
          <w:szCs w:val="21"/>
        </w:rPr>
      </w:pPr>
      <w:r>
        <w:rPr>
          <w:rFonts w:hint="eastAsia"/>
          <w:szCs w:val="21"/>
        </w:rPr>
        <w:t>2.7</w:t>
      </w:r>
      <w:r>
        <w:rPr>
          <w:szCs w:val="21"/>
        </w:rPr>
        <w:t>评标专家需按招标文件规定的评审标准对投标</w:t>
      </w:r>
      <w:r>
        <w:rPr>
          <w:rFonts w:hint="eastAsia"/>
          <w:szCs w:val="21"/>
        </w:rPr>
        <w:t>供应商</w:t>
      </w:r>
      <w:r>
        <w:rPr>
          <w:szCs w:val="21"/>
        </w:rPr>
        <w:t>提交的投标文件进行评审，投标文件中与评审标准无关的内容不作为评审内容</w:t>
      </w:r>
      <w:r>
        <w:rPr>
          <w:rFonts w:hint="eastAsia"/>
          <w:szCs w:val="21"/>
        </w:rPr>
        <w:t>。</w:t>
      </w:r>
    </w:p>
    <w:p>
      <w:pPr>
        <w:tabs>
          <w:tab w:val="clear" w:pos="426"/>
        </w:tabs>
        <w:spacing w:line="300" w:lineRule="auto"/>
        <w:ind w:firstLine="420" w:firstLineChars="200"/>
        <w:rPr>
          <w:rFonts w:hint="eastAsia"/>
        </w:rPr>
      </w:pPr>
      <w:r>
        <w:rPr>
          <w:rFonts w:hint="eastAsia"/>
          <w:szCs w:val="21"/>
        </w:rPr>
        <w:t>2.8评标委员会在评标时，应按照“前附表（三）综合评分法评分因素和权重分值表”量化的评审因素，对各投标文件进行分析和比较。</w:t>
      </w:r>
    </w:p>
    <w:p>
      <w:pPr>
        <w:adjustRightInd/>
        <w:snapToGrid/>
        <w:spacing w:before="280" w:after="290" w:line="377" w:lineRule="auto"/>
        <w:jc w:val="left"/>
        <w:outlineLvl w:val="2"/>
        <w:rPr>
          <w:rFonts w:hint="eastAsia"/>
          <w:b/>
          <w:sz w:val="24"/>
        </w:rPr>
      </w:pPr>
      <w:bookmarkStart w:id="69" w:name="_Toc16831"/>
      <w:r>
        <w:rPr>
          <w:rFonts w:hint="eastAsia"/>
          <w:b/>
          <w:sz w:val="24"/>
        </w:rPr>
        <w:t>3.符合性审查</w:t>
      </w:r>
      <w:bookmarkEnd w:id="69"/>
    </w:p>
    <w:p>
      <w:pPr>
        <w:tabs>
          <w:tab w:val="clear" w:pos="426"/>
        </w:tabs>
        <w:spacing w:line="300" w:lineRule="auto"/>
        <w:ind w:firstLine="420" w:firstLineChars="200"/>
        <w:rPr>
          <w:rFonts w:hint="eastAsia"/>
        </w:rPr>
      </w:pPr>
      <w:r>
        <w:rPr>
          <w:rFonts w:hint="eastAsia"/>
        </w:rPr>
        <w:t>依据招标文件的规定，从投标文件的有效性、完整性和对招标文件的响应程度等进行审查，以确定是否对招标文件的实质性要求作出响应。审查内容请详见“前附表（二）符合性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rPr>
      </w:pPr>
      <w:bookmarkStart w:id="70" w:name="_Toc29518"/>
      <w:r>
        <w:rPr>
          <w:rFonts w:hint="eastAsia"/>
          <w:b/>
          <w:sz w:val="24"/>
        </w:rPr>
        <w:t>4.比较与评价</w:t>
      </w:r>
      <w:bookmarkEnd w:id="70"/>
    </w:p>
    <w:p>
      <w:pPr>
        <w:tabs>
          <w:tab w:val="clear" w:pos="426"/>
        </w:tabs>
        <w:spacing w:line="300" w:lineRule="auto"/>
        <w:ind w:firstLine="420" w:firstLineChars="200"/>
        <w:rPr>
          <w:rFonts w:hint="eastAsia"/>
        </w:rPr>
      </w:pPr>
      <w:r>
        <w:rPr>
          <w:rFonts w:hint="eastAsia"/>
        </w:rPr>
        <w:t>候选中标供应商分包按评审后得分由高到低顺序排列。得分相同的，按投标报价由低到高顺序排列。得分且投标报价相同的，按技术指标或服务方案优劣顺序排列。得分且投标报价相同的且技术指标或服务方案优劣相同的，采取随机抽取方式确定候选中标供应商推荐资格。</w:t>
      </w:r>
    </w:p>
    <w:p>
      <w:pPr>
        <w:tabs>
          <w:tab w:val="clear" w:pos="426"/>
        </w:tabs>
        <w:spacing w:line="300" w:lineRule="auto"/>
        <w:ind w:firstLine="420" w:firstLineChars="200"/>
        <w:rPr>
          <w:rFonts w:hint="eastAsia"/>
        </w:rPr>
      </w:pPr>
      <w:r>
        <w:rPr>
          <w:rFonts w:hint="eastAsia"/>
        </w:rPr>
        <w:t>评标委员会对每个通过资格性检查和符合性检查且报价不超过预算控制金额的投标供应商进行评审、打分，然后汇总每个投标供应商每项评分因素的评分。</w:t>
      </w:r>
    </w:p>
    <w:p>
      <w:pPr>
        <w:tabs>
          <w:tab w:val="clear" w:pos="426"/>
        </w:tabs>
        <w:spacing w:line="300" w:lineRule="auto"/>
        <w:ind w:firstLine="420" w:firstLineChars="200"/>
        <w:rPr>
          <w:rFonts w:hint="eastAsia"/>
        </w:rPr>
      </w:pPr>
      <w:r>
        <w:rPr>
          <w:rFonts w:hint="eastAsia"/>
        </w:rPr>
        <w:t>评标委员会认为投标人的报价明显低于其他通过资格性检查和符合性检查的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pPr>
        <w:adjustRightInd/>
        <w:snapToGrid/>
        <w:spacing w:before="280" w:after="290" w:line="377" w:lineRule="auto"/>
        <w:jc w:val="left"/>
        <w:outlineLvl w:val="2"/>
        <w:rPr>
          <w:rFonts w:hint="eastAsia"/>
          <w:b/>
          <w:sz w:val="24"/>
        </w:rPr>
      </w:pPr>
      <w:bookmarkStart w:id="71" w:name="_Toc13196"/>
      <w:r>
        <w:rPr>
          <w:rFonts w:hint="eastAsia"/>
          <w:b/>
          <w:sz w:val="24"/>
        </w:rPr>
        <w:t>5.编写评标报告</w:t>
      </w:r>
      <w:bookmarkEnd w:id="71"/>
    </w:p>
    <w:p>
      <w:pPr>
        <w:tabs>
          <w:tab w:val="clear" w:pos="426"/>
        </w:tabs>
        <w:spacing w:line="300" w:lineRule="auto"/>
        <w:ind w:firstLine="420" w:firstLineChars="200"/>
        <w:rPr>
          <w:rFonts w:hint="eastAsia"/>
        </w:rPr>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snapToGrid/>
        <w:spacing w:before="280" w:after="290" w:line="377" w:lineRule="auto"/>
        <w:jc w:val="left"/>
        <w:outlineLvl w:val="2"/>
        <w:rPr>
          <w:rFonts w:hint="eastAsia"/>
          <w:b/>
          <w:sz w:val="24"/>
        </w:rPr>
      </w:pPr>
      <w:bookmarkStart w:id="72" w:name="_Toc15875"/>
      <w:r>
        <w:rPr>
          <w:rFonts w:hint="eastAsia"/>
          <w:b/>
          <w:sz w:val="24"/>
        </w:rPr>
        <w:t>6.评标委员会对招标失败的论证意见</w:t>
      </w:r>
      <w:bookmarkEnd w:id="72"/>
    </w:p>
    <w:p>
      <w:pPr>
        <w:tabs>
          <w:tab w:val="clear" w:pos="426"/>
        </w:tabs>
        <w:spacing w:line="300" w:lineRule="auto"/>
        <w:ind w:firstLine="422" w:firstLineChars="200"/>
        <w:rPr>
          <w:rFonts w:hint="eastAsia"/>
          <w:b/>
          <w:bCs/>
        </w:rPr>
      </w:pPr>
      <w:r>
        <w:rPr>
          <w:rFonts w:hint="eastAsia"/>
          <w:b/>
          <w:bCs/>
        </w:rPr>
        <w:t>根据《财库〔2012〕69号财政部关于进一步规范政府采购评审工作有关问题的通知》的规定，评审委员会要在采购项目招标失败时，出具招标文件是否存在不合理条款的论证意见，论证意见写进评审报告中。</w:t>
      </w:r>
      <w:bookmarkEnd w:id="64"/>
      <w:bookmarkStart w:id="73" w:name="_Toc432592812"/>
    </w:p>
    <w:bookmarkEnd w:id="73"/>
    <w:p>
      <w:pPr>
        <w:rPr>
          <w:rFonts w:hint="eastAsia"/>
        </w:rPr>
      </w:pPr>
      <w:bookmarkStart w:id="74" w:name="_Toc432592814"/>
      <w:r>
        <w:br w:type="page"/>
      </w:r>
      <w:bookmarkEnd w:id="74"/>
      <w:bookmarkStart w:id="75" w:name="_Toc530152519"/>
      <w:bookmarkStart w:id="76" w:name="_Toc398220525"/>
      <w:bookmarkStart w:id="77" w:name="_Toc432592816"/>
    </w:p>
    <w:bookmarkEnd w:id="75"/>
    <w:p>
      <w:pPr>
        <w:pStyle w:val="62"/>
      </w:pPr>
      <w:bookmarkStart w:id="78" w:name="_Toc7991"/>
      <w:r>
        <w:rPr>
          <w:rFonts w:hint="eastAsia"/>
        </w:rPr>
        <w:t>第五章 合同文本</w:t>
      </w:r>
      <w:bookmarkEnd w:id="78"/>
    </w:p>
    <w:bookmarkEnd w:id="76"/>
    <w:bookmarkEnd w:id="77"/>
    <w:p>
      <w:pPr>
        <w:pStyle w:val="425"/>
        <w:rPr>
          <w:rFonts w:hint="eastAsia" w:hAnsi="宋体"/>
          <w:b/>
          <w:bCs/>
          <w:sz w:val="28"/>
          <w:szCs w:val="28"/>
        </w:rPr>
      </w:pPr>
      <w:bookmarkStart w:id="79" w:name="_Toc398220526"/>
      <w:bookmarkStart w:id="80" w:name="_Toc432592818"/>
      <w:r>
        <w:rPr>
          <w:rFonts w:hint="eastAsia" w:hAnsi="宋体"/>
          <w:b/>
          <w:bCs/>
          <w:sz w:val="28"/>
          <w:szCs w:val="28"/>
        </w:rPr>
        <w:t>本合同实际签订将根据供应商响应情况对合同进行删减调整</w:t>
      </w:r>
    </w:p>
    <w:p>
      <w:pPr>
        <w:pStyle w:val="425"/>
        <w:rPr>
          <w:rFonts w:eastAsia="方正小标宋_GBK"/>
          <w:sz w:val="36"/>
          <w:szCs w:val="36"/>
        </w:rPr>
      </w:pPr>
      <w:r>
        <w:rPr>
          <w:rFonts w:hint="eastAsia" w:eastAsia="方正小标宋_GBK"/>
          <w:sz w:val="36"/>
          <w:szCs w:val="36"/>
        </w:rPr>
        <w:t>气相色谱三重四极杆质谱联用仪设备采购项目</w:t>
      </w:r>
      <w:r>
        <w:rPr>
          <w:rFonts w:eastAsia="方正小标宋_GBK"/>
          <w:sz w:val="36"/>
          <w:szCs w:val="36"/>
        </w:rPr>
        <w:t>合同书</w:t>
      </w:r>
    </w:p>
    <w:p>
      <w:pPr>
        <w:rPr>
          <w:rFonts w:hint="eastAsia"/>
          <w:sz w:val="24"/>
        </w:rPr>
      </w:pPr>
    </w:p>
    <w:p>
      <w:pPr>
        <w:rPr>
          <w:rFonts w:hint="eastAsia"/>
          <w:sz w:val="24"/>
        </w:rPr>
      </w:pPr>
      <w:r>
        <w:rPr>
          <w:sz w:val="24"/>
        </w:rPr>
        <w:t>甲方（采购人）:</w:t>
      </w:r>
      <w:r>
        <w:rPr>
          <w:rFonts w:hint="eastAsia"/>
          <w:sz w:val="24"/>
        </w:rPr>
        <w:t>深圳海关食品检验检疫技术中心</w:t>
      </w:r>
    </w:p>
    <w:p>
      <w:pPr>
        <w:rPr>
          <w:rFonts w:hint="eastAsia"/>
          <w:sz w:val="24"/>
        </w:rPr>
      </w:pPr>
      <w:r>
        <w:rPr>
          <w:sz w:val="24"/>
        </w:rPr>
        <w:t xml:space="preserve">乙方（供应商）:                                  </w:t>
      </w:r>
    </w:p>
    <w:p>
      <w:pPr>
        <w:widowControl w:val="0"/>
        <w:shd w:val="clear" w:color="auto" w:fill="auto"/>
        <w:tabs>
          <w:tab w:val="clear" w:pos="426"/>
        </w:tabs>
        <w:adjustRightInd/>
        <w:snapToGrid/>
        <w:spacing w:line="240" w:lineRule="auto"/>
        <w:ind w:firstLine="480" w:firstLineChars="200"/>
        <w:rPr>
          <w:rFonts w:hint="eastAsia"/>
          <w:sz w:val="24"/>
        </w:rPr>
      </w:pPr>
      <w:r>
        <w:rPr>
          <w:sz w:val="24"/>
        </w:rPr>
        <w:t>根据</w:t>
      </w:r>
      <w:r>
        <w:rPr>
          <w:snapToGrid w:val="0"/>
          <w:sz w:val="24"/>
        </w:rPr>
        <w:t>《中华人民共和国民法典（合同编）》、</w:t>
      </w:r>
      <w:r>
        <w:rPr>
          <w:sz w:val="24"/>
        </w:rPr>
        <w:t>《中华人民共和国政府采购法》等相关法律规定，甲方对</w:t>
      </w:r>
      <w:r>
        <w:rPr>
          <w:rFonts w:hint="eastAsia"/>
          <w:sz w:val="24"/>
          <w:u w:val="single"/>
        </w:rPr>
        <w:t>气相色谱三重四极杆质谱联用仪设备采购项目</w:t>
      </w:r>
      <w:r>
        <w:rPr>
          <w:sz w:val="24"/>
        </w:rPr>
        <w:t>以</w:t>
      </w:r>
      <w:r>
        <w:rPr>
          <w:rFonts w:hint="eastAsia"/>
          <w:sz w:val="24"/>
          <w:u w:val="single"/>
        </w:rPr>
        <w:t>公开招标</w:t>
      </w:r>
      <w:r>
        <w:rPr>
          <w:sz w:val="24"/>
        </w:rPr>
        <w:t>方式进行采购</w:t>
      </w:r>
      <w:r>
        <w:rPr>
          <w:rFonts w:hint="eastAsia"/>
          <w:sz w:val="24"/>
        </w:rPr>
        <w:t>，</w:t>
      </w:r>
      <w:r>
        <w:rPr>
          <w:sz w:val="24"/>
        </w:rPr>
        <w:t>确定乙方为中标人（成交商），现依照招标文件、投标文件等相关文件的内容，双方达成如下协议：</w:t>
      </w:r>
    </w:p>
    <w:p>
      <w:pPr>
        <w:ind w:firstLine="482" w:firstLineChars="200"/>
        <w:rPr>
          <w:rFonts w:hint="eastAsia"/>
          <w:b/>
          <w:bCs/>
          <w:sz w:val="24"/>
        </w:rPr>
      </w:pPr>
      <w:r>
        <w:rPr>
          <w:b/>
          <w:bCs/>
          <w:sz w:val="24"/>
        </w:rPr>
        <w:t>第一条 采购货物清单</w:t>
      </w:r>
    </w:p>
    <w:tbl>
      <w:tblPr>
        <w:tblStyle w:val="85"/>
        <w:tblW w:w="9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1144"/>
        <w:gridCol w:w="1219"/>
        <w:gridCol w:w="1013"/>
        <w:gridCol w:w="900"/>
        <w:gridCol w:w="1481"/>
        <w:gridCol w:w="1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93" w:type="dxa"/>
            <w:tcBorders>
              <w:top w:val="single" w:color="auto" w:sz="4" w:space="0"/>
              <w:left w:val="single" w:color="auto" w:sz="4" w:space="0"/>
              <w:bottom w:val="single" w:color="auto" w:sz="4" w:space="0"/>
              <w:right w:val="single" w:color="auto" w:sz="4" w:space="0"/>
            </w:tcBorders>
            <w:vAlign w:val="center"/>
          </w:tcPr>
          <w:p>
            <w:pPr>
              <w:pStyle w:val="584"/>
              <w:autoSpaceDN w:val="0"/>
              <w:jc w:val="center"/>
              <w:rPr>
                <w:rFonts w:ascii="Times New Roman"/>
                <w:b/>
                <w:bCs/>
                <w:sz w:val="24"/>
                <w:szCs w:val="24"/>
              </w:rPr>
            </w:pPr>
            <w:r>
              <w:rPr>
                <w:rFonts w:ascii="Times New Roman"/>
                <w:b/>
                <w:bCs/>
                <w:sz w:val="24"/>
                <w:szCs w:val="24"/>
              </w:rPr>
              <w:t>货物名称</w:t>
            </w:r>
          </w:p>
        </w:tc>
        <w:tc>
          <w:tcPr>
            <w:tcW w:w="1144" w:type="dxa"/>
            <w:tcBorders>
              <w:top w:val="single" w:color="auto" w:sz="4" w:space="0"/>
              <w:left w:val="single" w:color="auto" w:sz="4" w:space="0"/>
              <w:bottom w:val="single" w:color="auto" w:sz="4" w:space="0"/>
              <w:right w:val="single" w:color="auto" w:sz="4" w:space="0"/>
            </w:tcBorders>
            <w:vAlign w:val="center"/>
          </w:tcPr>
          <w:p>
            <w:pPr>
              <w:pStyle w:val="585"/>
              <w:autoSpaceDN w:val="0"/>
              <w:jc w:val="center"/>
              <w:rPr>
                <w:rFonts w:ascii="Times New Roman"/>
                <w:b/>
                <w:bCs/>
                <w:sz w:val="24"/>
                <w:szCs w:val="24"/>
              </w:rPr>
            </w:pPr>
            <w:r>
              <w:rPr>
                <w:rFonts w:ascii="Times New Roman"/>
                <w:b/>
                <w:bCs/>
                <w:sz w:val="24"/>
                <w:szCs w:val="24"/>
              </w:rPr>
              <w:t>品牌</w:t>
            </w:r>
          </w:p>
        </w:tc>
        <w:tc>
          <w:tcPr>
            <w:tcW w:w="1219" w:type="dxa"/>
            <w:tcBorders>
              <w:top w:val="single" w:color="auto" w:sz="4" w:space="0"/>
              <w:left w:val="single" w:color="auto" w:sz="4" w:space="0"/>
              <w:bottom w:val="single" w:color="auto" w:sz="4" w:space="0"/>
              <w:right w:val="single" w:color="auto" w:sz="4" w:space="0"/>
            </w:tcBorders>
            <w:vAlign w:val="center"/>
          </w:tcPr>
          <w:p>
            <w:pPr>
              <w:pStyle w:val="586"/>
              <w:autoSpaceDN w:val="0"/>
              <w:jc w:val="center"/>
              <w:rPr>
                <w:rFonts w:ascii="Times New Roman" w:hAnsi="Times New Roman"/>
                <w:b/>
                <w:bCs/>
                <w:sz w:val="24"/>
                <w:szCs w:val="24"/>
              </w:rPr>
            </w:pPr>
            <w:r>
              <w:rPr>
                <w:rFonts w:ascii="Times New Roman" w:hAnsi="Times New Roman"/>
                <w:b/>
                <w:bCs/>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b/>
                <w:bCs/>
                <w:sz w:val="24"/>
                <w:szCs w:val="24"/>
              </w:rPr>
            </w:pPr>
            <w:r>
              <w:rPr>
                <w:rFonts w:ascii="Times New Roman"/>
                <w:b/>
                <w:bCs/>
                <w:sz w:val="24"/>
                <w:szCs w:val="24"/>
              </w:rPr>
              <w:t>产地</w:t>
            </w:r>
          </w:p>
        </w:tc>
        <w:tc>
          <w:tcPr>
            <w:tcW w:w="900"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b/>
                <w:bCs/>
                <w:sz w:val="24"/>
                <w:szCs w:val="24"/>
              </w:rPr>
            </w:pPr>
            <w:r>
              <w:rPr>
                <w:rFonts w:ascii="Times New Roman"/>
                <w:b/>
                <w:bCs/>
                <w:sz w:val="24"/>
                <w:szCs w:val="24"/>
              </w:rPr>
              <w:t>数量</w:t>
            </w:r>
          </w:p>
        </w:tc>
        <w:tc>
          <w:tcPr>
            <w:tcW w:w="1481" w:type="dxa"/>
            <w:tcBorders>
              <w:top w:val="single" w:color="auto" w:sz="4" w:space="0"/>
              <w:left w:val="single" w:color="auto" w:sz="4" w:space="0"/>
              <w:bottom w:val="single" w:color="auto" w:sz="4" w:space="0"/>
              <w:right w:val="single" w:color="auto" w:sz="4" w:space="0"/>
            </w:tcBorders>
            <w:vAlign w:val="center"/>
          </w:tcPr>
          <w:p>
            <w:pPr>
              <w:pStyle w:val="588"/>
              <w:autoSpaceDN w:val="0"/>
              <w:jc w:val="center"/>
              <w:rPr>
                <w:rFonts w:ascii="Times New Roman"/>
                <w:b/>
                <w:bCs/>
                <w:sz w:val="24"/>
                <w:szCs w:val="24"/>
              </w:rPr>
            </w:pPr>
            <w:r>
              <w:rPr>
                <w:rFonts w:ascii="Times New Roman"/>
                <w:b/>
                <w:bCs/>
                <w:sz w:val="24"/>
                <w:szCs w:val="24"/>
              </w:rPr>
              <w:t>单价（元）</w:t>
            </w:r>
          </w:p>
        </w:tc>
        <w:tc>
          <w:tcPr>
            <w:tcW w:w="1509" w:type="dxa"/>
            <w:tcBorders>
              <w:top w:val="single" w:color="auto" w:sz="4" w:space="0"/>
              <w:left w:val="single" w:color="auto" w:sz="4" w:space="0"/>
              <w:bottom w:val="single" w:color="auto" w:sz="4" w:space="0"/>
              <w:right w:val="single" w:color="auto" w:sz="4" w:space="0"/>
            </w:tcBorders>
            <w:vAlign w:val="center"/>
          </w:tcPr>
          <w:p>
            <w:pPr>
              <w:pStyle w:val="589"/>
              <w:autoSpaceDN w:val="0"/>
              <w:jc w:val="center"/>
              <w:rPr>
                <w:rFonts w:ascii="Times New Roman"/>
                <w:b/>
                <w:bCs/>
                <w:sz w:val="24"/>
                <w:szCs w:val="24"/>
              </w:rPr>
            </w:pPr>
            <w:r>
              <w:rPr>
                <w:rFonts w:ascii="Times New Roman"/>
                <w:b/>
                <w:bCs/>
                <w:sz w:val="24"/>
                <w:szCs w:val="24"/>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pPr>
              <w:pStyle w:val="590"/>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1"/>
              <w:autoSpaceDN w:val="0"/>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2"/>
              <w:autoSpaceDN w:val="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3"/>
              <w:autoSpaceDN w:val="0"/>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3"/>
              <w:autoSpaceDN w:val="0"/>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594"/>
              <w:autoSpaceDN w:val="0"/>
              <w:jc w:val="center"/>
              <w:rPr>
                <w:rFonts w:ascii="Times New Roman"/>
                <w:b/>
                <w:bCs/>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595"/>
              <w:autoSpaceDN w:val="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pPr>
              <w:pStyle w:val="596"/>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7"/>
              <w:autoSpaceDN w:val="0"/>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8"/>
              <w:autoSpaceDN w:val="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600"/>
              <w:autoSpaceDN w:val="0"/>
              <w:jc w:val="center"/>
              <w:rPr>
                <w:rFonts w:ascii="Times New Roman"/>
                <w:b/>
                <w:bCs/>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601"/>
              <w:autoSpaceDN w:val="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550" w:type="dxa"/>
            <w:gridSpan w:val="6"/>
            <w:tcBorders>
              <w:top w:val="single" w:color="auto" w:sz="4" w:space="0"/>
              <w:left w:val="single" w:color="auto" w:sz="4" w:space="0"/>
              <w:bottom w:val="single" w:color="auto" w:sz="4" w:space="0"/>
              <w:right w:val="single" w:color="auto" w:sz="4" w:space="0"/>
            </w:tcBorders>
            <w:vAlign w:val="center"/>
          </w:tcPr>
          <w:p>
            <w:pPr>
              <w:pStyle w:val="602"/>
              <w:autoSpaceDN w:val="0"/>
              <w:jc w:val="center"/>
              <w:rPr>
                <w:rFonts w:ascii="Times New Roman"/>
                <w:b/>
                <w:bCs/>
                <w:sz w:val="24"/>
                <w:szCs w:val="24"/>
              </w:rPr>
            </w:pPr>
            <w:r>
              <w:rPr>
                <w:rFonts w:ascii="Times New Roman"/>
                <w:b/>
                <w:bCs/>
                <w:sz w:val="24"/>
                <w:szCs w:val="24"/>
              </w:rPr>
              <w:t xml:space="preserve">                                                    合同总价                                                    </w:t>
            </w:r>
          </w:p>
        </w:tc>
        <w:tc>
          <w:tcPr>
            <w:tcW w:w="1509" w:type="dxa"/>
            <w:tcBorders>
              <w:top w:val="single" w:color="auto" w:sz="4" w:space="0"/>
              <w:left w:val="single" w:color="auto" w:sz="4" w:space="0"/>
              <w:bottom w:val="single" w:color="auto" w:sz="4" w:space="0"/>
              <w:right w:val="single" w:color="auto" w:sz="4" w:space="0"/>
            </w:tcBorders>
            <w:vAlign w:val="center"/>
          </w:tcPr>
          <w:p>
            <w:pPr>
              <w:pStyle w:val="536"/>
              <w:autoSpaceDN w:val="0"/>
              <w:adjustRightInd w:val="0"/>
              <w:snapToGrid w:val="0"/>
              <w:spacing w:line="360" w:lineRule="auto"/>
              <w:jc w:val="center"/>
              <w:rPr>
                <w:b/>
                <w:bCs/>
                <w:sz w:val="24"/>
              </w:rPr>
            </w:pPr>
          </w:p>
        </w:tc>
      </w:tr>
    </w:tbl>
    <w:p>
      <w:pPr>
        <w:ind w:firstLine="482" w:firstLineChars="200"/>
        <w:rPr>
          <w:rFonts w:hint="eastAsia"/>
          <w:b/>
          <w:bCs/>
          <w:sz w:val="24"/>
        </w:rPr>
      </w:pPr>
      <w:r>
        <w:rPr>
          <w:b/>
          <w:bCs/>
          <w:sz w:val="24"/>
        </w:rPr>
        <w:t>第二条 合同总价款</w:t>
      </w:r>
    </w:p>
    <w:p>
      <w:pPr>
        <w:pStyle w:val="620"/>
        <w:spacing w:line="360" w:lineRule="auto"/>
        <w:ind w:firstLine="480" w:firstLineChars="200"/>
        <w:rPr>
          <w:rFonts w:eastAsia="宋体"/>
          <w:sz w:val="24"/>
          <w:szCs w:val="24"/>
        </w:rPr>
      </w:pPr>
      <w:r>
        <w:rPr>
          <w:rFonts w:eastAsia="宋体"/>
          <w:sz w:val="24"/>
          <w:szCs w:val="24"/>
        </w:rPr>
        <w:t>甲方以支付总价款__________元，（人民币大写</w:t>
      </w:r>
      <w:r>
        <w:rPr>
          <w:rFonts w:hint="eastAsia" w:eastAsia="宋体"/>
          <w:sz w:val="24"/>
          <w:szCs w:val="24"/>
        </w:rPr>
        <w:t xml:space="preserve">：         </w:t>
      </w:r>
      <w:r>
        <w:rPr>
          <w:rFonts w:eastAsia="宋体"/>
          <w:sz w:val="24"/>
          <w:szCs w:val="24"/>
        </w:rPr>
        <w:t>）接受乙方对上述货物的供货和</w:t>
      </w:r>
      <w:r>
        <w:rPr>
          <w:rFonts w:hint="eastAsia" w:eastAsia="宋体"/>
          <w:sz w:val="24"/>
          <w:szCs w:val="24"/>
        </w:rPr>
        <w:t>伴随</w:t>
      </w:r>
      <w:r>
        <w:rPr>
          <w:rFonts w:eastAsia="宋体"/>
          <w:sz w:val="24"/>
          <w:szCs w:val="24"/>
        </w:rPr>
        <w:t>服务。包括乙方提供货物、包装、运输、货物的保险和储存、检测、验收、安装调试、保修服务、培训、资料及提供的伴随服务等所有成本、费用及税费，甲方（用户）无需再向乙方支付其他任何费用。详见附件分项报价表、设备配置清单和技术偏离表。</w:t>
      </w:r>
      <w:r>
        <w:rPr>
          <w:rFonts w:hint="eastAsia" w:eastAsia="宋体"/>
          <w:sz w:val="24"/>
          <w:szCs w:val="24"/>
        </w:rPr>
        <w:t>（根据采购实际可自行调整。）</w:t>
      </w:r>
    </w:p>
    <w:p>
      <w:pPr>
        <w:pStyle w:val="621"/>
        <w:spacing w:line="360" w:lineRule="auto"/>
        <w:ind w:firstLine="482" w:firstLineChars="200"/>
        <w:rPr>
          <w:rFonts w:ascii="Times New Roman" w:eastAsia="宋体"/>
          <w:color w:val="auto"/>
          <w:sz w:val="24"/>
          <w:szCs w:val="24"/>
        </w:rPr>
      </w:pPr>
      <w:r>
        <w:rPr>
          <w:rFonts w:ascii="Times New Roman" w:eastAsia="宋体"/>
          <w:b/>
          <w:bCs/>
          <w:color w:val="auto"/>
          <w:sz w:val="24"/>
          <w:szCs w:val="24"/>
        </w:rPr>
        <w:t>第三条 付款条件</w:t>
      </w:r>
    </w:p>
    <w:p>
      <w:pPr>
        <w:ind w:firstLine="480" w:firstLineChars="200"/>
        <w:rPr>
          <w:rFonts w:hint="eastAsia"/>
          <w:sz w:val="24"/>
        </w:rPr>
      </w:pPr>
      <w:r>
        <w:rPr>
          <w:sz w:val="24"/>
        </w:rPr>
        <w:t>（一）本合同以人民币付款。</w:t>
      </w:r>
    </w:p>
    <w:p>
      <w:pPr>
        <w:ind w:firstLine="480" w:firstLineChars="200"/>
        <w:rPr>
          <w:rFonts w:hint="eastAsia"/>
          <w:sz w:val="24"/>
        </w:rPr>
      </w:pPr>
      <w:r>
        <w:rPr>
          <w:sz w:val="24"/>
        </w:rPr>
        <w:t>（二）付款办法：</w:t>
      </w:r>
    </w:p>
    <w:p>
      <w:pPr>
        <w:ind w:firstLine="480" w:firstLineChars="200"/>
        <w:rPr>
          <w:rFonts w:hint="eastAsia"/>
          <w:sz w:val="24"/>
        </w:rPr>
      </w:pPr>
      <w:r>
        <w:rPr>
          <w:sz w:val="24"/>
        </w:rPr>
        <w:t>1.乙方向甲方交付履约保</w:t>
      </w:r>
      <w:r>
        <w:rPr>
          <w:rFonts w:hint="eastAsia"/>
          <w:sz w:val="24"/>
        </w:rPr>
        <w:t>函或保证金，比例等于合同金额的10%</w:t>
      </w:r>
      <w:r>
        <w:rPr>
          <w:sz w:val="24"/>
        </w:rPr>
        <w:t>，并提交下列单据之日起10个工作日内，甲方向乙方支付合同总价</w:t>
      </w:r>
      <w:r>
        <w:rPr>
          <w:rFonts w:hint="eastAsia"/>
          <w:sz w:val="24"/>
          <w:u w:val="single"/>
        </w:rPr>
        <w:t>50</w:t>
      </w:r>
      <w:r>
        <w:rPr>
          <w:sz w:val="24"/>
        </w:rPr>
        <w:t>%合同款（金额</w:t>
      </w:r>
      <w:r>
        <w:rPr>
          <w:rFonts w:hint="eastAsia"/>
          <w:sz w:val="24"/>
        </w:rPr>
        <w:t xml:space="preserve">大写：         </w:t>
      </w:r>
      <w:r>
        <w:rPr>
          <w:sz w:val="24"/>
        </w:rPr>
        <w:t>）。</w:t>
      </w:r>
    </w:p>
    <w:p>
      <w:pPr>
        <w:ind w:firstLine="480" w:firstLineChars="200"/>
        <w:rPr>
          <w:rFonts w:hint="eastAsia"/>
          <w:sz w:val="24"/>
        </w:rPr>
      </w:pPr>
      <w:r>
        <w:rPr>
          <w:sz w:val="24"/>
        </w:rPr>
        <w:t>乙方提交单据：合同（正文部分复印件）、中标通知书（或成交通知书复印件）、发票（原件）、履约保</w:t>
      </w:r>
      <w:r>
        <w:rPr>
          <w:rFonts w:hint="eastAsia"/>
          <w:sz w:val="24"/>
        </w:rPr>
        <w:t>函或保证金</w:t>
      </w:r>
      <w:r>
        <w:rPr>
          <w:sz w:val="24"/>
        </w:rPr>
        <w:t>单据复印件</w:t>
      </w:r>
      <w:r>
        <w:rPr>
          <w:rFonts w:hint="eastAsia"/>
          <w:sz w:val="24"/>
        </w:rPr>
        <w:t>（如有）</w:t>
      </w:r>
      <w:r>
        <w:rPr>
          <w:sz w:val="24"/>
        </w:rPr>
        <w:t>。</w:t>
      </w:r>
    </w:p>
    <w:p>
      <w:pPr>
        <w:ind w:firstLine="480" w:firstLineChars="200"/>
        <w:rPr>
          <w:rFonts w:hint="eastAsia"/>
          <w:sz w:val="24"/>
          <w:szCs w:val="24"/>
        </w:rPr>
      </w:pPr>
      <w:r>
        <w:rPr>
          <w:sz w:val="24"/>
          <w:szCs w:val="24"/>
        </w:rPr>
        <w:t>2.</w:t>
      </w:r>
      <w:r>
        <w:rPr>
          <w:rFonts w:hint="eastAsia"/>
          <w:sz w:val="24"/>
          <w:szCs w:val="24"/>
        </w:rPr>
        <w:t xml:space="preserve"> 设备全部到货并经甲方（用户）签收后，乙方向甲方提交下列单据之日起10个工作日内，甲方向乙方支付合同总价</w:t>
      </w:r>
      <w:r>
        <w:rPr>
          <w:rFonts w:hint="eastAsia"/>
          <w:sz w:val="24"/>
          <w:szCs w:val="24"/>
          <w:u w:val="single"/>
        </w:rPr>
        <w:t>50</w:t>
      </w:r>
      <w:r>
        <w:rPr>
          <w:sz w:val="24"/>
          <w:szCs w:val="24"/>
        </w:rPr>
        <w:t>%合同款（金额</w:t>
      </w:r>
      <w:r>
        <w:rPr>
          <w:rFonts w:hint="eastAsia"/>
          <w:sz w:val="24"/>
          <w:szCs w:val="24"/>
        </w:rPr>
        <w:t xml:space="preserve">大写：            </w:t>
      </w:r>
      <w:r>
        <w:rPr>
          <w:sz w:val="24"/>
          <w:szCs w:val="24"/>
        </w:rPr>
        <w:t>）。</w:t>
      </w:r>
    </w:p>
    <w:p>
      <w:pPr>
        <w:ind w:firstLine="480" w:firstLineChars="200"/>
        <w:rPr>
          <w:rFonts w:hint="eastAsia"/>
          <w:sz w:val="24"/>
        </w:rPr>
      </w:pPr>
      <w:r>
        <w:rPr>
          <w:sz w:val="24"/>
        </w:rPr>
        <w:t>乙方提交单据：合同(正文部分复印件）、中标通知书（或成交通知书复印件）、发票（原件）、设备到</w:t>
      </w:r>
      <w:r>
        <w:rPr>
          <w:rFonts w:hint="eastAsia"/>
          <w:sz w:val="24"/>
        </w:rPr>
        <w:t>货</w:t>
      </w:r>
      <w:r>
        <w:rPr>
          <w:sz w:val="24"/>
        </w:rPr>
        <w:t>签收单（复印件）。</w:t>
      </w:r>
    </w:p>
    <w:p>
      <w:pPr>
        <w:ind w:firstLine="480" w:firstLineChars="200"/>
        <w:rPr>
          <w:rFonts w:hint="eastAsia"/>
          <w:sz w:val="24"/>
        </w:rPr>
      </w:pPr>
      <w:r>
        <w:rPr>
          <w:sz w:val="24"/>
        </w:rPr>
        <w:t>3.设备全部安装调试，并经甲方（用户）验收合格后，乙方向甲方提交下列单据之日起</w:t>
      </w:r>
      <w:r>
        <w:rPr>
          <w:rFonts w:hint="eastAsia"/>
          <w:sz w:val="24"/>
        </w:rPr>
        <w:t>30</w:t>
      </w:r>
      <w:r>
        <w:rPr>
          <w:sz w:val="24"/>
        </w:rPr>
        <w:t>日内，甲方向乙方</w:t>
      </w:r>
      <w:r>
        <w:rPr>
          <w:rFonts w:hint="eastAsia"/>
          <w:sz w:val="24"/>
        </w:rPr>
        <w:t>无息退还履约保函或保证金</w:t>
      </w:r>
      <w:r>
        <w:rPr>
          <w:sz w:val="24"/>
        </w:rPr>
        <w:t>。</w:t>
      </w:r>
    </w:p>
    <w:p>
      <w:pPr>
        <w:ind w:firstLine="480" w:firstLineChars="200"/>
        <w:rPr>
          <w:rFonts w:hint="eastAsia"/>
          <w:sz w:val="24"/>
        </w:rPr>
      </w:pPr>
      <w:r>
        <w:rPr>
          <w:sz w:val="24"/>
        </w:rPr>
        <w:t>乙方提交单据：</w:t>
      </w:r>
      <w:r>
        <w:rPr>
          <w:rFonts w:hint="eastAsia"/>
          <w:sz w:val="24"/>
        </w:rPr>
        <w:t>退还申请（原件）、</w:t>
      </w:r>
      <w:r>
        <w:rPr>
          <w:sz w:val="24"/>
        </w:rPr>
        <w:t>安装调试验收合格报告（复印件）。</w:t>
      </w:r>
    </w:p>
    <w:p>
      <w:pPr>
        <w:ind w:firstLine="480" w:firstLineChars="200"/>
        <w:rPr>
          <w:rFonts w:hint="eastAsia"/>
          <w:sz w:val="24"/>
        </w:rPr>
      </w:pPr>
      <w:r>
        <w:rPr>
          <w:sz w:val="24"/>
        </w:rPr>
        <w:t>4.因财政集中支付延误时间不计算在内</w:t>
      </w:r>
      <w:r>
        <w:rPr>
          <w:rFonts w:hint="eastAsia"/>
          <w:sz w:val="24"/>
        </w:rPr>
        <w:t>。</w:t>
      </w:r>
      <w:r>
        <w:rPr>
          <w:sz w:val="24"/>
        </w:rPr>
        <w:t>乙方提交付款单据延迟、缺失及账户信息错误的，甲方有权相应顺延付款期限，且甲方不承担延误付款责任。</w:t>
      </w:r>
    </w:p>
    <w:p>
      <w:pPr>
        <w:pStyle w:val="603"/>
        <w:autoSpaceDN w:val="0"/>
        <w:ind w:firstLine="480" w:firstLineChars="200"/>
        <w:jc w:val="left"/>
        <w:rPr>
          <w:snapToGrid w:val="0"/>
          <w:sz w:val="24"/>
          <w:szCs w:val="24"/>
        </w:rPr>
      </w:pPr>
      <w:r>
        <w:rPr>
          <w:snapToGrid w:val="0"/>
          <w:sz w:val="24"/>
          <w:szCs w:val="24"/>
        </w:rPr>
        <w:t>乙方收取货款账户为：</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4" w:type="dxa"/>
            <w:vAlign w:val="center"/>
          </w:tcPr>
          <w:p>
            <w:pPr>
              <w:pStyle w:val="603"/>
              <w:autoSpaceDN w:val="0"/>
              <w:jc w:val="left"/>
              <w:rPr>
                <w:snapToGrid w:val="0"/>
                <w:sz w:val="24"/>
                <w:szCs w:val="24"/>
              </w:rPr>
            </w:pPr>
            <w:r>
              <w:rPr>
                <w:snapToGrid w:val="0"/>
                <w:sz w:val="24"/>
                <w:szCs w:val="24"/>
              </w:rPr>
              <w:t>乙方全称</w:t>
            </w:r>
          </w:p>
        </w:tc>
        <w:tc>
          <w:tcPr>
            <w:tcW w:w="6051" w:type="dxa"/>
            <w:vAlign w:val="center"/>
          </w:tcPr>
          <w:p>
            <w:pPr>
              <w:pStyle w:val="603"/>
              <w:autoSpaceDN w:val="0"/>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04" w:type="dxa"/>
            <w:vAlign w:val="center"/>
          </w:tcPr>
          <w:p>
            <w:pPr>
              <w:pStyle w:val="603"/>
              <w:autoSpaceDN w:val="0"/>
              <w:jc w:val="left"/>
              <w:rPr>
                <w:snapToGrid w:val="0"/>
                <w:sz w:val="24"/>
                <w:szCs w:val="24"/>
              </w:rPr>
            </w:pPr>
            <w:r>
              <w:rPr>
                <w:snapToGrid w:val="0"/>
                <w:sz w:val="24"/>
                <w:szCs w:val="24"/>
              </w:rPr>
              <w:t>开户银行</w:t>
            </w:r>
          </w:p>
        </w:tc>
        <w:tc>
          <w:tcPr>
            <w:tcW w:w="6051" w:type="dxa"/>
            <w:vAlign w:val="center"/>
          </w:tcPr>
          <w:p>
            <w:pPr>
              <w:pStyle w:val="603"/>
              <w:autoSpaceDN w:val="0"/>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804" w:type="dxa"/>
            <w:vAlign w:val="center"/>
          </w:tcPr>
          <w:p>
            <w:pPr>
              <w:pStyle w:val="603"/>
              <w:autoSpaceDN w:val="0"/>
              <w:jc w:val="left"/>
              <w:rPr>
                <w:snapToGrid w:val="0"/>
                <w:sz w:val="24"/>
                <w:szCs w:val="24"/>
              </w:rPr>
            </w:pPr>
            <w:r>
              <w:rPr>
                <w:snapToGrid w:val="0"/>
                <w:sz w:val="24"/>
                <w:szCs w:val="24"/>
              </w:rPr>
              <w:t>账号</w:t>
            </w:r>
          </w:p>
        </w:tc>
        <w:tc>
          <w:tcPr>
            <w:tcW w:w="6051" w:type="dxa"/>
            <w:vAlign w:val="center"/>
          </w:tcPr>
          <w:p>
            <w:pPr>
              <w:pStyle w:val="603"/>
              <w:autoSpaceDN w:val="0"/>
              <w:ind w:firstLine="480" w:firstLineChars="200"/>
              <w:jc w:val="left"/>
              <w:rPr>
                <w:snapToGrid w:val="0"/>
                <w:sz w:val="24"/>
                <w:szCs w:val="24"/>
              </w:rPr>
            </w:pPr>
          </w:p>
        </w:tc>
      </w:tr>
    </w:tbl>
    <w:p>
      <w:pPr>
        <w:ind w:firstLine="482" w:firstLineChars="200"/>
        <w:rPr>
          <w:rFonts w:hint="eastAsia"/>
          <w:b/>
          <w:bCs/>
          <w:sz w:val="24"/>
        </w:rPr>
      </w:pPr>
      <w:r>
        <w:rPr>
          <w:b/>
          <w:bCs/>
          <w:sz w:val="24"/>
        </w:rPr>
        <w:t>第四条 履约保证金</w:t>
      </w:r>
    </w:p>
    <w:p>
      <w:pPr>
        <w:pStyle w:val="622"/>
        <w:spacing w:line="360" w:lineRule="auto"/>
        <w:ind w:firstLine="480" w:firstLineChars="200"/>
        <w:rPr>
          <w:rFonts w:eastAsia="宋体"/>
          <w:sz w:val="24"/>
          <w:szCs w:val="24"/>
        </w:rPr>
      </w:pPr>
      <w:r>
        <w:rPr>
          <w:rFonts w:eastAsia="宋体"/>
          <w:sz w:val="24"/>
          <w:szCs w:val="24"/>
        </w:rPr>
        <w:t>（一）合同签订之日起</w:t>
      </w:r>
      <w:r>
        <w:rPr>
          <w:rFonts w:hint="eastAsia" w:eastAsia="宋体"/>
          <w:sz w:val="24"/>
          <w:szCs w:val="24"/>
          <w:u w:val="single"/>
        </w:rPr>
        <w:t xml:space="preserve"> 20 </w:t>
      </w:r>
      <w:r>
        <w:rPr>
          <w:rFonts w:eastAsia="宋体"/>
          <w:sz w:val="24"/>
          <w:szCs w:val="24"/>
        </w:rPr>
        <w:t>个工作日内，乙方须按合同金额的</w:t>
      </w:r>
      <w:r>
        <w:rPr>
          <w:rFonts w:hint="eastAsia" w:eastAsia="宋体"/>
          <w:sz w:val="24"/>
          <w:szCs w:val="24"/>
          <w:u w:val="single"/>
        </w:rPr>
        <w:t xml:space="preserve"> 10  </w:t>
      </w:r>
      <w:r>
        <w:rPr>
          <w:rFonts w:eastAsia="宋体"/>
          <w:sz w:val="24"/>
          <w:szCs w:val="24"/>
        </w:rPr>
        <w:t>%向甲方交纳履约保证金</w:t>
      </w:r>
      <w:r>
        <w:rPr>
          <w:rFonts w:hint="eastAsia" w:eastAsia="宋体"/>
          <w:sz w:val="24"/>
          <w:szCs w:val="24"/>
        </w:rPr>
        <w:t>或保函</w:t>
      </w:r>
      <w:r>
        <w:rPr>
          <w:rFonts w:eastAsia="宋体"/>
          <w:sz w:val="24"/>
          <w:szCs w:val="24"/>
        </w:rPr>
        <w:t>。如果乙方未按照约定时间交付履约保证金的，甲方有权单方面解除合同。</w:t>
      </w:r>
    </w:p>
    <w:p>
      <w:pPr>
        <w:pStyle w:val="623"/>
        <w:autoSpaceDN w:val="0"/>
        <w:spacing w:line="360" w:lineRule="auto"/>
        <w:ind w:firstLine="480" w:firstLineChars="200"/>
        <w:jc w:val="left"/>
        <w:rPr>
          <w:snapToGrid w:val="0"/>
          <w:kern w:val="0"/>
          <w:sz w:val="24"/>
          <w:szCs w:val="24"/>
        </w:rPr>
      </w:pPr>
      <w:r>
        <w:rPr>
          <w:snapToGrid w:val="0"/>
          <w:kern w:val="0"/>
          <w:sz w:val="24"/>
          <w:szCs w:val="24"/>
        </w:rPr>
        <w:t>甲方指定履约保证金收款账户为：</w:t>
      </w:r>
      <w:r>
        <w:rPr>
          <w:rFonts w:hint="eastAsia"/>
          <w:snapToGrid w:val="0"/>
          <w:kern w:val="0"/>
          <w:sz w:val="24"/>
          <w:szCs w:val="24"/>
        </w:rPr>
        <w:t>（如为保函，则无需填甲方收款账户）</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pPr>
              <w:pStyle w:val="623"/>
              <w:autoSpaceDN w:val="0"/>
              <w:spacing w:line="360" w:lineRule="auto"/>
              <w:jc w:val="left"/>
              <w:rPr>
                <w:snapToGrid w:val="0"/>
                <w:kern w:val="0"/>
                <w:sz w:val="24"/>
                <w:szCs w:val="24"/>
              </w:rPr>
            </w:pPr>
            <w:r>
              <w:rPr>
                <w:snapToGrid w:val="0"/>
                <w:kern w:val="0"/>
                <w:sz w:val="24"/>
                <w:szCs w:val="24"/>
              </w:rPr>
              <w:t>收款单位全称</w:t>
            </w:r>
          </w:p>
        </w:tc>
        <w:tc>
          <w:tcPr>
            <w:tcW w:w="5469" w:type="dxa"/>
            <w:vAlign w:val="center"/>
          </w:tcPr>
          <w:p>
            <w:pPr>
              <w:pStyle w:val="623"/>
              <w:autoSpaceDN w:val="0"/>
              <w:spacing w:line="360" w:lineRule="auto"/>
              <w:ind w:firstLine="480" w:firstLineChars="200"/>
              <w:jc w:val="left"/>
              <w:rPr>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86" w:type="dxa"/>
            <w:vAlign w:val="center"/>
          </w:tcPr>
          <w:p>
            <w:pPr>
              <w:pStyle w:val="623"/>
              <w:autoSpaceDN w:val="0"/>
              <w:spacing w:line="360" w:lineRule="auto"/>
              <w:jc w:val="left"/>
              <w:rPr>
                <w:snapToGrid w:val="0"/>
                <w:kern w:val="0"/>
                <w:sz w:val="24"/>
                <w:szCs w:val="24"/>
              </w:rPr>
            </w:pPr>
            <w:r>
              <w:rPr>
                <w:snapToGrid w:val="0"/>
                <w:kern w:val="0"/>
                <w:sz w:val="24"/>
                <w:szCs w:val="24"/>
              </w:rPr>
              <w:t>开户银行</w:t>
            </w:r>
          </w:p>
        </w:tc>
        <w:tc>
          <w:tcPr>
            <w:tcW w:w="5469" w:type="dxa"/>
            <w:vAlign w:val="center"/>
          </w:tcPr>
          <w:p>
            <w:pPr>
              <w:pStyle w:val="623"/>
              <w:autoSpaceDN w:val="0"/>
              <w:spacing w:line="360" w:lineRule="auto"/>
              <w:ind w:firstLine="480" w:firstLineChars="200"/>
              <w:jc w:val="left"/>
              <w:rPr>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386" w:type="dxa"/>
            <w:vAlign w:val="center"/>
          </w:tcPr>
          <w:p>
            <w:pPr>
              <w:pStyle w:val="623"/>
              <w:autoSpaceDN w:val="0"/>
              <w:spacing w:line="360" w:lineRule="auto"/>
              <w:jc w:val="left"/>
              <w:rPr>
                <w:snapToGrid w:val="0"/>
                <w:kern w:val="0"/>
                <w:sz w:val="24"/>
                <w:szCs w:val="24"/>
              </w:rPr>
            </w:pPr>
            <w:r>
              <w:rPr>
                <w:snapToGrid w:val="0"/>
                <w:kern w:val="0"/>
                <w:sz w:val="24"/>
                <w:szCs w:val="24"/>
              </w:rPr>
              <w:t>账号</w:t>
            </w:r>
          </w:p>
        </w:tc>
        <w:tc>
          <w:tcPr>
            <w:tcW w:w="5469" w:type="dxa"/>
            <w:vAlign w:val="center"/>
          </w:tcPr>
          <w:p>
            <w:pPr>
              <w:pStyle w:val="623"/>
              <w:autoSpaceDN w:val="0"/>
              <w:spacing w:line="360" w:lineRule="auto"/>
              <w:ind w:firstLine="480" w:firstLineChars="200"/>
              <w:jc w:val="left"/>
              <w:rPr>
                <w:snapToGrid w:val="0"/>
                <w:kern w:val="0"/>
                <w:sz w:val="24"/>
                <w:szCs w:val="24"/>
              </w:rPr>
            </w:pPr>
          </w:p>
        </w:tc>
      </w:tr>
    </w:tbl>
    <w:p>
      <w:pPr>
        <w:pStyle w:val="622"/>
        <w:spacing w:line="360" w:lineRule="auto"/>
        <w:ind w:firstLine="480" w:firstLineChars="200"/>
        <w:rPr>
          <w:rFonts w:eastAsia="宋体"/>
          <w:sz w:val="24"/>
          <w:szCs w:val="24"/>
        </w:rPr>
      </w:pPr>
      <w:r>
        <w:rPr>
          <w:rFonts w:eastAsia="宋体"/>
          <w:sz w:val="24"/>
          <w:szCs w:val="24"/>
        </w:rPr>
        <w:t>（二）履约保证金以银行保函、银行电汇向甲方提供。</w:t>
      </w:r>
    </w:p>
    <w:p>
      <w:pPr>
        <w:ind w:firstLine="480" w:firstLineChars="200"/>
        <w:rPr>
          <w:rFonts w:hint="eastAsia"/>
          <w:sz w:val="24"/>
        </w:rPr>
      </w:pPr>
      <w:r>
        <w:rPr>
          <w:rFonts w:eastAsia="宋体"/>
          <w:sz w:val="24"/>
          <w:szCs w:val="24"/>
        </w:rPr>
        <w:t>（三）</w:t>
      </w:r>
      <w:r>
        <w:rPr>
          <w:sz w:val="24"/>
        </w:rPr>
        <w:t>如乙方未能履行合同规定的义务，甲方有权按照本合同的约定从履约保证金中进行相应扣除。乙方应在甲方扣除履约保证金之日起10个工作日内，及时补充扣除部分金额。</w:t>
      </w:r>
    </w:p>
    <w:p>
      <w:pPr>
        <w:ind w:firstLine="480" w:firstLineChars="200"/>
        <w:rPr>
          <w:rFonts w:hint="eastAsia"/>
          <w:sz w:val="24"/>
        </w:rPr>
      </w:pPr>
      <w:r>
        <w:rPr>
          <w:sz w:val="24"/>
        </w:rPr>
        <w:t>（</w:t>
      </w:r>
      <w:r>
        <w:rPr>
          <w:rFonts w:hint="eastAsia"/>
          <w:sz w:val="24"/>
          <w:lang w:val="en-US" w:eastAsia="zh-CN"/>
        </w:rPr>
        <w:t>四</w:t>
      </w:r>
      <w:r>
        <w:rPr>
          <w:sz w:val="24"/>
        </w:rPr>
        <w:t>）如乙方不履行合同，或履行合同义务不符合约定使得合同目的不能实现，履约保证金不予退还。</w:t>
      </w:r>
    </w:p>
    <w:p>
      <w:pPr>
        <w:ind w:firstLine="482" w:firstLineChars="200"/>
        <w:rPr>
          <w:rFonts w:hint="eastAsia"/>
          <w:b/>
          <w:bCs/>
          <w:sz w:val="24"/>
        </w:rPr>
      </w:pPr>
      <w:r>
        <w:rPr>
          <w:b/>
          <w:bCs/>
          <w:sz w:val="24"/>
        </w:rPr>
        <w:t>第五条 包装</w:t>
      </w:r>
    </w:p>
    <w:p>
      <w:pPr>
        <w:pStyle w:val="624"/>
        <w:spacing w:line="360" w:lineRule="auto"/>
        <w:ind w:firstLine="480" w:firstLineChars="200"/>
        <w:rPr>
          <w:rFonts w:eastAsia="宋体"/>
          <w:sz w:val="24"/>
          <w:szCs w:val="24"/>
        </w:rPr>
      </w:pPr>
      <w:r>
        <w:rPr>
          <w:rFonts w:eastAsia="宋体"/>
          <w:sz w:val="24"/>
          <w:szCs w:val="24"/>
        </w:rPr>
        <w:t>（一）除合同另有规定外，乙方提供的全部货物均应按标准</w:t>
      </w:r>
      <w:r>
        <w:rPr>
          <w:rFonts w:eastAsia="宋体"/>
          <w:snapToGrid w:val="0"/>
          <w:kern w:val="0"/>
          <w:sz w:val="24"/>
          <w:szCs w:val="24"/>
        </w:rPr>
        <w:t>保护措施进行包装，这类包装应适应于远距离运输、防潮、防震、</w:t>
      </w:r>
      <w:r>
        <w:rPr>
          <w:rFonts w:eastAsia="宋体"/>
          <w:sz w:val="24"/>
          <w:szCs w:val="24"/>
        </w:rPr>
        <w:t>防锈和防野蛮装卸，以确保货物安全无损运抵指定交货地点。</w:t>
      </w:r>
    </w:p>
    <w:p>
      <w:pPr>
        <w:pStyle w:val="624"/>
        <w:spacing w:line="360" w:lineRule="auto"/>
        <w:ind w:firstLine="480" w:firstLineChars="200"/>
        <w:rPr>
          <w:rFonts w:eastAsia="宋体"/>
          <w:sz w:val="24"/>
          <w:szCs w:val="24"/>
        </w:rPr>
      </w:pPr>
      <w:r>
        <w:rPr>
          <w:rFonts w:eastAsia="宋体"/>
          <w:sz w:val="24"/>
          <w:szCs w:val="24"/>
        </w:rPr>
        <w:t>（二）乙方应在包装箱外标明产品名称、型号，包装箱内随附一份详细装箱单和质量证书。</w:t>
      </w:r>
    </w:p>
    <w:p>
      <w:pPr>
        <w:ind w:firstLine="480" w:firstLineChars="200"/>
        <w:rPr>
          <w:rFonts w:hint="eastAsia"/>
          <w:sz w:val="24"/>
        </w:rPr>
      </w:pPr>
      <w:r>
        <w:rPr>
          <w:sz w:val="24"/>
        </w:rPr>
        <w:t>（三）乙方应承担由于其包装或防护措施不当而引起的货物损坏和丢失的任何损失责任和费用。</w:t>
      </w:r>
    </w:p>
    <w:p>
      <w:pPr>
        <w:ind w:firstLine="482" w:firstLineChars="200"/>
        <w:rPr>
          <w:rFonts w:hint="eastAsia"/>
          <w:b/>
          <w:bCs/>
          <w:sz w:val="24"/>
        </w:rPr>
      </w:pPr>
      <w:r>
        <w:rPr>
          <w:b/>
          <w:bCs/>
          <w:sz w:val="24"/>
        </w:rPr>
        <w:t>第六条 交货时间、地点、交货方法（运输方式）</w:t>
      </w:r>
    </w:p>
    <w:p>
      <w:pPr>
        <w:pStyle w:val="625"/>
        <w:spacing w:line="360" w:lineRule="auto"/>
        <w:ind w:firstLine="480" w:firstLineChars="200"/>
        <w:rPr>
          <w:rFonts w:eastAsia="宋体"/>
          <w:sz w:val="24"/>
          <w:szCs w:val="24"/>
        </w:rPr>
      </w:pPr>
      <w:r>
        <w:rPr>
          <w:rFonts w:eastAsia="宋体"/>
          <w:sz w:val="24"/>
          <w:szCs w:val="24"/>
        </w:rPr>
        <w:t>（一</w:t>
      </w:r>
      <w:r>
        <w:rPr>
          <w:rFonts w:eastAsia="宋体"/>
          <w:snapToGrid w:val="0"/>
          <w:kern w:val="0"/>
          <w:sz w:val="24"/>
          <w:szCs w:val="24"/>
        </w:rPr>
        <w:t>）交</w:t>
      </w:r>
      <w:r>
        <w:rPr>
          <w:rFonts w:eastAsia="宋体"/>
          <w:sz w:val="24"/>
          <w:szCs w:val="24"/>
        </w:rPr>
        <w:t>货时间：合同签订后</w:t>
      </w:r>
      <w:r>
        <w:rPr>
          <w:rFonts w:hint="eastAsia" w:eastAsia="宋体"/>
          <w:sz w:val="24"/>
          <w:szCs w:val="24"/>
          <w:u w:val="single"/>
        </w:rPr>
        <w:t>30</w:t>
      </w:r>
      <w:r>
        <w:rPr>
          <w:rFonts w:hint="eastAsia" w:eastAsia="宋体"/>
          <w:sz w:val="24"/>
          <w:szCs w:val="24"/>
        </w:rPr>
        <w:t>个日历日</w:t>
      </w:r>
      <w:r>
        <w:rPr>
          <w:rFonts w:eastAsia="宋体"/>
          <w:sz w:val="24"/>
          <w:szCs w:val="24"/>
        </w:rPr>
        <w:t>内完成交货。</w:t>
      </w:r>
    </w:p>
    <w:p>
      <w:pPr>
        <w:pStyle w:val="626"/>
        <w:spacing w:line="360" w:lineRule="auto"/>
        <w:ind w:firstLine="480" w:firstLineChars="200"/>
        <w:rPr>
          <w:rFonts w:eastAsia="宋体"/>
          <w:sz w:val="24"/>
          <w:szCs w:val="24"/>
        </w:rPr>
      </w:pPr>
      <w:r>
        <w:rPr>
          <w:rFonts w:eastAsia="宋体"/>
          <w:sz w:val="24"/>
          <w:szCs w:val="24"/>
        </w:rPr>
        <w:t>（二）交货地</w:t>
      </w:r>
      <w:r>
        <w:rPr>
          <w:rFonts w:hint="eastAsia" w:eastAsia="宋体"/>
          <w:sz w:val="24"/>
          <w:szCs w:val="24"/>
        </w:rPr>
        <w:t>点：</w:t>
      </w:r>
      <w:r>
        <w:rPr>
          <w:rFonts w:eastAsia="宋体"/>
          <w:sz w:val="24"/>
          <w:szCs w:val="24"/>
        </w:rPr>
        <w:t>深圳市福田区福强路1011号深圳海关福强路办公区A栋指定地点。</w:t>
      </w:r>
    </w:p>
    <w:p>
      <w:pPr>
        <w:pStyle w:val="627"/>
        <w:spacing w:line="360" w:lineRule="auto"/>
        <w:ind w:firstLine="480" w:firstLineChars="200"/>
        <w:rPr>
          <w:rFonts w:eastAsia="宋体"/>
          <w:sz w:val="24"/>
          <w:szCs w:val="24"/>
        </w:rPr>
      </w:pPr>
      <w:r>
        <w:rPr>
          <w:rFonts w:eastAsia="宋体"/>
          <w:sz w:val="24"/>
          <w:szCs w:val="24"/>
        </w:rPr>
        <w:t>（三）交货方法：由乙方负责采用适合的交通工具将采购货物及其附件运至交货现场并按甲方要求完成卸货，以双方签署设备到货验收签收单为准，交货时应一并交付货物的有关单证。货物从生产厂运至海关指定地点的运输、劳务及相关保险的办理由乙方负责并承担相应费用。</w:t>
      </w:r>
    </w:p>
    <w:p>
      <w:pPr>
        <w:pStyle w:val="628"/>
        <w:spacing w:line="360" w:lineRule="auto"/>
        <w:ind w:firstLine="480" w:firstLineChars="200"/>
        <w:rPr>
          <w:rFonts w:eastAsia="宋体"/>
          <w:sz w:val="24"/>
          <w:szCs w:val="24"/>
        </w:rPr>
      </w:pPr>
      <w:r>
        <w:rPr>
          <w:rFonts w:eastAsia="宋体"/>
          <w:sz w:val="24"/>
          <w:szCs w:val="24"/>
        </w:rPr>
        <w:t>（四）风险责任承担：货物的风险责任和所有权在双方签署设备到货验收签收单/安装调试验收合格报告后由甲方承担和享有，此前的风险责任由乙方承担。</w:t>
      </w:r>
    </w:p>
    <w:p>
      <w:pPr>
        <w:pStyle w:val="629"/>
        <w:spacing w:after="231" w:line="360" w:lineRule="auto"/>
        <w:ind w:firstLine="482" w:firstLineChars="200"/>
        <w:rPr>
          <w:sz w:val="24"/>
          <w:szCs w:val="24"/>
        </w:rPr>
      </w:pPr>
      <w:r>
        <w:rPr>
          <w:b/>
          <w:bCs/>
          <w:sz w:val="24"/>
          <w:szCs w:val="24"/>
        </w:rPr>
        <w:t>第七条 货物验收</w:t>
      </w:r>
    </w:p>
    <w:p>
      <w:pPr>
        <w:pStyle w:val="630"/>
        <w:ind w:firstLine="480" w:firstLineChars="200"/>
        <w:rPr>
          <w:sz w:val="24"/>
          <w:szCs w:val="24"/>
        </w:rPr>
      </w:pPr>
      <w:r>
        <w:rPr>
          <w:sz w:val="24"/>
          <w:szCs w:val="24"/>
        </w:rPr>
        <w:t>（一）货物运至甲方（用户）指定地点后，由甲乙双方指派人员按照本合同规定对货物进行验收，乙方应提供交货清单等文件供甲方（用户）审查，甲方（用户）将按合同清单进行规格、数量、外观的检查。</w:t>
      </w:r>
    </w:p>
    <w:p>
      <w:pPr>
        <w:pStyle w:val="631"/>
        <w:spacing w:line="360" w:lineRule="auto"/>
        <w:ind w:firstLine="480" w:firstLineChars="200"/>
        <w:rPr>
          <w:rFonts w:eastAsia="宋体"/>
          <w:sz w:val="24"/>
          <w:szCs w:val="24"/>
        </w:rPr>
      </w:pPr>
      <w:r>
        <w:rPr>
          <w:rFonts w:eastAsia="宋体"/>
          <w:sz w:val="24"/>
          <w:szCs w:val="24"/>
        </w:rPr>
        <w:t>（二）</w:t>
      </w:r>
      <w:r>
        <w:rPr>
          <w:rFonts w:hint="eastAsia" w:eastAsia="宋体"/>
          <w:sz w:val="24"/>
          <w:szCs w:val="24"/>
        </w:rPr>
        <w:t>收货</w:t>
      </w:r>
      <w:r>
        <w:rPr>
          <w:rFonts w:eastAsia="宋体"/>
          <w:sz w:val="24"/>
          <w:szCs w:val="24"/>
        </w:rPr>
        <w:t>后</w:t>
      </w:r>
      <w:r>
        <w:rPr>
          <w:rFonts w:hint="eastAsia" w:eastAsia="宋体"/>
          <w:sz w:val="24"/>
          <w:szCs w:val="24"/>
          <w:u w:val="single"/>
        </w:rPr>
        <w:t xml:space="preserve"> 30 </w:t>
      </w:r>
      <w:r>
        <w:rPr>
          <w:rFonts w:eastAsia="宋体"/>
          <w:sz w:val="24"/>
          <w:szCs w:val="24"/>
        </w:rPr>
        <w:t>个工作日内甲乙双方进行到货验收工作。如验收合格，甲方（用户）应及时履行验收手续，双方签署设备到货验收签收单；如验收不合格，甲方（用户）应以书面形式通知乙方原因，乙方收到通知后</w:t>
      </w:r>
      <w:r>
        <w:rPr>
          <w:rFonts w:hint="eastAsia" w:eastAsia="宋体"/>
          <w:sz w:val="24"/>
          <w:szCs w:val="24"/>
          <w:u w:val="single"/>
        </w:rPr>
        <w:t xml:space="preserve"> 10  </w:t>
      </w:r>
      <w:r>
        <w:rPr>
          <w:rFonts w:eastAsia="宋体"/>
          <w:sz w:val="24"/>
          <w:szCs w:val="24"/>
        </w:rPr>
        <w:t>个工作日内提供解决方案。</w:t>
      </w:r>
    </w:p>
    <w:p>
      <w:pPr>
        <w:pStyle w:val="630"/>
        <w:ind w:firstLine="480" w:firstLineChars="200"/>
        <w:rPr>
          <w:sz w:val="24"/>
          <w:szCs w:val="24"/>
        </w:rPr>
      </w:pPr>
      <w:r>
        <w:rPr>
          <w:sz w:val="24"/>
          <w:szCs w:val="24"/>
        </w:rPr>
        <w:t>（三）在验收工作中，发现数量不足或有质量、技术等问题，乙方应按照合同要求采取补足、更换或退货等处理措施，并承担由此发生的一切费用和损失。</w:t>
      </w:r>
    </w:p>
    <w:p>
      <w:pPr>
        <w:pStyle w:val="630"/>
        <w:ind w:firstLine="480" w:firstLineChars="200"/>
        <w:rPr>
          <w:sz w:val="24"/>
          <w:szCs w:val="24"/>
        </w:rPr>
      </w:pPr>
      <w:r>
        <w:rPr>
          <w:sz w:val="24"/>
          <w:szCs w:val="24"/>
        </w:rPr>
        <w:t>（四）涉及设备安装调试的，乙方负责在甲方（用户）配合下完成所供设备安装调试并保证与用户原有设备互联互通，有关技术问题由乙方和制造商协同解决。安装调试后，双方签署设备安装调试验收报告。</w:t>
      </w:r>
    </w:p>
    <w:p>
      <w:pPr>
        <w:pStyle w:val="632"/>
        <w:spacing w:line="360" w:lineRule="auto"/>
        <w:ind w:firstLine="480" w:firstLineChars="200"/>
        <w:rPr>
          <w:rFonts w:eastAsia="宋体"/>
          <w:sz w:val="24"/>
          <w:szCs w:val="24"/>
        </w:rPr>
      </w:pPr>
      <w:r>
        <w:rPr>
          <w:rFonts w:eastAsia="宋体"/>
          <w:sz w:val="24"/>
          <w:szCs w:val="24"/>
        </w:rPr>
        <w:t>（</w:t>
      </w:r>
      <w:r>
        <w:rPr>
          <w:rFonts w:hint="eastAsia" w:eastAsia="宋体"/>
          <w:sz w:val="24"/>
          <w:szCs w:val="24"/>
        </w:rPr>
        <w:t>五</w:t>
      </w:r>
      <w:r>
        <w:rPr>
          <w:rFonts w:eastAsia="宋体"/>
          <w:sz w:val="24"/>
          <w:szCs w:val="24"/>
        </w:rPr>
        <w:t>）甲方（用户）认为必要时，对大型或者复杂的货物采购项目，可以邀请国家认可的质量检测机构参加验收工作，相关验收意见作为验收报告的参考资料，相关费用由乙方承担。</w:t>
      </w:r>
    </w:p>
    <w:p>
      <w:pPr>
        <w:pStyle w:val="632"/>
        <w:spacing w:line="360" w:lineRule="auto"/>
        <w:ind w:firstLine="480" w:firstLineChars="200"/>
        <w:rPr>
          <w:rFonts w:eastAsia="宋体"/>
          <w:sz w:val="24"/>
          <w:szCs w:val="24"/>
        </w:rPr>
      </w:pPr>
      <w:r>
        <w:rPr>
          <w:rFonts w:eastAsia="宋体"/>
          <w:sz w:val="24"/>
          <w:szCs w:val="24"/>
        </w:rPr>
        <w:t>（</w:t>
      </w:r>
      <w:r>
        <w:rPr>
          <w:rFonts w:hint="eastAsia" w:eastAsia="宋体"/>
          <w:sz w:val="24"/>
          <w:szCs w:val="24"/>
        </w:rPr>
        <w:t>六</w:t>
      </w:r>
      <w:r>
        <w:rPr>
          <w:rFonts w:eastAsia="宋体"/>
          <w:sz w:val="24"/>
          <w:szCs w:val="24"/>
        </w:rPr>
        <w:t>）验收标准以双方达成的对质量和技术标准的约定、乙方承诺的质量和技术标准、国家或行业规定的相关质量和技术标准中最高者为准，且应充分满足甲方使用要求。</w:t>
      </w:r>
    </w:p>
    <w:p>
      <w:pPr>
        <w:pStyle w:val="630"/>
        <w:ind w:firstLine="482" w:firstLineChars="200"/>
        <w:rPr>
          <w:sz w:val="24"/>
          <w:szCs w:val="24"/>
        </w:rPr>
      </w:pPr>
      <w:r>
        <w:rPr>
          <w:b/>
          <w:bCs/>
          <w:sz w:val="24"/>
          <w:szCs w:val="24"/>
        </w:rPr>
        <w:t>第八条 质量保证</w:t>
      </w:r>
    </w:p>
    <w:p>
      <w:pPr>
        <w:ind w:firstLine="480" w:firstLineChars="200"/>
        <w:rPr>
          <w:rFonts w:hint="eastAsia"/>
          <w:sz w:val="24"/>
        </w:rPr>
      </w:pPr>
      <w:r>
        <w:rPr>
          <w:sz w:val="24"/>
        </w:rPr>
        <w:t>（一）乙方应保证所供货物为</w:t>
      </w:r>
      <w:r>
        <w:rPr>
          <w:rFonts w:hint="eastAsia"/>
          <w:sz w:val="24"/>
          <w:u w:val="single"/>
        </w:rPr>
        <w:t xml:space="preserve">              </w:t>
      </w:r>
      <w:r>
        <w:rPr>
          <w:sz w:val="24"/>
        </w:rPr>
        <w:t>公司制造生产、原包装、全新未使用过的产品，与投标文件/应答文件承诺一致，并完全符合或高于合同要求的质量、规格和技术性能。</w:t>
      </w:r>
    </w:p>
    <w:p>
      <w:pPr>
        <w:ind w:firstLine="480" w:firstLineChars="200"/>
        <w:rPr>
          <w:rFonts w:hint="eastAsia"/>
          <w:sz w:val="24"/>
        </w:rPr>
      </w:pPr>
      <w:r>
        <w:rPr>
          <w:sz w:val="24"/>
        </w:rPr>
        <w:t>（二）乙方应保证所供货物没有因乙方的行为或疏忽而产生材料或工艺上的缺陷，并保证其货物在正确安装、正常使用和保养条件下，在其使用寿命期内具有满意的性能。在货物最终交付验收后不少于合同规定或乙方承诺（两者以较长的为准）的质量保证期内，本保证保持有效。</w:t>
      </w:r>
    </w:p>
    <w:p>
      <w:pPr>
        <w:ind w:firstLine="480" w:firstLineChars="200"/>
        <w:rPr>
          <w:rFonts w:hint="eastAsia"/>
          <w:sz w:val="24"/>
        </w:rPr>
      </w:pPr>
      <w:r>
        <w:rPr>
          <w:sz w:val="24"/>
        </w:rPr>
        <w:t>（三）如果乙方所供货物质量与合同不符，或证实所供货物是有缺陷的，包括潜在的缺陷或使用不符合要求的材料等，由此引起的全部损失及费用由乙方承担。若以上原因导致或引起甲方（用户）损失及导致或引起第三方受到损害的，全部赔偿责任均应由乙方承担。</w:t>
      </w:r>
    </w:p>
    <w:p>
      <w:pPr>
        <w:ind w:firstLine="480" w:firstLineChars="200"/>
        <w:rPr>
          <w:rFonts w:hint="eastAsia"/>
          <w:sz w:val="24"/>
        </w:rPr>
      </w:pPr>
      <w:r>
        <w:rPr>
          <w:sz w:val="24"/>
        </w:rPr>
        <w:t>（四）在质量保证期内所发现的缺陷，甲方（用户）应尽快以书面形式通知乙方。乙方收到通知后应10日内维修或更换有缺陷的货物或部件。</w:t>
      </w:r>
    </w:p>
    <w:p>
      <w:pPr>
        <w:ind w:firstLine="480" w:firstLineChars="200"/>
        <w:rPr>
          <w:rFonts w:hint="eastAsia"/>
          <w:sz w:val="24"/>
        </w:rPr>
      </w:pPr>
      <w:r>
        <w:rPr>
          <w:sz w:val="24"/>
        </w:rPr>
        <w:t>（五）乙方在约定的时间内未能弥补缺陷，甲方（用户）可采取必要的补救措施，但其风险和费用将由乙方承担，甲方（用户）根据合同规定对乙方行使的其他权利不受影响。</w:t>
      </w:r>
    </w:p>
    <w:p>
      <w:pPr>
        <w:ind w:firstLine="480" w:firstLineChars="200"/>
        <w:rPr>
          <w:rFonts w:hint="eastAsia"/>
          <w:sz w:val="24"/>
        </w:rPr>
      </w:pPr>
      <w:r>
        <w:rPr>
          <w:sz w:val="24"/>
        </w:rPr>
        <w:t>（六）本合同项目所有货物质量保证期为：自双方签署设备验收合格报告之日起计算</w:t>
      </w:r>
      <w:r>
        <w:rPr>
          <w:rFonts w:hint="eastAsia"/>
          <w:sz w:val="24"/>
          <w:u w:val="single"/>
        </w:rPr>
        <w:t>整机三</w:t>
      </w:r>
      <w:r>
        <w:rPr>
          <w:sz w:val="24"/>
        </w:rPr>
        <w:t>年。</w:t>
      </w:r>
    </w:p>
    <w:p>
      <w:pPr>
        <w:ind w:firstLine="482" w:firstLineChars="200"/>
        <w:rPr>
          <w:rFonts w:hint="eastAsia"/>
          <w:b/>
          <w:bCs/>
          <w:sz w:val="24"/>
        </w:rPr>
      </w:pPr>
      <w:r>
        <w:rPr>
          <w:b/>
          <w:bCs/>
          <w:sz w:val="24"/>
        </w:rPr>
        <w:t>第九条 培训</w:t>
      </w:r>
    </w:p>
    <w:p>
      <w:pPr>
        <w:ind w:firstLine="480" w:firstLineChars="200"/>
        <w:rPr>
          <w:rFonts w:hint="eastAsia"/>
          <w:b/>
          <w:bCs/>
          <w:sz w:val="24"/>
        </w:rPr>
      </w:pPr>
      <w:r>
        <w:rPr>
          <w:bCs/>
          <w:sz w:val="24"/>
        </w:rPr>
        <w:t>本合同所包括的培训详见附件培训方案。</w:t>
      </w:r>
    </w:p>
    <w:p>
      <w:pPr>
        <w:ind w:firstLine="482" w:firstLineChars="200"/>
        <w:rPr>
          <w:rFonts w:hint="eastAsia"/>
          <w:b/>
          <w:bCs/>
          <w:sz w:val="24"/>
        </w:rPr>
      </w:pPr>
      <w:r>
        <w:rPr>
          <w:b/>
          <w:bCs/>
          <w:sz w:val="24"/>
        </w:rPr>
        <w:t>第十条 售后服务</w:t>
      </w:r>
    </w:p>
    <w:p>
      <w:pPr>
        <w:ind w:firstLine="480" w:firstLineChars="200"/>
        <w:rPr>
          <w:rFonts w:hint="eastAsia"/>
          <w:sz w:val="24"/>
        </w:rPr>
      </w:pPr>
      <w:r>
        <w:rPr>
          <w:sz w:val="24"/>
        </w:rPr>
        <w:t>（一）供应商（制造商）在质量保证期内提供</w:t>
      </w:r>
      <w:r>
        <w:rPr>
          <w:rFonts w:hint="eastAsia"/>
          <w:sz w:val="24"/>
          <w:u w:val="single"/>
        </w:rPr>
        <w:t xml:space="preserve"> 7*24 </w:t>
      </w:r>
      <w:r>
        <w:rPr>
          <w:sz w:val="24"/>
        </w:rPr>
        <w:t>小时的技术支持与售后服务，提供专线电话支持服务，</w:t>
      </w:r>
      <w:r>
        <w:rPr>
          <w:rFonts w:hint="eastAsia"/>
          <w:sz w:val="24"/>
          <w:u w:val="single"/>
        </w:rPr>
        <w:t xml:space="preserve"> 2 </w:t>
      </w:r>
      <w:r>
        <w:rPr>
          <w:sz w:val="24"/>
        </w:rPr>
        <w:t>小时内响应，保证_</w:t>
      </w:r>
      <w:r>
        <w:rPr>
          <w:rFonts w:hint="eastAsia"/>
          <w:sz w:val="24"/>
          <w:u w:val="single"/>
        </w:rPr>
        <w:t>48</w:t>
      </w:r>
      <w:r>
        <w:rPr>
          <w:sz w:val="24"/>
          <w:u w:val="single"/>
        </w:rPr>
        <w:t>_</w:t>
      </w:r>
      <w:r>
        <w:rPr>
          <w:sz w:val="24"/>
        </w:rPr>
        <w:t>_小时内到达现场并解决故障</w:t>
      </w:r>
      <w:r>
        <w:rPr>
          <w:rFonts w:hint="eastAsia"/>
          <w:sz w:val="24"/>
        </w:rPr>
        <w:t>（不额外收费）</w:t>
      </w:r>
      <w:r>
        <w:rPr>
          <w:sz w:val="24"/>
        </w:rPr>
        <w:t>。</w:t>
      </w:r>
    </w:p>
    <w:p>
      <w:pPr>
        <w:ind w:firstLine="480" w:firstLineChars="200"/>
        <w:rPr>
          <w:rFonts w:hint="eastAsia"/>
          <w:sz w:val="24"/>
        </w:rPr>
      </w:pPr>
      <w:r>
        <w:rPr>
          <w:sz w:val="24"/>
        </w:rPr>
        <w:t>（二）本合同所包含的售后服务，包含制造商售后服务和代理商售后服务，具体见附件技术支持及售后服务方案。</w:t>
      </w:r>
    </w:p>
    <w:p>
      <w:pPr>
        <w:ind w:firstLine="482" w:firstLineChars="200"/>
        <w:rPr>
          <w:rFonts w:hint="eastAsia"/>
          <w:b/>
          <w:bCs/>
          <w:sz w:val="24"/>
        </w:rPr>
      </w:pPr>
      <w:r>
        <w:rPr>
          <w:b/>
          <w:bCs/>
          <w:sz w:val="24"/>
        </w:rPr>
        <w:t>第十一条 违约责任</w:t>
      </w:r>
    </w:p>
    <w:p>
      <w:pPr>
        <w:ind w:firstLine="480" w:firstLineChars="200"/>
        <w:rPr>
          <w:rFonts w:hint="eastAsia"/>
          <w:sz w:val="24"/>
        </w:rPr>
      </w:pPr>
      <w:r>
        <w:rPr>
          <w:sz w:val="24"/>
        </w:rPr>
        <w:t>（一）因乙方原因未能按照本合同要求交付合格的货物或提供相关服务的违约责任。</w:t>
      </w:r>
    </w:p>
    <w:p>
      <w:pPr>
        <w:ind w:firstLine="480" w:firstLineChars="200"/>
        <w:rPr>
          <w:rFonts w:hint="eastAsia"/>
          <w:sz w:val="24"/>
        </w:rPr>
      </w:pPr>
      <w:r>
        <w:rPr>
          <w:sz w:val="24"/>
        </w:rPr>
        <w:t>1.对于货物被证实存在缺陷（包括潜在的缺陷）或者不符合合同要求的，或原材料、技术标准、尺寸、颜色等存在质量问题，在合同条款规定的检验、安装、调试、验收和质量保证期内，甲方有权要求退货、退货重新制作、新货替换。乙方应按照甲方意见，用以下一种或几种方式结合解决：</w:t>
      </w:r>
    </w:p>
    <w:p>
      <w:pPr>
        <w:ind w:firstLine="480" w:firstLineChars="200"/>
        <w:rPr>
          <w:rFonts w:hint="eastAsia"/>
          <w:sz w:val="24"/>
        </w:rPr>
      </w:pPr>
      <w:r>
        <w:rPr>
          <w:sz w:val="24"/>
        </w:rPr>
        <w:t>（1）退货：甲方将货物退回乙方，乙方将合同货款退还给甲方，并承担由此发生的一切损失和费用。</w:t>
      </w:r>
    </w:p>
    <w:p>
      <w:pPr>
        <w:ind w:firstLine="480" w:firstLineChars="200"/>
        <w:rPr>
          <w:rFonts w:hint="eastAsia"/>
          <w:sz w:val="24"/>
        </w:rPr>
      </w:pPr>
      <w:r>
        <w:rPr>
          <w:sz w:val="24"/>
        </w:rPr>
        <w:t>（2）退货重新制作：甲方将货物退回乙方，乙方按照技术标准要求重新制作，并承担由此发生的一切损失和费用。</w:t>
      </w:r>
    </w:p>
    <w:p>
      <w:pPr>
        <w:ind w:firstLine="480" w:firstLineChars="200"/>
        <w:rPr>
          <w:rFonts w:hint="eastAsia"/>
          <w:sz w:val="24"/>
        </w:rPr>
      </w:pPr>
      <w:r>
        <w:rPr>
          <w:sz w:val="24"/>
        </w:rPr>
        <w:t>（3）新货替换：乙方用满足技术标准要求的货物替换存在缺陷的产品，承担甲方蒙受的全部损失和费用，并承担由此引发的一切风险，且相应延长所换货物的质量保证期。</w:t>
      </w:r>
    </w:p>
    <w:p>
      <w:pPr>
        <w:ind w:firstLine="480" w:firstLineChars="200"/>
        <w:rPr>
          <w:rFonts w:hint="eastAsia"/>
          <w:sz w:val="24"/>
        </w:rPr>
      </w:pPr>
      <w:r>
        <w:rPr>
          <w:sz w:val="24"/>
        </w:rPr>
        <w:t>2.</w:t>
      </w:r>
      <w:r>
        <w:rPr>
          <w:bCs/>
          <w:sz w:val="24"/>
        </w:rPr>
        <w:t>如果乙方</w:t>
      </w:r>
      <w:r>
        <w:rPr>
          <w:sz w:val="24"/>
        </w:rPr>
        <w:t>未在甲方要求的10日内或甲方同意的期限内，按照上述任何一种方式采取补救措施，甲方有权解除合同，扣除全部履约保证金并要求乙方退回甲方已支付的货款，并视损失情况根据《中华人民共和国民法典（合同编）》有关规定追究其相关责任，赔偿甲方（用户）的全部损失。</w:t>
      </w:r>
    </w:p>
    <w:p>
      <w:pPr>
        <w:pStyle w:val="633"/>
        <w:spacing w:line="360" w:lineRule="auto"/>
        <w:ind w:firstLine="480" w:firstLineChars="200"/>
        <w:rPr>
          <w:rFonts w:eastAsia="宋体"/>
          <w:sz w:val="24"/>
          <w:szCs w:val="24"/>
        </w:rPr>
      </w:pPr>
      <w:r>
        <w:rPr>
          <w:rFonts w:eastAsia="宋体"/>
          <w:sz w:val="24"/>
          <w:szCs w:val="24"/>
        </w:rPr>
        <w:t>3.对于未能按合同要求提供服务或被证实未提供应当承担的服务的，甲方有权要求限期整改。无合理理由不进行整改的视为根本违约。</w:t>
      </w:r>
    </w:p>
    <w:p>
      <w:pPr>
        <w:ind w:firstLine="480" w:firstLineChars="200"/>
        <w:rPr>
          <w:rFonts w:hint="eastAsia"/>
          <w:sz w:val="24"/>
        </w:rPr>
      </w:pPr>
      <w:r>
        <w:rPr>
          <w:sz w:val="24"/>
        </w:rPr>
        <w:t>（二）乙方未按照本合同规定的时间交货和提供服务的违约责任。</w:t>
      </w:r>
    </w:p>
    <w:p>
      <w:pPr>
        <w:pStyle w:val="634"/>
        <w:spacing w:line="360" w:lineRule="auto"/>
        <w:ind w:firstLine="480" w:firstLineChars="200"/>
        <w:rPr>
          <w:rFonts w:eastAsia="宋体"/>
          <w:sz w:val="24"/>
          <w:szCs w:val="24"/>
        </w:rPr>
      </w:pPr>
      <w:r>
        <w:rPr>
          <w:rFonts w:eastAsia="宋体"/>
          <w:sz w:val="24"/>
          <w:szCs w:val="24"/>
        </w:rPr>
        <w:t>1.在履行合同过程中，如果乙方遇到可能妨碍按时交货和提供服务的情形时，应及时以书面形式将延迟的事实、可能延迟的期限和理由通知甲方（用户）。甲方（用户）在收到乙方通知后，应尽快对情况进行评价，并确定是否同意延迟交货时间或延期提供服务，如甲方（用户）不同意延期，乙方仍应当按照约定的时间完成交货义务，如甲方（用户）同意延期，必须以双方签订的补充协议为准。</w:t>
      </w:r>
    </w:p>
    <w:p>
      <w:pPr>
        <w:pStyle w:val="634"/>
        <w:spacing w:line="360" w:lineRule="auto"/>
        <w:ind w:firstLine="480" w:firstLineChars="200"/>
        <w:rPr>
          <w:rFonts w:eastAsia="宋体"/>
          <w:sz w:val="24"/>
          <w:szCs w:val="24"/>
        </w:rPr>
      </w:pPr>
      <w:r>
        <w:rPr>
          <w:rFonts w:eastAsia="宋体"/>
          <w:sz w:val="24"/>
          <w:szCs w:val="24"/>
        </w:rPr>
        <w:t>2.除甲乙双方另有约定外，如果乙方没有按照合同规定的时间交货和提供服务，甲方有权在不影响合同项下其他补救措施的情况下，要求乙方支付误期赔偿费，或从合同货款、履约保证金中扣除误期赔偿费。赔偿费按每周迟交货物价格或未提供服务费用的百分之零点五（0.5%）计收，直到交货或提供服务为止。但误期赔偿费的最高限额不超过误期货物或服务合同价格的百分之十（10%）。一周按七（7）天计算，不足七（7）天按一周计算。</w:t>
      </w:r>
    </w:p>
    <w:p>
      <w:pPr>
        <w:pStyle w:val="634"/>
        <w:spacing w:line="360" w:lineRule="auto"/>
        <w:ind w:firstLine="480" w:firstLineChars="200"/>
        <w:rPr>
          <w:rFonts w:eastAsia="宋体"/>
          <w:sz w:val="24"/>
          <w:szCs w:val="24"/>
        </w:rPr>
      </w:pPr>
      <w:r>
        <w:rPr>
          <w:rFonts w:eastAsia="宋体"/>
          <w:sz w:val="24"/>
          <w:szCs w:val="24"/>
        </w:rPr>
        <w:t>3.出现上述没有按照合同规定的时间交货和提供服务的情形时，甲方也可以选择解除合同，要求乙方退回甲方已支付货款、扣除履约保证金并追究乙方相应违约责任、赔偿甲方（用户）的全部损失。</w:t>
      </w:r>
    </w:p>
    <w:p>
      <w:pPr>
        <w:pStyle w:val="634"/>
        <w:spacing w:line="360" w:lineRule="auto"/>
        <w:ind w:firstLine="480" w:firstLineChars="200"/>
        <w:rPr>
          <w:rFonts w:eastAsia="宋体"/>
          <w:sz w:val="24"/>
          <w:szCs w:val="24"/>
        </w:rPr>
      </w:pPr>
      <w:r>
        <w:rPr>
          <w:rFonts w:eastAsia="宋体"/>
          <w:sz w:val="24"/>
          <w:szCs w:val="24"/>
        </w:rPr>
        <w:t>4.如合同被全部或部分解除，甲方可依其认为适当的条款和方法购买与未交货类似的货物，乙方应对购买类似货物所超出的那部分费用负责。同时，乙方应继续执行合同中未解除的部分。如乙方违约并经同意延期仍不能履行合同时，甲方有权解除合同，扣除履约保证金，且乙方应赔偿由此给甲方造成的损失。</w:t>
      </w:r>
    </w:p>
    <w:p>
      <w:pPr>
        <w:pStyle w:val="634"/>
        <w:spacing w:line="360" w:lineRule="auto"/>
        <w:ind w:firstLine="480" w:firstLineChars="200"/>
        <w:rPr>
          <w:rFonts w:eastAsia="宋体"/>
          <w:sz w:val="24"/>
          <w:szCs w:val="24"/>
        </w:rPr>
      </w:pPr>
      <w:r>
        <w:rPr>
          <w:rFonts w:eastAsia="宋体"/>
          <w:sz w:val="24"/>
          <w:szCs w:val="24"/>
        </w:rPr>
        <w:t>（三）因乙方或乙方工作人员或乙方相关方的作为或不作为行为致使甲方或第三方遭受人员人身伤害或财产损失的，乙方应承担全部赔偿责任，赔偿全部损失，且甲方有权以全部履约保证金作为违约金，解除本合同。</w:t>
      </w:r>
    </w:p>
    <w:p>
      <w:pPr>
        <w:pStyle w:val="635"/>
        <w:spacing w:line="360" w:lineRule="auto"/>
        <w:ind w:firstLine="480" w:firstLineChars="200"/>
        <w:rPr>
          <w:rFonts w:eastAsia="宋体"/>
          <w:sz w:val="24"/>
          <w:szCs w:val="24"/>
        </w:rPr>
      </w:pPr>
      <w:r>
        <w:rPr>
          <w:rFonts w:eastAsia="宋体"/>
          <w:sz w:val="24"/>
          <w:szCs w:val="24"/>
        </w:rPr>
        <w:t>（四）在本合同履行过程中，如果有证据证明乙方根本无法履行合同的，甲方可以行使不安抗辩权，有权解除合同，并扣除履约保证金，如因乙方不能履行给甲方造成其他损失的，乙方应继续承担赔偿责任。</w:t>
      </w:r>
    </w:p>
    <w:p>
      <w:pPr>
        <w:pStyle w:val="636"/>
        <w:spacing w:line="360" w:lineRule="auto"/>
        <w:ind w:firstLine="482" w:firstLineChars="200"/>
        <w:rPr>
          <w:rFonts w:eastAsia="宋体"/>
          <w:b/>
          <w:bCs/>
          <w:sz w:val="24"/>
          <w:szCs w:val="24"/>
        </w:rPr>
      </w:pPr>
      <w:r>
        <w:rPr>
          <w:rFonts w:eastAsia="宋体"/>
          <w:b/>
          <w:bCs/>
          <w:sz w:val="24"/>
          <w:szCs w:val="24"/>
        </w:rPr>
        <w:t>第十二条 异议的期限和方法</w:t>
      </w:r>
    </w:p>
    <w:p>
      <w:pPr>
        <w:pStyle w:val="636"/>
        <w:spacing w:line="360" w:lineRule="auto"/>
        <w:ind w:firstLine="480" w:firstLineChars="200"/>
        <w:rPr>
          <w:rFonts w:eastAsia="宋体"/>
          <w:sz w:val="24"/>
          <w:szCs w:val="24"/>
        </w:rPr>
      </w:pPr>
      <w:r>
        <w:rPr>
          <w:rFonts w:eastAsia="宋体"/>
          <w:sz w:val="24"/>
          <w:szCs w:val="24"/>
        </w:rPr>
        <w:t>（一）异议期限自质量保证期开始之日起3个月内。如果属于产品设计、材料、工艺或其他潜在的质量缺陷，甲方（用户）以书面形式提出异议及其处理意见。</w:t>
      </w:r>
    </w:p>
    <w:p>
      <w:pPr>
        <w:pStyle w:val="636"/>
        <w:spacing w:line="360" w:lineRule="auto"/>
        <w:ind w:firstLine="480" w:firstLineChars="200"/>
        <w:rPr>
          <w:rFonts w:eastAsia="宋体"/>
          <w:sz w:val="24"/>
          <w:szCs w:val="24"/>
        </w:rPr>
      </w:pPr>
      <w:r>
        <w:rPr>
          <w:rFonts w:eastAsia="宋体"/>
          <w:sz w:val="24"/>
          <w:szCs w:val="24"/>
        </w:rPr>
        <w:t>（二）乙方接到甲方（用户）书面异议及其处理意见后，应在10日内到甲方（用户）项目现场处理，否则即视为默认甲方（用户）提出的异议和处理意见。</w:t>
      </w:r>
    </w:p>
    <w:p>
      <w:pPr>
        <w:pStyle w:val="636"/>
        <w:spacing w:line="360" w:lineRule="auto"/>
        <w:ind w:firstLine="482" w:firstLineChars="200"/>
        <w:rPr>
          <w:rFonts w:eastAsia="宋体"/>
          <w:b/>
          <w:bCs/>
          <w:sz w:val="24"/>
          <w:szCs w:val="24"/>
        </w:rPr>
      </w:pPr>
      <w:r>
        <w:rPr>
          <w:rFonts w:eastAsia="宋体"/>
          <w:b/>
          <w:bCs/>
          <w:sz w:val="24"/>
          <w:szCs w:val="24"/>
        </w:rPr>
        <w:t>第十三条 使用合同文件和资料</w:t>
      </w:r>
    </w:p>
    <w:p>
      <w:pPr>
        <w:pStyle w:val="636"/>
        <w:spacing w:line="360" w:lineRule="auto"/>
        <w:ind w:firstLine="480" w:firstLineChars="200"/>
        <w:rPr>
          <w:rFonts w:eastAsia="宋体"/>
          <w:sz w:val="24"/>
          <w:szCs w:val="24"/>
        </w:rPr>
      </w:pPr>
      <w:r>
        <w:rPr>
          <w:rFonts w:eastAsia="宋体"/>
          <w:sz w:val="24"/>
          <w:szCs w:val="24"/>
        </w:rPr>
        <w:t>（一）没有甲方（用户）事先书面同意，乙方不得将由甲方或代表甲方提供的有关合同或任何合同条文、规格或资料等提供给乙方雇佣于履行本合同以外的任何其他人。即使向本合同的雇员提供，也应注意保密并限于履行本合同必须的范围。</w:t>
      </w:r>
    </w:p>
    <w:p>
      <w:pPr>
        <w:pStyle w:val="636"/>
        <w:spacing w:line="360" w:lineRule="auto"/>
        <w:ind w:firstLine="480" w:firstLineChars="200"/>
        <w:rPr>
          <w:rFonts w:eastAsia="宋体"/>
          <w:sz w:val="24"/>
          <w:szCs w:val="24"/>
        </w:rPr>
      </w:pPr>
      <w:r>
        <w:rPr>
          <w:rFonts w:eastAsia="宋体"/>
          <w:sz w:val="24"/>
          <w:szCs w:val="24"/>
        </w:rPr>
        <w:t>（二）没有甲方（用户）事先书面同意，除了履行本合同之外，乙方不应使用、传播与本合同相关的任何文件、资料。</w:t>
      </w:r>
    </w:p>
    <w:p>
      <w:pPr>
        <w:ind w:firstLine="482" w:firstLineChars="200"/>
        <w:rPr>
          <w:rFonts w:hint="eastAsia"/>
          <w:b/>
          <w:bCs/>
          <w:sz w:val="24"/>
        </w:rPr>
      </w:pPr>
      <w:r>
        <w:rPr>
          <w:b/>
          <w:bCs/>
          <w:sz w:val="24"/>
        </w:rPr>
        <w:t>第十四条 知识产权</w:t>
      </w:r>
    </w:p>
    <w:p>
      <w:pPr>
        <w:ind w:firstLine="480" w:firstLineChars="200"/>
        <w:rPr>
          <w:rFonts w:hint="eastAsia"/>
          <w:sz w:val="24"/>
        </w:rPr>
      </w:pPr>
      <w:r>
        <w:rPr>
          <w:sz w:val="24"/>
        </w:rPr>
        <w:t>（一）乙方应保证所提供的货物及服务不侵犯任何第三方的知识产权(专利权、商标权、版权等)及其他任何合法权益。如果甲方（用户）在使用乙方货物或服务的任何一部分过程中，遭致第三方索赔或主张权利的，乙方应当修正以避免侵权。</w:t>
      </w:r>
    </w:p>
    <w:p>
      <w:pPr>
        <w:ind w:firstLine="480" w:firstLineChars="200"/>
        <w:rPr>
          <w:rFonts w:hint="eastAsia"/>
          <w:sz w:val="24"/>
        </w:rPr>
      </w:pPr>
      <w:r>
        <w:rPr>
          <w:sz w:val="24"/>
        </w:rPr>
        <w:t>（二）如果甲方（用户）在使用乙方货物或货物的任何一部分过程中，因侵犯第三方合法权益（包括但不限于知识产权）而遭致第三方索赔或主张权利的，乙方将自费为甲方（用户）应诉，并支付法院最终判决的甲方（用户）应支付第三方的一切费用、并赔偿甲方（用户）由此遭受的全部损失及支出的合理费用。</w:t>
      </w:r>
    </w:p>
    <w:p>
      <w:pPr>
        <w:ind w:firstLine="480" w:firstLineChars="200"/>
        <w:rPr>
          <w:rFonts w:hint="eastAsia"/>
          <w:sz w:val="24"/>
        </w:rPr>
      </w:pPr>
      <w:r>
        <w:rPr>
          <w:sz w:val="24"/>
        </w:rPr>
        <w:t>（三）如乙方提供的货物或服务确实侵犯了第三方合法权益（包括但不限于知识产权）的，甲方有权解除合同，没收履约保证金，要求乙方退回已支付的全部货款，并赔偿甲方的全部损失及支出的合理费用。</w:t>
      </w:r>
    </w:p>
    <w:p>
      <w:pPr>
        <w:ind w:firstLine="482" w:firstLineChars="200"/>
        <w:rPr>
          <w:rFonts w:hint="eastAsia"/>
          <w:b/>
          <w:bCs/>
          <w:sz w:val="24"/>
        </w:rPr>
      </w:pPr>
      <w:r>
        <w:rPr>
          <w:b/>
          <w:bCs/>
          <w:sz w:val="24"/>
        </w:rPr>
        <w:t>第十五条 权利瑕疵担保</w:t>
      </w:r>
    </w:p>
    <w:p>
      <w:pPr>
        <w:ind w:firstLine="480" w:firstLineChars="200"/>
        <w:rPr>
          <w:rFonts w:hint="eastAsia"/>
          <w:sz w:val="24"/>
        </w:rPr>
      </w:pPr>
      <w:r>
        <w:rPr>
          <w:sz w:val="24"/>
        </w:rPr>
        <w:t>（一）乙方保证对其所提供的货物享有完全的所有权等合法权利，不存在任何未曾向甲方（用户）透露的担保物权（如抵押权、质押权、留置权等）或其他任何权利负担或争议。</w:t>
      </w:r>
    </w:p>
    <w:p>
      <w:pPr>
        <w:pStyle w:val="637"/>
        <w:spacing w:line="360" w:lineRule="auto"/>
        <w:ind w:firstLine="480" w:firstLineChars="200"/>
        <w:rPr>
          <w:rFonts w:eastAsia="宋体"/>
          <w:sz w:val="24"/>
          <w:szCs w:val="24"/>
        </w:rPr>
      </w:pPr>
      <w:r>
        <w:rPr>
          <w:rFonts w:eastAsia="宋体"/>
          <w:sz w:val="24"/>
          <w:szCs w:val="24"/>
        </w:rPr>
        <w:t>（二）乙方应保证所提供的货物免受第三方提出的任何权利主张，如因第三方提出权利主张给甲方（用户）造成损失的，乙方应予以赔偿。</w:t>
      </w:r>
    </w:p>
    <w:p>
      <w:pPr>
        <w:ind w:firstLine="480" w:firstLineChars="200"/>
        <w:rPr>
          <w:rFonts w:hint="eastAsia"/>
          <w:sz w:val="24"/>
        </w:rPr>
      </w:pPr>
      <w:r>
        <w:rPr>
          <w:sz w:val="24"/>
        </w:rPr>
        <w:t>（三）如乙方所提供的货物存在前述担保货物或权利负担，甲方（用户）有权解除合同、没收履约保证金，并要求乙方退还已支付的全部货款，赔偿甲方（用户）的全部损失及支出的合理费用。</w:t>
      </w:r>
    </w:p>
    <w:p>
      <w:pPr>
        <w:ind w:firstLine="482" w:firstLineChars="200"/>
        <w:rPr>
          <w:rFonts w:hint="eastAsia"/>
          <w:b/>
          <w:bCs/>
          <w:sz w:val="24"/>
        </w:rPr>
      </w:pPr>
      <w:r>
        <w:rPr>
          <w:b/>
          <w:bCs/>
          <w:sz w:val="24"/>
        </w:rPr>
        <w:t>第十六条 不可抗力及其免责</w:t>
      </w:r>
    </w:p>
    <w:p>
      <w:pPr>
        <w:ind w:firstLine="480" w:firstLineChars="200"/>
        <w:rPr>
          <w:rFonts w:hint="eastAsia"/>
          <w:sz w:val="24"/>
        </w:rPr>
      </w:pPr>
      <w:r>
        <w:rPr>
          <w:sz w:val="24"/>
        </w:rPr>
        <w:t>（一）如果乙方因不可抗力而导致合同实施延误或不能履行合同义务时，在不可抗力影响的范围内不应该被没收履约保证金，也不承担误期赔偿或终止合同的责任。</w:t>
      </w:r>
    </w:p>
    <w:p>
      <w:pPr>
        <w:ind w:firstLine="480" w:firstLineChars="200"/>
        <w:rPr>
          <w:rFonts w:hint="eastAsia"/>
          <w:sz w:val="24"/>
        </w:rPr>
      </w:pPr>
      <w:r>
        <w:rPr>
          <w:sz w:val="24"/>
        </w:rPr>
        <w:t>（二）在不可抗力事件发生后，乙方应尽快以书面形式将不可抗力的情况和原因通知甲方，除甲方（用户）书面另行要求外，乙方应尽实际可能继续履行合同义务，以及寻求采取合理的方案履行不受不可抗力影响的其他事项。如果不可抗力事件影响延续超过一百二十天，双方应通过友好协商在合理的时间内就进一步实施合同达成协议。</w:t>
      </w:r>
    </w:p>
    <w:p>
      <w:pPr>
        <w:ind w:firstLine="480" w:firstLineChars="200"/>
        <w:rPr>
          <w:rFonts w:hint="eastAsia"/>
          <w:sz w:val="24"/>
        </w:rPr>
      </w:pPr>
      <w:r>
        <w:rPr>
          <w:sz w:val="24"/>
        </w:rPr>
        <w:t>（三）乙方在延迟履行合同期间由于不可抗力而不能履行合同的，不能被免除责任。</w:t>
      </w:r>
    </w:p>
    <w:p>
      <w:pPr>
        <w:ind w:firstLine="480" w:firstLineChars="200"/>
        <w:rPr>
          <w:rFonts w:hint="eastAsia"/>
          <w:sz w:val="24"/>
        </w:rPr>
      </w:pPr>
      <w:r>
        <w:rPr>
          <w:sz w:val="24"/>
        </w:rPr>
        <w:t>（四）甲方（用户）如遇不可抗力，应尽快以书面形式通知乙方，并尽实际可能履行不受不可抗力影响的其他事项。甲方（用户）不承担因不可抗力不能履行合同所造成的损失。</w:t>
      </w:r>
    </w:p>
    <w:p>
      <w:pPr>
        <w:ind w:firstLine="480" w:firstLineChars="200"/>
        <w:rPr>
          <w:rFonts w:hint="eastAsia"/>
          <w:sz w:val="24"/>
        </w:rPr>
      </w:pPr>
      <w:r>
        <w:rPr>
          <w:sz w:val="24"/>
        </w:rPr>
        <w:t>（五）本条所述的“不可抗力”指那些不能预见、不能避免并不能克服的客观情况，包括但不限于战争、动乱、严重火灾、洪水、台风、地震等及其他双方同意的情况，但不包括违约或疏忽。</w:t>
      </w:r>
    </w:p>
    <w:p>
      <w:pPr>
        <w:ind w:firstLine="482" w:firstLineChars="200"/>
        <w:rPr>
          <w:rFonts w:hint="eastAsia"/>
          <w:b/>
          <w:bCs/>
          <w:sz w:val="24"/>
        </w:rPr>
      </w:pPr>
      <w:r>
        <w:rPr>
          <w:b/>
          <w:bCs/>
          <w:sz w:val="24"/>
        </w:rPr>
        <w:t>第十七条 争议的解决</w:t>
      </w:r>
    </w:p>
    <w:p>
      <w:pPr>
        <w:ind w:firstLine="480" w:firstLineChars="200"/>
        <w:rPr>
          <w:rFonts w:hint="eastAsia"/>
          <w:sz w:val="24"/>
        </w:rPr>
      </w:pPr>
      <w:r>
        <w:rPr>
          <w:sz w:val="24"/>
        </w:rPr>
        <w:t>合同实施或与合同有关的一切争议应通过双方友好协商解决。如果友好协商还不能解决，</w:t>
      </w:r>
      <w:r>
        <w:rPr>
          <w:rFonts w:hint="eastAsia"/>
          <w:sz w:val="24"/>
        </w:rPr>
        <w:t>合同双方均可向甲方所在地人民法院提起诉讼。</w:t>
      </w:r>
      <w:r>
        <w:rPr>
          <w:sz w:val="24"/>
        </w:rPr>
        <w:t>在</w:t>
      </w:r>
      <w:r>
        <w:rPr>
          <w:rFonts w:hint="eastAsia"/>
          <w:sz w:val="24"/>
        </w:rPr>
        <w:t>诉讼</w:t>
      </w:r>
      <w:r>
        <w:rPr>
          <w:sz w:val="24"/>
        </w:rPr>
        <w:t>期间，除正在进行</w:t>
      </w:r>
      <w:r>
        <w:rPr>
          <w:rFonts w:hint="eastAsia"/>
          <w:sz w:val="24"/>
        </w:rPr>
        <w:t>诉讼</w:t>
      </w:r>
      <w:r>
        <w:rPr>
          <w:sz w:val="24"/>
        </w:rPr>
        <w:t>的部分外，本合同其他部分应继续履行。</w:t>
      </w:r>
    </w:p>
    <w:p>
      <w:pPr>
        <w:ind w:firstLine="482" w:firstLineChars="200"/>
        <w:rPr>
          <w:rFonts w:hint="eastAsia"/>
          <w:b/>
          <w:bCs/>
          <w:sz w:val="24"/>
        </w:rPr>
      </w:pPr>
      <w:r>
        <w:rPr>
          <w:b/>
          <w:bCs/>
          <w:sz w:val="24"/>
        </w:rPr>
        <w:t>第十八条 合同修改或变更</w:t>
      </w:r>
    </w:p>
    <w:p>
      <w:pPr>
        <w:ind w:firstLine="480" w:firstLineChars="200"/>
        <w:rPr>
          <w:rFonts w:hint="eastAsia"/>
          <w:sz w:val="24"/>
        </w:rPr>
      </w:pPr>
      <w:r>
        <w:rPr>
          <w:sz w:val="24"/>
        </w:rPr>
        <w:t>（一）如无重大变故，甲乙双方不得擅自变更合同。</w:t>
      </w:r>
    </w:p>
    <w:p>
      <w:pPr>
        <w:ind w:firstLine="480" w:firstLineChars="200"/>
        <w:rPr>
          <w:rFonts w:hint="eastAsia"/>
          <w:sz w:val="24"/>
        </w:rPr>
      </w:pPr>
      <w:r>
        <w:rPr>
          <w:sz w:val="24"/>
        </w:rPr>
        <w:t>（二）如确需变更合同，甲乙双方应签署书面变更协议。变更协议为本合同不可分割的一部分。</w:t>
      </w:r>
    </w:p>
    <w:p>
      <w:pPr>
        <w:ind w:firstLine="480" w:firstLineChars="200"/>
        <w:rPr>
          <w:rFonts w:hint="eastAsia"/>
          <w:sz w:val="24"/>
        </w:rPr>
      </w:pPr>
      <w:r>
        <w:rPr>
          <w:sz w:val="24"/>
        </w:rPr>
        <w:t>（三）在不改变合同其他条款的前提下，甲方（用户）有权在合同价款10%的范围内追加与合同标的相同的货物或服务，并就此与乙方签订补充合同，乙方不得拒绝。</w:t>
      </w:r>
    </w:p>
    <w:p>
      <w:pPr>
        <w:ind w:firstLine="482" w:firstLineChars="200"/>
        <w:rPr>
          <w:rFonts w:hint="eastAsia"/>
          <w:b/>
          <w:bCs/>
          <w:sz w:val="24"/>
        </w:rPr>
      </w:pPr>
      <w:r>
        <w:rPr>
          <w:b/>
          <w:bCs/>
          <w:sz w:val="24"/>
        </w:rPr>
        <w:t>第十九条 合同中止</w:t>
      </w:r>
    </w:p>
    <w:p>
      <w:pPr>
        <w:ind w:firstLine="480" w:firstLineChars="200"/>
        <w:rPr>
          <w:rFonts w:hint="eastAsia"/>
          <w:sz w:val="24"/>
        </w:rPr>
      </w:pPr>
      <w:r>
        <w:rPr>
          <w:sz w:val="24"/>
        </w:rPr>
        <w:t>（一）合同在履行过程中，因采购计划调整，甲方（用户）可以要求中止履行，待计划确定后继续履行。</w:t>
      </w:r>
    </w:p>
    <w:p>
      <w:pPr>
        <w:ind w:firstLine="480" w:firstLineChars="200"/>
        <w:rPr>
          <w:rFonts w:hint="eastAsia"/>
          <w:sz w:val="24"/>
        </w:rPr>
      </w:pPr>
      <w:r>
        <w:rPr>
          <w:sz w:val="24"/>
        </w:rPr>
        <w:t>（二）合同签订或履行过程中因其他供应商就采购过程或结果提起质疑、投诉、行政复议、行政诉讼的，甲方（用户）认为有必要或财政部责令中止的，应当中止合同的履行。</w:t>
      </w:r>
    </w:p>
    <w:p>
      <w:pPr>
        <w:ind w:firstLine="482" w:firstLineChars="200"/>
        <w:rPr>
          <w:rFonts w:hint="eastAsia"/>
          <w:b/>
          <w:bCs/>
          <w:sz w:val="24"/>
        </w:rPr>
      </w:pPr>
      <w:r>
        <w:rPr>
          <w:b/>
          <w:bCs/>
          <w:sz w:val="24"/>
        </w:rPr>
        <w:t>第二十条 合同解除</w:t>
      </w:r>
    </w:p>
    <w:p>
      <w:pPr>
        <w:ind w:firstLine="480" w:firstLineChars="200"/>
        <w:rPr>
          <w:rFonts w:hint="eastAsia"/>
          <w:sz w:val="24"/>
        </w:rPr>
      </w:pPr>
      <w:r>
        <w:rPr>
          <w:sz w:val="24"/>
        </w:rPr>
        <w:t>由于合同一方不履行合同或严重违反合同，造成合同部分或全部无法履行时，对方除有权向违约方索赔外，并有权部分或全部解除合同。对于部分解除的合同，违约方除应承担规定的责任外，还应继续履行合同的剩余部分。</w:t>
      </w:r>
    </w:p>
    <w:p>
      <w:pPr>
        <w:ind w:firstLine="480" w:firstLineChars="200"/>
        <w:rPr>
          <w:rFonts w:hint="eastAsia"/>
          <w:sz w:val="24"/>
        </w:rPr>
      </w:pPr>
      <w:r>
        <w:rPr>
          <w:sz w:val="24"/>
        </w:rPr>
        <w:t>（一）因违约解除合同</w:t>
      </w:r>
    </w:p>
    <w:p>
      <w:pPr>
        <w:ind w:firstLine="480" w:firstLineChars="200"/>
        <w:rPr>
          <w:rFonts w:hint="eastAsia"/>
          <w:sz w:val="24"/>
        </w:rPr>
      </w:pPr>
      <w:r>
        <w:rPr>
          <w:sz w:val="24"/>
        </w:rPr>
        <w:t>1.在甲方（用户）对乙方违约而采取的任何补救措施不受影响的情况下，甲方（用户）可向乙方发出书面违约通知书，提出解除部分或全部合同：</w:t>
      </w:r>
    </w:p>
    <w:p>
      <w:pPr>
        <w:ind w:firstLine="480" w:firstLineChars="200"/>
        <w:rPr>
          <w:rFonts w:hint="eastAsia"/>
          <w:sz w:val="24"/>
        </w:rPr>
      </w:pPr>
      <w:r>
        <w:rPr>
          <w:sz w:val="24"/>
        </w:rPr>
        <w:t>（1）如果乙方未能在合同规定的期限或甲方（用户）根据合同条款的规定同意延长的限期内提供部分或全部的货物或服务，达到合同所规定的要求；</w:t>
      </w:r>
    </w:p>
    <w:p>
      <w:pPr>
        <w:pStyle w:val="638"/>
        <w:spacing w:line="360" w:lineRule="auto"/>
        <w:ind w:firstLine="480" w:firstLineChars="200"/>
        <w:rPr>
          <w:rFonts w:eastAsia="宋体"/>
          <w:sz w:val="24"/>
          <w:szCs w:val="24"/>
        </w:rPr>
      </w:pPr>
      <w:r>
        <w:rPr>
          <w:rFonts w:eastAsia="宋体"/>
          <w:sz w:val="24"/>
          <w:szCs w:val="24"/>
        </w:rPr>
        <w:t>（2）如果甲方（用户）发现乙方在本合同的竞争或实施中有欺诈行为。</w:t>
      </w:r>
    </w:p>
    <w:p>
      <w:pPr>
        <w:ind w:firstLine="480" w:firstLineChars="200"/>
        <w:rPr>
          <w:rFonts w:hint="eastAsia"/>
          <w:sz w:val="24"/>
        </w:rPr>
      </w:pPr>
      <w:r>
        <w:rPr>
          <w:sz w:val="24"/>
        </w:rPr>
        <w:t>（3）如果乙方未能履行合同规定的其他任何义务。</w:t>
      </w:r>
    </w:p>
    <w:p>
      <w:pPr>
        <w:ind w:firstLine="480" w:firstLineChars="200"/>
        <w:rPr>
          <w:rFonts w:hint="eastAsia"/>
          <w:sz w:val="24"/>
        </w:rPr>
      </w:pPr>
      <w:r>
        <w:rPr>
          <w:sz w:val="24"/>
        </w:rPr>
        <w:t>2.如果甲方（用户）根据上述规定与乙方全部或部分解除合同，</w:t>
      </w:r>
      <w:r>
        <w:rPr>
          <w:bCs/>
          <w:sz w:val="24"/>
        </w:rPr>
        <w:t>甲方（用户）可以依其认为适当的条件和方法购买乙方未能提供的货物或服务，乙方应对甲方购买类似货物或服务所超出的费用负责</w:t>
      </w:r>
      <w:r>
        <w:rPr>
          <w:sz w:val="24"/>
        </w:rPr>
        <w:t>。</w:t>
      </w:r>
      <w:r>
        <w:rPr>
          <w:bCs/>
          <w:sz w:val="24"/>
        </w:rPr>
        <w:t>同时，乙方应继续执行合同中未解除的部分。</w:t>
      </w:r>
    </w:p>
    <w:p>
      <w:pPr>
        <w:ind w:firstLine="480" w:firstLineChars="200"/>
        <w:rPr>
          <w:rFonts w:hint="eastAsia"/>
          <w:sz w:val="24"/>
        </w:rPr>
      </w:pPr>
      <w:r>
        <w:rPr>
          <w:sz w:val="24"/>
        </w:rPr>
        <w:t>（二）因破产而解除合同</w:t>
      </w:r>
    </w:p>
    <w:p>
      <w:pPr>
        <w:ind w:firstLine="480" w:firstLineChars="200"/>
        <w:rPr>
          <w:rFonts w:hint="eastAsia"/>
          <w:sz w:val="24"/>
        </w:rPr>
      </w:pPr>
      <w:r>
        <w:rPr>
          <w:sz w:val="24"/>
        </w:rPr>
        <w:t>1.如果乙方破产或无清偿能力，甲方（用户）可在任何时候以书面形式通知乙方，提出解除合同而不给乙方补偿，并有权要求乙方退回甲方（用户）已支付的合同货款。</w:t>
      </w:r>
    </w:p>
    <w:p>
      <w:pPr>
        <w:ind w:firstLine="480" w:firstLineChars="200"/>
        <w:rPr>
          <w:rFonts w:hint="eastAsia"/>
          <w:sz w:val="24"/>
        </w:rPr>
      </w:pPr>
      <w:r>
        <w:rPr>
          <w:sz w:val="24"/>
        </w:rPr>
        <w:t>2.该解除合同将不损害或影响甲方已经采取或将要采取的任何行动或补救措施的权利。</w:t>
      </w:r>
    </w:p>
    <w:p>
      <w:pPr>
        <w:ind w:firstLine="480" w:firstLineChars="200"/>
        <w:rPr>
          <w:rFonts w:hint="eastAsia"/>
          <w:sz w:val="24"/>
        </w:rPr>
      </w:pPr>
      <w:r>
        <w:rPr>
          <w:sz w:val="24"/>
        </w:rPr>
        <w:t>（三）其他解除合同情况</w:t>
      </w:r>
    </w:p>
    <w:p>
      <w:pPr>
        <w:ind w:firstLine="480" w:firstLineChars="200"/>
        <w:rPr>
          <w:rFonts w:hint="eastAsia"/>
          <w:sz w:val="24"/>
        </w:rPr>
      </w:pPr>
      <w:r>
        <w:rPr>
          <w:sz w:val="24"/>
        </w:rPr>
        <w:t>1.若合同继续履行将给甲方造成重大损失的，甲方（用户）可以解除合同而不给予乙方任何补偿。</w:t>
      </w:r>
    </w:p>
    <w:p>
      <w:pPr>
        <w:ind w:firstLine="480" w:firstLineChars="200"/>
        <w:rPr>
          <w:rFonts w:hint="eastAsia"/>
          <w:sz w:val="24"/>
        </w:rPr>
      </w:pPr>
      <w:r>
        <w:rPr>
          <w:sz w:val="24"/>
        </w:rPr>
        <w:t>2.乙方在执行合同的过程中发生重大变故，对履行合同有影响的，甲方（用户）可以解除合同而不给予乙方任何补偿。</w:t>
      </w:r>
    </w:p>
    <w:p>
      <w:pPr>
        <w:ind w:firstLine="480" w:firstLineChars="200"/>
        <w:rPr>
          <w:rFonts w:hint="eastAsia"/>
          <w:sz w:val="24"/>
        </w:rPr>
      </w:pPr>
      <w:r>
        <w:rPr>
          <w:sz w:val="24"/>
        </w:rPr>
        <w:t>3.甲方（用户）因重大变故取消或部分取消原来的采购任务，导致合同全部或部分内容无需继续履行的，可以解除合同而不给予乙方任何补偿。</w:t>
      </w:r>
    </w:p>
    <w:p>
      <w:pPr>
        <w:ind w:firstLine="482" w:firstLineChars="200"/>
        <w:rPr>
          <w:rFonts w:hint="eastAsia"/>
          <w:b/>
          <w:bCs/>
          <w:sz w:val="24"/>
        </w:rPr>
      </w:pPr>
      <w:r>
        <w:rPr>
          <w:b/>
          <w:bCs/>
          <w:sz w:val="24"/>
        </w:rPr>
        <w:t>第二十一条 合同终止</w:t>
      </w:r>
    </w:p>
    <w:p>
      <w:pPr>
        <w:pStyle w:val="639"/>
        <w:autoSpaceDN w:val="0"/>
        <w:spacing w:line="360" w:lineRule="auto"/>
        <w:ind w:firstLine="480" w:firstLineChars="200"/>
        <w:jc w:val="left"/>
        <w:rPr>
          <w:snapToGrid w:val="0"/>
          <w:kern w:val="0"/>
          <w:sz w:val="24"/>
          <w:szCs w:val="24"/>
        </w:rPr>
      </w:pPr>
      <w:r>
        <w:rPr>
          <w:snapToGrid w:val="0"/>
          <w:kern w:val="0"/>
          <w:sz w:val="24"/>
          <w:szCs w:val="24"/>
        </w:rPr>
        <w:t>（一）本合同因下列原因而终止：</w:t>
      </w:r>
    </w:p>
    <w:p>
      <w:pPr>
        <w:pStyle w:val="639"/>
        <w:autoSpaceDN w:val="0"/>
        <w:spacing w:line="360" w:lineRule="auto"/>
        <w:ind w:firstLine="480" w:firstLineChars="200"/>
        <w:jc w:val="left"/>
        <w:rPr>
          <w:snapToGrid w:val="0"/>
          <w:kern w:val="0"/>
          <w:sz w:val="24"/>
          <w:szCs w:val="24"/>
        </w:rPr>
      </w:pPr>
      <w:r>
        <w:rPr>
          <w:snapToGrid w:val="0"/>
          <w:kern w:val="0"/>
          <w:sz w:val="24"/>
          <w:szCs w:val="24"/>
        </w:rPr>
        <w:t>1.本合同正常履行完毕；</w:t>
      </w:r>
    </w:p>
    <w:p>
      <w:pPr>
        <w:pStyle w:val="639"/>
        <w:autoSpaceDN w:val="0"/>
        <w:spacing w:line="360" w:lineRule="auto"/>
        <w:ind w:firstLine="480" w:firstLineChars="200"/>
        <w:jc w:val="left"/>
        <w:rPr>
          <w:snapToGrid w:val="0"/>
          <w:kern w:val="0"/>
          <w:sz w:val="24"/>
          <w:szCs w:val="24"/>
        </w:rPr>
      </w:pPr>
      <w:r>
        <w:rPr>
          <w:snapToGrid w:val="0"/>
          <w:kern w:val="0"/>
          <w:sz w:val="24"/>
          <w:szCs w:val="24"/>
        </w:rPr>
        <w:t>2.合同双方协议终止本合同的履行；</w:t>
      </w:r>
    </w:p>
    <w:p>
      <w:pPr>
        <w:pStyle w:val="639"/>
        <w:autoSpaceDN w:val="0"/>
        <w:spacing w:line="360" w:lineRule="auto"/>
        <w:ind w:firstLine="480" w:firstLineChars="200"/>
        <w:jc w:val="left"/>
        <w:rPr>
          <w:snapToGrid w:val="0"/>
          <w:kern w:val="0"/>
          <w:sz w:val="24"/>
          <w:szCs w:val="24"/>
        </w:rPr>
      </w:pPr>
      <w:r>
        <w:rPr>
          <w:snapToGrid w:val="0"/>
          <w:kern w:val="0"/>
          <w:sz w:val="24"/>
          <w:szCs w:val="24"/>
        </w:rPr>
        <w:t>3.不可抗力事件导致本合同无法履行或履行不必要；</w:t>
      </w:r>
    </w:p>
    <w:p>
      <w:pPr>
        <w:pStyle w:val="639"/>
        <w:autoSpaceDN w:val="0"/>
        <w:spacing w:line="360" w:lineRule="auto"/>
        <w:ind w:firstLine="480" w:firstLineChars="200"/>
        <w:jc w:val="left"/>
        <w:rPr>
          <w:snapToGrid w:val="0"/>
          <w:kern w:val="0"/>
          <w:sz w:val="24"/>
          <w:szCs w:val="24"/>
        </w:rPr>
      </w:pPr>
      <w:r>
        <w:rPr>
          <w:snapToGrid w:val="0"/>
          <w:kern w:val="0"/>
          <w:sz w:val="24"/>
          <w:szCs w:val="24"/>
        </w:rPr>
        <w:t>4.任何一方行使解除权，解除本合同；</w:t>
      </w:r>
    </w:p>
    <w:p>
      <w:pPr>
        <w:pStyle w:val="639"/>
        <w:autoSpaceDN w:val="0"/>
        <w:spacing w:line="360" w:lineRule="auto"/>
        <w:ind w:firstLine="480" w:firstLineChars="200"/>
        <w:jc w:val="left"/>
        <w:rPr>
          <w:snapToGrid w:val="0"/>
          <w:kern w:val="0"/>
          <w:sz w:val="24"/>
          <w:szCs w:val="24"/>
        </w:rPr>
      </w:pPr>
      <w:r>
        <w:rPr>
          <w:snapToGrid w:val="0"/>
          <w:kern w:val="0"/>
          <w:sz w:val="24"/>
          <w:szCs w:val="24"/>
        </w:rPr>
        <w:t>（二）对本合同终止有过错的一方应赔偿另一方因合同终止而受到的损失。</w:t>
      </w:r>
    </w:p>
    <w:p>
      <w:pPr>
        <w:ind w:firstLine="482" w:firstLineChars="200"/>
        <w:rPr>
          <w:rFonts w:hint="eastAsia"/>
          <w:b/>
          <w:bCs/>
          <w:sz w:val="24"/>
        </w:rPr>
      </w:pPr>
      <w:r>
        <w:rPr>
          <w:b/>
          <w:bCs/>
          <w:sz w:val="24"/>
        </w:rPr>
        <w:t>第二十二条 其他</w:t>
      </w:r>
    </w:p>
    <w:p>
      <w:pPr>
        <w:ind w:firstLine="480" w:firstLineChars="200"/>
        <w:rPr>
          <w:rFonts w:hint="eastAsia"/>
          <w:sz w:val="24"/>
        </w:rPr>
      </w:pPr>
      <w:r>
        <w:rPr>
          <w:sz w:val="24"/>
        </w:rPr>
        <w:t>中标通知书（成交通知书）、中标人的投标文件/应答文件、招标文件/谈判文件/询价通知书/磋商文件/单一来源、合同条款、合同附件（协商、变更的，明确双方权利义务的，以书面形式而表现出来的协议或书面通知或确认书等）是本合同不可分割的部分，与本合同具有同等法律效力。</w:t>
      </w:r>
    </w:p>
    <w:p>
      <w:pPr>
        <w:ind w:firstLine="482" w:firstLineChars="200"/>
        <w:rPr>
          <w:rFonts w:hint="eastAsia"/>
          <w:b/>
          <w:bCs/>
          <w:sz w:val="24"/>
        </w:rPr>
      </w:pPr>
      <w:r>
        <w:rPr>
          <w:b/>
          <w:bCs/>
          <w:sz w:val="24"/>
        </w:rPr>
        <w:t>第二十四条 合同生效</w:t>
      </w:r>
    </w:p>
    <w:p>
      <w:pPr>
        <w:ind w:firstLine="480" w:firstLineChars="200"/>
        <w:rPr>
          <w:rFonts w:hint="eastAsia"/>
          <w:sz w:val="24"/>
        </w:rPr>
      </w:pPr>
      <w:r>
        <w:rPr>
          <w:sz w:val="24"/>
        </w:rPr>
        <w:t>本合同一式___份，甲方执___份，乙方执___份；自甲乙双方签字盖章之日起生效。对本合同的任何更改及补充，均需双方共同协商，并以书面形式盖章确认。</w:t>
      </w:r>
    </w:p>
    <w:p>
      <w:pPr>
        <w:rPr>
          <w:rFonts w:hint="eastAsia"/>
          <w:sz w:val="24"/>
        </w:rPr>
      </w:pPr>
    </w:p>
    <w:p>
      <w:pPr>
        <w:rPr>
          <w:rFonts w:hint="eastAsia"/>
          <w:sz w:val="24"/>
        </w:rPr>
      </w:pPr>
      <w:r>
        <w:rPr>
          <w:sz w:val="24"/>
        </w:rPr>
        <w:t>甲方（公章</w:t>
      </w:r>
      <w:r>
        <w:rPr>
          <w:snapToGrid w:val="0"/>
          <w:sz w:val="24"/>
        </w:rPr>
        <w:t>或合同章</w:t>
      </w:r>
      <w:r>
        <w:rPr>
          <w:sz w:val="24"/>
        </w:rPr>
        <w:t>）：            乙方（公章</w:t>
      </w:r>
      <w:r>
        <w:rPr>
          <w:snapToGrid w:val="0"/>
          <w:sz w:val="24"/>
        </w:rPr>
        <w:t>或合同章</w:t>
      </w:r>
      <w:r>
        <w:rPr>
          <w:sz w:val="24"/>
        </w:rPr>
        <w:t>）：</w:t>
      </w:r>
    </w:p>
    <w:p>
      <w:pPr>
        <w:rPr>
          <w:rFonts w:hint="eastAsia"/>
          <w:sz w:val="24"/>
        </w:rPr>
      </w:pPr>
      <w:r>
        <w:rPr>
          <w:rFonts w:hint="eastAsia"/>
          <w:sz w:val="24"/>
        </w:rPr>
        <w:t>甲方代表</w:t>
      </w:r>
      <w:r>
        <w:rPr>
          <w:sz w:val="24"/>
        </w:rPr>
        <w:t xml:space="preserve">或授权人签字：            </w:t>
      </w:r>
      <w:r>
        <w:rPr>
          <w:rFonts w:hint="eastAsia"/>
          <w:sz w:val="24"/>
        </w:rPr>
        <w:t>乙方代表</w:t>
      </w:r>
      <w:r>
        <w:rPr>
          <w:sz w:val="24"/>
        </w:rPr>
        <w:t>或授权人签字：</w:t>
      </w:r>
    </w:p>
    <w:p>
      <w:pPr>
        <w:rPr>
          <w:rFonts w:hint="eastAsia"/>
          <w:sz w:val="24"/>
        </w:rPr>
      </w:pPr>
      <w:r>
        <w:rPr>
          <w:sz w:val="24"/>
        </w:rPr>
        <w:t xml:space="preserve">日期： 年  月  日                 日期：   年   月   日    </w:t>
      </w:r>
    </w:p>
    <w:p>
      <w:pPr>
        <w:rPr>
          <w:rFonts w:hint="eastAsia"/>
          <w:sz w:val="24"/>
        </w:rPr>
      </w:pPr>
      <w:r>
        <w:rPr>
          <w:sz w:val="24"/>
        </w:rPr>
        <w:t>联系人:                           联系人：</w:t>
      </w:r>
    </w:p>
    <w:p>
      <w:pPr>
        <w:rPr>
          <w:rFonts w:hint="eastAsia"/>
          <w:sz w:val="24"/>
        </w:rPr>
      </w:pPr>
      <w:r>
        <w:rPr>
          <w:sz w:val="24"/>
        </w:rPr>
        <w:t>电话:                             电话：</w:t>
      </w:r>
    </w:p>
    <w:p>
      <w:pPr>
        <w:rPr>
          <w:rFonts w:hint="eastAsia"/>
          <w:sz w:val="24"/>
        </w:rPr>
      </w:pPr>
      <w:r>
        <w:rPr>
          <w:sz w:val="24"/>
        </w:rPr>
        <w:t>地址：                            地址：</w:t>
      </w:r>
    </w:p>
    <w:p>
      <w:pPr>
        <w:widowControl w:val="0"/>
        <w:shd w:val="clear" w:color="auto" w:fill="auto"/>
        <w:tabs>
          <w:tab w:val="clear" w:pos="426"/>
        </w:tabs>
        <w:adjustRightInd/>
        <w:snapToGrid/>
        <w:spacing w:line="240" w:lineRule="auto"/>
        <w:rPr>
          <w:rFonts w:ascii="Calibri" w:hAnsi="Calibri" w:cs="Times New Roman"/>
          <w:kern w:val="2"/>
        </w:rPr>
      </w:pPr>
      <w:bookmarkStart w:id="81" w:name="孔子"/>
      <w:bookmarkEnd w:id="81"/>
    </w:p>
    <w:p>
      <w:pPr>
        <w:rPr>
          <w:rFonts w:hint="eastAsia"/>
        </w:rPr>
      </w:pPr>
      <w:r>
        <w:rPr>
          <w:rFonts w:hint="eastAsia"/>
        </w:rPr>
        <w:br w:type="page"/>
      </w:r>
    </w:p>
    <w:p>
      <w:pPr>
        <w:pStyle w:val="62"/>
        <w:jc w:val="left"/>
        <w:rPr>
          <w:sz w:val="21"/>
          <w:szCs w:val="21"/>
        </w:rPr>
      </w:pPr>
      <w:r>
        <w:rPr>
          <w:rFonts w:hint="eastAsia"/>
          <w:sz w:val="21"/>
          <w:szCs w:val="21"/>
        </w:rPr>
        <w:t>附件1：分项报价表、设备配置清单和技术偏离表</w:t>
      </w:r>
    </w:p>
    <w:p>
      <w:pPr>
        <w:rPr>
          <w:rFonts w:hint="eastAsia"/>
          <w:szCs w:val="21"/>
        </w:rPr>
      </w:pPr>
      <w:r>
        <w:rPr>
          <w:rFonts w:hint="eastAsia"/>
          <w:szCs w:val="21"/>
        </w:rPr>
        <w:br w:type="page"/>
      </w:r>
    </w:p>
    <w:p>
      <w:pPr>
        <w:pStyle w:val="62"/>
        <w:jc w:val="left"/>
        <w:rPr>
          <w:sz w:val="21"/>
          <w:szCs w:val="21"/>
        </w:rPr>
      </w:pPr>
      <w:r>
        <w:rPr>
          <w:rFonts w:hint="eastAsia"/>
          <w:sz w:val="21"/>
          <w:szCs w:val="21"/>
        </w:rPr>
        <w:t>附件2：培训方案</w:t>
      </w:r>
    </w:p>
    <w:p>
      <w:pPr>
        <w:rPr>
          <w:rFonts w:hint="eastAsia"/>
          <w:szCs w:val="21"/>
        </w:rPr>
      </w:pPr>
      <w:r>
        <w:rPr>
          <w:rFonts w:hint="eastAsia"/>
          <w:szCs w:val="21"/>
        </w:rPr>
        <w:br w:type="page"/>
      </w:r>
    </w:p>
    <w:p>
      <w:pPr>
        <w:pStyle w:val="62"/>
        <w:jc w:val="left"/>
      </w:pPr>
      <w:r>
        <w:rPr>
          <w:rFonts w:hint="eastAsia"/>
          <w:sz w:val="21"/>
          <w:szCs w:val="21"/>
        </w:rPr>
        <w:t>附件3：技术支持及售后服务方案</w:t>
      </w:r>
      <w:r>
        <w:br w:type="page"/>
      </w:r>
      <w:bookmarkEnd w:id="79"/>
      <w:bookmarkEnd w:id="80"/>
      <w:bookmarkStart w:id="82" w:name="_Toc4933"/>
    </w:p>
    <w:p>
      <w:pPr>
        <w:pStyle w:val="62"/>
      </w:pPr>
      <w:r>
        <w:rPr>
          <w:rFonts w:hint="eastAsia"/>
        </w:rPr>
        <w:t>第六章 投标资料表</w:t>
      </w:r>
      <w:bookmarkEnd w:id="82"/>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投标文件组成：</w:t>
      </w:r>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密封袋封条格式</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投标文件封面格式</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目录（目录格式自定）</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评标指引表</w:t>
      </w:r>
    </w:p>
    <w:p>
      <w:pPr>
        <w:pStyle w:val="315"/>
        <w:numPr>
          <w:ilvl w:val="255"/>
          <w:numId w:val="0"/>
        </w:numPr>
        <w:spacing w:line="240" w:lineRule="auto"/>
        <w:ind w:left="567" w:leftChars="270"/>
        <w:rPr>
          <w:rFonts w:hint="eastAsia" w:asciiTheme="minorEastAsia" w:hAnsiTheme="minorEastAsia" w:eastAsiaTheme="minorEastAsia"/>
          <w:bCs/>
          <w:sz w:val="21"/>
          <w:szCs w:val="21"/>
        </w:rPr>
      </w:pPr>
      <w:r>
        <w:rPr>
          <w:rFonts w:hint="eastAsia" w:asciiTheme="minorEastAsia" w:hAnsiTheme="minorEastAsia" w:eastAsiaTheme="minorEastAsia"/>
          <w:sz w:val="21"/>
          <w:szCs w:val="21"/>
        </w:rPr>
        <w:t>格式1：投标函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格式2：法定代表人（单位负责人）证明书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格式3：授权委托书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格式4：资格条款偏离表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格式5：法人或者其他组织的营业执照等证明文件</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格式6：投标人资格声明函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格式7：开标一览表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格式8：投标分项报价表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格式9：技术规格偏离表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格式10：技术保障措施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格式11：售后服务方案</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格式12：商务条款偏离表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格式13：投标人综合概况简表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格式14：企业类型声明函（可选）</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格式15：残疾人福利性单位声明函（可选）</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格式16：同类项目业绩情况</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格式17：相关认证情况</w:t>
      </w:r>
      <w:r>
        <w:rPr>
          <w:rFonts w:hint="eastAsia" w:asciiTheme="minorEastAsia" w:hAnsiTheme="minorEastAsia" w:eastAsiaTheme="minorEastAsia"/>
          <w:sz w:val="21"/>
          <w:szCs w:val="21"/>
        </w:rPr>
        <w:cr/>
      </w:r>
    </w:p>
    <w:p>
      <w:pPr>
        <w:adjustRightInd/>
        <w:snapToGrid/>
        <w:spacing w:before="280" w:after="290" w:line="377" w:lineRule="auto"/>
        <w:jc w:val="center"/>
        <w:rPr>
          <w:rFonts w:hint="eastAsia"/>
        </w:rPr>
      </w:pPr>
      <w:r>
        <w:br w:type="page"/>
      </w:r>
      <w:bookmarkStart w:id="83" w:name="_Toc528675178"/>
      <w:bookmarkStart w:id="84" w:name="_Toc518464366"/>
      <w:bookmarkStart w:id="85" w:name="_Toc528170806"/>
    </w:p>
    <w:p>
      <w:pPr>
        <w:pStyle w:val="62"/>
      </w:pPr>
      <w:bookmarkStart w:id="86" w:name="_Toc25551"/>
      <w:r>
        <w:rPr>
          <w:rFonts w:hint="eastAsia"/>
        </w:rPr>
        <w:t>第七章投标文件格式</w:t>
      </w:r>
      <w:bookmarkEnd w:id="86"/>
    </w:p>
    <w:p>
      <w:pPr>
        <w:adjustRightInd/>
        <w:snapToGrid/>
        <w:spacing w:before="280" w:after="290" w:line="377" w:lineRule="auto"/>
        <w:jc w:val="center"/>
        <w:outlineLvl w:val="2"/>
        <w:rPr>
          <w:rFonts w:hint="eastAsia"/>
          <w:b/>
          <w:sz w:val="24"/>
        </w:rPr>
      </w:pPr>
      <w:bookmarkStart w:id="87" w:name="_Toc20740"/>
      <w:r>
        <w:rPr>
          <w:rFonts w:hint="eastAsia"/>
          <w:b/>
          <w:sz w:val="24"/>
        </w:rPr>
        <w:t>投标文件编制说明</w:t>
      </w:r>
      <w:bookmarkEnd w:id="87"/>
    </w:p>
    <w:p>
      <w:pPr>
        <w:tabs>
          <w:tab w:val="clear" w:pos="426"/>
        </w:tabs>
        <w:spacing w:line="276" w:lineRule="auto"/>
        <w:ind w:firstLine="420" w:firstLineChars="200"/>
        <w:rPr>
          <w:rFonts w:hint="eastAsia"/>
        </w:rPr>
      </w:pPr>
      <w:r>
        <w:rPr>
          <w:rFonts w:hint="eastAsia"/>
        </w:rPr>
        <w:t>投标供应商在编辑投标文件时，应严格按照招标文件提供的格式进行编写，因未按要求编写导致投标文件不予受理、无效标或废标的，一切后果由供应商自行承担。</w:t>
      </w:r>
    </w:p>
    <w:p>
      <w:pPr>
        <w:tabs>
          <w:tab w:val="clear" w:pos="426"/>
        </w:tabs>
        <w:spacing w:line="276" w:lineRule="auto"/>
        <w:ind w:firstLine="422" w:firstLineChars="200"/>
        <w:rPr>
          <w:rFonts w:hint="eastAsia"/>
          <w:b/>
          <w:bCs/>
        </w:rPr>
      </w:pPr>
      <w:r>
        <w:rPr>
          <w:rFonts w:hint="eastAsia"/>
          <w:b/>
          <w:bCs/>
        </w:rPr>
        <w:t>投标供应商制作标书时，若同时投标2个包，要求必须对2个包分别响应。每个包的投标文件以包为单位分开制作，按照本招标文件中的投标文件格式进行密封装订，并请注意填写封面投标包的相关信息。若只投标1个包，按照本招标文件中的投标文件格式进行密封装订，并请注意填写封面投标包的相关信息。</w:t>
      </w:r>
    </w:p>
    <w:p>
      <w:pPr>
        <w:adjustRightInd/>
        <w:snapToGrid/>
        <w:spacing w:before="280" w:after="290" w:line="377" w:lineRule="auto"/>
        <w:jc w:val="center"/>
        <w:rPr>
          <w:rFonts w:hint="eastAsia"/>
          <w:b/>
          <w:sz w:val="24"/>
        </w:rPr>
      </w:pPr>
    </w:p>
    <w:p>
      <w:pPr>
        <w:rPr>
          <w:rFonts w:hint="eastAsia"/>
          <w:b/>
          <w:sz w:val="24"/>
        </w:rPr>
      </w:pPr>
      <w:r>
        <w:rPr>
          <w:rFonts w:hint="eastAsia"/>
          <w:b/>
          <w:sz w:val="24"/>
        </w:rPr>
        <w:br w:type="page"/>
      </w:r>
    </w:p>
    <w:p>
      <w:pPr>
        <w:adjustRightInd/>
        <w:snapToGrid/>
        <w:spacing w:before="280" w:after="290" w:line="377" w:lineRule="auto"/>
        <w:jc w:val="center"/>
        <w:rPr>
          <w:rFonts w:hint="eastAsia"/>
          <w:b/>
          <w:sz w:val="24"/>
        </w:rPr>
      </w:pPr>
      <w:r>
        <w:rPr>
          <w:rFonts w:hint="eastAsia"/>
          <w:b/>
          <w:sz w:val="24"/>
        </w:rPr>
        <w:t>密封袋封条格式</w:t>
      </w:r>
      <w:bookmarkEnd w:id="83"/>
      <w:bookmarkEnd w:id="84"/>
      <w:bookmarkEnd w:id="85"/>
    </w:p>
    <w:p>
      <w:pPr>
        <w:tabs>
          <w:tab w:val="clear" w:pos="426"/>
        </w:tabs>
        <w:jc w:val="center"/>
        <w:rPr>
          <w:rFonts w:hint="eastAsia"/>
          <w:sz w:val="44"/>
          <w:szCs w:val="44"/>
          <w:u w:val="single"/>
        </w:rPr>
      </w:pPr>
    </w:p>
    <w:p>
      <w:pPr>
        <w:tabs>
          <w:tab w:val="clear" w:pos="426"/>
        </w:tabs>
        <w:jc w:val="center"/>
        <w:rPr>
          <w:rFonts w:hint="eastAsia"/>
          <w:sz w:val="44"/>
          <w:szCs w:val="44"/>
        </w:rPr>
      </w:pPr>
      <w:r>
        <w:rPr>
          <w:rFonts w:hint="eastAsia"/>
          <w:sz w:val="44"/>
          <w:szCs w:val="44"/>
          <w:u w:val="single"/>
        </w:rPr>
        <w:t>气相色谱三重四极杆质谱联用仪设备采购项目</w:t>
      </w:r>
    </w:p>
    <w:p>
      <w:pPr>
        <w:tabs>
          <w:tab w:val="clear" w:pos="426"/>
        </w:tabs>
        <w:jc w:val="center"/>
        <w:rPr>
          <w:rFonts w:hint="eastAsia"/>
          <w:sz w:val="44"/>
          <w:szCs w:val="44"/>
        </w:rPr>
      </w:pPr>
      <w:r>
        <w:rPr>
          <w:sz w:val="44"/>
          <w:szCs w:val="44"/>
          <w:u w:val="single"/>
        </w:rPr>
        <w:t xml:space="preserve">   </w:t>
      </w:r>
      <w:r>
        <w:rPr>
          <w:rFonts w:hint="eastAsia"/>
          <w:sz w:val="44"/>
          <w:szCs w:val="44"/>
        </w:rPr>
        <w:t>包</w:t>
      </w:r>
    </w:p>
    <w:p>
      <w:pPr>
        <w:tabs>
          <w:tab w:val="clear" w:pos="426"/>
        </w:tabs>
        <w:jc w:val="center"/>
        <w:rPr>
          <w:rFonts w:hint="eastAsia"/>
        </w:rPr>
      </w:pPr>
    </w:p>
    <w:p>
      <w:pPr>
        <w:tabs>
          <w:tab w:val="clear" w:pos="426"/>
        </w:tabs>
        <w:jc w:val="center"/>
        <w:rPr>
          <w:rFonts w:hint="eastAsia"/>
        </w:rPr>
      </w:pPr>
    </w:p>
    <w:p>
      <w:pPr>
        <w:tabs>
          <w:tab w:val="clear" w:pos="426"/>
        </w:tabs>
        <w:jc w:val="center"/>
        <w:rPr>
          <w:rFonts w:hint="eastAsia"/>
          <w:sz w:val="52"/>
          <w:szCs w:val="52"/>
        </w:rPr>
      </w:pPr>
      <w:r>
        <w:rPr>
          <w:rFonts w:hint="eastAsia"/>
          <w:sz w:val="52"/>
          <w:szCs w:val="52"/>
        </w:rPr>
        <w:t>□投标文件</w:t>
      </w:r>
    </w:p>
    <w:p>
      <w:pPr>
        <w:tabs>
          <w:tab w:val="clear" w:pos="426"/>
        </w:tabs>
        <w:jc w:val="center"/>
        <w:rPr>
          <w:rFonts w:hint="eastAsia"/>
          <w:sz w:val="52"/>
          <w:szCs w:val="52"/>
        </w:rPr>
      </w:pPr>
      <w:r>
        <w:rPr>
          <w:rFonts w:hint="eastAsia"/>
          <w:sz w:val="52"/>
          <w:szCs w:val="52"/>
        </w:rPr>
        <w:t>□开标信封</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ind w:left="708" w:leftChars="337" w:right="706" w:rightChars="336"/>
        <w:rPr>
          <w:rFonts w:hint="eastAsia"/>
          <w:sz w:val="28"/>
          <w:szCs w:val="28"/>
        </w:rPr>
      </w:pPr>
      <w:r>
        <w:rPr>
          <w:rFonts w:hint="eastAsia"/>
          <w:sz w:val="28"/>
          <w:szCs w:val="28"/>
        </w:rPr>
        <w:t>项目编号：</w:t>
      </w:r>
    </w:p>
    <w:p>
      <w:pPr>
        <w:tabs>
          <w:tab w:val="clear" w:pos="426"/>
        </w:tabs>
        <w:ind w:left="708" w:leftChars="337"/>
        <w:rPr>
          <w:rFonts w:hint="eastAsia"/>
          <w:sz w:val="28"/>
          <w:szCs w:val="28"/>
        </w:rPr>
      </w:pPr>
      <w:r>
        <w:rPr>
          <w:rFonts w:hint="eastAsia"/>
          <w:sz w:val="28"/>
          <w:szCs w:val="28"/>
        </w:rPr>
        <w:t>投标供应商名称（公章)：</w:t>
      </w:r>
    </w:p>
    <w:p>
      <w:pPr>
        <w:tabs>
          <w:tab w:val="clear" w:pos="426"/>
        </w:tabs>
        <w:ind w:left="708" w:leftChars="337"/>
        <w:rPr>
          <w:rFonts w:hint="eastAsia"/>
          <w:sz w:val="28"/>
          <w:szCs w:val="28"/>
        </w:rPr>
      </w:pPr>
      <w:r>
        <w:rPr>
          <w:rFonts w:hint="eastAsia"/>
          <w:sz w:val="28"/>
          <w:szCs w:val="28"/>
        </w:rPr>
        <w:t>投标供应商代表（签字或盖章）：</w:t>
      </w:r>
    </w:p>
    <w:p>
      <w:pPr>
        <w:tabs>
          <w:tab w:val="clear" w:pos="426"/>
        </w:tabs>
        <w:ind w:left="708" w:leftChars="337"/>
        <w:rPr>
          <w:rFonts w:hint="eastAsia"/>
          <w:sz w:val="28"/>
          <w:szCs w:val="28"/>
        </w:rPr>
      </w:pPr>
      <w:r>
        <w:rPr>
          <w:rFonts w:hint="eastAsia"/>
          <w:sz w:val="28"/>
          <w:szCs w:val="28"/>
        </w:rPr>
        <w:t>投标截止日期：_</w:t>
      </w:r>
      <w:r>
        <w:rPr>
          <w:sz w:val="28"/>
          <w:szCs w:val="28"/>
        </w:rPr>
        <w:t>___</w:t>
      </w:r>
      <w:r>
        <w:rPr>
          <w:rFonts w:hint="eastAsia"/>
          <w:sz w:val="28"/>
          <w:szCs w:val="28"/>
        </w:rPr>
        <w:t>______年____月____日____时____分（</w:t>
      </w:r>
      <w:r>
        <w:rPr>
          <w:sz w:val="28"/>
          <w:szCs w:val="28"/>
        </w:rPr>
        <w:t>前不得开封</w:t>
      </w:r>
      <w:r>
        <w:rPr>
          <w:rFonts w:hint="eastAsia"/>
          <w:sz w:val="28"/>
          <w:szCs w:val="28"/>
        </w:rPr>
        <w:t>）</w:t>
      </w:r>
    </w:p>
    <w:p>
      <w:pPr>
        <w:adjustRightInd/>
        <w:snapToGrid/>
        <w:spacing w:before="280" w:after="290" w:line="377" w:lineRule="auto"/>
        <w:jc w:val="center"/>
        <w:rPr>
          <w:rFonts w:hint="eastAsia"/>
          <w:b/>
          <w:sz w:val="24"/>
        </w:rPr>
      </w:pPr>
      <w:r>
        <w:br w:type="page"/>
      </w:r>
      <w:bookmarkStart w:id="88" w:name="_Toc518464367"/>
      <w:bookmarkStart w:id="89" w:name="_Toc528675179"/>
      <w:bookmarkStart w:id="90" w:name="_Toc528170807"/>
      <w:r>
        <w:rPr>
          <w:rFonts w:hint="eastAsia"/>
          <w:b/>
          <w:sz w:val="24"/>
        </w:rPr>
        <w:t>投标文件封面格式</w:t>
      </w:r>
      <w:bookmarkEnd w:id="88"/>
      <w:bookmarkEnd w:id="89"/>
      <w:bookmarkEnd w:id="90"/>
    </w:p>
    <w:p>
      <w:pPr>
        <w:tabs>
          <w:tab w:val="clear" w:pos="426"/>
        </w:tabs>
        <w:jc w:val="right"/>
        <w:rPr>
          <w:rFonts w:hint="eastAsia"/>
          <w:sz w:val="44"/>
          <w:szCs w:val="44"/>
          <w:u w:val="single"/>
        </w:rPr>
      </w:pPr>
      <w:r>
        <w:rPr>
          <w:rFonts w:hint="eastAsia"/>
          <w:sz w:val="44"/>
          <w:szCs w:val="44"/>
          <w:u w:val="single"/>
        </w:rPr>
        <w:t>正/副本</w:t>
      </w:r>
    </w:p>
    <w:p>
      <w:pPr>
        <w:tabs>
          <w:tab w:val="clear" w:pos="426"/>
        </w:tabs>
        <w:jc w:val="center"/>
        <w:rPr>
          <w:rFonts w:hint="eastAsia"/>
          <w:sz w:val="44"/>
          <w:szCs w:val="44"/>
          <w:u w:val="single"/>
        </w:rPr>
      </w:pPr>
    </w:p>
    <w:p>
      <w:pPr>
        <w:tabs>
          <w:tab w:val="clear" w:pos="426"/>
        </w:tabs>
        <w:jc w:val="center"/>
        <w:rPr>
          <w:rFonts w:hint="eastAsia"/>
          <w:sz w:val="44"/>
          <w:szCs w:val="44"/>
        </w:rPr>
      </w:pPr>
      <w:r>
        <w:rPr>
          <w:rFonts w:hint="eastAsia"/>
          <w:sz w:val="44"/>
          <w:szCs w:val="44"/>
          <w:u w:val="single"/>
        </w:rPr>
        <w:t>气相色谱三重四极杆质谱联用仪设备采购项目</w:t>
      </w:r>
    </w:p>
    <w:p>
      <w:pPr>
        <w:tabs>
          <w:tab w:val="clear" w:pos="426"/>
        </w:tabs>
        <w:jc w:val="center"/>
        <w:rPr>
          <w:rFonts w:hint="eastAsia"/>
          <w:sz w:val="44"/>
          <w:szCs w:val="44"/>
        </w:rPr>
      </w:pPr>
      <w:r>
        <w:rPr>
          <w:sz w:val="44"/>
          <w:szCs w:val="44"/>
          <w:u w:val="single"/>
        </w:rPr>
        <w:t xml:space="preserve">   </w:t>
      </w:r>
      <w:r>
        <w:rPr>
          <w:rFonts w:hint="eastAsia"/>
          <w:sz w:val="44"/>
          <w:szCs w:val="44"/>
        </w:rPr>
        <w:t>包</w:t>
      </w:r>
    </w:p>
    <w:p>
      <w:pPr>
        <w:tabs>
          <w:tab w:val="clear" w:pos="426"/>
        </w:tabs>
        <w:jc w:val="center"/>
        <w:rPr>
          <w:rFonts w:hint="eastAsia"/>
        </w:rPr>
      </w:pPr>
    </w:p>
    <w:p>
      <w:pPr>
        <w:tabs>
          <w:tab w:val="clear" w:pos="426"/>
        </w:tabs>
        <w:jc w:val="center"/>
        <w:rPr>
          <w:rFonts w:hint="eastAsia"/>
        </w:rPr>
      </w:pPr>
    </w:p>
    <w:p>
      <w:pPr>
        <w:tabs>
          <w:tab w:val="clear" w:pos="426"/>
        </w:tabs>
        <w:jc w:val="center"/>
        <w:rPr>
          <w:rFonts w:hint="eastAsia"/>
          <w:sz w:val="52"/>
          <w:szCs w:val="52"/>
        </w:rPr>
      </w:pPr>
      <w:r>
        <w:rPr>
          <w:rFonts w:hint="eastAsia"/>
          <w:sz w:val="52"/>
          <w:szCs w:val="52"/>
        </w:rPr>
        <w:t>投标文件</w:t>
      </w:r>
    </w:p>
    <w:p>
      <w:pPr>
        <w:tabs>
          <w:tab w:val="clear" w:pos="426"/>
        </w:tabs>
        <w:jc w:val="center"/>
        <w:rPr>
          <w:rFonts w:hint="eastAsia"/>
        </w:rPr>
      </w:pPr>
    </w:p>
    <w:p>
      <w:pPr>
        <w:tabs>
          <w:tab w:val="clear" w:pos="426"/>
        </w:tabs>
        <w:jc w:val="center"/>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ind w:left="1275" w:leftChars="607"/>
        <w:rPr>
          <w:rFonts w:hint="eastAsia"/>
          <w:sz w:val="28"/>
          <w:szCs w:val="28"/>
        </w:rPr>
      </w:pPr>
      <w:r>
        <w:rPr>
          <w:rFonts w:hint="eastAsia"/>
          <w:sz w:val="28"/>
          <w:szCs w:val="28"/>
        </w:rPr>
        <w:t>项目编号：</w:t>
      </w:r>
    </w:p>
    <w:p>
      <w:pPr>
        <w:tabs>
          <w:tab w:val="clear" w:pos="426"/>
        </w:tabs>
        <w:ind w:left="1275" w:leftChars="607"/>
        <w:rPr>
          <w:rFonts w:hint="eastAsia"/>
          <w:sz w:val="28"/>
          <w:szCs w:val="28"/>
        </w:rPr>
      </w:pPr>
      <w:r>
        <w:rPr>
          <w:rFonts w:hint="eastAsia"/>
          <w:sz w:val="28"/>
          <w:szCs w:val="28"/>
        </w:rPr>
        <w:t>投标供应商名称（公章)：</w:t>
      </w:r>
    </w:p>
    <w:p>
      <w:pPr>
        <w:tabs>
          <w:tab w:val="clear" w:pos="426"/>
        </w:tabs>
        <w:ind w:left="1275" w:leftChars="607"/>
        <w:rPr>
          <w:rFonts w:hint="eastAsia"/>
          <w:sz w:val="28"/>
          <w:szCs w:val="28"/>
        </w:rPr>
      </w:pPr>
      <w:r>
        <w:rPr>
          <w:rFonts w:hint="eastAsia"/>
          <w:sz w:val="28"/>
          <w:szCs w:val="28"/>
        </w:rPr>
        <w:t>投标供应商代表（签字或盖章）：</w:t>
      </w:r>
    </w:p>
    <w:p>
      <w:pPr>
        <w:tabs>
          <w:tab w:val="clear" w:pos="426"/>
        </w:tabs>
        <w:ind w:left="1275" w:leftChars="607"/>
        <w:rPr>
          <w:rFonts w:hint="eastAsia"/>
          <w:sz w:val="28"/>
          <w:szCs w:val="28"/>
        </w:rPr>
      </w:pPr>
      <w:r>
        <w:rPr>
          <w:rFonts w:hint="eastAsia"/>
          <w:sz w:val="28"/>
          <w:szCs w:val="28"/>
        </w:rPr>
        <w:t>投标日期：_</w:t>
      </w:r>
      <w:r>
        <w:rPr>
          <w:sz w:val="28"/>
          <w:szCs w:val="28"/>
        </w:rPr>
        <w:t>___</w:t>
      </w:r>
      <w:r>
        <w:rPr>
          <w:rFonts w:hint="eastAsia"/>
          <w:sz w:val="28"/>
          <w:szCs w:val="28"/>
        </w:rPr>
        <w:t>______年____月____日</w:t>
      </w:r>
    </w:p>
    <w:p>
      <w:pPr>
        <w:tabs>
          <w:tab w:val="clear" w:pos="426"/>
        </w:tabs>
        <w:rPr>
          <w:rFonts w:hint="eastAsia"/>
        </w:rPr>
      </w:pPr>
    </w:p>
    <w:p>
      <w:pPr>
        <w:adjustRightInd/>
        <w:snapToGrid/>
        <w:spacing w:before="280" w:after="290" w:line="377" w:lineRule="auto"/>
        <w:jc w:val="center"/>
        <w:rPr>
          <w:rFonts w:hint="eastAsia"/>
          <w:b/>
          <w:sz w:val="24"/>
        </w:rPr>
      </w:pPr>
      <w:r>
        <w:br w:type="page"/>
      </w:r>
      <w:bookmarkStart w:id="91" w:name="_Toc518464368"/>
      <w:bookmarkStart w:id="92" w:name="_Toc528170808"/>
      <w:bookmarkStart w:id="93" w:name="_Toc528675180"/>
      <w:r>
        <w:rPr>
          <w:rFonts w:hint="eastAsia"/>
          <w:b/>
          <w:sz w:val="24"/>
        </w:rPr>
        <w:t>投标文件目录（目录格式自定）</w:t>
      </w:r>
      <w:bookmarkEnd w:id="91"/>
      <w:bookmarkEnd w:id="92"/>
      <w:bookmarkEnd w:id="93"/>
    </w:p>
    <w:p>
      <w:pPr>
        <w:tabs>
          <w:tab w:val="clear" w:pos="426"/>
        </w:tabs>
        <w:rPr>
          <w:rFonts w:hint="eastAsia"/>
        </w:rPr>
      </w:pPr>
      <w:r>
        <w:rPr>
          <w:rFonts w:hint="eastAsia"/>
        </w:rPr>
        <w:t>按照招标文件的要求编制投标文件相应内容，请标明各部分内容的页码。</w:t>
      </w:r>
    </w:p>
    <w:p>
      <w:pPr>
        <w:tabs>
          <w:tab w:val="clear" w:pos="426"/>
        </w:tabs>
        <w:rPr>
          <w:rFonts w:hint="eastAsia"/>
        </w:rPr>
      </w:pPr>
    </w:p>
    <w:p>
      <w:pPr>
        <w:tabs>
          <w:tab w:val="clear" w:pos="426"/>
        </w:tabs>
        <w:rPr>
          <w:rFonts w:hint="eastAsia"/>
        </w:rPr>
      </w:pPr>
    </w:p>
    <w:p>
      <w:pPr>
        <w:adjustRightInd/>
        <w:snapToGrid/>
        <w:spacing w:before="280" w:after="290" w:line="377" w:lineRule="auto"/>
        <w:jc w:val="center"/>
        <w:rPr>
          <w:rFonts w:hint="eastAsia"/>
          <w:b/>
          <w:sz w:val="24"/>
        </w:rPr>
      </w:pPr>
      <w:r>
        <w:br w:type="page"/>
      </w:r>
      <w:bookmarkStart w:id="94" w:name="_Toc528170809"/>
      <w:bookmarkStart w:id="95" w:name="_Toc518464369"/>
      <w:bookmarkStart w:id="96" w:name="_Toc528675181"/>
      <w:r>
        <w:rPr>
          <w:rFonts w:hint="eastAsia"/>
          <w:b/>
          <w:sz w:val="24"/>
        </w:rPr>
        <w:t>评标指引表</w:t>
      </w:r>
      <w:bookmarkEnd w:id="94"/>
      <w:bookmarkEnd w:id="95"/>
      <w:bookmarkEnd w:id="96"/>
    </w:p>
    <w:p>
      <w:pPr>
        <w:tabs>
          <w:tab w:val="clear" w:pos="426"/>
        </w:tabs>
        <w:jc w:val="center"/>
        <w:rPr>
          <w:rFonts w:hint="eastAsia"/>
          <w:b/>
        </w:rPr>
      </w:pPr>
      <w:r>
        <w:rPr>
          <w:rFonts w:hint="eastAsia"/>
          <w:b/>
        </w:rPr>
        <w:t>（置于投标文件的首页）</w:t>
      </w:r>
    </w:p>
    <w:p>
      <w:pPr>
        <w:tabs>
          <w:tab w:val="clear" w:pos="426"/>
        </w:tabs>
        <w:ind w:firstLine="420" w:firstLineChars="200"/>
        <w:rPr>
          <w:rFonts w:hint="eastAsia"/>
        </w:rPr>
      </w:pPr>
      <w:r>
        <w:rPr>
          <w:rFonts w:hint="eastAsia"/>
          <w:szCs w:val="21"/>
        </w:rPr>
        <w:t>为方便参与该项目的评委专家的评标，快速找到评标事项与该项目投标文件所对应的位置，请投标供应商参照下表格式，编制本项目评标指引表。</w:t>
      </w:r>
    </w:p>
    <w:p>
      <w:pPr>
        <w:pStyle w:val="7"/>
        <w:tabs>
          <w:tab w:val="clear" w:pos="426"/>
        </w:tabs>
        <w:ind w:firstLine="0"/>
      </w:pPr>
      <w:r>
        <w:rPr>
          <w:rFonts w:hint="eastAsia"/>
        </w:rPr>
        <w:t>项目名称：</w:t>
      </w:r>
    </w:p>
    <w:p>
      <w:pPr>
        <w:pStyle w:val="7"/>
        <w:tabs>
          <w:tab w:val="clear" w:pos="426"/>
        </w:tabs>
        <w:ind w:firstLine="0"/>
      </w:pPr>
      <w:r>
        <w:rPr>
          <w:rFonts w:hint="eastAsia"/>
        </w:rPr>
        <w:t>项目编号：</w:t>
      </w:r>
    </w:p>
    <w:p>
      <w:pPr>
        <w:tabs>
          <w:tab w:val="clear" w:pos="426"/>
        </w:tabs>
        <w:jc w:val="center"/>
        <w:rPr>
          <w:rFonts w:hint="eastAsia"/>
          <w:b/>
        </w:rPr>
      </w:pPr>
      <w:r>
        <w:rPr>
          <w:rFonts w:hint="eastAsia"/>
          <w:b/>
        </w:rPr>
        <w:t>项目评标指引表</w:t>
      </w:r>
    </w:p>
    <w:tbl>
      <w:tblPr>
        <w:tblStyle w:val="8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rFonts w:hint="eastAsia"/>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rPr>
            </w:pPr>
            <w:r>
              <w:rPr>
                <w:rFonts w:hint="eastAsia"/>
                <w:b/>
              </w:rPr>
              <w:t>序号</w:t>
            </w:r>
          </w:p>
        </w:tc>
        <w:tc>
          <w:tcPr>
            <w:tcW w:w="4203" w:type="dxa"/>
            <w:gridSpan w:val="2"/>
            <w:vAlign w:val="center"/>
          </w:tcPr>
          <w:p>
            <w:pPr>
              <w:tabs>
                <w:tab w:val="clear" w:pos="426"/>
              </w:tabs>
              <w:adjustRightInd/>
              <w:snapToGrid/>
              <w:spacing w:line="240" w:lineRule="auto"/>
              <w:ind w:firstLine="422"/>
              <w:jc w:val="center"/>
              <w:rPr>
                <w:rFonts w:hint="eastAsia"/>
                <w:b/>
                <w:kern w:val="2"/>
              </w:rPr>
            </w:pPr>
            <w:r>
              <w:rPr>
                <w:rFonts w:hint="eastAsia"/>
                <w:b/>
              </w:rPr>
              <w:t>资格性检查项目</w:t>
            </w:r>
          </w:p>
        </w:tc>
        <w:tc>
          <w:tcPr>
            <w:tcW w:w="3105" w:type="dxa"/>
            <w:gridSpan w:val="3"/>
            <w:vAlign w:val="center"/>
          </w:tcPr>
          <w:p>
            <w:pPr>
              <w:tabs>
                <w:tab w:val="clear" w:pos="426"/>
              </w:tabs>
              <w:adjustRightInd/>
              <w:snapToGrid/>
              <w:spacing w:line="240" w:lineRule="auto"/>
              <w:jc w:val="center"/>
              <w:rPr>
                <w:rFonts w:hint="eastAsia"/>
                <w:b/>
              </w:rPr>
            </w:pPr>
            <w:r>
              <w:rPr>
                <w:rFonts w:hint="eastAsia"/>
                <w:b/>
              </w:rPr>
              <w:t>证明文件</w:t>
            </w:r>
          </w:p>
        </w:tc>
        <w:tc>
          <w:tcPr>
            <w:tcW w:w="1397" w:type="dxa"/>
            <w:vAlign w:val="center"/>
          </w:tcPr>
          <w:p>
            <w:pPr>
              <w:tabs>
                <w:tab w:val="clear" w:pos="426"/>
              </w:tabs>
              <w:adjustRightInd/>
              <w:snapToGrid/>
              <w:spacing w:line="240" w:lineRule="auto"/>
              <w:jc w:val="center"/>
              <w:rPr>
                <w:rFonts w:hint="eastAsia"/>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rFonts w:hint="eastAsia"/>
                <w:b/>
              </w:rPr>
            </w:pPr>
            <w:r>
              <w:rPr>
                <w:rFonts w:hint="eastAsia"/>
                <w:b/>
              </w:rPr>
              <w:t>1</w:t>
            </w:r>
          </w:p>
        </w:tc>
        <w:tc>
          <w:tcPr>
            <w:tcW w:w="4203" w:type="dxa"/>
            <w:gridSpan w:val="2"/>
            <w:vMerge w:val="restart"/>
            <w:vAlign w:val="center"/>
          </w:tcPr>
          <w:p>
            <w:pPr>
              <w:tabs>
                <w:tab w:val="clear" w:pos="426"/>
              </w:tabs>
              <w:adjustRightInd/>
              <w:snapToGrid/>
              <w:spacing w:line="240" w:lineRule="auto"/>
              <w:jc w:val="center"/>
              <w:rPr>
                <w:rFonts w:hint="eastAsia"/>
                <w:b/>
                <w:kern w:val="2"/>
              </w:rPr>
            </w:pPr>
            <w:r>
              <w:rPr>
                <w:rFonts w:hint="eastAsia"/>
              </w:rPr>
              <w:t>申请人的资格要求</w:t>
            </w:r>
          </w:p>
        </w:tc>
        <w:tc>
          <w:tcPr>
            <w:tcW w:w="3105" w:type="dxa"/>
            <w:gridSpan w:val="3"/>
            <w:vAlign w:val="center"/>
          </w:tcPr>
          <w:p>
            <w:pPr>
              <w:tabs>
                <w:tab w:val="clear" w:pos="426"/>
              </w:tabs>
              <w:adjustRightInd/>
              <w:snapToGrid/>
              <w:spacing w:line="240" w:lineRule="auto"/>
              <w:jc w:val="center"/>
              <w:rPr>
                <w:rFonts w:hint="eastAsia"/>
                <w:kern w:val="2"/>
              </w:rPr>
            </w:pPr>
            <w:r>
              <w:rPr>
                <w:rFonts w:hint="eastAsia"/>
              </w:rPr>
              <w:t>营业执照</w:t>
            </w: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rPr>
            </w:pPr>
            <w:r>
              <w:rPr>
                <w:rFonts w:hint="eastAsia"/>
              </w:rPr>
              <w:t>…</w:t>
            </w: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kern w:val="2"/>
              </w:rPr>
            </w:pPr>
            <w:r>
              <w:rPr>
                <w:rFonts w:hint="eastAsia"/>
                <w:b/>
              </w:rPr>
              <w:t>序号</w:t>
            </w:r>
          </w:p>
        </w:tc>
        <w:tc>
          <w:tcPr>
            <w:tcW w:w="5943" w:type="dxa"/>
            <w:gridSpan w:val="4"/>
            <w:vAlign w:val="center"/>
          </w:tcPr>
          <w:p>
            <w:pPr>
              <w:tabs>
                <w:tab w:val="clear" w:pos="426"/>
              </w:tabs>
              <w:adjustRightInd/>
              <w:snapToGrid/>
              <w:spacing w:line="240" w:lineRule="auto"/>
              <w:jc w:val="center"/>
              <w:rPr>
                <w:rFonts w:hint="eastAsia"/>
                <w:b/>
                <w:kern w:val="2"/>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rFonts w:hint="eastAsia"/>
                <w:b/>
                <w:kern w:val="2"/>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w:t>
            </w:r>
          </w:p>
        </w:tc>
        <w:tc>
          <w:tcPr>
            <w:tcW w:w="5943" w:type="dxa"/>
            <w:gridSpan w:val="4"/>
            <w:vAlign w:val="center"/>
          </w:tcPr>
          <w:p>
            <w:pPr>
              <w:tabs>
                <w:tab w:val="clear" w:pos="426"/>
              </w:tabs>
              <w:adjustRightInd/>
              <w:snapToGrid/>
              <w:spacing w:line="240" w:lineRule="auto"/>
              <w:rPr>
                <w:rFonts w:hint="eastAsia"/>
              </w:rPr>
            </w:pPr>
            <w:r>
              <w:rPr>
                <w:rFonts w:hint="eastAsia"/>
              </w:rPr>
              <w:t>未出现将一个包或一个标段的内容拆开投标；</w:t>
            </w:r>
          </w:p>
        </w:tc>
        <w:tc>
          <w:tcPr>
            <w:tcW w:w="2762" w:type="dxa"/>
            <w:gridSpan w:val="2"/>
            <w:vAlign w:val="center"/>
          </w:tcPr>
          <w:p>
            <w:pPr>
              <w:tabs>
                <w:tab w:val="clear" w:pos="426"/>
              </w:tabs>
              <w:adjustRightInd/>
              <w:snapToGrid/>
              <w:spacing w:line="240" w:lineRule="auto"/>
              <w:jc w:val="center"/>
              <w:rPr>
                <w:rFonts w:hint="eastAsia"/>
                <w:kern w:val="2"/>
              </w:rP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2</w:t>
            </w:r>
          </w:p>
        </w:tc>
        <w:tc>
          <w:tcPr>
            <w:tcW w:w="5943" w:type="dxa"/>
            <w:gridSpan w:val="4"/>
            <w:vAlign w:val="center"/>
          </w:tcPr>
          <w:p>
            <w:pPr>
              <w:tabs>
                <w:tab w:val="clear" w:pos="426"/>
              </w:tabs>
              <w:adjustRightInd/>
              <w:snapToGrid/>
              <w:spacing w:line="240" w:lineRule="auto"/>
              <w:rPr>
                <w:rFonts w:hint="eastAsia"/>
              </w:rPr>
            </w:pPr>
            <w:r>
              <w:rPr>
                <w:rFonts w:hint="eastAsia"/>
              </w:rPr>
              <w:t>投标文件及开标一览表按规定密封、签字、盖章</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3</w:t>
            </w:r>
          </w:p>
        </w:tc>
        <w:tc>
          <w:tcPr>
            <w:tcW w:w="5943" w:type="dxa"/>
            <w:gridSpan w:val="4"/>
            <w:vAlign w:val="center"/>
          </w:tcPr>
          <w:p>
            <w:pPr>
              <w:tabs>
                <w:tab w:val="clear" w:pos="426"/>
              </w:tabs>
              <w:adjustRightInd/>
              <w:snapToGrid/>
              <w:spacing w:line="240" w:lineRule="auto"/>
              <w:rPr>
                <w:rFonts w:hint="eastAsia"/>
              </w:rPr>
            </w:pPr>
            <w:r>
              <w:rPr>
                <w:rFonts w:hint="eastAsia"/>
              </w:rPr>
              <w:t>除招标文件规定允许有替代方案外，对同一项目投标时，未提供两套或两套以上的投标方案(招标文件另有规定的除外)；</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4</w:t>
            </w:r>
          </w:p>
        </w:tc>
        <w:tc>
          <w:tcPr>
            <w:tcW w:w="5943" w:type="dxa"/>
            <w:gridSpan w:val="4"/>
            <w:vAlign w:val="center"/>
          </w:tcPr>
          <w:p>
            <w:pPr>
              <w:tabs>
                <w:tab w:val="clear" w:pos="426"/>
              </w:tabs>
              <w:adjustRightInd/>
              <w:snapToGrid/>
              <w:spacing w:line="240" w:lineRule="auto"/>
              <w:rPr>
                <w:rFonts w:hint="eastAsia"/>
              </w:rPr>
            </w:pPr>
            <w:r>
              <w:rPr>
                <w:rFonts w:hint="eastAsia"/>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5</w:t>
            </w:r>
          </w:p>
        </w:tc>
        <w:tc>
          <w:tcPr>
            <w:tcW w:w="5943" w:type="dxa"/>
            <w:gridSpan w:val="4"/>
            <w:vAlign w:val="center"/>
          </w:tcPr>
          <w:p>
            <w:pPr>
              <w:tabs>
                <w:tab w:val="clear" w:pos="426"/>
              </w:tabs>
              <w:adjustRightInd/>
              <w:snapToGrid/>
              <w:spacing w:line="240" w:lineRule="auto"/>
              <w:rPr>
                <w:rFonts w:hint="eastAsia"/>
              </w:rPr>
            </w:pPr>
            <w:r>
              <w:rPr>
                <w:rFonts w:hint="eastAsia"/>
              </w:rPr>
              <w:t>按招标文件所提供的样式填写</w:t>
            </w:r>
            <w:r>
              <w:t>《</w:t>
            </w:r>
            <w:r>
              <w:rPr>
                <w:rFonts w:hint="eastAsia"/>
              </w:rPr>
              <w:t>投标函》；按招标文件所提供的《投标人资格声明函》进行承诺；</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6</w:t>
            </w:r>
          </w:p>
        </w:tc>
        <w:tc>
          <w:tcPr>
            <w:tcW w:w="5943" w:type="dxa"/>
            <w:gridSpan w:val="4"/>
            <w:vAlign w:val="center"/>
          </w:tcPr>
          <w:p>
            <w:pPr>
              <w:tabs>
                <w:tab w:val="clear" w:pos="426"/>
              </w:tabs>
              <w:adjustRightInd/>
              <w:snapToGrid/>
              <w:spacing w:line="240" w:lineRule="auto"/>
              <w:rPr>
                <w:rFonts w:hint="eastAsia"/>
              </w:rPr>
            </w:pPr>
            <w:r>
              <w:rPr>
                <w:rFonts w:hint="eastAsia"/>
              </w:rPr>
              <w:t>投标总价或分项报价不高于财政预算限额</w:t>
            </w:r>
            <w:r>
              <w:rPr>
                <w:szCs w:val="21"/>
              </w:rPr>
              <w:t>（最高投标限价）</w:t>
            </w:r>
            <w:r>
              <w:rPr>
                <w:rFonts w:hint="eastAsia"/>
              </w:rPr>
              <w:t>；</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7</w:t>
            </w:r>
          </w:p>
        </w:tc>
        <w:tc>
          <w:tcPr>
            <w:tcW w:w="5943" w:type="dxa"/>
            <w:gridSpan w:val="4"/>
            <w:vAlign w:val="center"/>
          </w:tcPr>
          <w:p>
            <w:pPr>
              <w:tabs>
                <w:tab w:val="clear" w:pos="426"/>
              </w:tabs>
              <w:adjustRightInd/>
              <w:snapToGrid/>
              <w:spacing w:line="240" w:lineRule="auto"/>
              <w:rPr>
                <w:rFonts w:hint="eastAsia"/>
              </w:rPr>
            </w:pPr>
            <w:r>
              <w:rPr>
                <w:rFonts w:hint="eastAsia"/>
              </w:rPr>
              <w:t>不存在以下情形：</w:t>
            </w:r>
            <w:r>
              <w:rPr>
                <w:szCs w:val="21"/>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8</w:t>
            </w:r>
          </w:p>
        </w:tc>
        <w:tc>
          <w:tcPr>
            <w:tcW w:w="5943" w:type="dxa"/>
            <w:gridSpan w:val="4"/>
            <w:vAlign w:val="center"/>
          </w:tcPr>
          <w:p>
            <w:pPr>
              <w:tabs>
                <w:tab w:val="clear" w:pos="426"/>
              </w:tabs>
              <w:adjustRightInd/>
              <w:snapToGrid/>
              <w:spacing w:line="240" w:lineRule="auto"/>
              <w:rPr>
                <w:rFonts w:hint="eastAsia"/>
              </w:rPr>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9</w:t>
            </w:r>
          </w:p>
        </w:tc>
        <w:tc>
          <w:tcPr>
            <w:tcW w:w="5943" w:type="dxa"/>
            <w:gridSpan w:val="4"/>
            <w:vAlign w:val="center"/>
          </w:tcPr>
          <w:p>
            <w:pPr>
              <w:tabs>
                <w:tab w:val="clear" w:pos="426"/>
              </w:tabs>
              <w:adjustRightInd/>
              <w:snapToGrid/>
              <w:spacing w:line="240" w:lineRule="auto"/>
              <w:rPr>
                <w:rFonts w:hint="eastAsia"/>
              </w:rPr>
            </w:pPr>
            <w:r>
              <w:rPr>
                <w:rFonts w:hint="eastAsia"/>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10</w:t>
            </w:r>
          </w:p>
        </w:tc>
        <w:tc>
          <w:tcPr>
            <w:tcW w:w="5943" w:type="dxa"/>
            <w:gridSpan w:val="4"/>
            <w:vAlign w:val="center"/>
          </w:tcPr>
          <w:p>
            <w:pPr>
              <w:tabs>
                <w:tab w:val="clear" w:pos="426"/>
              </w:tabs>
              <w:adjustRightInd/>
              <w:snapToGrid/>
              <w:spacing w:line="240" w:lineRule="auto"/>
              <w:rPr>
                <w:rFonts w:hint="eastAsia"/>
              </w:rPr>
            </w:pPr>
            <w:r>
              <w:rPr>
                <w:rFonts w:hint="eastAsia"/>
              </w:rPr>
              <w:t>投标文件载明的质保期未低于招标文件规定的期限；</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11</w:t>
            </w:r>
          </w:p>
        </w:tc>
        <w:tc>
          <w:tcPr>
            <w:tcW w:w="5943" w:type="dxa"/>
            <w:gridSpan w:val="4"/>
            <w:vAlign w:val="center"/>
          </w:tcPr>
          <w:p>
            <w:pPr>
              <w:tabs>
                <w:tab w:val="clear" w:pos="426"/>
              </w:tabs>
              <w:adjustRightInd/>
              <w:snapToGrid/>
              <w:spacing w:line="240" w:lineRule="auto"/>
              <w:rPr>
                <w:rFonts w:hint="eastAsia"/>
              </w:rPr>
            </w:pPr>
            <w:r>
              <w:rPr>
                <w:rFonts w:hint="eastAsia"/>
              </w:rPr>
              <w:t>所投产品、工程、服务在商务、技术等方面实质性满足招标文件要求的；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12</w:t>
            </w:r>
          </w:p>
        </w:tc>
        <w:tc>
          <w:tcPr>
            <w:tcW w:w="5943" w:type="dxa"/>
            <w:gridSpan w:val="4"/>
            <w:vAlign w:val="center"/>
          </w:tcPr>
          <w:p>
            <w:pPr>
              <w:tabs>
                <w:tab w:val="clear" w:pos="426"/>
              </w:tabs>
              <w:adjustRightInd/>
              <w:snapToGrid/>
              <w:spacing w:line="240" w:lineRule="auto"/>
              <w:rPr>
                <w:rFonts w:hint="eastAsia"/>
              </w:rPr>
            </w:pPr>
            <w:r>
              <w:rPr>
                <w:rFonts w:hint="eastAsia"/>
              </w:rPr>
              <w:t>投标报价没有严重缺漏项目；投标报价没有对招标文件规定的货物清单项目及数量进行修改；采购标的响应齐全；</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w:t>
            </w:r>
            <w:r>
              <w:t>3</w:t>
            </w:r>
          </w:p>
        </w:tc>
        <w:tc>
          <w:tcPr>
            <w:tcW w:w="5943" w:type="dxa"/>
            <w:gridSpan w:val="4"/>
            <w:vAlign w:val="center"/>
          </w:tcPr>
          <w:p>
            <w:pPr>
              <w:tabs>
                <w:tab w:val="clear" w:pos="426"/>
              </w:tabs>
              <w:adjustRightInd/>
              <w:snapToGrid/>
              <w:spacing w:line="240" w:lineRule="auto"/>
              <w:rPr>
                <w:rFonts w:hint="eastAsia"/>
              </w:rPr>
            </w:pPr>
            <w:r>
              <w:rPr>
                <w:rFonts w:hint="eastAsia"/>
              </w:rPr>
              <w:t>《技术规格偏离表》或《商务条款偏离表》未出现填写不全、不明或不实；</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w:t>
            </w:r>
            <w:r>
              <w:t>4</w:t>
            </w:r>
          </w:p>
        </w:tc>
        <w:tc>
          <w:tcPr>
            <w:tcW w:w="5943" w:type="dxa"/>
            <w:gridSpan w:val="4"/>
            <w:vAlign w:val="center"/>
          </w:tcPr>
          <w:p>
            <w:pPr>
              <w:tabs>
                <w:tab w:val="clear" w:pos="426"/>
              </w:tabs>
              <w:adjustRightInd/>
              <w:snapToGrid/>
              <w:spacing w:line="240" w:lineRule="auto"/>
              <w:rPr>
                <w:rFonts w:hint="eastAsia"/>
              </w:rPr>
            </w:pPr>
            <w:r>
              <w:rPr>
                <w:rFonts w:hint="eastAsia"/>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15</w:t>
            </w:r>
          </w:p>
        </w:tc>
        <w:tc>
          <w:tcPr>
            <w:tcW w:w="5943" w:type="dxa"/>
            <w:gridSpan w:val="4"/>
            <w:vAlign w:val="center"/>
          </w:tcPr>
          <w:p>
            <w:pPr>
              <w:tabs>
                <w:tab w:val="clear" w:pos="426"/>
              </w:tabs>
              <w:adjustRightInd/>
              <w:snapToGrid/>
              <w:spacing w:line="240" w:lineRule="auto"/>
              <w:rPr>
                <w:rFonts w:ascii="Times New Roman" w:hAnsi="Times New Roman" w:cs="Times New Roman"/>
                <w:szCs w:val="21"/>
              </w:rPr>
            </w:pPr>
            <w:r>
              <w:rPr>
                <w:rFonts w:hint="eastAsia"/>
              </w:rPr>
              <w:t>不属于法律、法规规定的投标无效的其他情形。</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rFonts w:hint="eastAsia"/>
                <w:b/>
                <w:kern w:val="2"/>
              </w:rPr>
            </w:pPr>
            <w:r>
              <w:rPr>
                <w:rFonts w:hint="eastAsia"/>
                <w:b/>
              </w:rPr>
              <w:t>评分类别</w:t>
            </w:r>
          </w:p>
        </w:tc>
        <w:tc>
          <w:tcPr>
            <w:tcW w:w="5499" w:type="dxa"/>
            <w:gridSpan w:val="2"/>
            <w:vAlign w:val="center"/>
          </w:tcPr>
          <w:p>
            <w:pPr>
              <w:tabs>
                <w:tab w:val="clear" w:pos="426"/>
              </w:tabs>
              <w:adjustRightInd/>
              <w:snapToGrid/>
              <w:spacing w:line="240" w:lineRule="auto"/>
              <w:jc w:val="center"/>
              <w:rPr>
                <w:rFonts w:hint="eastAsia"/>
                <w:b/>
                <w:kern w:val="2"/>
              </w:rPr>
            </w:pPr>
            <w:r>
              <w:rPr>
                <w:rFonts w:hint="eastAsia"/>
                <w:b/>
              </w:rPr>
              <w:t>评分项目</w:t>
            </w:r>
          </w:p>
        </w:tc>
        <w:tc>
          <w:tcPr>
            <w:tcW w:w="1463" w:type="dxa"/>
            <w:gridSpan w:val="2"/>
            <w:vAlign w:val="center"/>
          </w:tcPr>
          <w:p>
            <w:pPr>
              <w:tabs>
                <w:tab w:val="clear" w:pos="426"/>
              </w:tabs>
              <w:adjustRightInd/>
              <w:snapToGrid/>
              <w:spacing w:line="240" w:lineRule="auto"/>
              <w:jc w:val="center"/>
              <w:rPr>
                <w:rFonts w:hint="eastAsia"/>
                <w:b/>
                <w:kern w:val="2"/>
              </w:rPr>
            </w:pPr>
            <w:r>
              <w:rPr>
                <w:rFonts w:hint="eastAsia"/>
                <w:b/>
              </w:rPr>
              <w:t>对应章节</w:t>
            </w:r>
          </w:p>
        </w:tc>
        <w:tc>
          <w:tcPr>
            <w:tcW w:w="1397" w:type="dxa"/>
            <w:vAlign w:val="center"/>
          </w:tcPr>
          <w:p>
            <w:pPr>
              <w:tabs>
                <w:tab w:val="clear" w:pos="426"/>
              </w:tabs>
              <w:adjustRightInd/>
              <w:snapToGrid/>
              <w:spacing w:line="240" w:lineRule="auto"/>
              <w:jc w:val="center"/>
              <w:rPr>
                <w:rFonts w:hint="eastAsia"/>
                <w:b/>
                <w:kern w:val="2"/>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rPr>
            </w:pPr>
          </w:p>
        </w:tc>
        <w:tc>
          <w:tcPr>
            <w:tcW w:w="5499" w:type="dxa"/>
            <w:gridSpan w:val="2"/>
            <w:vAlign w:val="center"/>
          </w:tcPr>
          <w:p>
            <w:pPr>
              <w:tabs>
                <w:tab w:val="clear" w:pos="426"/>
              </w:tabs>
              <w:adjustRightInd/>
              <w:snapToGrid/>
              <w:spacing w:line="240" w:lineRule="auto"/>
              <w:jc w:val="center"/>
              <w:rPr>
                <w:rFonts w:hint="eastAsia"/>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bl>
    <w:p>
      <w:pPr>
        <w:tabs>
          <w:tab w:val="clear" w:pos="426"/>
        </w:tabs>
        <w:rPr>
          <w:rFonts w:hint="eastAsia"/>
          <w:szCs w:val="21"/>
        </w:rPr>
      </w:pPr>
      <w:r>
        <w:rPr>
          <w:rFonts w:hint="eastAsia"/>
          <w:szCs w:val="21"/>
        </w:rPr>
        <w:t>备注：对于“</w:t>
      </w:r>
      <w:r>
        <w:rPr>
          <w:rFonts w:hint="eastAsia"/>
          <w:b/>
        </w:rPr>
        <w:t>综合评分指引”</w:t>
      </w:r>
      <w:r>
        <w:rPr>
          <w:rFonts w:hint="eastAsia"/>
          <w:szCs w:val="21"/>
        </w:rPr>
        <w:t>请投标供应商按照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pPr>
        <w:adjustRightInd/>
        <w:snapToGrid/>
        <w:spacing w:before="280" w:after="290" w:line="377" w:lineRule="auto"/>
        <w:outlineLvl w:val="2"/>
        <w:rPr>
          <w:rFonts w:hint="eastAsia"/>
          <w:b/>
          <w:sz w:val="24"/>
        </w:rPr>
      </w:pPr>
      <w:bookmarkStart w:id="97" w:name="_Toc151386161"/>
      <w:bookmarkStart w:id="98" w:name="_Toc32283"/>
      <w:bookmarkStart w:id="99" w:name="_Toc150960251"/>
      <w:bookmarkStart w:id="100" w:name="_Toc43264518"/>
      <w:bookmarkStart w:id="101" w:name="_Toc50703730"/>
      <w:bookmarkStart w:id="102" w:name="_Toc50691037"/>
      <w:bookmarkStart w:id="103" w:name="_Toc43264525"/>
      <w:r>
        <w:rPr>
          <w:rFonts w:hint="eastAsia"/>
          <w:b/>
          <w:sz w:val="24"/>
        </w:rPr>
        <w:t>格式1：投标函</w:t>
      </w:r>
      <w:bookmarkEnd w:id="97"/>
      <w:bookmarkEnd w:id="98"/>
      <w:bookmarkEnd w:id="99"/>
    </w:p>
    <w:p>
      <w:pPr>
        <w:widowControl w:val="0"/>
        <w:shd w:val="clear" w:color="auto" w:fill="auto"/>
        <w:tabs>
          <w:tab w:val="clear" w:pos="426"/>
        </w:tabs>
        <w:adjustRightInd/>
        <w:snapToGrid/>
        <w:spacing w:line="300" w:lineRule="auto"/>
        <w:jc w:val="center"/>
        <w:rPr>
          <w:rFonts w:hint="eastAsia" w:cs="Times New Roman"/>
          <w:bCs/>
          <w:kern w:val="2"/>
          <w:sz w:val="32"/>
          <w:szCs w:val="32"/>
        </w:rPr>
      </w:pPr>
      <w:bookmarkStart w:id="104" w:name="_Toc201742865"/>
      <w:bookmarkStart w:id="105" w:name="_Toc201719122"/>
      <w:bookmarkStart w:id="106" w:name="_Toc201743120"/>
      <w:bookmarkStart w:id="107" w:name="_Toc201997950"/>
      <w:r>
        <w:rPr>
          <w:rFonts w:hint="eastAsia" w:cs="Times New Roman"/>
          <w:bCs/>
          <w:kern w:val="2"/>
          <w:sz w:val="32"/>
          <w:szCs w:val="32"/>
        </w:rPr>
        <w:t>投标函</w:t>
      </w:r>
      <w:bookmarkEnd w:id="104"/>
      <w:bookmarkEnd w:id="105"/>
      <w:bookmarkEnd w:id="106"/>
      <w:bookmarkEnd w:id="107"/>
    </w:p>
    <w:p>
      <w:pPr>
        <w:tabs>
          <w:tab w:val="clear" w:pos="426"/>
        </w:tabs>
        <w:spacing w:line="300" w:lineRule="auto"/>
        <w:rPr>
          <w:rFonts w:hint="eastAsia"/>
          <w:szCs w:val="21"/>
        </w:rPr>
      </w:pPr>
    </w:p>
    <w:p>
      <w:pPr>
        <w:tabs>
          <w:tab w:val="clear" w:pos="426"/>
        </w:tabs>
        <w:spacing w:line="300" w:lineRule="auto"/>
        <w:rPr>
          <w:rFonts w:hint="eastAsia"/>
          <w:szCs w:val="21"/>
        </w:rPr>
      </w:pPr>
      <w:r>
        <w:rPr>
          <w:rFonts w:hint="eastAsia"/>
          <w:szCs w:val="21"/>
        </w:rPr>
        <w:t>致：</w:t>
      </w:r>
      <w:r>
        <w:rPr>
          <w:rFonts w:hint="eastAsia"/>
          <w:szCs w:val="21"/>
          <w:u w:val="single"/>
        </w:rPr>
        <w:t>深圳市深水水务咨询有限公司</w:t>
      </w:r>
    </w:p>
    <w:p>
      <w:pPr>
        <w:spacing w:after="231" w:afterLines="50"/>
        <w:ind w:firstLine="420" w:firstLineChars="200"/>
        <w:rPr>
          <w:rFonts w:hint="eastAsia"/>
          <w:szCs w:val="21"/>
        </w:rPr>
      </w:pPr>
      <w:r>
        <w:rPr>
          <w:rFonts w:hint="eastAsia"/>
          <w:szCs w:val="21"/>
        </w:rPr>
        <w:t>1.根据已收到贵方的项目编号为</w:t>
      </w:r>
      <w:r>
        <w:rPr>
          <w:rFonts w:hint="eastAsia"/>
          <w:szCs w:val="21"/>
          <w:u w:val="single"/>
        </w:rPr>
        <w:t>___</w:t>
      </w:r>
      <w:r>
        <w:rPr>
          <w:szCs w:val="21"/>
          <w:u w:val="single"/>
        </w:rPr>
        <w:t>_</w:t>
      </w:r>
      <w:r>
        <w:rPr>
          <w:rFonts w:hint="eastAsia"/>
          <w:szCs w:val="21"/>
          <w:u w:val="single"/>
        </w:rPr>
        <w:t>_____</w:t>
      </w:r>
      <w:r>
        <w:rPr>
          <w:rFonts w:hint="eastAsia"/>
          <w:szCs w:val="21"/>
        </w:rPr>
        <w:t>的</w:t>
      </w:r>
      <w:r>
        <w:rPr>
          <w:rFonts w:hint="eastAsia"/>
          <w:szCs w:val="21"/>
          <w:u w:val="single"/>
        </w:rPr>
        <w:t>_______</w:t>
      </w:r>
      <w:r>
        <w:rPr>
          <w:szCs w:val="21"/>
          <w:u w:val="single"/>
        </w:rPr>
        <w:t>__</w:t>
      </w:r>
      <w:r>
        <w:rPr>
          <w:rFonts w:hint="eastAsia"/>
          <w:szCs w:val="21"/>
          <w:u w:val="single"/>
        </w:rPr>
        <w:t>________</w:t>
      </w:r>
      <w:r>
        <w:rPr>
          <w:rFonts w:hint="eastAsia"/>
          <w:szCs w:val="21"/>
        </w:rPr>
        <w:t>项目的招标文件，遵照《中华人民共和国政府采购法》《中华人民共和国政府采购法实施条例》等有关规定，我单位经研究上述招标文件的专用条款及通用条款后，我方愿以投标书《开标一览表》中填写的投标报价并按招标文件要求承包上述项目并修补其任何缺陷。</w:t>
      </w:r>
    </w:p>
    <w:p>
      <w:pPr>
        <w:spacing w:after="231" w:afterLines="50"/>
        <w:ind w:firstLine="420" w:firstLineChars="200"/>
        <w:rPr>
          <w:rFonts w:hAnsi="Times New Roman"/>
          <w:szCs w:val="21"/>
        </w:rPr>
      </w:pPr>
      <w:r>
        <w:rPr>
          <w:rFonts w:hAnsi="Times New Roman"/>
          <w:szCs w:val="21"/>
        </w:rPr>
        <w:t>2.</w:t>
      </w:r>
      <w:r>
        <w:rPr>
          <w:rFonts w:hint="eastAsia" w:hAnsi="Times New Roman"/>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231" w:afterLines="50"/>
        <w:ind w:firstLine="411" w:firstLineChars="196"/>
        <w:rPr>
          <w:rFonts w:hAnsi="Times New Roman"/>
          <w:szCs w:val="21"/>
        </w:rPr>
      </w:pPr>
      <w:r>
        <w:rPr>
          <w:rFonts w:hAnsi="Times New Roman"/>
          <w:szCs w:val="21"/>
        </w:rPr>
        <w:t>3.</w:t>
      </w:r>
      <w:r>
        <w:rPr>
          <w:rFonts w:hint="eastAsia" w:hAnsi="Times New Roman"/>
          <w:szCs w:val="21"/>
        </w:rPr>
        <w:t>我方同意所递交的投标文件在“对通用条款的补充内容”中的投标有效期内有效，在此期间内我方的投标有可能中标，我方将受此约束。如果在投标有效期内撤回其投标，自行承担一切后果。</w:t>
      </w:r>
    </w:p>
    <w:p>
      <w:pPr>
        <w:spacing w:after="231" w:afterLines="50"/>
        <w:ind w:firstLine="411" w:firstLineChars="196"/>
        <w:rPr>
          <w:rFonts w:hAnsi="Times New Roman"/>
          <w:szCs w:val="21"/>
        </w:rPr>
      </w:pPr>
      <w:r>
        <w:rPr>
          <w:rFonts w:hAnsi="Times New Roman"/>
          <w:szCs w:val="21"/>
        </w:rPr>
        <w:t>4.</w:t>
      </w:r>
      <w:r>
        <w:rPr>
          <w:rFonts w:hint="eastAsia" w:hAnsi="Times New Roman"/>
          <w:szCs w:val="21"/>
        </w:rPr>
        <w:t>除非另外达成协议并生效，贵方的中标通知书和本投标文件将构成约束我们双方的合同。</w:t>
      </w:r>
    </w:p>
    <w:p>
      <w:pPr>
        <w:spacing w:after="231" w:afterLines="50"/>
        <w:ind w:firstLine="420" w:firstLineChars="200"/>
        <w:rPr>
          <w:rFonts w:hAnsi="Times New Roman"/>
          <w:szCs w:val="21"/>
        </w:rPr>
      </w:pPr>
      <w:r>
        <w:rPr>
          <w:rFonts w:hAnsi="Times New Roman"/>
          <w:szCs w:val="21"/>
        </w:rPr>
        <w:t>5.</w:t>
      </w:r>
      <w:r>
        <w:rPr>
          <w:rFonts w:hint="eastAsia" w:hAnsi="Times New Roman"/>
          <w:szCs w:val="21"/>
        </w:rPr>
        <w:t>我方理解贵方将不受必须接受你们所收到的最低标价或其它任何投标文件的约束。</w:t>
      </w: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r>
        <w:rPr>
          <w:rFonts w:hint="eastAsia"/>
          <w:szCs w:val="21"/>
        </w:rPr>
        <w:t>地址：</w:t>
      </w:r>
      <w:r>
        <w:rPr>
          <w:rFonts w:hint="eastAsia"/>
          <w:szCs w:val="21"/>
          <w:u w:val="single"/>
        </w:rPr>
        <w:t>__________________________</w:t>
      </w:r>
      <w:r>
        <w:rPr>
          <w:rFonts w:hint="eastAsia"/>
          <w:szCs w:val="21"/>
        </w:rPr>
        <w:t xml:space="preserve">  电话：</w:t>
      </w:r>
      <w:r>
        <w:rPr>
          <w:rFonts w:hint="eastAsia"/>
          <w:szCs w:val="21"/>
          <w:u w:val="single"/>
        </w:rPr>
        <w:t>________________________</w:t>
      </w:r>
    </w:p>
    <w:p>
      <w:pPr>
        <w:tabs>
          <w:tab w:val="clear" w:pos="426"/>
        </w:tabs>
        <w:spacing w:line="300" w:lineRule="auto"/>
        <w:ind w:left="424" w:leftChars="202"/>
        <w:rPr>
          <w:rFonts w:hint="eastAsia"/>
          <w:szCs w:val="21"/>
          <w:u w:val="single"/>
        </w:rPr>
      </w:pPr>
      <w:r>
        <w:rPr>
          <w:rFonts w:hint="eastAsia"/>
          <w:szCs w:val="21"/>
        </w:rPr>
        <w:t>投标人名称（公章）：</w:t>
      </w:r>
      <w:r>
        <w:rPr>
          <w:rFonts w:hint="eastAsia"/>
          <w:szCs w:val="21"/>
          <w:u w:val="single"/>
        </w:rPr>
        <w:t>_____________________________________________</w:t>
      </w:r>
    </w:p>
    <w:p>
      <w:pPr>
        <w:tabs>
          <w:tab w:val="clear" w:pos="426"/>
        </w:tabs>
        <w:spacing w:line="300" w:lineRule="auto"/>
        <w:ind w:left="424" w:leftChars="202"/>
        <w:rPr>
          <w:rFonts w:hint="eastAsia"/>
          <w:szCs w:val="21"/>
          <w:u w:val="single"/>
        </w:rPr>
      </w:pPr>
      <w:r>
        <w:rPr>
          <w:rFonts w:hint="eastAsia"/>
          <w:szCs w:val="21"/>
        </w:rPr>
        <w:t xml:space="preserve">投标人代表（签字或盖章)： </w:t>
      </w:r>
      <w:r>
        <w:rPr>
          <w:rFonts w:hint="eastAsia"/>
          <w:szCs w:val="21"/>
          <w:u w:val="single"/>
        </w:rPr>
        <w:t>_____________________________________________</w:t>
      </w:r>
    </w:p>
    <w:p>
      <w:pPr>
        <w:tabs>
          <w:tab w:val="clear" w:pos="426"/>
        </w:tabs>
        <w:spacing w:line="300" w:lineRule="auto"/>
        <w:ind w:left="424" w:leftChars="202"/>
        <w:rPr>
          <w:rFonts w:hint="eastAsia"/>
          <w:szCs w:val="21"/>
          <w:u w:val="single"/>
        </w:rPr>
      </w:pPr>
      <w:r>
        <w:rPr>
          <w:rFonts w:hint="eastAsia"/>
          <w:szCs w:val="21"/>
        </w:rPr>
        <w:t>日期：</w:t>
      </w:r>
      <w:r>
        <w:rPr>
          <w:rFonts w:hint="eastAsia"/>
          <w:szCs w:val="21"/>
          <w:u w:val="single"/>
        </w:rPr>
        <w:t>___________________________________________________________</w:t>
      </w:r>
    </w:p>
    <w:p>
      <w:pPr>
        <w:tabs>
          <w:tab w:val="clear" w:pos="426"/>
        </w:tabs>
        <w:spacing w:line="300" w:lineRule="auto"/>
        <w:rPr>
          <w:rFonts w:hint="eastAsia"/>
        </w:rPr>
      </w:pPr>
    </w:p>
    <w:p>
      <w:pPr>
        <w:tabs>
          <w:tab w:val="clear" w:pos="426"/>
        </w:tabs>
        <w:rPr>
          <w:rFonts w:hint="eastAsia"/>
        </w:rPr>
      </w:pPr>
      <w:r>
        <w:br w:type="page"/>
      </w:r>
      <w:bookmarkStart w:id="108" w:name="_Toc150960253"/>
      <w:bookmarkStart w:id="109" w:name="_Toc151386163"/>
      <w:bookmarkStart w:id="110" w:name="_Toc50737297"/>
      <w:bookmarkStart w:id="111" w:name="_Toc50736477"/>
      <w:bookmarkStart w:id="112" w:name="_Toc480754205"/>
      <w:bookmarkStart w:id="113" w:name="_Toc50737329"/>
      <w:bookmarkStart w:id="114" w:name="_Toc52165081"/>
      <w:bookmarkStart w:id="115" w:name="_Toc275865607"/>
      <w:bookmarkStart w:id="116" w:name="_Toc50691034"/>
      <w:bookmarkStart w:id="117" w:name="_Toc50737328"/>
      <w:bookmarkStart w:id="118" w:name="_Toc52165080"/>
      <w:bookmarkStart w:id="119" w:name="_Toc50736476"/>
      <w:bookmarkStart w:id="120" w:name="_Toc50737296"/>
    </w:p>
    <w:p>
      <w:pPr>
        <w:adjustRightInd/>
        <w:snapToGrid/>
        <w:spacing w:before="280" w:after="290" w:line="377" w:lineRule="auto"/>
        <w:outlineLvl w:val="2"/>
        <w:rPr>
          <w:rFonts w:hint="eastAsia"/>
          <w:b/>
          <w:sz w:val="24"/>
        </w:rPr>
      </w:pPr>
      <w:bookmarkStart w:id="121" w:name="_Toc9501"/>
      <w:r>
        <w:rPr>
          <w:rFonts w:hint="eastAsia"/>
          <w:b/>
          <w:sz w:val="24"/>
        </w:rPr>
        <w:t>格式2：</w:t>
      </w:r>
      <w:bookmarkEnd w:id="108"/>
      <w:bookmarkEnd w:id="109"/>
      <w:r>
        <w:rPr>
          <w:rFonts w:hint="eastAsia"/>
          <w:b/>
          <w:sz w:val="24"/>
        </w:rPr>
        <w:t>法定代表人（单位负责人）证明书</w:t>
      </w:r>
      <w:bookmarkEnd w:id="121"/>
    </w:p>
    <w:bookmarkEnd w:id="110"/>
    <w:bookmarkEnd w:id="111"/>
    <w:bookmarkEnd w:id="112"/>
    <w:bookmarkEnd w:id="113"/>
    <w:bookmarkEnd w:id="114"/>
    <w:bookmarkEnd w:id="115"/>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法定代表人（单位负责人）证明书</w:t>
      </w:r>
    </w:p>
    <w:p>
      <w:pPr>
        <w:tabs>
          <w:tab w:val="clear" w:pos="426"/>
        </w:tabs>
        <w:spacing w:line="480" w:lineRule="auto"/>
        <w:ind w:firstLine="424" w:firstLineChars="202"/>
        <w:rPr>
          <w:rFonts w:hint="eastAsia"/>
          <w:u w:val="single"/>
        </w:rPr>
      </w:pPr>
    </w:p>
    <w:p>
      <w:pPr>
        <w:tabs>
          <w:tab w:val="clear" w:pos="426"/>
        </w:tabs>
        <w:spacing w:line="480" w:lineRule="auto"/>
        <w:ind w:firstLine="424" w:firstLineChars="202"/>
        <w:rPr>
          <w:rFonts w:hint="eastAsia"/>
        </w:rPr>
      </w:pPr>
      <w:r>
        <w:rPr>
          <w:rFonts w:hint="eastAsia"/>
          <w:u w:val="single"/>
        </w:rPr>
        <w:t>__________</w:t>
      </w:r>
      <w:r>
        <w:rPr>
          <w:rFonts w:hint="eastAsia"/>
        </w:rPr>
        <w:t>同志，现任我单位</w:t>
      </w:r>
      <w:r>
        <w:rPr>
          <w:u w:val="single"/>
        </w:rPr>
        <w:t>_________</w:t>
      </w:r>
      <w:r>
        <w:rPr>
          <w:rFonts w:hint="eastAsia"/>
        </w:rPr>
        <w:t>职务，为法定代表人（单位负责人），特此证明。</w:t>
      </w:r>
    </w:p>
    <w:p>
      <w:pPr>
        <w:tabs>
          <w:tab w:val="clear" w:pos="426"/>
        </w:tabs>
        <w:spacing w:line="480" w:lineRule="auto"/>
        <w:ind w:firstLine="424" w:firstLineChars="202"/>
        <w:rPr>
          <w:rFonts w:hint="eastAsia"/>
        </w:rPr>
      </w:pPr>
      <w:r>
        <w:rPr>
          <w:rFonts w:hint="eastAsia"/>
        </w:rPr>
        <w:t>本证明书自签发之日起生效，有效期与本公司投标文件中标注的投标有效期相同。</w:t>
      </w:r>
    </w:p>
    <w:p>
      <w:pPr>
        <w:tabs>
          <w:tab w:val="clear" w:pos="426"/>
        </w:tabs>
        <w:spacing w:line="480" w:lineRule="auto"/>
        <w:ind w:firstLine="424" w:firstLineChars="202"/>
        <w:rPr>
          <w:rFonts w:hint="eastAsia"/>
        </w:rPr>
      </w:pPr>
      <w:r>
        <w:rPr>
          <w:rFonts w:hint="eastAsia"/>
        </w:rPr>
        <w:t>附：</w:t>
      </w:r>
    </w:p>
    <w:p>
      <w:pPr>
        <w:tabs>
          <w:tab w:val="clear" w:pos="426"/>
        </w:tabs>
        <w:spacing w:line="480" w:lineRule="auto"/>
        <w:ind w:firstLine="424" w:firstLineChars="202"/>
        <w:rPr>
          <w:rFonts w:hint="eastAsia"/>
        </w:rPr>
      </w:pPr>
      <w:r>
        <w:rPr>
          <w:rFonts w:hint="eastAsia"/>
        </w:rPr>
        <w:t>营业执照（注册号）：</w:t>
      </w:r>
      <w:r>
        <w:rPr>
          <w:rFonts w:hint="eastAsia"/>
          <w:u w:val="single"/>
        </w:rPr>
        <w:t>_______________________________________________</w:t>
      </w:r>
    </w:p>
    <w:p>
      <w:pPr>
        <w:tabs>
          <w:tab w:val="clear" w:pos="426"/>
        </w:tabs>
        <w:spacing w:line="480" w:lineRule="auto"/>
        <w:ind w:firstLine="424" w:firstLineChars="202"/>
        <w:rPr>
          <w:rFonts w:hint="eastAsia"/>
          <w:u w:val="single"/>
        </w:rPr>
      </w:pPr>
      <w:r>
        <w:rPr>
          <w:rFonts w:hint="eastAsia"/>
        </w:rPr>
        <w:t>经济性质：</w:t>
      </w:r>
      <w:r>
        <w:rPr>
          <w:rFonts w:hint="eastAsia"/>
          <w:u w:val="single"/>
        </w:rPr>
        <w:t>_________________________________________________________</w:t>
      </w:r>
    </w:p>
    <w:p>
      <w:pPr>
        <w:tabs>
          <w:tab w:val="clear" w:pos="426"/>
        </w:tabs>
        <w:spacing w:line="480" w:lineRule="auto"/>
        <w:ind w:firstLine="424" w:firstLineChars="202"/>
        <w:rPr>
          <w:rFonts w:hint="eastAsia"/>
          <w:u w:val="single"/>
        </w:rPr>
      </w:pPr>
      <w:r>
        <w:rPr>
          <w:rFonts w:hint="eastAsia"/>
        </w:rPr>
        <w:t>主营（产）：</w:t>
      </w:r>
      <w:r>
        <w:rPr>
          <w:rFonts w:hint="eastAsia"/>
          <w:u w:val="single"/>
        </w:rPr>
        <w:t>_______________________________________________________</w:t>
      </w:r>
    </w:p>
    <w:p>
      <w:pPr>
        <w:tabs>
          <w:tab w:val="clear" w:pos="426"/>
        </w:tabs>
        <w:spacing w:line="480" w:lineRule="auto"/>
        <w:ind w:firstLine="424" w:firstLineChars="202"/>
        <w:rPr>
          <w:rFonts w:hint="eastAsia"/>
          <w:u w:val="single"/>
        </w:rPr>
      </w:pPr>
      <w:r>
        <w:rPr>
          <w:rFonts w:hint="eastAsia"/>
        </w:rPr>
        <w:t>兼营（产）：</w:t>
      </w:r>
      <w:r>
        <w:rPr>
          <w:rFonts w:hint="eastAsia"/>
          <w:u w:val="single"/>
        </w:rPr>
        <w:t>_______________________________________________________</w:t>
      </w:r>
    </w:p>
    <w:p>
      <w:pPr>
        <w:tabs>
          <w:tab w:val="clear" w:pos="426"/>
        </w:tabs>
        <w:ind w:firstLine="424" w:firstLineChars="202"/>
        <w:rPr>
          <w:rFonts w:hint="eastAsia"/>
        </w:rPr>
      </w:pPr>
    </w:p>
    <w:p>
      <w:pPr>
        <w:tabs>
          <w:tab w:val="clear" w:pos="426"/>
        </w:tabs>
        <w:ind w:firstLine="424" w:firstLineChars="202"/>
        <w:rPr>
          <w:rFonts w:hint="eastAsia"/>
          <w:szCs w:val="21"/>
        </w:rPr>
      </w:pPr>
      <w:r>
        <w:rPr>
          <w:rFonts w:hint="eastAsia"/>
          <w:szCs w:val="21"/>
        </w:rPr>
        <w:t>附：法定代表人（单位负责人）身份证正反面复印件：</w:t>
      </w:r>
    </w:p>
    <w:p>
      <w:pPr>
        <w:tabs>
          <w:tab w:val="clear" w:pos="426"/>
        </w:tabs>
        <w:ind w:firstLine="424" w:firstLineChars="202"/>
        <w:rPr>
          <w:rFonts w:hint="eastAsia"/>
          <w:szCs w:val="21"/>
        </w:rPr>
      </w:pPr>
    </w:p>
    <w:p>
      <w:pPr>
        <w:tabs>
          <w:tab w:val="clear" w:pos="426"/>
        </w:tabs>
        <w:ind w:firstLine="424" w:firstLineChars="202"/>
        <w:rPr>
          <w:rFonts w:hint="eastAsia"/>
          <w:szCs w:val="21"/>
        </w:rPr>
      </w:pPr>
    </w:p>
    <w:p>
      <w:pPr>
        <w:tabs>
          <w:tab w:val="clear" w:pos="426"/>
        </w:tabs>
        <w:ind w:firstLine="424" w:firstLineChars="202"/>
        <w:rPr>
          <w:rFonts w:hint="eastAsia"/>
          <w:szCs w:val="21"/>
        </w:rPr>
      </w:pPr>
    </w:p>
    <w:p>
      <w:pPr>
        <w:tabs>
          <w:tab w:val="clear" w:pos="426"/>
        </w:tabs>
        <w:spacing w:line="500" w:lineRule="exact"/>
        <w:ind w:left="3826" w:leftChars="1822"/>
        <w:rPr>
          <w:rFonts w:hint="eastAsia"/>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pPr>
        <w:tabs>
          <w:tab w:val="clear" w:pos="426"/>
        </w:tabs>
        <w:spacing w:line="500" w:lineRule="exact"/>
        <w:ind w:left="3826" w:leftChars="1822"/>
        <w:rPr>
          <w:rFonts w:hint="eastAsia"/>
          <w:u w:val="single"/>
        </w:rPr>
      </w:pPr>
      <w:r>
        <w:rPr>
          <w:rFonts w:hint="eastAsia"/>
        </w:rPr>
        <w:t>地址：</w:t>
      </w:r>
      <w:r>
        <w:rPr>
          <w:rFonts w:hint="eastAsia"/>
          <w:u w:val="single"/>
        </w:rPr>
        <w:t>___________________________________________</w:t>
      </w:r>
    </w:p>
    <w:p>
      <w:pPr>
        <w:tabs>
          <w:tab w:val="clear" w:pos="426"/>
        </w:tabs>
        <w:spacing w:line="500" w:lineRule="exact"/>
        <w:ind w:left="3826" w:leftChars="1822"/>
        <w:rPr>
          <w:rFonts w:hint="eastAsia"/>
          <w:u w:val="single"/>
        </w:rPr>
      </w:pPr>
      <w:r>
        <w:rPr>
          <w:rFonts w:hint="eastAsia"/>
        </w:rPr>
        <w:t>签发日期：</w:t>
      </w:r>
      <w:r>
        <w:rPr>
          <w:rFonts w:hint="eastAsia"/>
          <w:u w:val="single"/>
        </w:rPr>
        <w:t>_______________________________________</w:t>
      </w:r>
    </w:p>
    <w:p>
      <w:pPr>
        <w:tabs>
          <w:tab w:val="clear" w:pos="426"/>
        </w:tabs>
        <w:spacing w:line="500" w:lineRule="exact"/>
        <w:ind w:left="3826" w:leftChars="1822"/>
        <w:rPr>
          <w:rFonts w:hint="eastAsia"/>
          <w:b/>
          <w:bCs/>
          <w:u w:val="single"/>
        </w:rPr>
      </w:pPr>
    </w:p>
    <w:bookmarkEnd w:id="116"/>
    <w:bookmarkEnd w:id="117"/>
    <w:bookmarkEnd w:id="118"/>
    <w:bookmarkEnd w:id="119"/>
    <w:bookmarkEnd w:id="120"/>
    <w:p>
      <w:pPr>
        <w:tabs>
          <w:tab w:val="clear" w:pos="426"/>
        </w:tabs>
        <w:spacing w:line="300" w:lineRule="auto"/>
        <w:jc w:val="center"/>
        <w:rPr>
          <w:rFonts w:hint="eastAsia"/>
        </w:rPr>
      </w:pPr>
      <w:r>
        <w:br w:type="page"/>
      </w:r>
    </w:p>
    <w:p>
      <w:pPr>
        <w:adjustRightInd/>
        <w:snapToGrid/>
        <w:spacing w:before="280" w:after="290" w:line="377" w:lineRule="auto"/>
        <w:outlineLvl w:val="2"/>
        <w:rPr>
          <w:rFonts w:hint="eastAsia"/>
          <w:b/>
          <w:sz w:val="24"/>
        </w:rPr>
      </w:pPr>
      <w:bookmarkStart w:id="122" w:name="_Toc16372"/>
      <w:r>
        <w:rPr>
          <w:rFonts w:hint="eastAsia"/>
          <w:b/>
          <w:sz w:val="24"/>
        </w:rPr>
        <w:t>格式3：授权委托书</w:t>
      </w:r>
      <w:bookmarkEnd w:id="122"/>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授权委托书</w:t>
      </w:r>
    </w:p>
    <w:p>
      <w:pPr>
        <w:tabs>
          <w:tab w:val="clear" w:pos="426"/>
        </w:tabs>
        <w:ind w:firstLine="420" w:firstLineChars="200"/>
        <w:rPr>
          <w:rFonts w:hAnsi="Courier New" w:cs="Times New Roman"/>
          <w:kern w:val="2"/>
          <w:szCs w:val="20"/>
        </w:rPr>
      </w:pPr>
    </w:p>
    <w:p>
      <w:pPr>
        <w:tabs>
          <w:tab w:val="clear" w:pos="426"/>
        </w:tabs>
        <w:ind w:firstLine="420" w:firstLineChars="200"/>
        <w:rPr>
          <w:rFonts w:hAnsi="Courier New" w:cs="Times New Roman"/>
          <w:kern w:val="2"/>
          <w:szCs w:val="20"/>
        </w:rPr>
      </w:pPr>
      <w:r>
        <w:rPr>
          <w:rFonts w:hint="eastAsia" w:hAnsi="Courier New" w:cs="Times New Roman"/>
          <w:kern w:val="2"/>
          <w:szCs w:val="20"/>
        </w:rPr>
        <w:t>本授权委托书声明：注册于</w:t>
      </w:r>
      <w:r>
        <w:rPr>
          <w:rFonts w:hint="eastAsia" w:hAnsi="Courier New" w:cs="Times New Roman"/>
          <w:kern w:val="2"/>
          <w:szCs w:val="20"/>
          <w:u w:val="single"/>
        </w:rPr>
        <w:t>（投标人地址）</w:t>
      </w:r>
      <w:r>
        <w:rPr>
          <w:rFonts w:hint="eastAsia" w:hAnsi="Courier New" w:cs="Times New Roman"/>
          <w:kern w:val="2"/>
          <w:szCs w:val="20"/>
        </w:rPr>
        <w:t>的</w:t>
      </w:r>
      <w:r>
        <w:rPr>
          <w:rFonts w:hint="eastAsia" w:hAnsi="Courier New" w:cs="Times New Roman"/>
          <w:kern w:val="2"/>
          <w:szCs w:val="20"/>
          <w:u w:val="single"/>
        </w:rPr>
        <w:t>（投标人名称）</w:t>
      </w:r>
      <w:r>
        <w:rPr>
          <w:rFonts w:hint="eastAsia" w:hAnsi="Courier New" w:cs="Times New Roman"/>
          <w:kern w:val="2"/>
          <w:szCs w:val="20"/>
        </w:rPr>
        <w:t>在下面签名的</w:t>
      </w:r>
      <w:r>
        <w:rPr>
          <w:rFonts w:hint="eastAsia" w:hAnsi="Courier New" w:cs="Times New Roman"/>
          <w:kern w:val="2"/>
          <w:szCs w:val="20"/>
          <w:u w:val="single"/>
        </w:rPr>
        <w:t>（法定代表人（单位负责人）姓名、职务）</w:t>
      </w:r>
      <w:r>
        <w:rPr>
          <w:rFonts w:hint="eastAsia" w:hAnsi="Courier New" w:cs="Times New Roman"/>
          <w:kern w:val="2"/>
          <w:szCs w:val="20"/>
        </w:rPr>
        <w:t>在此授权</w:t>
      </w:r>
      <w:r>
        <w:rPr>
          <w:rFonts w:hint="eastAsia" w:hAnsi="Courier New" w:cs="Times New Roman"/>
          <w:kern w:val="2"/>
          <w:szCs w:val="20"/>
          <w:u w:val="single"/>
        </w:rPr>
        <w:t>（被授权人姓名、职务）</w:t>
      </w:r>
      <w:r>
        <w:rPr>
          <w:rFonts w:hint="eastAsia" w:hAnsi="Courier New" w:cs="Times New Roman"/>
          <w:kern w:val="2"/>
          <w:szCs w:val="20"/>
        </w:rPr>
        <w:t>作为我公司的合法代理人，就</w:t>
      </w:r>
      <w:r>
        <w:rPr>
          <w:rFonts w:hint="eastAsia" w:hAnsi="Courier New" w:cs="Times New Roman"/>
          <w:kern w:val="2"/>
          <w:szCs w:val="20"/>
          <w:u w:val="single"/>
        </w:rPr>
        <w:t>（项目名称、项目编号</w:t>
      </w:r>
      <w:r>
        <w:rPr>
          <w:rFonts w:hint="eastAsia" w:hAnsi="Courier New" w:cs="Times New Roman"/>
          <w:kern w:val="2"/>
          <w:szCs w:val="20"/>
        </w:rPr>
        <w:t>）的招投标活动，采购合同的签订、执行、完成和售后服务，作为投标人代表以我方的名义处理一切与之有关的事务。</w:t>
      </w:r>
    </w:p>
    <w:p>
      <w:pPr>
        <w:tabs>
          <w:tab w:val="clear" w:pos="426"/>
        </w:tabs>
        <w:ind w:firstLine="420" w:firstLineChars="200"/>
        <w:rPr>
          <w:rFonts w:hAnsi="Courier New" w:cs="Times New Roman"/>
          <w:kern w:val="2"/>
          <w:szCs w:val="20"/>
        </w:rPr>
      </w:pPr>
      <w:r>
        <w:rPr>
          <w:rFonts w:hint="eastAsia" w:hAnsi="Courier New" w:cs="Times New Roman"/>
          <w:kern w:val="2"/>
          <w:szCs w:val="20"/>
        </w:rPr>
        <w:t>被授权人（投标人授权代表）无转委托权限。</w:t>
      </w:r>
    </w:p>
    <w:p>
      <w:pPr>
        <w:tabs>
          <w:tab w:val="clear" w:pos="426"/>
        </w:tabs>
        <w:ind w:firstLine="420" w:firstLineChars="200"/>
        <w:rPr>
          <w:rFonts w:hint="eastAsia"/>
          <w:szCs w:val="21"/>
        </w:rPr>
      </w:pPr>
      <w:r>
        <w:rPr>
          <w:rFonts w:hint="eastAsia"/>
          <w:szCs w:val="21"/>
        </w:rPr>
        <w:t>本授权书自法定代表人（单位负责人）签字之日起生效，特此声明。</w:t>
      </w:r>
    </w:p>
    <w:p>
      <w:pPr>
        <w:tabs>
          <w:tab w:val="clear" w:pos="426"/>
        </w:tabs>
        <w:ind w:firstLine="422" w:firstLineChars="200"/>
        <w:rPr>
          <w:rFonts w:hint="eastAsia"/>
          <w:b/>
          <w:szCs w:val="21"/>
        </w:rPr>
      </w:pPr>
    </w:p>
    <w:p>
      <w:pPr>
        <w:tabs>
          <w:tab w:val="clear" w:pos="426"/>
        </w:tabs>
        <w:ind w:firstLine="422" w:firstLineChars="200"/>
        <w:rPr>
          <w:rFonts w:hint="eastAsia"/>
          <w:b/>
          <w:szCs w:val="21"/>
        </w:rPr>
      </w:pPr>
    </w:p>
    <w:p>
      <w:pPr>
        <w:tabs>
          <w:tab w:val="clear" w:pos="426"/>
        </w:tabs>
        <w:ind w:firstLine="422" w:firstLineChars="200"/>
        <w:rPr>
          <w:rFonts w:hint="eastAsia"/>
          <w:b/>
          <w:szCs w:val="21"/>
        </w:rPr>
      </w:pPr>
    </w:p>
    <w:p>
      <w:pPr>
        <w:tabs>
          <w:tab w:val="clear" w:pos="426"/>
        </w:tabs>
        <w:ind w:firstLine="424" w:firstLineChars="202"/>
        <w:rPr>
          <w:rFonts w:hint="eastAsia"/>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_____________________________________________________</w:t>
      </w:r>
    </w:p>
    <w:p>
      <w:pPr>
        <w:tabs>
          <w:tab w:val="clear" w:pos="426"/>
        </w:tabs>
        <w:ind w:firstLine="424" w:firstLineChars="202"/>
        <w:rPr>
          <w:rFonts w:hint="eastAsia"/>
          <w:szCs w:val="21"/>
          <w:u w:val="single"/>
        </w:rPr>
      </w:pPr>
      <w:r>
        <w:rPr>
          <w:rFonts w:hint="eastAsia"/>
          <w:szCs w:val="21"/>
        </w:rPr>
        <w:t>地      址：</w:t>
      </w:r>
      <w:r>
        <w:rPr>
          <w:rFonts w:hint="eastAsia"/>
          <w:szCs w:val="21"/>
          <w:u w:val="single"/>
        </w:rPr>
        <w:t>___________________________________________________________________</w:t>
      </w:r>
    </w:p>
    <w:p>
      <w:pPr>
        <w:tabs>
          <w:tab w:val="clear" w:pos="426"/>
        </w:tabs>
        <w:ind w:firstLine="424" w:firstLineChars="202"/>
        <w:rPr>
          <w:rFonts w:hint="eastAsia"/>
          <w:szCs w:val="21"/>
        </w:rPr>
      </w:pPr>
      <w:r>
        <w:rPr>
          <w:rFonts w:hint="eastAsia"/>
          <w:szCs w:val="21"/>
        </w:rPr>
        <w:t>法定代表人（单位负责人）（签字或盖章）：</w:t>
      </w:r>
      <w:r>
        <w:rPr>
          <w:rFonts w:hint="eastAsia"/>
          <w:szCs w:val="21"/>
          <w:u w:val="single"/>
        </w:rPr>
        <w:t>______________________</w:t>
      </w:r>
      <w:r>
        <w:rPr>
          <w:rFonts w:hint="eastAsia"/>
          <w:szCs w:val="21"/>
        </w:rPr>
        <w:t xml:space="preserve"> </w:t>
      </w:r>
    </w:p>
    <w:p>
      <w:pPr>
        <w:tabs>
          <w:tab w:val="clear" w:pos="426"/>
        </w:tabs>
        <w:ind w:firstLine="424" w:firstLineChars="202"/>
        <w:rPr>
          <w:rFonts w:hint="eastAsia"/>
          <w:szCs w:val="21"/>
        </w:rPr>
      </w:pPr>
      <w:r>
        <w:rPr>
          <w:rFonts w:hint="eastAsia"/>
          <w:szCs w:val="21"/>
        </w:rPr>
        <w:t>签字日期：</w:t>
      </w:r>
      <w:r>
        <w:rPr>
          <w:rFonts w:hint="eastAsia"/>
          <w:szCs w:val="21"/>
          <w:u w:val="single"/>
        </w:rPr>
        <w:t>________</w:t>
      </w:r>
      <w:r>
        <w:rPr>
          <w:rFonts w:hint="eastAsia"/>
          <w:szCs w:val="21"/>
        </w:rPr>
        <w:t>年</w:t>
      </w:r>
      <w:r>
        <w:rPr>
          <w:rFonts w:hint="eastAsia"/>
          <w:szCs w:val="21"/>
          <w:u w:val="single"/>
        </w:rPr>
        <w:t>___</w:t>
      </w:r>
      <w:r>
        <w:rPr>
          <w:rFonts w:hint="eastAsia"/>
          <w:szCs w:val="21"/>
        </w:rPr>
        <w:t>月</w:t>
      </w:r>
      <w:r>
        <w:rPr>
          <w:rFonts w:hint="eastAsia"/>
          <w:szCs w:val="21"/>
          <w:u w:val="single"/>
        </w:rPr>
        <w:t>___</w:t>
      </w:r>
      <w:r>
        <w:rPr>
          <w:rFonts w:hint="eastAsia"/>
          <w:szCs w:val="21"/>
        </w:rPr>
        <w:t>日</w:t>
      </w:r>
    </w:p>
    <w:p>
      <w:pPr>
        <w:tabs>
          <w:tab w:val="clear" w:pos="426"/>
        </w:tabs>
        <w:ind w:firstLine="424" w:firstLineChars="202"/>
        <w:rPr>
          <w:rFonts w:hint="eastAsia"/>
          <w:szCs w:val="21"/>
        </w:rPr>
      </w:pPr>
      <w:r>
        <w:rPr>
          <w:rFonts w:hint="eastAsia"/>
          <w:szCs w:val="21"/>
        </w:rPr>
        <w:t>被授权人（投标人授权代表）（签字或盖章）：</w:t>
      </w:r>
      <w:r>
        <w:rPr>
          <w:rFonts w:hint="eastAsia"/>
          <w:szCs w:val="21"/>
          <w:u w:val="single"/>
        </w:rPr>
        <w:t>____________________________________</w:t>
      </w:r>
    </w:p>
    <w:p>
      <w:pPr>
        <w:tabs>
          <w:tab w:val="clear" w:pos="426"/>
        </w:tabs>
        <w:ind w:firstLine="424" w:firstLineChars="202"/>
        <w:rPr>
          <w:rFonts w:hint="eastAsia"/>
          <w:szCs w:val="21"/>
        </w:rPr>
      </w:pPr>
    </w:p>
    <w:p>
      <w:pPr>
        <w:tabs>
          <w:tab w:val="clear" w:pos="426"/>
        </w:tabs>
        <w:ind w:firstLine="424" w:firstLineChars="202"/>
        <w:rPr>
          <w:rFonts w:hint="eastAsia"/>
          <w:szCs w:val="21"/>
        </w:rPr>
      </w:pPr>
      <w:r>
        <w:rPr>
          <w:rFonts w:hint="eastAsia"/>
          <w:szCs w:val="21"/>
        </w:rPr>
        <w:t>附：被授权人身份证复印正反面件：</w:t>
      </w:r>
    </w:p>
    <w:p>
      <w:pPr>
        <w:tabs>
          <w:tab w:val="clear" w:pos="426"/>
        </w:tabs>
        <w:ind w:firstLine="424" w:firstLineChars="202"/>
        <w:rPr>
          <w:rFonts w:hint="eastAsia"/>
          <w:szCs w:val="21"/>
        </w:rPr>
      </w:pPr>
    </w:p>
    <w:p>
      <w:pPr>
        <w:rPr>
          <w:rFonts w:hint="eastAsia"/>
        </w:rPr>
      </w:pPr>
    </w:p>
    <w:p>
      <w:pPr>
        <w:adjustRightInd/>
        <w:snapToGrid/>
        <w:spacing w:before="280" w:after="290" w:line="377" w:lineRule="auto"/>
        <w:outlineLvl w:val="2"/>
        <w:rPr>
          <w:rFonts w:hint="eastAsia"/>
          <w:b/>
          <w:sz w:val="24"/>
        </w:rPr>
      </w:pPr>
      <w:r>
        <w:br w:type="page"/>
      </w:r>
      <w:bookmarkStart w:id="123" w:name="_Toc12237"/>
      <w:r>
        <w:rPr>
          <w:rFonts w:hint="eastAsia"/>
          <w:b/>
          <w:sz w:val="24"/>
        </w:rPr>
        <w:t>格式4：资格条款偏离表</w:t>
      </w:r>
      <w:bookmarkEnd w:id="123"/>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资格条款偏离表</w:t>
      </w:r>
    </w:p>
    <w:p>
      <w:pPr>
        <w:tabs>
          <w:tab w:val="clear" w:pos="426"/>
        </w:tabs>
        <w:rPr>
          <w:rFonts w:ascii="Times New Roman" w:hAnsi="Times New Roman" w:cs="Times New Roman"/>
        </w:rPr>
      </w:pPr>
    </w:p>
    <w:p>
      <w:pPr>
        <w:tabs>
          <w:tab w:val="clear" w:pos="426"/>
        </w:tabs>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项目编号：</w:t>
      </w:r>
      <w:r>
        <w:rPr>
          <w:rFonts w:ascii="Times New Roman" w:hAnsi="Times New Roman" w:cs="Times New Roman"/>
          <w:sz w:val="18"/>
          <w:szCs w:val="18"/>
          <w:u w:val="single"/>
        </w:rPr>
        <w:t>_______________________</w:t>
      </w:r>
    </w:p>
    <w:tbl>
      <w:tblPr>
        <w:tblStyle w:val="85"/>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603"/>
        <w:gridCol w:w="2218"/>
        <w:gridCol w:w="94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0"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序号</w:t>
            </w:r>
          </w:p>
        </w:tc>
        <w:tc>
          <w:tcPr>
            <w:tcW w:w="1480"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资格条款</w:t>
            </w:r>
          </w:p>
        </w:tc>
        <w:tc>
          <w:tcPr>
            <w:tcW w:w="1480"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响应</w:t>
            </w:r>
            <w:r>
              <w:rPr>
                <w:rFonts w:hint="eastAsia" w:ascii="Times New Roman" w:hAnsi="Times New Roman" w:cs="Times New Roman"/>
                <w:bCs/>
              </w:rPr>
              <w:t>情况</w:t>
            </w:r>
          </w:p>
        </w:tc>
        <w:tc>
          <w:tcPr>
            <w:tcW w:w="73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偏离情况</w:t>
            </w:r>
          </w:p>
        </w:tc>
        <w:tc>
          <w:tcPr>
            <w:tcW w:w="912"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1</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满足《中华人民共和国政府采购法》第二十二条规定（由供应商在《投标人资格声明函》中作出声明）</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2</w:t>
            </w:r>
          </w:p>
        </w:tc>
        <w:tc>
          <w:tcPr>
            <w:tcW w:w="1480" w:type="pct"/>
            <w:vAlign w:val="center"/>
          </w:tcPr>
          <w:p>
            <w:pPr>
              <w:widowControl w:val="0"/>
              <w:shd w:val="clear" w:color="auto" w:fill="auto"/>
              <w:adjustRightInd/>
              <w:snapToGrid/>
              <w:spacing w:line="240" w:lineRule="auto"/>
              <w:rPr>
                <w:rFonts w:hAnsi="Times New Roman" w:cs="Times New Roman"/>
                <w:kern w:val="2"/>
                <w:szCs w:val="21"/>
              </w:rPr>
            </w:pPr>
            <w:r>
              <w:rPr>
                <w:rFonts w:hint="eastAsia" w:hAnsi="Times New Roman" w:cs="Times New Roman"/>
                <w:kern w:val="2"/>
                <w:szCs w:val="21"/>
              </w:rPr>
              <w:t>本项目不属于专门面向中小企业采购的项目。</w:t>
            </w:r>
          </w:p>
          <w:p>
            <w:pPr>
              <w:tabs>
                <w:tab w:val="clear" w:pos="426"/>
              </w:tabs>
              <w:spacing w:line="240" w:lineRule="auto"/>
              <w:rPr>
                <w:rFonts w:ascii="Times New Roman" w:hAnsi="Times New Roman" w:cs="Times New Roman"/>
                <w:bCs/>
              </w:rPr>
            </w:pP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3</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4</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本项目不接受投标人选用进口产品参与投标。（进口产品是指通过中国海关报关验收进入中国境内且产自境外的产品）。</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5</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根据财库〔2016〕125号文的有关规定，投标人需未被列入失信被执行人、重大税收违法案件当事人名单、政府采购严重违法失信行为记录名单（提供书面《投标人资格声明函》加盖公章，采购代理机构将通过“信用中国”网站（www.creditchina.gov.cn）、中国政府采购网（www.ccgp.gov.cn）等渠道查询相关主体信用记录，并做好信用信息查询记录和证据留存，信用信息查询记录及相关证据将与其他采购文件一并保存）。</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6</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投标人参与本项目投标前三年内，在经营活动中没有重大违法记录（提供《投标人资格声明函》，并加盖投标人公章）。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7</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投标人参与本项目投标近三年内，在经营活动中没有发生重大安全和质量事故（提供《投标人资格声明函》，并加盖投标人公章）。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8</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投标人参与本项目政府采购活动时不存在被有关部门禁止参与政府采购活动且在有效期内的情况（提供《投标人资格声明函》，并加盖投标人公章）。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9</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单位负责人为同一人或者存在直接控股、管理关系的不同供应商，不得参加同一合同项下的政府采购活动（提供《投标人资格声明函》，并加盖投标人公章，采购代理机构将通过国家企业信用信息公示系统（https://www.gsxt.gov.cn/index.html）或机关赋码和事业单位登记管理网（http://www.gjsy.gov.cn/sydwfrxxcx/）或全国社会组织信用信息公示平台（https://xxgs.chinanpo.mca.gov.cn/gsxt/newList）网站查询投标人信息，并做好信用信息查询记录和证据留存，信用信息查询记录及相关证据将与其他采购文件一并保存，相关信息以截标当日的查询结果为准）。</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10</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为采购项目提供整体设计、规范编制或者项目管理、监理、检测等服务的供应商，不得再参加该采购项目的其他采购活动（提供《投标人资格声明函》，并加盖投标人公章）。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11</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参与本项目政府采购活动不存在与其他采购参加人串通投标，隐瞒真实情况，提供虚假资料等违法违规情形（提供《投标人资格声明函》，并加盖投标人公章）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12</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本项目不接受联合体形式进行投标，不允许转包及分包。</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bl>
    <w:p>
      <w:pPr>
        <w:tabs>
          <w:tab w:val="clear" w:pos="426"/>
        </w:tabs>
        <w:spacing w:line="240" w:lineRule="auto"/>
        <w:rPr>
          <w:rFonts w:ascii="Times New Roman" w:hAnsi="Times New Roman" w:cs="Times New Roman"/>
          <w:bCs/>
        </w:rPr>
      </w:pPr>
      <w:r>
        <w:rPr>
          <w:rFonts w:ascii="Times New Roman" w:hAnsi="Times New Roman" w:cs="Times New Roman"/>
          <w:bCs/>
        </w:rPr>
        <w:t>备注：</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资格条款</w:t>
      </w:r>
      <w:r>
        <w:rPr>
          <w:rFonts w:ascii="Times New Roman" w:hAnsi="Times New Roman" w:cs="Times New Roman"/>
          <w:bCs/>
        </w:rPr>
        <w:t>”一栏应填写招标文件</w:t>
      </w:r>
      <w:r>
        <w:rPr>
          <w:rFonts w:hint="eastAsia" w:ascii="Times New Roman" w:hAnsi="Times New Roman" w:cs="Times New Roman"/>
          <w:bCs/>
        </w:rPr>
        <w:t xml:space="preserve">第一册 </w:t>
      </w:r>
      <w:r>
        <w:rPr>
          <w:rFonts w:ascii="Times New Roman" w:hAnsi="Times New Roman" w:cs="Times New Roman"/>
          <w:bCs/>
        </w:rPr>
        <w:t>第</w:t>
      </w:r>
      <w:r>
        <w:rPr>
          <w:rFonts w:hint="eastAsia" w:ascii="Times New Roman" w:hAnsi="Times New Roman" w:cs="Times New Roman"/>
          <w:bCs/>
        </w:rPr>
        <w:t>一</w:t>
      </w:r>
      <w:r>
        <w:rPr>
          <w:rFonts w:ascii="Times New Roman" w:hAnsi="Times New Roman" w:cs="Times New Roman"/>
          <w:bCs/>
        </w:rPr>
        <w:t>章“</w:t>
      </w:r>
      <w:r>
        <w:rPr>
          <w:rFonts w:hint="eastAsia" w:ascii="Times New Roman" w:hAnsi="Times New Roman" w:cs="Times New Roman"/>
          <w:bCs/>
        </w:rPr>
        <w:t>二、申请人的资格要求</w:t>
      </w:r>
      <w:r>
        <w:rPr>
          <w:rFonts w:ascii="Times New Roman" w:hAnsi="Times New Roman" w:cs="Times New Roman"/>
          <w:bCs/>
        </w:rPr>
        <w:t>”的内容；</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响应情况</w:t>
      </w:r>
      <w:r>
        <w:rPr>
          <w:rFonts w:ascii="Times New Roman" w:hAnsi="Times New Roman" w:cs="Times New Roman"/>
          <w:bCs/>
        </w:rPr>
        <w:t>”一栏必须</w:t>
      </w:r>
      <w:r>
        <w:rPr>
          <w:rFonts w:hint="eastAsia" w:ascii="Times New Roman" w:hAnsi="Times New Roman" w:cs="Times New Roman"/>
          <w:bCs/>
        </w:rPr>
        <w:t>如实填写投标人自身情况</w:t>
      </w:r>
      <w:r>
        <w:rPr>
          <w:rFonts w:ascii="Times New Roman" w:hAnsi="Times New Roman" w:cs="Times New Roman"/>
          <w:bCs/>
        </w:rPr>
        <w:t>，并应对照</w:t>
      </w:r>
      <w:r>
        <w:rPr>
          <w:rFonts w:hint="eastAsia" w:ascii="Times New Roman" w:hAnsi="Times New Roman" w:cs="Times New Roman"/>
          <w:bCs/>
        </w:rPr>
        <w:t>资格条款</w:t>
      </w:r>
      <w:r>
        <w:rPr>
          <w:rFonts w:ascii="Times New Roman" w:hAnsi="Times New Roman" w:cs="Times New Roman"/>
          <w:bCs/>
        </w:rPr>
        <w:t>一一对应响应；</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w:t>
      </w:r>
      <w:r>
        <w:rPr>
          <w:rFonts w:ascii="Times New Roman" w:hAnsi="Times New Roman" w:cs="Times New Roman"/>
          <w:bCs/>
        </w:rPr>
        <w:t>“偏离情况”一栏应如实填写“正偏离”、“负偏离”或“无偏离”</w:t>
      </w:r>
      <w:r>
        <w:rPr>
          <w:rFonts w:hint="eastAsia" w:ascii="Times New Roman" w:hAnsi="Times New Roman" w:cs="Times New Roman"/>
          <w:bCs/>
        </w:rPr>
        <w:t>，</w:t>
      </w:r>
      <w:r>
        <w:rPr>
          <w:rFonts w:ascii="Times New Roman" w:hAnsi="Times New Roman" w:cs="Times New Roman"/>
          <w:bCs/>
        </w:rPr>
        <w:t>负偏离视为未实质性满足招标文件要求作投标无效处理。</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bCs/>
        </w:rPr>
        <w:t>“说明”</w:t>
      </w:r>
      <w:r>
        <w:rPr>
          <w:rFonts w:ascii="Times New Roman" w:hAnsi="Times New Roman" w:cs="Times New Roman"/>
          <w:bCs/>
        </w:rPr>
        <w:t>一栏</w:t>
      </w:r>
      <w:r>
        <w:rPr>
          <w:rFonts w:hint="eastAsia" w:ascii="Times New Roman" w:hAnsi="Times New Roman" w:cs="Times New Roman"/>
          <w:bCs/>
        </w:rPr>
        <w:t>填写所要求的证明材料（如有）的对应页码或阐明其他补充内容。</w:t>
      </w:r>
    </w:p>
    <w:p>
      <w:pPr>
        <w:tabs>
          <w:tab w:val="clear" w:pos="426"/>
        </w:tabs>
        <w:spacing w:line="240" w:lineRule="auto"/>
        <w:ind w:firstLine="424" w:firstLineChars="202"/>
        <w:rPr>
          <w:rFonts w:ascii="Times New Roman" w:hAnsi="Times New Roman" w:cs="Times New Roman"/>
          <w:bCs/>
        </w:rPr>
      </w:pPr>
      <w:r>
        <w:rPr>
          <w:rFonts w:hint="eastAsia" w:ascii="Times New Roman" w:hAnsi="Times New Roman" w:cs="Times New Roman"/>
          <w:bCs/>
        </w:rPr>
        <w:t>5.投标人所填写的“偏离情况”与评审委员会判定不一致时，以评审委员会意见为主。</w:t>
      </w:r>
    </w:p>
    <w:p>
      <w:pPr>
        <w:rPr>
          <w:rFonts w:hint="eastAsia"/>
        </w:rPr>
      </w:pPr>
    </w:p>
    <w:p>
      <w:pPr>
        <w:rPr>
          <w:rFonts w:hint="eastAsia"/>
        </w:rPr>
      </w:pPr>
      <w:r>
        <w:rPr>
          <w:rFonts w:hint="eastAsia"/>
        </w:rPr>
        <w:br w:type="page"/>
      </w:r>
    </w:p>
    <w:p>
      <w:pPr>
        <w:adjustRightInd/>
        <w:snapToGrid/>
        <w:spacing w:before="280" w:after="290" w:line="377" w:lineRule="auto"/>
        <w:outlineLvl w:val="2"/>
        <w:rPr>
          <w:rFonts w:hint="eastAsia"/>
          <w:b/>
          <w:sz w:val="24"/>
        </w:rPr>
      </w:pPr>
      <w:bookmarkStart w:id="124" w:name="_Toc3927"/>
      <w:r>
        <w:rPr>
          <w:rFonts w:hint="eastAsia"/>
          <w:b/>
          <w:sz w:val="24"/>
        </w:rPr>
        <w:t>格式5：法人或者其他组织的营业执照等证明文件</w:t>
      </w:r>
      <w:bookmarkEnd w:id="124"/>
    </w:p>
    <w:p>
      <w:pPr>
        <w:tabs>
          <w:tab w:val="clear" w:pos="426"/>
        </w:tabs>
        <w:spacing w:before="231" w:beforeLines="50"/>
        <w:ind w:firstLine="424" w:firstLineChars="201"/>
        <w:rPr>
          <w:rFonts w:hint="eastAsia"/>
          <w:b/>
        </w:rPr>
      </w:pPr>
      <w:r>
        <w:rPr>
          <w:rFonts w:hint="eastAsia"/>
          <w:b/>
        </w:rPr>
        <w:t>投标人须按本招标文件第一章投标邀请 “申请人的资格要求”提供相关的资质证明，且已接受报名的单位，不代表资格审查通过。投标文件中未提供或提供不完整、不符合要求的，投标文件将按无效标的情形处理。</w:t>
      </w:r>
    </w:p>
    <w:p>
      <w:pPr>
        <w:rPr>
          <w:rFonts w:hint="eastAsia"/>
          <w:b/>
          <w:sz w:val="24"/>
        </w:rPr>
      </w:pPr>
      <w:bookmarkStart w:id="125" w:name="_Toc151386165"/>
      <w:bookmarkStart w:id="126" w:name="_Toc150960255"/>
      <w:r>
        <w:rPr>
          <w:rFonts w:hint="eastAsia"/>
          <w:b/>
          <w:sz w:val="24"/>
        </w:rPr>
        <w:br w:type="page"/>
      </w:r>
    </w:p>
    <w:p>
      <w:pPr>
        <w:adjustRightInd/>
        <w:snapToGrid/>
        <w:spacing w:before="280" w:after="290" w:line="377" w:lineRule="auto"/>
        <w:outlineLvl w:val="2"/>
        <w:rPr>
          <w:rFonts w:hint="eastAsia"/>
          <w:b/>
          <w:sz w:val="24"/>
        </w:rPr>
      </w:pPr>
      <w:bookmarkStart w:id="127" w:name="_Toc21226"/>
      <w:r>
        <w:rPr>
          <w:rFonts w:hint="eastAsia"/>
          <w:b/>
          <w:sz w:val="24"/>
        </w:rPr>
        <w:t>格式6：投标人资格声明函</w:t>
      </w:r>
      <w:bookmarkEnd w:id="127"/>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投标人资格声明函</w:t>
      </w:r>
    </w:p>
    <w:p>
      <w:pPr>
        <w:tabs>
          <w:tab w:val="clear" w:pos="426"/>
        </w:tabs>
        <w:rPr>
          <w:rFonts w:hint="eastAsia"/>
        </w:rPr>
      </w:pPr>
    </w:p>
    <w:p>
      <w:pPr>
        <w:tabs>
          <w:tab w:val="clear" w:pos="426"/>
        </w:tabs>
        <w:rPr>
          <w:rFonts w:hint="eastAsia"/>
        </w:rPr>
      </w:pPr>
      <w:r>
        <w:rPr>
          <w:rFonts w:hint="eastAsia"/>
        </w:rPr>
        <w:t>深圳市深水水务咨询有限公司：</w:t>
      </w:r>
    </w:p>
    <w:p>
      <w:pPr>
        <w:ind w:firstLine="424" w:firstLineChars="202"/>
        <w:rPr>
          <w:rFonts w:hAnsi="Times New Roman"/>
        </w:rPr>
      </w:pPr>
      <w:r>
        <w:rPr>
          <w:rFonts w:hint="eastAsia" w:hAnsi="Times New Roman"/>
        </w:rPr>
        <w:t>关于贵公司发布</w:t>
      </w:r>
      <w:r>
        <w:rPr>
          <w:rFonts w:hint="eastAsia" w:hAnsi="Times New Roman"/>
          <w:szCs w:val="21"/>
          <w:u w:val="single"/>
        </w:rPr>
        <w:t>（项目名称</w:t>
      </w:r>
      <w:r>
        <w:rPr>
          <w:rFonts w:hAnsi="Times New Roman"/>
          <w:szCs w:val="21"/>
          <w:u w:val="single"/>
        </w:rPr>
        <w:t>)</w:t>
      </w:r>
      <w:r>
        <w:rPr>
          <w:rFonts w:hint="eastAsia" w:hAnsi="Times New Roman"/>
        </w:rPr>
        <w:t>项目（项目编号：</w:t>
      </w:r>
      <w:r>
        <w:rPr>
          <w:rFonts w:hint="eastAsia" w:hAnsi="Times New Roman"/>
          <w:u w:val="single"/>
        </w:rPr>
        <w:t>（项目编号）</w:t>
      </w:r>
      <w:r>
        <w:rPr>
          <w:rFonts w:hint="eastAsia" w:hAnsi="Times New Roman"/>
        </w:rPr>
        <w:t>）的招标公告，本公司（企业）愿意参加投标，并声明：</w:t>
      </w:r>
    </w:p>
    <w:p>
      <w:pPr>
        <w:ind w:firstLine="424" w:firstLineChars="202"/>
        <w:rPr>
          <w:rFonts w:hAnsi="Times New Roman"/>
        </w:rPr>
      </w:pPr>
      <w:r>
        <w:rPr>
          <w:rFonts w:hint="eastAsia" w:hAnsi="Times New Roman"/>
        </w:rPr>
        <w:t>我单位承诺：</w:t>
      </w:r>
    </w:p>
    <w:p>
      <w:pPr>
        <w:ind w:firstLine="424" w:firstLineChars="202"/>
        <w:rPr>
          <w:rFonts w:hAnsi="Times New Roman"/>
        </w:rPr>
      </w:pPr>
      <w:r>
        <w:rPr>
          <w:rFonts w:hint="eastAsia" w:hAnsi="Times New Roman"/>
        </w:rPr>
        <w:t>1.我单位参与本项目所投标（响应）的货物、工程或服务，不存在侵犯知识产权的情况；已知悉并同意中标（成交）结果信息公示（公开）的内容。</w:t>
      </w:r>
    </w:p>
    <w:p>
      <w:pPr>
        <w:ind w:firstLine="424" w:firstLineChars="202"/>
        <w:rPr>
          <w:rFonts w:hAnsi="Times New Roman"/>
        </w:rPr>
      </w:pPr>
      <w:r>
        <w:rPr>
          <w:rFonts w:hint="eastAsia" w:hAnsi="Times New Roman"/>
        </w:rPr>
        <w:t>2.我单位参与该项目投标，符合招标文件关于联合体及进口产品的相关资格要求。</w:t>
      </w:r>
    </w:p>
    <w:p>
      <w:pPr>
        <w:ind w:firstLine="424" w:firstLineChars="202"/>
        <w:rPr>
          <w:rFonts w:hAnsi="Times New Roman"/>
        </w:rPr>
      </w:pPr>
      <w:r>
        <w:rPr>
          <w:rFonts w:hint="eastAsia" w:hAnsi="Times New Roman"/>
        </w:rPr>
        <w:t>3.我单位参与本项目政府采购活动时不存在被有关部门禁止参与政府采购活动且在有效期内的情况。</w:t>
      </w:r>
    </w:p>
    <w:p>
      <w:pPr>
        <w:ind w:firstLine="424" w:firstLineChars="202"/>
        <w:rPr>
          <w:rFonts w:hAnsi="Times New Roman"/>
        </w:rPr>
      </w:pPr>
      <w:r>
        <w:rPr>
          <w:rFonts w:hint="eastAsia" w:hAnsi="Times New Roman"/>
        </w:rPr>
        <w:t>4</w:t>
      </w:r>
      <w:r>
        <w:rPr>
          <w:rFonts w:hAnsi="Times New Roman"/>
        </w:rPr>
        <w:t>.</w:t>
      </w:r>
      <w:r>
        <w:rPr>
          <w:rFonts w:hint="eastAsia" w:hAnsi="Times New Roman"/>
        </w:rPr>
        <w:t>我单位参与本项目投标前三年内，在经营活动中没有重大违法记录。</w:t>
      </w:r>
    </w:p>
    <w:p>
      <w:pPr>
        <w:ind w:firstLine="424" w:firstLineChars="202"/>
        <w:rPr>
          <w:rFonts w:hAnsi="Times New Roman"/>
        </w:rPr>
      </w:pPr>
      <w:r>
        <w:rPr>
          <w:rFonts w:hAnsi="Times New Roman"/>
        </w:rPr>
        <w:t>5</w:t>
      </w:r>
      <w:r>
        <w:rPr>
          <w:rFonts w:hint="eastAsia" w:hAnsi="Times New Roman"/>
        </w:rPr>
        <w:t>.我单位参与本项目投标近三年内，在经营活动中没有发生重大安全和质量事故。</w:t>
      </w:r>
    </w:p>
    <w:p>
      <w:pPr>
        <w:ind w:firstLine="424" w:firstLineChars="202"/>
        <w:rPr>
          <w:rFonts w:hAnsi="Times New Roman"/>
        </w:rPr>
      </w:pPr>
      <w:r>
        <w:rPr>
          <w:rFonts w:hAnsi="Times New Roman"/>
        </w:rPr>
        <w:t>6.</w:t>
      </w:r>
      <w:r>
        <w:rPr>
          <w:rFonts w:hint="eastAsia" w:hAnsi="Times New Roman"/>
        </w:rPr>
        <w:t>我单位具备《中华人民共和国政府采购法》第二十二条的条件。</w:t>
      </w:r>
    </w:p>
    <w:p>
      <w:pPr>
        <w:ind w:firstLine="424" w:firstLineChars="202"/>
        <w:rPr>
          <w:rFonts w:hAnsi="Times New Roman"/>
        </w:rPr>
      </w:pPr>
      <w:r>
        <w:rPr>
          <w:rFonts w:hAnsi="Times New Roman"/>
        </w:rPr>
        <w:t>7</w:t>
      </w:r>
      <w:r>
        <w:rPr>
          <w:rFonts w:hint="eastAsia" w:hAnsi="Times New Roman"/>
        </w:rPr>
        <w:t>.我单位未被列入失信被执行人、重大税收违法案件当事人名单（重大税收违法失信主体）、政府采购严重违法失信行为记录名单</w:t>
      </w:r>
    </w:p>
    <w:p>
      <w:pPr>
        <w:ind w:firstLine="424" w:firstLineChars="202"/>
        <w:rPr>
          <w:rFonts w:hAnsi="Times New Roman"/>
        </w:rPr>
      </w:pPr>
      <w:r>
        <w:rPr>
          <w:rFonts w:hAnsi="Times New Roman"/>
        </w:rPr>
        <w:t>8</w:t>
      </w:r>
      <w:r>
        <w:rPr>
          <w:rFonts w:hint="eastAsia" w:hAnsi="Times New Roma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4" w:firstLineChars="202"/>
        <w:rPr>
          <w:rFonts w:hAnsi="Times New Roman"/>
        </w:rPr>
      </w:pPr>
      <w:r>
        <w:rPr>
          <w:rFonts w:hAnsi="Times New Roman"/>
        </w:rPr>
        <w:t>9</w:t>
      </w:r>
      <w:r>
        <w:rPr>
          <w:rFonts w:hint="eastAsia" w:hAnsi="Times New Roma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4" w:firstLineChars="202"/>
        <w:rPr>
          <w:rFonts w:hAnsi="Times New Roman"/>
        </w:rPr>
      </w:pPr>
      <w:r>
        <w:rPr>
          <w:rFonts w:hint="eastAsia" w:hAnsi="Times New Roma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4" w:firstLineChars="202"/>
        <w:rPr>
          <w:rFonts w:hAnsi="Times New Roman"/>
        </w:rPr>
      </w:pPr>
      <w:r>
        <w:rPr>
          <w:rFonts w:hAnsi="Times New Roman"/>
        </w:rPr>
        <w:t>10</w:t>
      </w:r>
      <w:r>
        <w:rPr>
          <w:rFonts w:hint="eastAsia" w:hAnsi="Times New Roma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4" w:firstLineChars="202"/>
        <w:rPr>
          <w:rFonts w:hAnsi="Times New Roman"/>
        </w:rPr>
      </w:pPr>
      <w:r>
        <w:rPr>
          <w:rFonts w:hAnsi="Times New Roman"/>
        </w:rPr>
        <w:t>11</w:t>
      </w:r>
      <w:r>
        <w:rPr>
          <w:rFonts w:hint="eastAsia" w:hAnsi="Times New Roman"/>
        </w:rPr>
        <w:t>.我单位承诺中标后项目不转包，未经采购人同意不进行分包。</w:t>
      </w:r>
    </w:p>
    <w:p>
      <w:pPr>
        <w:ind w:firstLine="424" w:firstLineChars="202"/>
        <w:rPr>
          <w:rFonts w:hAnsi="Times New Roman"/>
        </w:rPr>
      </w:pPr>
      <w:r>
        <w:rPr>
          <w:rFonts w:hint="eastAsia" w:hAnsi="Times New Roman"/>
        </w:rPr>
        <w:t>1</w:t>
      </w:r>
      <w:r>
        <w:rPr>
          <w:rFonts w:hAnsi="Times New Roman"/>
        </w:rPr>
        <w:t>2</w:t>
      </w:r>
      <w:r>
        <w:rPr>
          <w:rFonts w:hint="eastAsia" w:hAnsi="Times New Roma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4" w:firstLineChars="202"/>
        <w:rPr>
          <w:rFonts w:hAnsi="Times New Roman"/>
        </w:rPr>
      </w:pPr>
      <w:r>
        <w:rPr>
          <w:rFonts w:hint="eastAsia" w:hAnsi="Times New Roman"/>
        </w:rPr>
        <w:t>1</w:t>
      </w:r>
      <w:r>
        <w:rPr>
          <w:rFonts w:hAnsi="Times New Roman"/>
        </w:rPr>
        <w:t>3</w:t>
      </w:r>
      <w:r>
        <w:rPr>
          <w:rFonts w:hint="eastAsia" w:hAnsi="Times New Roman"/>
        </w:rPr>
        <w:t>.我单位保证，若所投货物涉及《财政部生态环境部关于印发节能产品政府采购品目清单的通知》（财库〔2019〕19号）列明的政府采购强制产品，则所投该产品符合节能产品的认证要求。</w:t>
      </w:r>
    </w:p>
    <w:p>
      <w:pPr>
        <w:ind w:firstLine="424" w:firstLineChars="202"/>
        <w:rPr>
          <w:rFonts w:hAnsi="Times New Roman"/>
        </w:rPr>
      </w:pPr>
      <w:r>
        <w:rPr>
          <w:rFonts w:hint="eastAsia" w:hAnsi="Times New Roman"/>
        </w:rPr>
        <w:t>1</w:t>
      </w:r>
      <w:r>
        <w:rPr>
          <w:rFonts w:hAnsi="Times New Roman"/>
        </w:rPr>
        <w:t>4</w:t>
      </w:r>
      <w:r>
        <w:rPr>
          <w:rFonts w:hint="eastAsia" w:hAnsi="Times New Roman"/>
        </w:rPr>
        <w:t>.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ind w:firstLine="420"/>
        <w:rPr>
          <w:rFonts w:hAnsi="Times New Roman"/>
        </w:rPr>
      </w:pPr>
      <w:r>
        <w:rPr>
          <w:rFonts w:hint="eastAsia" w:hAnsi="Times New Roman"/>
        </w:rPr>
        <w:t>15.我单位保证，参与本项目政府采购活动不存在与其他采购参加人串通投标、隐瞒真实情况、提供虚假资料等违法违规情形。</w:t>
      </w:r>
    </w:p>
    <w:p>
      <w:pPr>
        <w:ind w:firstLine="424" w:firstLineChars="202"/>
        <w:rPr>
          <w:rFonts w:hAnsi="Times New Roman"/>
        </w:rPr>
      </w:pPr>
      <w:r>
        <w:rPr>
          <w:rFonts w:hint="eastAsia" w:hAnsi="Times New Roman"/>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4" w:firstLineChars="202"/>
        <w:rPr>
          <w:rFonts w:hAnsi="Times New Roman"/>
        </w:rPr>
      </w:pPr>
      <w:r>
        <w:rPr>
          <w:rFonts w:hint="eastAsia" w:hAnsi="Times New Roman"/>
        </w:rPr>
        <w:t>以上承诺，如有违反，愿依照国家相关法律处理，并承担由此给采购人带来的损失。</w:t>
      </w:r>
    </w:p>
    <w:p>
      <w:pPr>
        <w:ind w:firstLine="420"/>
        <w:rPr>
          <w:rFonts w:hAnsi="Times New Roman"/>
        </w:rPr>
      </w:pPr>
      <w:r>
        <w:rPr>
          <w:rFonts w:hint="eastAsia" w:hAnsi="Times New Roman"/>
        </w:rPr>
        <w:t>特此声明！</w:t>
      </w:r>
    </w:p>
    <w:p>
      <w:pPr>
        <w:tabs>
          <w:tab w:val="clear" w:pos="426"/>
        </w:tabs>
        <w:ind w:firstLine="420"/>
        <w:rPr>
          <w:rFonts w:hint="eastAsia"/>
        </w:rPr>
      </w:pPr>
    </w:p>
    <w:p>
      <w:pPr>
        <w:tabs>
          <w:tab w:val="clear" w:pos="426"/>
        </w:tabs>
        <w:ind w:firstLine="420"/>
        <w:rPr>
          <w:rFonts w:hint="eastAsia"/>
          <w:u w:val="single"/>
        </w:rPr>
      </w:pPr>
      <w:r>
        <w:rPr>
          <w:rFonts w:hint="eastAsia"/>
        </w:rPr>
        <w:t>单位名称：</w:t>
      </w:r>
      <w:r>
        <w:rPr>
          <w:rFonts w:hint="eastAsia"/>
          <w:u w:val="single"/>
        </w:rPr>
        <w:t>_____________________________________________________________</w:t>
      </w:r>
    </w:p>
    <w:p>
      <w:pPr>
        <w:tabs>
          <w:tab w:val="clear" w:pos="426"/>
        </w:tabs>
        <w:ind w:firstLine="420"/>
        <w:rPr>
          <w:rFonts w:hint="eastAsia"/>
          <w:u w:val="single"/>
        </w:rPr>
      </w:pPr>
      <w:r>
        <w:rPr>
          <w:rFonts w:hint="eastAsia"/>
        </w:rPr>
        <w:t>法定代表人或投标人授权代表（签字或盖章）：</w:t>
      </w:r>
      <w:r>
        <w:rPr>
          <w:rFonts w:hint="eastAsia"/>
          <w:u w:val="single"/>
        </w:rPr>
        <w:t>_____________________________</w:t>
      </w:r>
    </w:p>
    <w:p>
      <w:pPr>
        <w:tabs>
          <w:tab w:val="clear" w:pos="426"/>
        </w:tabs>
        <w:ind w:firstLine="420"/>
        <w:rPr>
          <w:rFonts w:hint="eastAsia"/>
          <w:u w:val="single"/>
        </w:rPr>
      </w:pPr>
      <w:r>
        <w:rPr>
          <w:rFonts w:hint="eastAsia"/>
        </w:rPr>
        <w:t>单位地址：</w:t>
      </w:r>
      <w:r>
        <w:rPr>
          <w:rFonts w:hint="eastAsia"/>
          <w:u w:val="single"/>
        </w:rPr>
        <w:t>_____________________________________________________________</w:t>
      </w:r>
    </w:p>
    <w:p>
      <w:pPr>
        <w:tabs>
          <w:tab w:val="clear" w:pos="426"/>
        </w:tabs>
        <w:ind w:firstLine="420"/>
        <w:rPr>
          <w:rFonts w:hint="eastAsia"/>
          <w:u w:val="single"/>
        </w:rPr>
      </w:pPr>
      <w:r>
        <w:rPr>
          <w:rFonts w:hint="eastAsia"/>
        </w:rPr>
        <w:t>单位公章：</w:t>
      </w:r>
      <w:r>
        <w:rPr>
          <w:rFonts w:hint="eastAsia"/>
          <w:u w:val="single"/>
        </w:rPr>
        <w:t>_____________________________________________________________</w:t>
      </w:r>
    </w:p>
    <w:p>
      <w:pPr>
        <w:tabs>
          <w:tab w:val="clear" w:pos="426"/>
        </w:tabs>
        <w:ind w:firstLine="420"/>
        <w:rPr>
          <w:rFonts w:hint="eastAsia"/>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pPr>
        <w:tabs>
          <w:tab w:val="clear" w:pos="426"/>
        </w:tabs>
        <w:ind w:firstLine="420" w:firstLineChars="200"/>
        <w:rPr>
          <w:rFonts w:hint="eastAsia"/>
          <w:u w:val="single"/>
        </w:rPr>
      </w:pPr>
      <w:r>
        <w:rPr>
          <w:rFonts w:hint="eastAsia"/>
        </w:rPr>
        <w:t>联系电话：</w:t>
      </w:r>
      <w:r>
        <w:rPr>
          <w:rFonts w:hint="eastAsia"/>
          <w:u w:val="single"/>
        </w:rPr>
        <w:t>_____________________________________________________________</w:t>
      </w:r>
    </w:p>
    <w:p>
      <w:pPr>
        <w:rPr>
          <w:rFonts w:hint="eastAsia"/>
        </w:rPr>
      </w:pPr>
    </w:p>
    <w:p>
      <w:pPr>
        <w:rPr>
          <w:rFonts w:hint="eastAsia"/>
          <w:b/>
          <w:sz w:val="24"/>
        </w:rPr>
      </w:pPr>
      <w:r>
        <w:rPr>
          <w:rFonts w:hint="eastAsia"/>
          <w:b/>
          <w:sz w:val="24"/>
        </w:rPr>
        <w:br w:type="page"/>
      </w:r>
    </w:p>
    <w:p>
      <w:pPr>
        <w:adjustRightInd/>
        <w:snapToGrid/>
        <w:spacing w:before="280" w:after="290" w:line="377" w:lineRule="auto"/>
        <w:outlineLvl w:val="2"/>
        <w:rPr>
          <w:rFonts w:hint="eastAsia"/>
          <w:b/>
          <w:sz w:val="24"/>
        </w:rPr>
      </w:pPr>
      <w:bookmarkStart w:id="128" w:name="_Toc21325"/>
      <w:r>
        <w:rPr>
          <w:rFonts w:hint="eastAsia"/>
          <w:b/>
          <w:sz w:val="24"/>
        </w:rPr>
        <w:t>格式7：开标一览表</w:t>
      </w:r>
      <w:bookmarkEnd w:id="125"/>
      <w:bookmarkEnd w:id="126"/>
      <w:bookmarkEnd w:id="128"/>
    </w:p>
    <w:p>
      <w:pPr>
        <w:widowControl w:val="0"/>
        <w:shd w:val="clear" w:color="auto" w:fill="auto"/>
        <w:tabs>
          <w:tab w:val="clear" w:pos="426"/>
        </w:tabs>
        <w:adjustRightInd/>
        <w:snapToGrid/>
        <w:spacing w:line="300" w:lineRule="auto"/>
        <w:jc w:val="center"/>
        <w:rPr>
          <w:rFonts w:hint="eastAsia" w:cs="Times New Roman"/>
          <w:bCs/>
          <w:kern w:val="2"/>
          <w:sz w:val="32"/>
          <w:szCs w:val="32"/>
        </w:rPr>
      </w:pPr>
      <w:bookmarkStart w:id="129" w:name="_Toc480754208"/>
      <w:bookmarkStart w:id="130" w:name="_Toc480789479"/>
      <w:bookmarkStart w:id="131" w:name="_Toc480755929"/>
      <w:bookmarkStart w:id="132" w:name="_Toc480756075"/>
      <w:r>
        <w:rPr>
          <w:rFonts w:hint="eastAsia" w:cs="Times New Roman"/>
          <w:bCs/>
          <w:kern w:val="2"/>
          <w:sz w:val="32"/>
          <w:szCs w:val="32"/>
        </w:rPr>
        <w:t>开标一览表</w:t>
      </w:r>
      <w:bookmarkEnd w:id="129"/>
      <w:bookmarkEnd w:id="130"/>
      <w:bookmarkEnd w:id="131"/>
      <w:bookmarkEnd w:id="132"/>
    </w:p>
    <w:p>
      <w:pPr>
        <w:tabs>
          <w:tab w:val="clear" w:pos="426"/>
        </w:tabs>
        <w:jc w:val="left"/>
        <w:rPr>
          <w:rFonts w:hint="eastAsia"/>
        </w:rPr>
      </w:pPr>
    </w:p>
    <w:p>
      <w:pPr>
        <w:tabs>
          <w:tab w:val="clear" w:pos="426"/>
        </w:tabs>
        <w:jc w:val="left"/>
        <w:rPr>
          <w:rFonts w:hint="eastAsia"/>
          <w:u w:val="single"/>
        </w:rPr>
      </w:pPr>
      <w:r>
        <w:rPr>
          <w:rFonts w:hint="eastAsia"/>
        </w:rPr>
        <w:t>项目名称：</w:t>
      </w:r>
      <w:r>
        <w:rPr>
          <w:rFonts w:hint="eastAsia"/>
          <w:u w:val="single"/>
        </w:rPr>
        <w:t>__________________________________________</w:t>
      </w:r>
      <w:r>
        <w:rPr>
          <w:rFonts w:hint="eastAsia"/>
        </w:rPr>
        <w:t>项目编号：</w:t>
      </w:r>
      <w:r>
        <w:rPr>
          <w:rFonts w:hint="eastAsia"/>
          <w:u w:val="single"/>
        </w:rPr>
        <w:t>_________________________</w:t>
      </w:r>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204"/>
        <w:gridCol w:w="4080"/>
        <w:gridCol w:w="2633"/>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1" w:type="pct"/>
            <w:vAlign w:val="center"/>
          </w:tcPr>
          <w:p>
            <w:pPr>
              <w:jc w:val="center"/>
              <w:rPr>
                <w:rFonts w:hint="eastAsia"/>
                <w:b/>
                <w:szCs w:val="21"/>
              </w:rPr>
            </w:pPr>
            <w:r>
              <w:rPr>
                <w:rFonts w:hint="eastAsia"/>
                <w:b/>
                <w:szCs w:val="21"/>
              </w:rPr>
              <w:t>序号</w:t>
            </w:r>
          </w:p>
        </w:tc>
        <w:tc>
          <w:tcPr>
            <w:tcW w:w="629" w:type="pct"/>
            <w:vAlign w:val="center"/>
          </w:tcPr>
          <w:p>
            <w:pPr>
              <w:jc w:val="center"/>
              <w:rPr>
                <w:rFonts w:hint="eastAsia"/>
                <w:b/>
                <w:szCs w:val="21"/>
              </w:rPr>
            </w:pPr>
            <w:r>
              <w:rPr>
                <w:rFonts w:hint="eastAsia"/>
                <w:b/>
                <w:szCs w:val="21"/>
              </w:rPr>
              <w:t>包号</w:t>
            </w:r>
          </w:p>
        </w:tc>
        <w:tc>
          <w:tcPr>
            <w:tcW w:w="2131" w:type="pct"/>
            <w:vAlign w:val="center"/>
          </w:tcPr>
          <w:p>
            <w:pPr>
              <w:jc w:val="center"/>
              <w:rPr>
                <w:rFonts w:hint="eastAsia"/>
                <w:b/>
                <w:szCs w:val="21"/>
              </w:rPr>
            </w:pPr>
            <w:r>
              <w:rPr>
                <w:rFonts w:hint="eastAsia"/>
                <w:b/>
                <w:szCs w:val="21"/>
              </w:rPr>
              <w:t>项目名称</w:t>
            </w:r>
          </w:p>
        </w:tc>
        <w:tc>
          <w:tcPr>
            <w:tcW w:w="1375" w:type="pct"/>
            <w:vAlign w:val="center"/>
          </w:tcPr>
          <w:p>
            <w:pPr>
              <w:jc w:val="center"/>
              <w:rPr>
                <w:rFonts w:hint="eastAsia"/>
                <w:b/>
                <w:szCs w:val="21"/>
              </w:rPr>
            </w:pPr>
            <w:r>
              <w:rPr>
                <w:rFonts w:hint="eastAsia"/>
                <w:b/>
                <w:szCs w:val="21"/>
              </w:rPr>
              <w:t>投标总价（元）</w:t>
            </w:r>
          </w:p>
        </w:tc>
        <w:tc>
          <w:tcPr>
            <w:tcW w:w="462" w:type="pct"/>
            <w:vAlign w:val="center"/>
          </w:tcPr>
          <w:p>
            <w:pPr>
              <w:jc w:val="center"/>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01" w:type="pct"/>
            <w:vAlign w:val="center"/>
          </w:tcPr>
          <w:p>
            <w:pPr>
              <w:jc w:val="center"/>
              <w:rPr>
                <w:rFonts w:hint="eastAsia"/>
                <w:bCs/>
                <w:szCs w:val="21"/>
              </w:rPr>
            </w:pPr>
          </w:p>
        </w:tc>
        <w:tc>
          <w:tcPr>
            <w:tcW w:w="629" w:type="pct"/>
            <w:vAlign w:val="center"/>
          </w:tcPr>
          <w:p>
            <w:pPr>
              <w:jc w:val="center"/>
              <w:rPr>
                <w:rFonts w:hint="eastAsia"/>
                <w:b/>
                <w:szCs w:val="21"/>
              </w:rPr>
            </w:pPr>
          </w:p>
        </w:tc>
        <w:tc>
          <w:tcPr>
            <w:tcW w:w="2131" w:type="pct"/>
            <w:vAlign w:val="center"/>
          </w:tcPr>
          <w:p>
            <w:pPr>
              <w:jc w:val="center"/>
              <w:rPr>
                <w:rFonts w:hint="eastAsia"/>
                <w:b/>
                <w:szCs w:val="21"/>
              </w:rPr>
            </w:pPr>
          </w:p>
        </w:tc>
        <w:tc>
          <w:tcPr>
            <w:tcW w:w="1375" w:type="pct"/>
            <w:vAlign w:val="center"/>
          </w:tcPr>
          <w:p>
            <w:pPr>
              <w:jc w:val="left"/>
              <w:rPr>
                <w:rFonts w:hint="eastAsia"/>
                <w:b/>
                <w:szCs w:val="21"/>
              </w:rPr>
            </w:pPr>
            <w:r>
              <w:rPr>
                <w:rFonts w:hint="eastAsia"/>
                <w:b/>
                <w:szCs w:val="21"/>
              </w:rPr>
              <w:t>大写：</w:t>
            </w:r>
          </w:p>
          <w:p>
            <w:pPr>
              <w:jc w:val="left"/>
              <w:rPr>
                <w:rFonts w:hint="eastAsia"/>
                <w:b/>
                <w:szCs w:val="21"/>
              </w:rPr>
            </w:pPr>
            <w:r>
              <w:rPr>
                <w:rFonts w:hint="eastAsia"/>
                <w:b/>
                <w:szCs w:val="21"/>
              </w:rPr>
              <w:t>小写：</w:t>
            </w:r>
          </w:p>
        </w:tc>
        <w:tc>
          <w:tcPr>
            <w:tcW w:w="462" w:type="pct"/>
            <w:vAlign w:val="center"/>
          </w:tcPr>
          <w:p>
            <w:pPr>
              <w:jc w:val="center"/>
              <w:rPr>
                <w:rFonts w:hint="eastAsia"/>
                <w:b/>
                <w:szCs w:val="21"/>
              </w:rPr>
            </w:pPr>
          </w:p>
        </w:tc>
      </w:tr>
    </w:tbl>
    <w:p>
      <w:pPr>
        <w:tabs>
          <w:tab w:val="clear" w:pos="426"/>
        </w:tabs>
        <w:jc w:val="left"/>
        <w:rPr>
          <w:rFonts w:hint="eastAsia"/>
          <w:u w:val="single"/>
        </w:rPr>
      </w:pPr>
    </w:p>
    <w:p>
      <w:pPr>
        <w:tabs>
          <w:tab w:val="clear" w:pos="426"/>
        </w:tabs>
        <w:spacing w:line="500" w:lineRule="exact"/>
        <w:rPr>
          <w:rFonts w:hint="eastAsia"/>
          <w:spacing w:val="4"/>
        </w:rPr>
      </w:pPr>
    </w:p>
    <w:p>
      <w:pPr>
        <w:tabs>
          <w:tab w:val="clear" w:pos="426"/>
        </w:tabs>
        <w:spacing w:line="500" w:lineRule="exact"/>
        <w:rPr>
          <w:rFonts w:hint="eastAsia"/>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pPr>
        <w:tabs>
          <w:tab w:val="clear" w:pos="426"/>
        </w:tabs>
        <w:spacing w:line="520" w:lineRule="exact"/>
        <w:rPr>
          <w:rFonts w:hint="eastAsia"/>
          <w:spacing w:val="4"/>
        </w:rPr>
      </w:pPr>
      <w:r>
        <w:rPr>
          <w:rFonts w:hint="eastAsia"/>
        </w:rPr>
        <w:t>法定代表人或投标人授权代表（签字或盖章）：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pPr>
        <w:tabs>
          <w:tab w:val="clear" w:pos="426"/>
        </w:tabs>
        <w:spacing w:line="400" w:lineRule="exact"/>
        <w:rPr>
          <w:rFonts w:hint="eastAsia"/>
          <w:b/>
          <w:bCs/>
          <w:szCs w:val="21"/>
        </w:rPr>
      </w:pPr>
    </w:p>
    <w:p>
      <w:pPr>
        <w:tabs>
          <w:tab w:val="clear" w:pos="426"/>
        </w:tabs>
        <w:spacing w:line="400" w:lineRule="exact"/>
        <w:rPr>
          <w:rFonts w:hint="eastAsia"/>
          <w:b/>
          <w:bCs/>
          <w:szCs w:val="21"/>
        </w:rPr>
      </w:pPr>
      <w:r>
        <w:rPr>
          <w:rFonts w:hint="eastAsia"/>
          <w:b/>
          <w:bCs/>
          <w:szCs w:val="21"/>
        </w:rPr>
        <w:t>备注：</w:t>
      </w:r>
    </w:p>
    <w:p>
      <w:pPr>
        <w:numPr>
          <w:ilvl w:val="1"/>
          <w:numId w:val="6"/>
        </w:numPr>
        <w:tabs>
          <w:tab w:val="left" w:pos="0"/>
        </w:tabs>
        <w:ind w:left="0" w:firstLine="424" w:firstLineChars="201"/>
        <w:rPr>
          <w:rFonts w:hAnsi="Times New Roman"/>
          <w:b/>
          <w:bCs/>
          <w:szCs w:val="21"/>
        </w:rPr>
      </w:pPr>
      <w:r>
        <w:rPr>
          <w:rFonts w:hAnsi="Times New Roman"/>
          <w:b/>
        </w:rPr>
        <w:t>此表</w:t>
      </w:r>
      <w:r>
        <w:rPr>
          <w:rFonts w:hint="eastAsia" w:hAnsi="Times New Roman"/>
          <w:b/>
        </w:rPr>
        <w:t>为投标文件的组成部分，</w:t>
      </w:r>
      <w:r>
        <w:rPr>
          <w:rFonts w:hAnsi="Times New Roman"/>
          <w:b/>
        </w:rPr>
        <w:t>须附在正、副本的投标文件中，并另封装一份于开标信封中</w:t>
      </w:r>
      <w:r>
        <w:rPr>
          <w:rFonts w:hint="eastAsia" w:hAnsi="Times New Roman"/>
          <w:b/>
        </w:rPr>
        <w:t>（信封中须同时提供法定代表人（单位负责人）证明书、授权委托书、被授权人身份证复印件）。</w:t>
      </w:r>
    </w:p>
    <w:p>
      <w:pPr>
        <w:numPr>
          <w:ilvl w:val="1"/>
          <w:numId w:val="6"/>
        </w:numPr>
        <w:tabs>
          <w:tab w:val="left" w:pos="0"/>
        </w:tabs>
        <w:ind w:left="0" w:firstLine="424" w:firstLineChars="201"/>
        <w:rPr>
          <w:rFonts w:hAnsi="Times New Roman"/>
          <w:b/>
          <w:bCs/>
          <w:szCs w:val="21"/>
        </w:rPr>
      </w:pPr>
      <w:r>
        <w:rPr>
          <w:rFonts w:hint="eastAsia" w:hAnsi="Times New Roman"/>
          <w:b/>
        </w:rPr>
        <w:t>此表内投标报价为最终价，开标信封及投标文件内不得含有任何对本报价进行修改的其他说明或资料，否则为无效投标</w:t>
      </w:r>
      <w:r>
        <w:rPr>
          <w:rFonts w:hint="eastAsia" w:hAnsi="Times New Roman"/>
          <w:b/>
          <w:bCs/>
          <w:szCs w:val="21"/>
        </w:rPr>
        <w:t>。</w:t>
      </w:r>
    </w:p>
    <w:p>
      <w:pPr>
        <w:numPr>
          <w:ilvl w:val="1"/>
          <w:numId w:val="6"/>
        </w:numPr>
        <w:tabs>
          <w:tab w:val="left" w:pos="0"/>
        </w:tabs>
        <w:ind w:left="0" w:firstLine="424" w:firstLineChars="201"/>
        <w:rPr>
          <w:rFonts w:hAnsi="Times New Roman"/>
          <w:b/>
        </w:rPr>
      </w:pPr>
      <w:r>
        <w:rPr>
          <w:rFonts w:hint="eastAsia" w:hAnsi="Times New Roman"/>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numPr>
          <w:ilvl w:val="1"/>
          <w:numId w:val="6"/>
        </w:numPr>
        <w:tabs>
          <w:tab w:val="left" w:pos="0"/>
        </w:tabs>
        <w:ind w:left="0" w:firstLine="424" w:firstLineChars="201"/>
        <w:rPr>
          <w:rFonts w:hAnsi="Times New Roman"/>
          <w:b/>
        </w:rPr>
      </w:pPr>
      <w:r>
        <w:rPr>
          <w:rFonts w:hint="eastAsia" w:hAnsi="Times New Roman"/>
          <w:b/>
        </w:rPr>
        <w:t>投标报价得分四舍五入后，小数点后保留两位有效数。</w:t>
      </w: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adjustRightInd/>
        <w:snapToGrid/>
        <w:spacing w:before="280" w:after="290" w:line="377" w:lineRule="auto"/>
        <w:outlineLvl w:val="2"/>
        <w:rPr>
          <w:rFonts w:hint="eastAsia"/>
          <w:b/>
          <w:sz w:val="24"/>
        </w:rPr>
      </w:pPr>
      <w:r>
        <w:rPr>
          <w:b/>
        </w:rPr>
        <w:br w:type="page"/>
      </w:r>
      <w:bookmarkStart w:id="133" w:name="_Toc23484"/>
      <w:r>
        <w:rPr>
          <w:rFonts w:hint="eastAsia"/>
          <w:b/>
          <w:sz w:val="24"/>
        </w:rPr>
        <w:t>格式8：投标分项报价表</w:t>
      </w:r>
      <w:bookmarkEnd w:id="133"/>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（一）项目报价表</w:t>
      </w:r>
    </w:p>
    <w:p>
      <w:pPr>
        <w:tabs>
          <w:tab w:val="clear" w:pos="426"/>
        </w:tabs>
        <w:wordWrap w:val="0"/>
        <w:rPr>
          <w:rFonts w:hint="eastAsia"/>
        </w:rPr>
      </w:pPr>
      <w:r>
        <w:rPr>
          <w:rFonts w:hint="eastAsia"/>
        </w:rPr>
        <w:t>项目名称：</w:t>
      </w:r>
      <w:r>
        <w:rPr>
          <w:rFonts w:hint="eastAsia"/>
          <w:u w:val="single"/>
        </w:rPr>
        <w:t>_____________________________________</w:t>
      </w:r>
      <w:r>
        <w:rPr>
          <w:rFonts w:hint="eastAsia"/>
        </w:rPr>
        <w:t>项目编号：</w:t>
      </w:r>
      <w:r>
        <w:rPr>
          <w:rFonts w:hint="eastAsia" w:ascii="ˎ̥" w:hAnsi="ˎ̥"/>
          <w:sz w:val="18"/>
          <w:szCs w:val="18"/>
          <w:u w:val="single"/>
        </w:rPr>
        <w:t>________________________________</w:t>
      </w:r>
    </w:p>
    <w:tbl>
      <w:tblPr>
        <w:tblStyle w:val="8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7"/>
        <w:gridCol w:w="1417"/>
        <w:gridCol w:w="851"/>
        <w:gridCol w:w="992"/>
        <w:gridCol w:w="709"/>
        <w:gridCol w:w="737"/>
        <w:gridCol w:w="1057"/>
        <w:gridCol w:w="1276"/>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Cs w:val="21"/>
              </w:rPr>
            </w:pPr>
            <w:r>
              <w:rPr>
                <w:rFonts w:hint="eastAsia"/>
                <w:szCs w:val="21"/>
              </w:rPr>
              <w:t>序号</w:t>
            </w:r>
          </w:p>
        </w:tc>
        <w:tc>
          <w:tcPr>
            <w:tcW w:w="1347" w:type="dxa"/>
            <w:vAlign w:val="center"/>
          </w:tcPr>
          <w:p>
            <w:pPr>
              <w:spacing w:line="240" w:lineRule="auto"/>
              <w:jc w:val="center"/>
              <w:rPr>
                <w:rFonts w:hint="eastAsia"/>
                <w:szCs w:val="21"/>
              </w:rPr>
            </w:pPr>
            <w:r>
              <w:rPr>
                <w:rFonts w:hint="eastAsia"/>
                <w:szCs w:val="21"/>
              </w:rPr>
              <w:t>货物名称</w:t>
            </w:r>
          </w:p>
        </w:tc>
        <w:tc>
          <w:tcPr>
            <w:tcW w:w="1417" w:type="dxa"/>
            <w:vAlign w:val="center"/>
          </w:tcPr>
          <w:p>
            <w:pPr>
              <w:spacing w:line="240" w:lineRule="auto"/>
              <w:jc w:val="center"/>
              <w:rPr>
                <w:rFonts w:hint="eastAsia"/>
                <w:szCs w:val="21"/>
              </w:rPr>
            </w:pPr>
            <w:r>
              <w:rPr>
                <w:rFonts w:hint="eastAsia"/>
                <w:szCs w:val="21"/>
              </w:rPr>
              <w:t>规格/型号</w:t>
            </w:r>
          </w:p>
        </w:tc>
        <w:tc>
          <w:tcPr>
            <w:tcW w:w="851" w:type="dxa"/>
            <w:vAlign w:val="center"/>
          </w:tcPr>
          <w:p>
            <w:pPr>
              <w:spacing w:line="240" w:lineRule="auto"/>
              <w:jc w:val="center"/>
              <w:rPr>
                <w:rFonts w:hint="eastAsia"/>
                <w:b/>
                <w:szCs w:val="21"/>
              </w:rPr>
            </w:pPr>
            <w:r>
              <w:rPr>
                <w:rFonts w:hint="eastAsia"/>
                <w:b/>
                <w:szCs w:val="21"/>
              </w:rPr>
              <w:t>原产地</w:t>
            </w:r>
          </w:p>
        </w:tc>
        <w:tc>
          <w:tcPr>
            <w:tcW w:w="992" w:type="dxa"/>
            <w:vAlign w:val="center"/>
          </w:tcPr>
          <w:p>
            <w:pPr>
              <w:spacing w:line="240" w:lineRule="auto"/>
              <w:jc w:val="center"/>
              <w:rPr>
                <w:rFonts w:hint="eastAsia"/>
                <w:szCs w:val="21"/>
              </w:rPr>
            </w:pPr>
            <w:r>
              <w:rPr>
                <w:rFonts w:hint="eastAsia"/>
                <w:szCs w:val="21"/>
              </w:rPr>
              <w:t>制造商名称</w:t>
            </w:r>
          </w:p>
        </w:tc>
        <w:tc>
          <w:tcPr>
            <w:tcW w:w="709" w:type="dxa"/>
            <w:vAlign w:val="center"/>
          </w:tcPr>
          <w:p>
            <w:pPr>
              <w:spacing w:line="240" w:lineRule="auto"/>
              <w:jc w:val="center"/>
              <w:rPr>
                <w:rFonts w:hint="eastAsia"/>
                <w:szCs w:val="21"/>
              </w:rPr>
            </w:pPr>
            <w:r>
              <w:rPr>
                <w:rFonts w:hint="eastAsia"/>
                <w:szCs w:val="21"/>
              </w:rPr>
              <w:t>数量</w:t>
            </w:r>
          </w:p>
        </w:tc>
        <w:tc>
          <w:tcPr>
            <w:tcW w:w="737" w:type="dxa"/>
            <w:vAlign w:val="center"/>
          </w:tcPr>
          <w:p>
            <w:pPr>
              <w:spacing w:line="240" w:lineRule="auto"/>
              <w:jc w:val="center"/>
              <w:rPr>
                <w:rFonts w:hint="eastAsia"/>
                <w:szCs w:val="21"/>
              </w:rPr>
            </w:pPr>
            <w:r>
              <w:rPr>
                <w:rFonts w:hint="eastAsia"/>
                <w:szCs w:val="21"/>
              </w:rPr>
              <w:t>单位</w:t>
            </w:r>
          </w:p>
        </w:tc>
        <w:tc>
          <w:tcPr>
            <w:tcW w:w="1057" w:type="dxa"/>
            <w:vAlign w:val="center"/>
          </w:tcPr>
          <w:p>
            <w:pPr>
              <w:spacing w:line="240" w:lineRule="auto"/>
              <w:jc w:val="center"/>
              <w:rPr>
                <w:rFonts w:hint="eastAsia"/>
                <w:szCs w:val="21"/>
              </w:rPr>
            </w:pPr>
            <w:r>
              <w:rPr>
                <w:rFonts w:hint="eastAsia"/>
                <w:szCs w:val="21"/>
              </w:rPr>
              <w:t>单价(元)</w:t>
            </w:r>
          </w:p>
        </w:tc>
        <w:tc>
          <w:tcPr>
            <w:tcW w:w="1276" w:type="dxa"/>
            <w:vAlign w:val="center"/>
          </w:tcPr>
          <w:p>
            <w:pPr>
              <w:spacing w:line="240" w:lineRule="auto"/>
              <w:jc w:val="center"/>
              <w:rPr>
                <w:rFonts w:hint="eastAsia"/>
                <w:szCs w:val="21"/>
              </w:rPr>
            </w:pPr>
            <w:r>
              <w:rPr>
                <w:rFonts w:hint="eastAsia"/>
                <w:szCs w:val="21"/>
              </w:rPr>
              <w:t>合价(元)</w:t>
            </w:r>
          </w:p>
        </w:tc>
        <w:tc>
          <w:tcPr>
            <w:tcW w:w="1082" w:type="dxa"/>
            <w:vAlign w:val="center"/>
          </w:tcPr>
          <w:p>
            <w:pPr>
              <w:spacing w:line="240" w:lineRule="auto"/>
              <w:jc w:val="center"/>
              <w:rPr>
                <w:rFonts w:hint="eastAsia"/>
                <w:szCs w:val="21"/>
              </w:rPr>
            </w:pPr>
            <w:r>
              <w:rPr>
                <w:rFonts w:hint="eastAsia"/>
                <w:szCs w:val="21"/>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0" w:type="dxa"/>
            <w:gridSpan w:val="8"/>
            <w:vAlign w:val="center"/>
          </w:tcPr>
          <w:p>
            <w:pPr>
              <w:spacing w:line="240" w:lineRule="auto"/>
              <w:jc w:val="left"/>
              <w:rPr>
                <w:rFonts w:hint="eastAsia"/>
                <w:sz w:val="24"/>
              </w:rPr>
            </w:pPr>
            <w:r>
              <w:rPr>
                <w:rFonts w:hint="eastAsia"/>
                <w:sz w:val="24"/>
              </w:rPr>
              <w:t>合计（即：投标总价；币种：人民币；单位：元）：大写：</w:t>
            </w: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bl>
    <w:p>
      <w:pPr>
        <w:spacing w:line="240" w:lineRule="auto"/>
        <w:rPr>
          <w:rFonts w:hint="eastAsia"/>
          <w:b/>
          <w:sz w:val="24"/>
        </w:rPr>
      </w:pPr>
    </w:p>
    <w:p>
      <w:pPr>
        <w:spacing w:line="240" w:lineRule="auto"/>
        <w:rPr>
          <w:rFonts w:hint="eastAsia"/>
          <w:b/>
          <w:sz w:val="24"/>
        </w:rPr>
      </w:pPr>
      <w:r>
        <w:rPr>
          <w:rFonts w:hint="eastAsia"/>
          <w:b/>
          <w:sz w:val="24"/>
        </w:rPr>
        <w:t>备注：</w:t>
      </w:r>
    </w:p>
    <w:p>
      <w:pPr>
        <w:spacing w:line="240" w:lineRule="auto"/>
        <w:ind w:firstLine="424" w:firstLineChars="176"/>
        <w:rPr>
          <w:rFonts w:hint="eastAsia"/>
          <w:b/>
          <w:sz w:val="24"/>
        </w:rPr>
      </w:pPr>
      <w:r>
        <w:rPr>
          <w:rFonts w:hint="eastAsia"/>
          <w:b/>
          <w:sz w:val="24"/>
        </w:rPr>
        <w:t>1.请根据“第二章</w:t>
      </w:r>
      <w:r>
        <w:rPr>
          <w:b/>
          <w:sz w:val="24"/>
        </w:rPr>
        <w:t xml:space="preserve"> 项目需求” “</w:t>
      </w:r>
      <w:r>
        <w:rPr>
          <w:rFonts w:hint="eastAsia"/>
          <w:b/>
          <w:sz w:val="24"/>
        </w:rPr>
        <w:t>一</w:t>
      </w:r>
      <w:r>
        <w:rPr>
          <w:b/>
          <w:sz w:val="24"/>
        </w:rPr>
        <w:t>、货物清单</w:t>
      </w:r>
      <w:r>
        <w:rPr>
          <w:rFonts w:hint="eastAsia"/>
          <w:b/>
          <w:sz w:val="24"/>
        </w:rPr>
        <w:t>一览表</w:t>
      </w:r>
      <w:r>
        <w:rPr>
          <w:b/>
          <w:sz w:val="24"/>
        </w:rPr>
        <w:t>”填写；本表格式不得修改。</w:t>
      </w:r>
    </w:p>
    <w:p>
      <w:pPr>
        <w:spacing w:line="240" w:lineRule="auto"/>
        <w:ind w:firstLine="424" w:firstLineChars="176"/>
        <w:rPr>
          <w:rFonts w:hint="eastAsia"/>
          <w:b/>
          <w:sz w:val="24"/>
        </w:rPr>
      </w:pPr>
      <w:r>
        <w:rPr>
          <w:rFonts w:hint="eastAsia"/>
          <w:b/>
          <w:sz w:val="24"/>
        </w:rPr>
        <w:t>2</w:t>
      </w:r>
      <w:r>
        <w:rPr>
          <w:b/>
          <w:sz w:val="24"/>
        </w:rPr>
        <w:t>.</w:t>
      </w:r>
      <w:r>
        <w:rPr>
          <w:rFonts w:hint="eastAsia"/>
          <w:b/>
          <w:sz w:val="24"/>
        </w:rPr>
        <w:t>所有价格应按“招标文件”中规定的货币单位填写；投标总价应为以上各分项价格之和；投标单价均不得超过对应的单项限价，否则将导致无效投标。</w:t>
      </w:r>
    </w:p>
    <w:p>
      <w:pPr>
        <w:spacing w:line="240" w:lineRule="auto"/>
        <w:ind w:firstLine="424" w:firstLineChars="176"/>
        <w:rPr>
          <w:rFonts w:hint="eastAsia"/>
          <w:b/>
          <w:sz w:val="24"/>
        </w:rPr>
      </w:pPr>
      <w:r>
        <w:rPr>
          <w:rFonts w:hint="eastAsia"/>
          <w:b/>
          <w:sz w:val="24"/>
        </w:rPr>
        <w:t>3.单价、合价和投标总价为包干价，即三者均应包含设备的价款、包装、运输、装卸、安装、调试、技术指导、培训、咨询、服务、保险、税费、检测、验收合格交付使用之前以及技术和售后服务等其他各项有关费用。</w:t>
      </w:r>
    </w:p>
    <w:p>
      <w:pPr>
        <w:spacing w:line="240" w:lineRule="auto"/>
        <w:ind w:firstLine="424" w:firstLineChars="176"/>
        <w:rPr>
          <w:rFonts w:hint="eastAsia"/>
          <w:b/>
          <w:sz w:val="24"/>
        </w:rPr>
      </w:pPr>
      <w:r>
        <w:rPr>
          <w:rFonts w:hint="eastAsia"/>
          <w:b/>
          <w:sz w:val="24"/>
        </w:rPr>
        <w:t>4.“原产地”是指该产品的实际生产加工地，而非品牌总公司所在地。</w:t>
      </w:r>
    </w:p>
    <w:p>
      <w:pPr>
        <w:spacing w:line="240" w:lineRule="auto"/>
        <w:ind w:firstLine="424" w:firstLineChars="176"/>
        <w:rPr>
          <w:rFonts w:hint="eastAsia"/>
          <w:b/>
          <w:sz w:val="24"/>
        </w:rPr>
      </w:pPr>
      <w:r>
        <w:rPr>
          <w:b/>
          <w:sz w:val="24"/>
        </w:rPr>
        <w:t>5.详细填写所投货物的制造商名称；若如所投产品属于定制类的非量产货物或无具体型号的货物，可以不填写型号等信息，但应当标注投标产品为定制产品。</w:t>
      </w:r>
    </w:p>
    <w:p>
      <w:pPr>
        <w:spacing w:line="240" w:lineRule="auto"/>
        <w:ind w:firstLine="424" w:firstLineChars="176"/>
        <w:rPr>
          <w:rFonts w:hint="eastAsia"/>
          <w:b/>
          <w:sz w:val="24"/>
        </w:rPr>
      </w:pPr>
      <w:r>
        <w:rPr>
          <w:b/>
          <w:sz w:val="24"/>
        </w:rPr>
        <w:t>6.</w:t>
      </w:r>
      <w:r>
        <w:rPr>
          <w:rFonts w:hint="eastAsia"/>
          <w:b/>
          <w:sz w:val="24"/>
        </w:rPr>
        <w:t>上述报价最多保留两位小数。</w:t>
      </w: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（二）可选配件报价清单（不包括在总报价内）</w:t>
      </w:r>
    </w:p>
    <w:p>
      <w:pPr>
        <w:tabs>
          <w:tab w:val="clear" w:pos="426"/>
        </w:tabs>
        <w:spacing w:line="500" w:lineRule="exact"/>
        <w:rPr>
          <w:rFonts w:hint="eastAsia"/>
          <w:b/>
          <w:sz w:val="24"/>
        </w:rPr>
      </w:pPr>
      <w:r>
        <w:rPr>
          <w:rFonts w:hint="eastAsia"/>
          <w:b/>
          <w:sz w:val="24"/>
        </w:rPr>
        <w:t>备注：格式参照《（一）项目报价表》表格，但须提供相应的品牌、规格型号、原产地、单价等详细信息</w:t>
      </w:r>
    </w:p>
    <w:p>
      <w:pPr>
        <w:widowControl w:val="0"/>
        <w:shd w:val="clear" w:color="auto" w:fill="auto"/>
        <w:tabs>
          <w:tab w:val="clear" w:pos="426"/>
        </w:tabs>
        <w:adjustRightInd/>
        <w:snapToGrid/>
        <w:spacing w:line="300" w:lineRule="auto"/>
        <w:jc w:val="center"/>
        <w:rPr>
          <w:rFonts w:hint="eastAsia" w:cs="Times New Roman"/>
          <w:b/>
          <w:bCs/>
          <w:kern w:val="2"/>
          <w:sz w:val="32"/>
          <w:szCs w:val="32"/>
        </w:rPr>
      </w:pP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（三）供应商认为需要涉及的其他内容报价清单</w:t>
      </w:r>
    </w:p>
    <w:p>
      <w:pPr>
        <w:tabs>
          <w:tab w:val="clear" w:pos="426"/>
        </w:tabs>
        <w:spacing w:line="500" w:lineRule="exact"/>
        <w:rPr>
          <w:rFonts w:hint="eastAsia"/>
          <w:spacing w:val="4"/>
        </w:rPr>
      </w:pPr>
    </w:p>
    <w:p>
      <w:pPr>
        <w:tabs>
          <w:tab w:val="clear" w:pos="426"/>
        </w:tabs>
        <w:spacing w:line="500" w:lineRule="exact"/>
        <w:rPr>
          <w:rFonts w:hint="eastAsia"/>
          <w:spacing w:val="4"/>
        </w:rPr>
      </w:pPr>
    </w:p>
    <w:p>
      <w:pPr>
        <w:tabs>
          <w:tab w:val="clear" w:pos="426"/>
        </w:tabs>
        <w:spacing w:line="500" w:lineRule="exact"/>
        <w:rPr>
          <w:rFonts w:hint="eastAsia"/>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pPr>
        <w:tabs>
          <w:tab w:val="clear" w:pos="426"/>
        </w:tabs>
        <w:spacing w:line="520" w:lineRule="exact"/>
        <w:rPr>
          <w:rFonts w:hint="eastAsia"/>
          <w:spacing w:val="4"/>
          <w:u w:val="single"/>
        </w:rPr>
      </w:pPr>
      <w:r>
        <w:rPr>
          <w:rFonts w:hint="eastAsia"/>
        </w:rPr>
        <w:t>法定代表人或投标人授权代表（签字或盖章）：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pPr>
        <w:rPr>
          <w:rFonts w:hint="eastAsia"/>
          <w:b/>
          <w:sz w:val="24"/>
        </w:rPr>
      </w:pPr>
      <w:r>
        <w:rPr>
          <w:rFonts w:hint="eastAsia"/>
          <w:b/>
          <w:sz w:val="24"/>
        </w:rPr>
        <w:br w:type="page"/>
      </w:r>
    </w:p>
    <w:p>
      <w:pPr>
        <w:adjustRightInd/>
        <w:snapToGrid/>
        <w:spacing w:before="280" w:after="290" w:line="377" w:lineRule="auto"/>
        <w:outlineLvl w:val="2"/>
        <w:rPr>
          <w:rFonts w:hint="eastAsia"/>
          <w:b/>
          <w:sz w:val="24"/>
        </w:rPr>
      </w:pPr>
      <w:bookmarkStart w:id="134" w:name="_Toc9437"/>
      <w:r>
        <w:rPr>
          <w:rFonts w:hint="eastAsia"/>
          <w:b/>
          <w:sz w:val="24"/>
        </w:rPr>
        <w:t>格式9：</w:t>
      </w:r>
      <w:bookmarkEnd w:id="134"/>
      <w:r>
        <w:rPr>
          <w:rFonts w:hint="eastAsia"/>
          <w:b/>
          <w:sz w:val="24"/>
        </w:rPr>
        <w:t>技术规格偏离表</w:t>
      </w:r>
    </w:p>
    <w:p>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135" w:name="OLE_LINK1"/>
      <w:r>
        <w:rPr>
          <w:rFonts w:hint="eastAsia" w:ascii="Times New Roman" w:hAnsi="Times New Roman" w:cs="Times New Roman"/>
          <w:bCs/>
          <w:kern w:val="2"/>
          <w:sz w:val="32"/>
          <w:szCs w:val="32"/>
        </w:rPr>
        <w:t>技术规格偏离表</w:t>
      </w:r>
    </w:p>
    <w:bookmarkEnd w:id="135"/>
    <w:p>
      <w:pPr>
        <w:tabs>
          <w:tab w:val="clear" w:pos="426"/>
        </w:tabs>
        <w:rPr>
          <w:rFonts w:ascii="Times New Roman" w:hAnsi="Times New Roman" w:cs="Times New Roman"/>
        </w:rPr>
      </w:pPr>
    </w:p>
    <w:p>
      <w:pPr>
        <w:tabs>
          <w:tab w:val="clear" w:pos="426"/>
        </w:tabs>
        <w:rPr>
          <w:rFonts w:ascii="Times New Roman" w:hAnsi="Times New Roman" w:cs="Times New Roman"/>
        </w:rPr>
      </w:pPr>
      <w:bookmarkStart w:id="136" w:name="_Hlk66188946"/>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项目编号：</w:t>
      </w:r>
      <w:r>
        <w:rPr>
          <w:rFonts w:ascii="Times New Roman" w:hAnsi="Times New Roman" w:cs="Times New Roman"/>
          <w:sz w:val="18"/>
          <w:szCs w:val="18"/>
          <w:u w:val="single"/>
        </w:rPr>
        <w:t>_______________________</w:t>
      </w:r>
    </w:p>
    <w:bookmarkEnd w:id="136"/>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109"/>
        <w:gridCol w:w="1791"/>
        <w:gridCol w:w="1829"/>
        <w:gridCol w:w="1394"/>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序号</w:t>
            </w:r>
          </w:p>
        </w:tc>
        <w:tc>
          <w:tcPr>
            <w:tcW w:w="1101"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货物名称</w:t>
            </w:r>
          </w:p>
        </w:tc>
        <w:tc>
          <w:tcPr>
            <w:tcW w:w="93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招标技术要求</w:t>
            </w:r>
          </w:p>
        </w:tc>
        <w:tc>
          <w:tcPr>
            <w:tcW w:w="95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投标技术响应</w:t>
            </w:r>
          </w:p>
        </w:tc>
        <w:tc>
          <w:tcPr>
            <w:tcW w:w="728"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偏离情况</w:t>
            </w:r>
          </w:p>
        </w:tc>
        <w:tc>
          <w:tcPr>
            <w:tcW w:w="903"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1</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2</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3</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bl>
    <w:p>
      <w:pPr>
        <w:tabs>
          <w:tab w:val="clear" w:pos="426"/>
        </w:tabs>
        <w:spacing w:line="240" w:lineRule="auto"/>
        <w:rPr>
          <w:rFonts w:ascii="Times New Roman" w:hAnsi="Times New Roman" w:cs="Times New Roman"/>
          <w:bCs/>
        </w:rPr>
      </w:pPr>
    </w:p>
    <w:p>
      <w:pPr>
        <w:tabs>
          <w:tab w:val="clear" w:pos="426"/>
        </w:tabs>
        <w:spacing w:line="240" w:lineRule="auto"/>
        <w:rPr>
          <w:rFonts w:ascii="Times New Roman" w:hAnsi="Times New Roman" w:cs="Times New Roman"/>
          <w:bCs/>
        </w:rPr>
      </w:pPr>
      <w:r>
        <w:rPr>
          <w:rFonts w:ascii="Times New Roman" w:hAnsi="Times New Roman" w:cs="Times New Roman"/>
          <w:bCs/>
        </w:rPr>
        <w:t>备注：</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1.“招标技术要求”一栏应填写招标文件第</w:t>
      </w:r>
      <w:r>
        <w:rPr>
          <w:rFonts w:hint="eastAsia" w:ascii="Times New Roman" w:hAnsi="Times New Roman" w:cs="Times New Roman"/>
          <w:bCs/>
        </w:rPr>
        <w:t>二</w:t>
      </w:r>
      <w:r>
        <w:rPr>
          <w:rFonts w:ascii="Times New Roman" w:hAnsi="Times New Roman" w:cs="Times New Roman"/>
          <w:bCs/>
        </w:rPr>
        <w:t>章“技术要求”的内容；</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2.“投标技术响应”一栏必须详细填写投标产品的具体参数，并应对照招标技术要求一一对应响应；</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w:t>
      </w:r>
      <w:r>
        <w:rPr>
          <w:rFonts w:ascii="Times New Roman" w:hAnsi="Times New Roman" w:cs="Times New Roman"/>
          <w:bCs/>
        </w:rPr>
        <w:t>“偏离情况”一栏应如实填写“正偏离”、“负偏离”或“无偏离”。</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4.投标人在《</w:t>
      </w:r>
      <w:r>
        <w:rPr>
          <w:rFonts w:hint="eastAsia" w:ascii="Times New Roman" w:hAnsi="Times New Roman" w:cs="Times New Roman"/>
          <w:bCs/>
        </w:rPr>
        <w:t>技术规格偏离表</w:t>
      </w:r>
      <w:r>
        <w:rPr>
          <w:rFonts w:ascii="Times New Roman" w:hAnsi="Times New Roman" w:cs="Times New Roman"/>
          <w:bCs/>
        </w:rPr>
        <w:t>》填写的“投标技术响应”与“招标技术要求”存在填写不全的情况，将被视为未实质性满足招标文件要求作投标无效处理。示例，“招标技术要求”共有10项参数，投标人只响应了9项，填写不全，则视为未实质性满足招标文件要求作投标无效处理。</w:t>
      </w:r>
      <w:bookmarkStart w:id="137" w:name="OLE_LINK2"/>
      <w:r>
        <w:rPr>
          <w:rFonts w:hint="eastAsia" w:ascii="Times New Roman" w:hAnsi="Times New Roman" w:cs="Times New Roman"/>
          <w:bCs/>
        </w:rPr>
        <w:t>带★招标技术要求，不允许有任何负偏离，否则将作投标无效处理。</w:t>
      </w:r>
    </w:p>
    <w:bookmarkEnd w:id="137"/>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5.投标人所填写的“偏离情况”与评审委员会判定不一致时，以评审委员会意见为主。</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6.投标产品的技术参数应按《</w:t>
      </w:r>
      <w:r>
        <w:rPr>
          <w:rFonts w:hint="eastAsia" w:ascii="Times New Roman" w:hAnsi="Times New Roman" w:cs="Times New Roman"/>
          <w:bCs/>
        </w:rPr>
        <w:t>技术规格偏离表</w:t>
      </w:r>
      <w:r>
        <w:rPr>
          <w:rFonts w:ascii="Times New Roman" w:hAnsi="Times New Roman" w:cs="Times New Roman"/>
          <w:bCs/>
        </w:rPr>
        <w:t>》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提供的证明资料显示产品参数信息不符合招标文件要求的，如果投标人偏离程度响应为“无偏离或正偏离”的，则应判断为负偏离；提供的证明材料模糊不清，导致评审专家无法判断的，如果投标人偏离程度响应为“无偏离或正偏离”的，则应判断为负偏离。若《</w:t>
      </w:r>
      <w:r>
        <w:rPr>
          <w:rFonts w:hint="eastAsia" w:ascii="Times New Roman" w:hAnsi="Times New Roman" w:cs="Times New Roman"/>
          <w:bCs/>
        </w:rPr>
        <w:t>技术规格偏离表</w:t>
      </w:r>
      <w:r>
        <w:rPr>
          <w:rFonts w:ascii="Times New Roman" w:hAnsi="Times New Roman" w:cs="Times New Roman"/>
          <w:bCs/>
        </w:rPr>
        <w:t>》中未要求提供相应证明材料的，投标人可以不提供。</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7.证明资料（均为扫描件）的提供要求：</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（2）我国政府机构出具的产品检验和核准证件应为证件正面、背面和附件标注的全部具体内容；产品检验和核准证件的尺寸和清晰度应该能够在电脑上被阅读、识别和判断。</w:t>
      </w:r>
    </w:p>
    <w:p>
      <w:pPr>
        <w:rPr>
          <w:rFonts w:ascii="Times New Roman" w:hAnsi="Times New Roman" w:cs="Times New Roman"/>
          <w:bCs/>
        </w:rPr>
      </w:pPr>
      <w:r>
        <w:rPr>
          <w:rFonts w:ascii="Times New Roman" w:hAnsi="Times New Roman" w:cs="Times New Roman"/>
          <w:bCs/>
        </w:rPr>
        <w:br w:type="page"/>
      </w:r>
    </w:p>
    <w:p>
      <w:pPr>
        <w:adjustRightInd/>
        <w:snapToGrid/>
        <w:spacing w:before="280" w:after="290" w:line="377" w:lineRule="auto"/>
        <w:outlineLvl w:val="2"/>
        <w:rPr>
          <w:rFonts w:hint="eastAsia"/>
          <w:b/>
          <w:sz w:val="24"/>
        </w:rPr>
      </w:pPr>
      <w:bookmarkStart w:id="138" w:name="_Toc25758"/>
      <w:r>
        <w:rPr>
          <w:rFonts w:hint="eastAsia"/>
          <w:b/>
          <w:sz w:val="24"/>
        </w:rPr>
        <w:t>格式10：技术保障措施</w:t>
      </w:r>
      <w:bookmarkEnd w:id="138"/>
    </w:p>
    <w:p>
      <w:pPr>
        <w:adjustRightInd/>
        <w:snapToGrid/>
        <w:spacing w:before="280" w:after="290" w:line="377" w:lineRule="auto"/>
        <w:outlineLvl w:val="2"/>
        <w:rPr>
          <w:rFonts w:hint="eastAsia"/>
          <w:b/>
          <w:sz w:val="24"/>
        </w:rPr>
      </w:pPr>
      <w:bookmarkStart w:id="139" w:name="_Toc19609"/>
      <w:r>
        <w:rPr>
          <w:rFonts w:hint="eastAsia"/>
          <w:b/>
          <w:sz w:val="24"/>
        </w:rPr>
        <w:t>格式11：售后服务方案</w:t>
      </w:r>
      <w:bookmarkEnd w:id="139"/>
    </w:p>
    <w:p>
      <w:pPr>
        <w:tabs>
          <w:tab w:val="clear" w:pos="426"/>
        </w:tabs>
        <w:spacing w:line="440" w:lineRule="exact"/>
        <w:rPr>
          <w:rFonts w:hint="eastAsia"/>
          <w:b/>
          <w:bCs/>
        </w:rPr>
      </w:pPr>
    </w:p>
    <w:p>
      <w:pPr>
        <w:tabs>
          <w:tab w:val="clear" w:pos="426"/>
        </w:tabs>
        <w:spacing w:line="440" w:lineRule="exact"/>
        <w:rPr>
          <w:rFonts w:hint="eastAsia"/>
          <w:b/>
          <w:szCs w:val="21"/>
        </w:rPr>
      </w:pPr>
      <w:r>
        <w:rPr>
          <w:rFonts w:hint="eastAsia"/>
          <w:b/>
          <w:bCs/>
        </w:rPr>
        <w:t>备注：以上节点请</w:t>
      </w:r>
      <w:r>
        <w:rPr>
          <w:rFonts w:hint="eastAsia"/>
          <w:b/>
          <w:szCs w:val="21"/>
        </w:rPr>
        <w:t>根据评审表的要求提交相应资料，格式自拟。</w:t>
      </w:r>
    </w:p>
    <w:p>
      <w:pPr>
        <w:rPr>
          <w:rFonts w:hint="eastAsia"/>
        </w:rPr>
      </w:pPr>
    </w:p>
    <w:p>
      <w:pPr>
        <w:tabs>
          <w:tab w:val="clear" w:pos="426"/>
        </w:tabs>
        <w:spacing w:line="240" w:lineRule="auto"/>
        <w:ind w:firstLine="424" w:firstLineChars="202"/>
        <w:rPr>
          <w:rFonts w:hint="eastAsia"/>
        </w:rPr>
      </w:pPr>
    </w:p>
    <w:p>
      <w:pPr>
        <w:tabs>
          <w:tab w:val="clear" w:pos="426"/>
        </w:tabs>
        <w:spacing w:line="240" w:lineRule="auto"/>
        <w:ind w:firstLine="424" w:firstLineChars="202"/>
        <w:rPr>
          <w:rFonts w:ascii="Times New Roman" w:hAnsi="Times New Roman" w:cs="Times New Roman"/>
          <w:bCs/>
        </w:rPr>
      </w:pPr>
    </w:p>
    <w:p>
      <w:pPr>
        <w:shd w:val="clear" w:color="auto" w:fill="auto"/>
        <w:tabs>
          <w:tab w:val="clear" w:pos="426"/>
        </w:tabs>
        <w:adjustRightInd/>
        <w:snapToGrid/>
        <w:spacing w:line="240" w:lineRule="auto"/>
        <w:jc w:val="left"/>
        <w:rPr>
          <w:rFonts w:ascii="Times New Roman" w:hAnsi="Times New Roman" w:cs="Times New Roman"/>
          <w:bCs/>
        </w:rPr>
      </w:pPr>
      <w:r>
        <w:rPr>
          <w:rFonts w:ascii="Times New Roman" w:hAnsi="Times New Roman" w:cs="Times New Roman"/>
          <w:bCs/>
        </w:rPr>
        <w:br w:type="page"/>
      </w:r>
    </w:p>
    <w:p>
      <w:pPr>
        <w:adjustRightInd/>
        <w:snapToGrid/>
        <w:spacing w:before="280" w:after="290" w:line="377" w:lineRule="auto"/>
        <w:outlineLvl w:val="2"/>
        <w:rPr>
          <w:rFonts w:hint="eastAsia"/>
          <w:b/>
          <w:sz w:val="24"/>
        </w:rPr>
      </w:pPr>
      <w:bookmarkStart w:id="140" w:name="_Toc29923"/>
      <w:r>
        <w:rPr>
          <w:rFonts w:hint="eastAsia"/>
          <w:b/>
          <w:sz w:val="24"/>
        </w:rPr>
        <w:t>格式12：商务条款偏离表</w:t>
      </w:r>
      <w:bookmarkEnd w:id="140"/>
    </w:p>
    <w:p>
      <w:pPr>
        <w:widowControl w:val="0"/>
        <w:shd w:val="clear" w:color="auto" w:fill="auto"/>
        <w:tabs>
          <w:tab w:val="clear" w:pos="426"/>
        </w:tabs>
        <w:spacing w:line="300" w:lineRule="auto"/>
        <w:jc w:val="center"/>
        <w:rPr>
          <w:rFonts w:ascii="Times New Roman" w:hAnsi="Times New Roman" w:cs="Times New Roman"/>
          <w:bCs/>
          <w:kern w:val="2"/>
          <w:sz w:val="32"/>
          <w:szCs w:val="32"/>
        </w:rPr>
      </w:pPr>
      <w:r>
        <w:rPr>
          <w:rFonts w:hint="eastAsia" w:ascii="Times New Roman" w:hAnsi="Times New Roman" w:cs="Times New Roman"/>
          <w:bCs/>
          <w:kern w:val="2"/>
          <w:sz w:val="32"/>
          <w:szCs w:val="32"/>
        </w:rPr>
        <w:t>商务条款偏离表</w:t>
      </w:r>
    </w:p>
    <w:p>
      <w:pPr>
        <w:widowControl w:val="0"/>
        <w:shd w:val="clear" w:color="auto" w:fill="auto"/>
        <w:tabs>
          <w:tab w:val="clear" w:pos="426"/>
        </w:tabs>
        <w:spacing w:line="300" w:lineRule="auto"/>
        <w:jc w:val="center"/>
        <w:rPr>
          <w:rFonts w:ascii="Times New Roman" w:hAnsi="Times New Roman" w:cs="Times New Roman"/>
          <w:bCs/>
          <w:kern w:val="2"/>
          <w:sz w:val="32"/>
          <w:szCs w:val="32"/>
        </w:rPr>
      </w:pPr>
    </w:p>
    <w:p>
      <w:pPr>
        <w:rPr>
          <w:rFonts w:ascii="Times New Roman" w:hAnsi="Times New Roman" w:cs="Times New Roman"/>
          <w:b/>
        </w:rPr>
      </w:pPr>
      <w:r>
        <w:rPr>
          <w:rFonts w:ascii="Times New Roman" w:hAnsi="Times New Roman" w:cs="Times New Roman"/>
        </w:rPr>
        <w:t>项目名称：</w:t>
      </w:r>
      <w:r>
        <w:rPr>
          <w:rFonts w:ascii="Times New Roman" w:hAnsi="Times New Roman" w:cs="Times New Roman"/>
          <w:u w:val="single"/>
        </w:rPr>
        <w:t>_________________________________</w:t>
      </w:r>
      <w:r>
        <w:rPr>
          <w:rFonts w:ascii="Times New Roman" w:hAnsi="Times New Roman" w:cs="Times New Roman"/>
        </w:rPr>
        <w:t>项目编号：</w:t>
      </w:r>
      <w:r>
        <w:rPr>
          <w:rFonts w:ascii="Times New Roman" w:hAnsi="Times New Roman" w:cs="Times New Roman"/>
          <w:u w:val="single"/>
        </w:rPr>
        <w:t>_______________________</w:t>
      </w:r>
    </w:p>
    <w:tbl>
      <w:tblPr>
        <w:tblStyle w:val="8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158"/>
        <w:gridCol w:w="2123"/>
        <w:gridCol w:w="2123"/>
        <w:gridCol w:w="1543"/>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序号</w:t>
            </w:r>
          </w:p>
        </w:tc>
        <w:tc>
          <w:tcPr>
            <w:tcW w:w="605"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目录</w:t>
            </w:r>
          </w:p>
        </w:tc>
        <w:tc>
          <w:tcPr>
            <w:tcW w:w="1109"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招标商务条款</w:t>
            </w:r>
          </w:p>
        </w:tc>
        <w:tc>
          <w:tcPr>
            <w:tcW w:w="1109"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投标商务条款</w:t>
            </w:r>
          </w:p>
        </w:tc>
        <w:tc>
          <w:tcPr>
            <w:tcW w:w="806"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偏离情况</w:t>
            </w:r>
          </w:p>
        </w:tc>
        <w:tc>
          <w:tcPr>
            <w:tcW w:w="908"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1</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2</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bl>
    <w:p>
      <w:pPr>
        <w:tabs>
          <w:tab w:val="clear" w:pos="426"/>
        </w:tabs>
        <w:rPr>
          <w:rFonts w:ascii="Times New Roman" w:hAnsi="Times New Roman" w:cs="Times New Roman"/>
        </w:rPr>
      </w:pPr>
    </w:p>
    <w:p>
      <w:pPr>
        <w:tabs>
          <w:tab w:val="clear" w:pos="426"/>
        </w:tabs>
        <w:spacing w:line="240" w:lineRule="auto"/>
        <w:rPr>
          <w:rFonts w:ascii="Times New Roman" w:hAnsi="Times New Roman" w:cs="Times New Roman"/>
        </w:rPr>
      </w:pPr>
      <w:r>
        <w:rPr>
          <w:rFonts w:ascii="Times New Roman" w:hAnsi="Times New Roman" w:cs="Times New Roman"/>
        </w:rPr>
        <w:t>备注：</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1.“招标商务条款”一栏必须填写招标文件第</w:t>
      </w:r>
      <w:r>
        <w:rPr>
          <w:rFonts w:hint="eastAsia" w:ascii="Times New Roman" w:hAnsi="Times New Roman" w:cs="Times New Roman"/>
        </w:rPr>
        <w:t>二</w:t>
      </w:r>
      <w:r>
        <w:rPr>
          <w:rFonts w:ascii="Times New Roman" w:hAnsi="Times New Roman" w:cs="Times New Roman"/>
        </w:rPr>
        <w:t>章“商务</w:t>
      </w:r>
      <w:r>
        <w:rPr>
          <w:rFonts w:hint="eastAsia" w:ascii="Times New Roman" w:hAnsi="Times New Roman" w:cs="Times New Roman"/>
        </w:rPr>
        <w:t>要求</w:t>
      </w:r>
      <w:r>
        <w:rPr>
          <w:rFonts w:ascii="Times New Roman" w:hAnsi="Times New Roman" w:cs="Times New Roman"/>
        </w:rPr>
        <w:t>”的内容进行填写。</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2.“投标商务条款”一栏必须详细填写投标商务条款的内容。</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3.“偏离情况”栏中应如实填写“正偏离”、“负偏离”或“无偏离”。</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4．投标人在《商务条款偏离表》填写的“投标商务条款”与 “招标商务条款”存在填写不全的，将被视为未实质性满足招标文件要求作投标无效处理。示例，“招标商务条款”共有10项参数，投标人只响应了9项，填写不全，则视为未实质性满足招标文件要求作投标无效处理。</w:t>
      </w:r>
      <w:r>
        <w:rPr>
          <w:rFonts w:hint="eastAsia" w:ascii="Times New Roman" w:hAnsi="Times New Roman" w:cs="Times New Roman"/>
          <w:bCs/>
        </w:rPr>
        <w:t>带★招标商务要求，不允许有任何负偏离，否则将作投标无效处理。</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bCs/>
        </w:rPr>
        <w:t>5．</w:t>
      </w:r>
      <w:r>
        <w:rPr>
          <w:rFonts w:ascii="Times New Roman" w:hAnsi="Times New Roman" w:cs="Times New Roman"/>
        </w:rPr>
        <w:t>投标人所填写的“偏离情况”与评审委员会判定不一致时，以评审委员会意见为主。</w:t>
      </w:r>
    </w:p>
    <w:p>
      <w:pPr>
        <w:tabs>
          <w:tab w:val="clear" w:pos="426"/>
        </w:tabs>
        <w:spacing w:line="240" w:lineRule="auto"/>
        <w:ind w:firstLine="424" w:firstLineChars="202"/>
        <w:rPr>
          <w:rFonts w:hint="eastAsia"/>
        </w:rPr>
      </w:pPr>
      <w:r>
        <w:rPr>
          <w:rFonts w:ascii="Times New Roman" w:hAnsi="Times New Roman" w:cs="Times New Roman"/>
        </w:rPr>
        <w:t>6.交货期条款为不可负偏离条款，投标文件响应为“负偏离”的，投标文件将按无效投标处理。</w:t>
      </w:r>
    </w:p>
    <w:p>
      <w:pPr>
        <w:rPr>
          <w:rFonts w:hint="eastAsia"/>
        </w:rPr>
      </w:pPr>
      <w:r>
        <w:rPr>
          <w:rFonts w:hint="eastAsia"/>
        </w:rPr>
        <w:br w:type="page"/>
      </w:r>
    </w:p>
    <w:p>
      <w:pPr>
        <w:adjustRightInd/>
        <w:snapToGrid/>
        <w:spacing w:before="280" w:after="290" w:line="377" w:lineRule="auto"/>
        <w:outlineLvl w:val="2"/>
        <w:rPr>
          <w:rFonts w:hint="eastAsia"/>
          <w:b/>
          <w:sz w:val="24"/>
        </w:rPr>
      </w:pPr>
      <w:bookmarkStart w:id="141" w:name="_Toc6533"/>
      <w:r>
        <w:rPr>
          <w:rFonts w:hint="eastAsia"/>
          <w:b/>
          <w:sz w:val="24"/>
        </w:rPr>
        <w:t>格式13：投标人综合概况简表</w:t>
      </w:r>
      <w:bookmarkEnd w:id="141"/>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投标人综合概况简表</w:t>
      </w:r>
    </w:p>
    <w:p>
      <w:pPr>
        <w:widowControl w:val="0"/>
        <w:shd w:val="clear" w:color="auto" w:fill="auto"/>
        <w:tabs>
          <w:tab w:val="clear" w:pos="426"/>
        </w:tabs>
        <w:adjustRightInd/>
        <w:snapToGrid/>
        <w:rPr>
          <w:rFonts w:hint="eastAsia" w:cs="Arial"/>
          <w:b/>
          <w:szCs w:val="21"/>
        </w:rPr>
      </w:pPr>
      <w:r>
        <w:rPr>
          <w:rFonts w:hint="eastAsia" w:cs="Arial"/>
          <w:b/>
          <w:szCs w:val="21"/>
        </w:rPr>
        <w:t>一、</w:t>
      </w:r>
      <w:r>
        <w:rPr>
          <w:rFonts w:cs="Arial"/>
          <w:b/>
          <w:szCs w:val="21"/>
        </w:rPr>
        <w:t>公司基本情况</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w:t>
      </w:r>
    </w:p>
    <w:p>
      <w:pPr>
        <w:widowControl w:val="0"/>
        <w:numPr>
          <w:ilvl w:val="1"/>
          <w:numId w:val="7"/>
        </w:numPr>
        <w:shd w:val="clear" w:color="auto" w:fill="auto"/>
        <w:tabs>
          <w:tab w:val="clear" w:pos="426"/>
        </w:tabs>
        <w:adjustRightInd/>
        <w:snapToGrid/>
        <w:ind w:left="0" w:firstLine="426"/>
        <w:rPr>
          <w:rFonts w:hint="eastAsia"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hint="eastAsia" w:cs="Arial"/>
          <w:szCs w:val="21"/>
          <w:u w:val="single"/>
        </w:rPr>
        <w:t>___________________</w:t>
      </w:r>
      <w:r>
        <w:rPr>
          <w:rFonts w:cs="Arial"/>
          <w:szCs w:val="21"/>
          <w:u w:val="single"/>
        </w:rPr>
        <w:t>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公司开户银行名称及账号：</w:t>
      </w:r>
      <w:r>
        <w:rPr>
          <w:rFonts w:hint="eastAsia" w:cs="Arial"/>
          <w:szCs w:val="21"/>
          <w:u w:val="single"/>
        </w:rPr>
        <w:t>________________________________________________________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营业注册执照号：</w:t>
      </w:r>
      <w:r>
        <w:rPr>
          <w:rFonts w:hint="eastAsia" w:cs="Arial"/>
          <w:szCs w:val="21"/>
          <w:u w:val="single"/>
        </w:rPr>
        <w:t>________________________________________________________________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公司简介</w:t>
      </w:r>
    </w:p>
    <w:p>
      <w:pPr>
        <w:tabs>
          <w:tab w:val="clear" w:pos="426"/>
        </w:tabs>
        <w:ind w:firstLine="426"/>
        <w:rPr>
          <w:rFonts w:hint="eastAsia"/>
        </w:rPr>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hint="eastAsia" w:cs="Arial"/>
          <w:szCs w:val="21"/>
        </w:rPr>
      </w:pPr>
      <w:r>
        <w:rPr>
          <w:rFonts w:hint="eastAsia"/>
        </w:rPr>
        <w:t>图片描述：</w:t>
      </w:r>
      <w:r>
        <w:rPr>
          <w:rFonts w:hint="eastAsia"/>
          <w:bCs/>
          <w:szCs w:val="21"/>
          <w:lang w:val="en-GB"/>
        </w:rPr>
        <w:t>经营场所、主要或关键产品介绍、生产场所及服务流程等。</w:t>
      </w:r>
    </w:p>
    <w:p>
      <w:pPr>
        <w:tabs>
          <w:tab w:val="clear" w:pos="426"/>
        </w:tabs>
        <w:spacing w:line="440" w:lineRule="exact"/>
        <w:rPr>
          <w:rFonts w:hint="eastAsia"/>
          <w:b/>
          <w:bCs/>
        </w:rPr>
      </w:pPr>
    </w:p>
    <w:p>
      <w:pPr>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42" w:name="_Toc22664"/>
      <w:r>
        <w:rPr>
          <w:rFonts w:hint="eastAsia"/>
          <w:b/>
          <w:sz w:val="24"/>
        </w:rPr>
        <w:t>格式14：企业类型声明函</w:t>
      </w:r>
      <w:bookmarkEnd w:id="142"/>
    </w:p>
    <w:p>
      <w:pPr>
        <w:tabs>
          <w:tab w:val="clear" w:pos="426"/>
        </w:tabs>
        <w:spacing w:line="240" w:lineRule="auto"/>
        <w:ind w:firstLine="420"/>
        <w:rPr>
          <w:rFonts w:ascii="Times New Roman" w:hAnsi="Times New Roman" w:cs="Times New Roman"/>
          <w:szCs w:val="21"/>
        </w:rPr>
      </w:pPr>
      <w:r>
        <w:rPr>
          <w:rFonts w:ascii="Times New Roman" w:hAnsi="Times New Roman" w:cs="Times New Roman"/>
          <w:szCs w:val="21"/>
        </w:rPr>
        <w:t>填写指引：</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r>
        <w:rPr>
          <w:rFonts w:hint="eastAsia"/>
          <w:szCs w:val="21"/>
        </w:rPr>
        <w:t>中小企业参加政府采购活动，应当按照国务院批准的《中小企业划型标准规定》（工信部联企业〔2011〕300 号）、《金融业企业划型标准规定》（银发〔2015〕309 号）和《财政部 工业和信息化部关于印发〈政府采购促进中小企业发展管理办法〉的通知》（财库〔2020〕46 号）的规定，出具《中小企业声明函》，《中小企业声明函》中相关企业所属行业应当与采购标的所属行业相一致。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r>
        <w:rPr>
          <w:rFonts w:ascii="Times New Roman" w:hAnsi="Times New Roman" w:cs="Times New Roman"/>
          <w:bCs/>
          <w:szCs w:val="21"/>
        </w:rPr>
        <w:t xml:space="preserve">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2.该部分内容填写需要参考的相关文件（</w:t>
      </w:r>
      <w:r>
        <w:rPr>
          <w:rStyle w:val="141"/>
          <w:rFonts w:ascii="Times New Roman" w:hAnsi="Times New Roman" w:cs="Times New Roman"/>
          <w:color w:val="auto"/>
        </w:rPr>
        <w:t>-</w:t>
      </w:r>
      <w:r>
        <w:fldChar w:fldCharType="begin"/>
      </w:r>
      <w:r>
        <w:instrText xml:space="preserve"> HYPERLINK "http://www.szsszx.com/Files/Editor/file/202106041655230146.rar" </w:instrText>
      </w:r>
      <w:r>
        <w:fldChar w:fldCharType="separate"/>
      </w:r>
      <w:r>
        <w:rPr>
          <w:rStyle w:val="141"/>
          <w:rFonts w:ascii="Times New Roman" w:hAnsi="Times New Roman" w:cs="Times New Roman"/>
          <w:bCs/>
          <w:color w:val="auto"/>
          <w:szCs w:val="21"/>
        </w:rPr>
        <w:t>点此下载</w:t>
      </w:r>
      <w:r>
        <w:rPr>
          <w:rStyle w:val="141"/>
          <w:rFonts w:ascii="Times New Roman" w:hAnsi="Times New Roman" w:cs="Times New Roman"/>
          <w:bCs/>
          <w:color w:val="auto"/>
          <w:szCs w:val="21"/>
        </w:rPr>
        <w:fldChar w:fldCharType="end"/>
      </w:r>
      <w:r>
        <w:rPr>
          <w:rStyle w:val="141"/>
          <w:rFonts w:ascii="Times New Roman" w:hAnsi="Times New Roman" w:cs="Times New Roman"/>
          <w:color w:val="auto"/>
        </w:rPr>
        <w:t>-</w:t>
      </w:r>
      <w:r>
        <w:rPr>
          <w:rFonts w:ascii="Times New Roman" w:hAnsi="Times New Roman" w:cs="Times New Roman"/>
          <w:bCs/>
          <w:szCs w:val="21"/>
        </w:rPr>
        <w:t>）：</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（1）财政部《关于印发&lt;政府采购促进中小企业发展管理办法&gt;的通知》（财库〔2020〕46号）；</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w:t>
      </w:r>
      <w:r>
        <w:rPr>
          <w:rFonts w:hint="eastAsia" w:ascii="Times New Roman" w:hAnsi="Times New Roman" w:cs="Times New Roman"/>
          <w:bCs/>
          <w:szCs w:val="21"/>
        </w:rPr>
        <w:t>2</w:t>
      </w:r>
      <w:r>
        <w:rPr>
          <w:rFonts w:ascii="Times New Roman" w:hAnsi="Times New Roman" w:cs="Times New Roman"/>
          <w:bCs/>
          <w:szCs w:val="21"/>
        </w:rPr>
        <w:t xml:space="preserve">）《工业和信息化部、国家统计局、国家发展和改革委员会、财政部关于印发中小企业划型标准规定的通知》（工信部联企业〔2011〕300号）。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3.请依照提供的格式和内容填写声明函，不要随意变更格式或增删内容；满足多项优惠政策的企业，不重复享受多项价格扣除政策。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4.声明函具体填写要求：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（1）声明是中小企业须填写《中小企业声明函》的以下五项内容（填写位置的字体已加粗）：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第一处，在下划线上如实填写中型或小型或微型；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第二处，在下划线上如实填写中型或小型或微型；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第三处，在“采购单位名称”下划线处填写本项目的实际采购单位名称（深圳市深水水务咨询有限公司不是本项目的采购单位，而是本项目的组织实施机构）；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第四处，在“采购项目名称”下划线处填写本项目的实际项目名称（项目名称可在招标公告处查看）；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第五处，在“□本企业制造的货物” 或“□提供其他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企业（请填写：中型、小型、微型）制造的货物”两处中选择一处打√；如选择在“□提供其他</w:t>
      </w:r>
      <w:r>
        <w:rPr>
          <w:rFonts w:ascii="Times New Roman" w:hAnsi="Times New Roman" w:cs="Times New Roman"/>
          <w:bCs/>
          <w:szCs w:val="21"/>
          <w:u w:val="single"/>
        </w:rPr>
        <w:t>______</w:t>
      </w:r>
      <w:r>
        <w:rPr>
          <w:rFonts w:ascii="Times New Roman" w:hAnsi="Times New Roman" w:cs="Times New Roman"/>
          <w:bCs/>
          <w:szCs w:val="21"/>
        </w:rPr>
        <w:t xml:space="preserve">企业（请填写：中型、小型、微型）制造的货物”一处打√，还须在此下划线处如实填写中型或小型或微型；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同时请注意：“□本企业制造的货物” 、“□提供其他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中所称的货物是指单一产品采购项目中的货物，或者非单一产品采购项目中的核心产品（货物），不包括使用大型企业注册商标的货物；本项中的货物制造商应当在投标文件“分项报价清单”中明确列明。</w:t>
      </w:r>
    </w:p>
    <w:p>
      <w:pPr>
        <w:spacing w:line="240" w:lineRule="auto"/>
        <w:ind w:firstLine="422" w:firstLineChars="200"/>
        <w:rPr>
          <w:rFonts w:ascii="Times New Roman" w:hAnsi="Times New Roman" w:cs="Times New Roman"/>
          <w:b/>
          <w:bCs/>
        </w:rPr>
      </w:pPr>
      <w:r>
        <w:rPr>
          <w:rFonts w:ascii="Times New Roman" w:hAnsi="Times New Roman" w:cs="Times New Roman"/>
          <w:b/>
          <w:bCs/>
        </w:rPr>
        <w:t>《中小企业声明函》中制造商、承接/承建企业所属行业应当与招标文件要求的行业相一致，供应商如有疑问，可根据《国民经济行业分类》（GB/T4754-2002），结合《关 于 印 发 中 小 企 业 划 型 标 准 规 定 的 通 知 》 （ 工 信 部 联 企 业〔2011〕300 号）进行判断。事业单位、社会组织等非企业主体不享受中小企业扶持政策，但事业单位、社会组织等非企业主体提供全部由中小企业制造的货物参加货物采购项目的除外</w:t>
      </w:r>
      <w:r>
        <w:rPr>
          <w:rFonts w:hint="eastAsia" w:ascii="Times New Roman" w:hAnsi="Times New Roman" w:cs="Times New Roman"/>
          <w:b/>
          <w:bCs/>
        </w:rPr>
        <w:t>。</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（2）声明是监狱企业须填写《监狱企业声明函》的三项内容（填写位置的字体已加粗），具体参照以上《中小企业声明函》填写要求执行。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5.声明函的有效性最终由评审委员会判定。</w:t>
      </w:r>
      <w:r>
        <w:rPr>
          <w:rFonts w:ascii="Times New Roman" w:hAnsi="Times New Roman" w:cs="Times New Roman"/>
          <w:szCs w:val="21"/>
        </w:rPr>
        <w:br w:type="page"/>
      </w: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（一）中小企业声明函（样表）</w:t>
      </w:r>
    </w:p>
    <w:p>
      <w:pPr>
        <w:spacing w:line="240" w:lineRule="auto"/>
        <w:ind w:firstLine="420" w:firstLineChars="200"/>
        <w:jc w:val="left"/>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本公司郑重声明，根据《关于印发&lt;政府采购促进中小企业发展管理办法&gt;的通知》（财库〔2020〕46号）的规定，本公司（联合体）参加</w:t>
      </w:r>
      <w:r>
        <w:rPr>
          <w:rFonts w:hint="eastAsia" w:ascii="Times New Roman" w:hAnsi="Times New Roman" w:cs="Times New Roman"/>
          <w:b/>
          <w:bCs/>
          <w:szCs w:val="21"/>
          <w:u w:val="single"/>
        </w:rPr>
        <w:t xml:space="preserve"> </w:t>
      </w:r>
      <w:r>
        <w:rPr>
          <w:rFonts w:ascii="Times New Roman" w:hAnsi="Times New Roman" w:cs="Times New Roman"/>
          <w:b/>
          <w:bCs/>
          <w:szCs w:val="21"/>
          <w:u w:val="single"/>
        </w:rPr>
        <w:t xml:space="preserve">(采购单位名称) </w:t>
      </w:r>
      <w:r>
        <w:rPr>
          <w:rFonts w:ascii="Times New Roman" w:hAnsi="Times New Roman" w:cs="Times New Roman"/>
          <w:szCs w:val="21"/>
        </w:rPr>
        <w:t>的</w:t>
      </w:r>
      <w:r>
        <w:rPr>
          <w:rFonts w:ascii="Times New Roman" w:hAnsi="Times New Roman" w:cs="Times New Roman"/>
          <w:b/>
          <w:bCs/>
          <w:szCs w:val="21"/>
          <w:u w:val="single"/>
        </w:rPr>
        <w:t>（采购项目名称）</w:t>
      </w:r>
      <w:r>
        <w:rPr>
          <w:rFonts w:hint="eastAsia" w:ascii="Times New Roman" w:hAnsi="Times New Roman" w:cs="Times New Roman"/>
          <w:b/>
          <w:bCs/>
          <w:szCs w:val="21"/>
          <w:u w:val="single"/>
        </w:rPr>
        <w:t xml:space="preserve"> </w:t>
      </w:r>
      <w:r>
        <w:rPr>
          <w:rFonts w:ascii="Times New Roman" w:hAnsi="Times New Roman" w:cs="Times New Roman"/>
          <w:szCs w:val="21"/>
        </w:rPr>
        <w:t>采购活动，</w:t>
      </w:r>
      <w:r>
        <w:rPr>
          <w:rFonts w:ascii="Times New Roman" w:hAnsi="Times New Roman" w:cs="Times New Roman"/>
          <w:szCs w:val="21"/>
          <w:u w:val="single"/>
        </w:rPr>
        <w:t>________________________</w:t>
      </w:r>
      <w:r>
        <w:rPr>
          <w:rFonts w:ascii="Times New Roman" w:hAnsi="Times New Roman" w:cs="Times New Roman"/>
          <w:szCs w:val="21"/>
        </w:rPr>
        <w:t>（填写说明：</w:t>
      </w:r>
      <w:r>
        <w:rPr>
          <w:rFonts w:ascii="Times New Roman" w:hAnsi="Times New Roman" w:cs="Times New Roman"/>
          <w:b/>
          <w:bCs/>
          <w:szCs w:val="21"/>
        </w:rPr>
        <w:t>货物类：提供的货物全部由符合政策要求的中小企业制造。</w:t>
      </w:r>
      <w:r>
        <w:rPr>
          <w:rFonts w:ascii="Times New Roman" w:hAnsi="Times New Roman" w:cs="Times New Roman"/>
          <w:szCs w:val="21"/>
        </w:rPr>
        <w:t>服务类：服务全部由符合政策要求的中小企业承接。工程类：工程的施工单位全部为符合政策要求的中小企业。）相关企业（含联合体中的中小企业、签订分包意向协议的中小企业）的具体情况如下：</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bCs/>
          <w:szCs w:val="21"/>
          <w:u w:val="single"/>
        </w:rPr>
        <w:t>（标的名称）</w:t>
      </w:r>
      <w:r>
        <w:rPr>
          <w:rFonts w:ascii="Times New Roman" w:hAnsi="Times New Roman" w:cs="Times New Roman"/>
          <w:szCs w:val="21"/>
        </w:rPr>
        <w:t>，属于</w:t>
      </w:r>
      <w:r>
        <w:rPr>
          <w:rFonts w:ascii="Times New Roman" w:hAnsi="Times New Roman" w:cs="Times New Roman"/>
          <w:b/>
          <w:bCs/>
          <w:szCs w:val="21"/>
          <w:u w:val="single"/>
        </w:rPr>
        <w:t>（采购文件中明确的所属行业）</w:t>
      </w:r>
      <w:r>
        <w:rPr>
          <w:rFonts w:ascii="Times New Roman" w:hAnsi="Times New Roman" w:cs="Times New Roman"/>
          <w:szCs w:val="21"/>
        </w:rPr>
        <w:t>；承建（承接）企业为（企业名称），从业人员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万元1，属于（中型企业、小型企业、微型企业）；</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
          <w:bCs/>
          <w:szCs w:val="21"/>
          <w:u w:val="single"/>
        </w:rPr>
        <w:t>（标的名称）</w:t>
      </w:r>
      <w:r>
        <w:rPr>
          <w:rFonts w:ascii="Times New Roman" w:hAnsi="Times New Roman" w:cs="Times New Roman"/>
          <w:szCs w:val="21"/>
        </w:rPr>
        <w:t>，属于</w:t>
      </w:r>
      <w:r>
        <w:rPr>
          <w:rFonts w:ascii="Times New Roman" w:hAnsi="Times New Roman" w:cs="Times New Roman"/>
          <w:b/>
          <w:bCs/>
          <w:szCs w:val="21"/>
          <w:u w:val="single"/>
        </w:rPr>
        <w:t>（采购文件中明确的所属行业）</w:t>
      </w:r>
      <w:r>
        <w:rPr>
          <w:rFonts w:ascii="Times New Roman" w:hAnsi="Times New Roman" w:cs="Times New Roman"/>
          <w:szCs w:val="21"/>
        </w:rPr>
        <w:t>；承建（承接）企业为（企业名称），从业人员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万元，属于（中型企业、小型企业、微型企业）；</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以上企业，不属于大企业的分支机构，不存在控股股东为大企业的情形，也不存在与大企业的负责人为同一人的情形。</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本企业对上述声明内容的真实性负责。如有虚假，将依法承担相应责任。</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企业名称（盖章）：</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日期：</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备注：1、从业人员、营业收入、资产总额填报上一年度数据，无上一年度数据的新成立企业可不填报。</w:t>
      </w: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w:t>
      </w:r>
      <w:r>
        <w:rPr>
          <w:rFonts w:hint="eastAsia" w:ascii="Times New Roman" w:hAnsi="Times New Roman" w:cs="Times New Roman"/>
          <w:b/>
          <w:sz w:val="32"/>
          <w:szCs w:val="32"/>
        </w:rPr>
        <w:t>二</w:t>
      </w:r>
      <w:r>
        <w:rPr>
          <w:rFonts w:ascii="Times New Roman" w:hAnsi="Times New Roman" w:cs="Times New Roman"/>
          <w:b/>
          <w:sz w:val="32"/>
          <w:szCs w:val="32"/>
        </w:rPr>
        <w:t>）省级以上监狱管理局、戒毒管理局（含新疆生产建设兵团）出具的属于监狱企业的证明文件（样表）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本单位郑重声明，根据《财政部司法部关于政府采购支持监狱企业发展有关问题的通知》（财库〔2014〕68号）的规定，本单位为符合条件的监狱企业，且本单位参加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项目采购活动，并提供:</w:t>
      </w:r>
      <w:r>
        <w:rPr>
          <w:rFonts w:ascii="Times New Roman" w:hAnsi="Times New Roman" w:cs="Times New Roman"/>
          <w:b/>
          <w:bCs/>
          <w:szCs w:val="21"/>
        </w:rPr>
        <w:t>□本单位制造的货物</w:t>
      </w:r>
      <w:r>
        <w:rPr>
          <w:rFonts w:ascii="Times New Roman" w:hAnsi="Times New Roman" w:cs="Times New Roman"/>
          <w:szCs w:val="21"/>
        </w:rPr>
        <w:t>;□由本单位承担的工程、提供服务</w:t>
      </w:r>
      <w:r>
        <w:rPr>
          <w:rFonts w:ascii="Times New Roman" w:hAnsi="Times New Roman" w:cs="Times New Roman"/>
          <w:b/>
          <w:bCs/>
          <w:szCs w:val="21"/>
        </w:rPr>
        <w:t>;□提供其他监狱企业制造的货物（承诺人在□处打√）</w:t>
      </w:r>
      <w:r>
        <w:rPr>
          <w:rFonts w:ascii="Times New Roman" w:hAnsi="Times New Roman" w:cs="Times New Roman"/>
          <w:szCs w:val="21"/>
        </w:rPr>
        <w:t>。本条所称货物是指单一产品采购项目中的货物，或者非单一产品采购项目中的核心产品（货物）。</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本单位对上述声明的真实性负责。如有虚假，将依法承担相应责任。</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附：省级以上监狱管理局、戒毒管理局（含新疆生产建设兵团）出具的监狱企业证明文件。</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w:t>
      </w:r>
      <w:r>
        <w:rPr>
          <w:rFonts w:hint="eastAsia" w:ascii="Times New Roman" w:hAnsi="Times New Roman" w:cs="Times New Roman"/>
          <w:b/>
          <w:sz w:val="32"/>
          <w:szCs w:val="32"/>
        </w:rPr>
        <w:t>三</w:t>
      </w:r>
      <w:r>
        <w:rPr>
          <w:rFonts w:ascii="Times New Roman" w:hAnsi="Times New Roman" w:cs="Times New Roman"/>
          <w:b/>
          <w:sz w:val="32"/>
          <w:szCs w:val="32"/>
        </w:rPr>
        <w:t>）含有小型、微型企业的联合体声明函（样表）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bCs/>
          <w:szCs w:val="21"/>
          <w:u w:val="single"/>
        </w:rPr>
        <w:t>（供应商名称、供应商名称）</w:t>
      </w:r>
      <w:r>
        <w:rPr>
          <w:rFonts w:ascii="Times New Roman" w:hAnsi="Times New Roman" w:cs="Times New Roman"/>
          <w:szCs w:val="21"/>
        </w:rPr>
        <w:t>共同组成联合体（详见联合体协议）。根据《工业和信息化部、国家统计局、国家发展和改革委员会、财政部关于印发中小企业划型标准规定的通知》（工信部联企业〔2011〕300</w:t>
      </w:r>
      <w:r>
        <w:rPr>
          <w:rFonts w:ascii="Times New Roman" w:hAnsi="Times New Roman" w:cs="Times New Roman"/>
          <w:szCs w:val="21"/>
          <w:u w:val="single"/>
        </w:rPr>
        <w:t>_</w:t>
      </w:r>
      <w:r>
        <w:rPr>
          <w:rFonts w:ascii="Times New Roman" w:hAnsi="Times New Roman" w:cs="Times New Roman"/>
          <w:szCs w:val="21"/>
        </w:rPr>
        <w:t>号）规定的划分标准，本联合体中：□</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（请填写：中型、小型、微型）企业；□联合体各方均为小微企业（承诺人在□处打√）。</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2.本联合体参加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项目采购活动，其中，小型、微型企业协议合同金额占到联合体协议总金额比例为</w:t>
      </w:r>
      <w:r>
        <w:rPr>
          <w:rFonts w:ascii="Times New Roman" w:hAnsi="Times New Roman" w:cs="Times New Roman"/>
          <w:szCs w:val="21"/>
          <w:u w:val="single"/>
        </w:rPr>
        <w:t>_____</w:t>
      </w:r>
      <w:r>
        <w:rPr>
          <w:rFonts w:ascii="Times New Roman" w:hAnsi="Times New Roman" w:cs="Times New Roman"/>
          <w:szCs w:val="21"/>
        </w:rPr>
        <w:t>%（该合同金额为：</w:t>
      </w:r>
      <w:r>
        <w:rPr>
          <w:rFonts w:ascii="Times New Roman" w:hAnsi="Times New Roman" w:cs="Times New Roman"/>
          <w:b/>
          <w:bCs/>
          <w:szCs w:val="21"/>
        </w:rPr>
        <w:t>□小微企业制造的货物</w:t>
      </w:r>
      <w:r>
        <w:rPr>
          <w:rFonts w:ascii="Times New Roman" w:hAnsi="Times New Roman" w:cs="Times New Roman"/>
          <w:szCs w:val="21"/>
        </w:rPr>
        <w:t>，□小微企业承担的工程、提供服务，</w:t>
      </w:r>
      <w:r>
        <w:rPr>
          <w:rFonts w:ascii="Times New Roman" w:hAnsi="Times New Roman" w:cs="Times New Roman"/>
          <w:b/>
          <w:bCs/>
          <w:szCs w:val="21"/>
        </w:rPr>
        <w:t>□提供其他小微企业制造的货物；不包括使用大型企业注册商标的货物</w:t>
      </w:r>
      <w:r>
        <w:rPr>
          <w:rFonts w:ascii="Times New Roman" w:hAnsi="Times New Roman" w:cs="Times New Roman"/>
          <w:szCs w:val="21"/>
        </w:rPr>
        <w:t>；请承诺人在□处打√），符合《政府采购促进中小企业发展暂行办法》(财库〔2011〕181</w:t>
      </w:r>
      <w:r>
        <w:rPr>
          <w:rFonts w:ascii="Times New Roman" w:hAnsi="Times New Roman" w:cs="Times New Roman"/>
          <w:szCs w:val="21"/>
          <w:u w:val="single"/>
        </w:rPr>
        <w:t>_</w:t>
      </w:r>
      <w:r>
        <w:rPr>
          <w:rFonts w:ascii="Times New Roman" w:hAnsi="Times New Roman" w:cs="Times New Roman"/>
          <w:szCs w:val="21"/>
        </w:rPr>
        <w:t>号)第六条规定的优惠政策。本联合体对上述声明的真实性负责。如有虚假，将依法承担相应责任。</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企业1名称（盖章）：</w:t>
      </w:r>
      <w:r>
        <w:rPr>
          <w:rFonts w:ascii="Times New Roman" w:hAnsi="Times New Roman" w:cs="Times New Roman"/>
          <w:szCs w:val="21"/>
          <w:u w:val="single"/>
        </w:rPr>
        <w:t>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企业2名称（盖章）：</w:t>
      </w:r>
      <w:r>
        <w:rPr>
          <w:rFonts w:ascii="Times New Roman" w:hAnsi="Times New Roman" w:cs="Times New Roman"/>
          <w:szCs w:val="21"/>
          <w:u w:val="single"/>
        </w:rPr>
        <w:t>_______________________</w:t>
      </w:r>
    </w:p>
    <w:p>
      <w:pPr>
        <w:tabs>
          <w:tab w:val="clear" w:pos="426"/>
        </w:tabs>
        <w:spacing w:line="240" w:lineRule="auto"/>
        <w:ind w:left="424" w:leftChars="202" w:firstLine="420"/>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p>
    <w:p>
      <w:pPr>
        <w:rPr>
          <w:rFonts w:hint="eastAsia"/>
          <w:szCs w:val="21"/>
        </w:rPr>
      </w:pPr>
      <w:r>
        <w:rPr>
          <w:rFonts w:hint="eastAsia"/>
          <w:szCs w:val="21"/>
        </w:rPr>
        <w:br w:type="page"/>
      </w:r>
    </w:p>
    <w:p>
      <w:pPr>
        <w:adjustRightInd/>
        <w:snapToGrid/>
        <w:spacing w:before="280" w:after="290" w:line="377" w:lineRule="auto"/>
        <w:outlineLvl w:val="2"/>
        <w:rPr>
          <w:rFonts w:hint="eastAsia"/>
          <w:b/>
          <w:sz w:val="24"/>
        </w:rPr>
      </w:pPr>
      <w:bookmarkStart w:id="143" w:name="_Toc17528"/>
      <w:r>
        <w:rPr>
          <w:rFonts w:hint="eastAsia"/>
          <w:b/>
          <w:sz w:val="24"/>
        </w:rPr>
        <w:t>格式15：残疾人福利性单位声明函</w:t>
      </w:r>
      <w:bookmarkEnd w:id="143"/>
    </w:p>
    <w:p>
      <w:pPr>
        <w:tabs>
          <w:tab w:val="clear" w:pos="426"/>
        </w:tabs>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填写指引：声明是残疾人福利性单位须填写《残疾人福利性单位声明函》的三项内容（填写位置的字体已加粗），具体参照以上《中小企业声明函》填写要求执行。</w:t>
      </w:r>
    </w:p>
    <w:p>
      <w:pPr>
        <w:rPr>
          <w:rFonts w:hint="eastAsia"/>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残疾人福利性单位声明函（样表）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本单位郑重声明，根据《财政部民政部中国残疾人联合会关于促进残疾人就业政府采购政策的通知》（财库〔2017〕141</w:t>
      </w:r>
      <w:r>
        <w:rPr>
          <w:rFonts w:ascii="Times New Roman" w:hAnsi="Times New Roman" w:cs="Times New Roman"/>
          <w:szCs w:val="21"/>
          <w:u w:val="single"/>
        </w:rPr>
        <w:t>_</w:t>
      </w:r>
      <w:r>
        <w:rPr>
          <w:rFonts w:ascii="Times New Roman" w:hAnsi="Times New Roman" w:cs="Times New Roman"/>
          <w:szCs w:val="21"/>
        </w:rPr>
        <w:t>号）的规定，本单位为符合条件的残疾人福利性单位，且本单位参加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项目采购活动，并提供:</w:t>
      </w:r>
      <w:r>
        <w:rPr>
          <w:rFonts w:ascii="Times New Roman" w:hAnsi="Times New Roman" w:cs="Times New Roman"/>
          <w:b/>
          <w:bCs/>
          <w:szCs w:val="21"/>
        </w:rPr>
        <w:t>□本单位制造的货物</w:t>
      </w:r>
      <w:r>
        <w:rPr>
          <w:rFonts w:ascii="Times New Roman" w:hAnsi="Times New Roman" w:cs="Times New Roman"/>
          <w:szCs w:val="21"/>
        </w:rPr>
        <w:t>;□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tabs>
          <w:tab w:val="clear" w:pos="426"/>
        </w:tabs>
        <w:spacing w:line="440" w:lineRule="exact"/>
        <w:rPr>
          <w:rFonts w:hint="eastAsia"/>
          <w:b/>
          <w:bCs/>
        </w:rPr>
      </w:pPr>
    </w:p>
    <w:p>
      <w:pPr>
        <w:shd w:val="clear" w:color="auto" w:fill="auto"/>
        <w:tabs>
          <w:tab w:val="clear" w:pos="426"/>
        </w:tabs>
        <w:adjustRightInd/>
        <w:snapToGrid/>
        <w:spacing w:line="240" w:lineRule="auto"/>
        <w:jc w:val="left"/>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44" w:name="_Toc14001"/>
      <w:r>
        <w:rPr>
          <w:rFonts w:hint="eastAsia"/>
          <w:b/>
          <w:sz w:val="24"/>
        </w:rPr>
        <w:t>格式16：同类项目业绩情况</w:t>
      </w:r>
      <w:bookmarkEnd w:id="144"/>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021"/>
        <w:gridCol w:w="1487"/>
        <w:gridCol w:w="1487"/>
        <w:gridCol w:w="148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序号</w:t>
            </w:r>
          </w:p>
        </w:tc>
        <w:tc>
          <w:tcPr>
            <w:tcW w:w="2021" w:type="dxa"/>
            <w:vAlign w:val="center"/>
          </w:tcPr>
          <w:p>
            <w:pPr>
              <w:widowControl w:val="0"/>
              <w:shd w:val="clear" w:color="auto" w:fill="auto"/>
              <w:tabs>
                <w:tab w:val="clear" w:pos="426"/>
              </w:tabs>
              <w:spacing w:line="240" w:lineRule="auto"/>
              <w:jc w:val="center"/>
              <w:rPr>
                <w:rFonts w:hint="eastAsia"/>
                <w:b/>
                <w:bCs/>
              </w:rPr>
            </w:pPr>
            <w:r>
              <w:rPr>
                <w:rFonts w:hint="eastAsia"/>
                <w:b/>
                <w:bCs/>
              </w:rPr>
              <w:t>项目名称</w:t>
            </w:r>
          </w:p>
        </w:tc>
        <w:tc>
          <w:tcPr>
            <w:tcW w:w="1487" w:type="dxa"/>
            <w:vAlign w:val="center"/>
          </w:tcPr>
          <w:p>
            <w:pPr>
              <w:widowControl w:val="0"/>
              <w:shd w:val="clear" w:color="auto" w:fill="auto"/>
              <w:tabs>
                <w:tab w:val="clear" w:pos="426"/>
              </w:tabs>
              <w:spacing w:line="240" w:lineRule="auto"/>
              <w:jc w:val="center"/>
              <w:rPr>
                <w:rFonts w:hint="eastAsia"/>
                <w:b/>
                <w:bCs/>
              </w:rPr>
            </w:pPr>
            <w:r>
              <w:rPr>
                <w:rFonts w:hint="eastAsia"/>
                <w:b/>
                <w:bCs/>
              </w:rPr>
              <w:t>合同金额</w:t>
            </w:r>
          </w:p>
        </w:tc>
        <w:tc>
          <w:tcPr>
            <w:tcW w:w="1487" w:type="dxa"/>
            <w:vAlign w:val="center"/>
          </w:tcPr>
          <w:p>
            <w:pPr>
              <w:widowControl w:val="0"/>
              <w:shd w:val="clear" w:color="auto" w:fill="auto"/>
              <w:tabs>
                <w:tab w:val="clear" w:pos="426"/>
              </w:tabs>
              <w:spacing w:line="240" w:lineRule="auto"/>
              <w:jc w:val="center"/>
              <w:rPr>
                <w:rFonts w:hint="eastAsia"/>
                <w:b/>
                <w:bCs/>
              </w:rPr>
            </w:pPr>
            <w:r>
              <w:rPr>
                <w:rFonts w:hint="eastAsia"/>
                <w:b/>
                <w:bCs/>
              </w:rPr>
              <w:t>签约日期</w:t>
            </w:r>
          </w:p>
        </w:tc>
        <w:tc>
          <w:tcPr>
            <w:tcW w:w="1488" w:type="dxa"/>
            <w:vAlign w:val="center"/>
          </w:tcPr>
          <w:p>
            <w:pPr>
              <w:widowControl w:val="0"/>
              <w:shd w:val="clear" w:color="auto" w:fill="auto"/>
              <w:tabs>
                <w:tab w:val="clear" w:pos="426"/>
              </w:tabs>
              <w:spacing w:line="240" w:lineRule="auto"/>
              <w:jc w:val="center"/>
              <w:rPr>
                <w:rFonts w:hint="eastAsia"/>
                <w:b/>
                <w:bCs/>
              </w:rPr>
            </w:pPr>
            <w:r>
              <w:rPr>
                <w:rFonts w:hint="eastAsia"/>
                <w:b/>
                <w:bCs/>
              </w:rPr>
              <w:t>完工验收结果</w:t>
            </w:r>
          </w:p>
        </w:tc>
        <w:tc>
          <w:tcPr>
            <w:tcW w:w="1488" w:type="dxa"/>
            <w:vAlign w:val="center"/>
          </w:tcPr>
          <w:p>
            <w:pPr>
              <w:widowControl w:val="0"/>
              <w:shd w:val="clear" w:color="auto" w:fill="auto"/>
              <w:tabs>
                <w:tab w:val="clear" w:pos="426"/>
              </w:tabs>
              <w:spacing w:line="240" w:lineRule="auto"/>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1</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2</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3</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b/>
                <w:bCs/>
              </w:rPr>
              <w:t>……</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bl>
    <w:p>
      <w:pPr>
        <w:tabs>
          <w:tab w:val="clear" w:pos="426"/>
        </w:tabs>
        <w:spacing w:line="440" w:lineRule="exact"/>
        <w:rPr>
          <w:rFonts w:hint="eastAsia"/>
          <w:b/>
          <w:bCs/>
        </w:rPr>
      </w:pPr>
      <w:r>
        <w:rPr>
          <w:rFonts w:hint="eastAsia"/>
          <w:b/>
          <w:bCs/>
        </w:rPr>
        <w:t>备注：1.以上表格格式可根据评审表的要求调整，业绩证明材料及其他相关资料附后。</w:t>
      </w:r>
    </w:p>
    <w:p>
      <w:pPr>
        <w:shd w:val="clear" w:color="auto" w:fill="auto"/>
        <w:tabs>
          <w:tab w:val="clear" w:pos="426"/>
        </w:tabs>
        <w:adjustRightInd/>
        <w:snapToGrid/>
        <w:spacing w:line="240" w:lineRule="auto"/>
        <w:jc w:val="left"/>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45" w:name="_Toc27416"/>
      <w:r>
        <w:rPr>
          <w:rFonts w:hint="eastAsia"/>
          <w:b/>
          <w:sz w:val="24"/>
        </w:rPr>
        <w:t>格式17：相关认证情况</w:t>
      </w:r>
      <w:bookmarkEnd w:id="145"/>
    </w:p>
    <w:p>
      <w:pPr>
        <w:tabs>
          <w:tab w:val="clear" w:pos="426"/>
        </w:tabs>
        <w:spacing w:line="440" w:lineRule="exact"/>
        <w:rPr>
          <w:rFonts w:hint="eastAsia"/>
          <w:b/>
          <w:bCs/>
        </w:rPr>
      </w:pPr>
    </w:p>
    <w:p>
      <w:pPr>
        <w:tabs>
          <w:tab w:val="clear" w:pos="426"/>
        </w:tabs>
        <w:spacing w:line="440" w:lineRule="exact"/>
        <w:rPr>
          <w:rFonts w:hint="eastAsia"/>
          <w:b/>
          <w:szCs w:val="21"/>
        </w:rPr>
      </w:pPr>
      <w:r>
        <w:rPr>
          <w:rFonts w:hint="eastAsia"/>
          <w:b/>
          <w:bCs/>
        </w:rPr>
        <w:t>备注：以上节点请</w:t>
      </w:r>
      <w:r>
        <w:rPr>
          <w:rFonts w:hint="eastAsia"/>
          <w:b/>
          <w:szCs w:val="21"/>
        </w:rPr>
        <w:t>根据评审表的要求提交相应资料，格式自拟。</w:t>
      </w:r>
      <w:bookmarkEnd w:id="100"/>
      <w:bookmarkEnd w:id="101"/>
      <w:bookmarkEnd w:id="102"/>
      <w:bookmarkEnd w:id="103"/>
    </w:p>
    <w:p>
      <w:pPr>
        <w:pStyle w:val="81"/>
        <w:tabs>
          <w:tab w:val="clear" w:pos="426"/>
        </w:tabs>
      </w:pPr>
      <w:r>
        <w:br w:type="page"/>
      </w:r>
      <w:bookmarkStart w:id="146" w:name="_Toc530152521"/>
      <w:bookmarkStart w:id="147" w:name="_Toc14427253"/>
      <w:bookmarkStart w:id="148" w:name="_Toc25882"/>
      <w:r>
        <w:rPr>
          <w:rFonts w:hint="eastAsia"/>
        </w:rPr>
        <w:t>招标文件第二册（通用</w:t>
      </w:r>
      <w:bookmarkEnd w:id="146"/>
      <w:bookmarkEnd w:id="147"/>
      <w:r>
        <w:rPr>
          <w:rFonts w:hint="eastAsia"/>
        </w:rPr>
        <w:t>部分）</w:t>
      </w:r>
      <w:bookmarkEnd w:id="148"/>
    </w:p>
    <w:p>
      <w:pPr>
        <w:jc w:val="center"/>
        <w:rPr>
          <w:rFonts w:hint="eastAsia"/>
          <w:b/>
        </w:rPr>
      </w:pPr>
      <w:r>
        <w:rPr>
          <w:rFonts w:hint="eastAsia"/>
          <w:b/>
        </w:rPr>
        <w:t>（投标供应商须知）</w:t>
      </w:r>
    </w:p>
    <w:p>
      <w:pPr>
        <w:pStyle w:val="5"/>
        <w:rPr>
          <w:rFonts w:hint="eastAsia"/>
        </w:rPr>
      </w:pPr>
      <w:bookmarkStart w:id="149" w:name="_Toc14427254"/>
      <w:bookmarkStart w:id="150" w:name="_Toc530152522"/>
      <w:bookmarkStart w:id="151" w:name="_Toc18466"/>
      <w:bookmarkStart w:id="152" w:name="_Toc529280581"/>
      <w:r>
        <w:rPr>
          <w:rFonts w:hint="eastAsia"/>
        </w:rPr>
        <w:t>第一章 总则</w:t>
      </w:r>
      <w:bookmarkEnd w:id="149"/>
      <w:bookmarkEnd w:id="150"/>
      <w:bookmarkEnd w:id="151"/>
      <w:bookmarkEnd w:id="152"/>
    </w:p>
    <w:p>
      <w:pPr>
        <w:tabs>
          <w:tab w:val="clear" w:pos="426"/>
        </w:tabs>
        <w:rPr>
          <w:rFonts w:hint="eastAsia"/>
        </w:rPr>
      </w:pPr>
      <w:r>
        <w:rPr>
          <w:rFonts w:hint="eastAsia"/>
        </w:rPr>
        <w:t>1.通用条款说明</w:t>
      </w:r>
    </w:p>
    <w:p>
      <w:pPr>
        <w:tabs>
          <w:tab w:val="clear" w:pos="426"/>
        </w:tabs>
        <w:rPr>
          <w:rFonts w:hint="eastAsia"/>
        </w:rPr>
      </w:pPr>
      <w:r>
        <w:rPr>
          <w:rFonts w:hint="eastAsia"/>
        </w:rPr>
        <w:t>1.1采购代理机构发出招标文件通用条款版本，列出采购项目进行招标采购所适用的通用条款内容。如有需要，采购代理机构可以对这些条款增加附录或补充内容。</w:t>
      </w:r>
    </w:p>
    <w:p>
      <w:pPr>
        <w:tabs>
          <w:tab w:val="clear" w:pos="426"/>
        </w:tabs>
        <w:rPr>
          <w:rFonts w:hint="eastAsia"/>
        </w:rPr>
      </w:pPr>
      <w:r>
        <w:rPr>
          <w:rFonts w:hint="eastAsia"/>
        </w:rPr>
        <w:t>2</w:t>
      </w:r>
      <w:r>
        <w:t>．</w:t>
      </w:r>
      <w:r>
        <w:rPr>
          <w:rFonts w:hint="eastAsia"/>
        </w:rPr>
        <w:t>招标说明</w:t>
      </w:r>
    </w:p>
    <w:p>
      <w:pPr>
        <w:tabs>
          <w:tab w:val="clear" w:pos="426"/>
        </w:tabs>
        <w:rPr>
          <w:rFonts w:hint="eastAsia"/>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本招标文件适用于采购公告中所述项目的政府采购。</w:t>
      </w:r>
    </w:p>
    <w:p>
      <w:pPr>
        <w:tabs>
          <w:tab w:val="clear" w:pos="426"/>
        </w:tabs>
        <w:rPr>
          <w:rFonts w:hint="eastAsia"/>
          <w:szCs w:val="21"/>
        </w:rPr>
      </w:pPr>
      <w:r>
        <w:rPr>
          <w:rFonts w:hint="eastAsia"/>
          <w:szCs w:val="21"/>
        </w:rPr>
        <w:t>本招标文件的解释权归属深圳市深水水务咨询有限公司。</w:t>
      </w:r>
    </w:p>
    <w:p>
      <w:pPr>
        <w:tabs>
          <w:tab w:val="clear" w:pos="426"/>
        </w:tabs>
        <w:rPr>
          <w:rFonts w:hint="eastAsia"/>
        </w:rPr>
      </w:pPr>
      <w:r>
        <w:t>3．定义</w:t>
      </w:r>
    </w:p>
    <w:p>
      <w:pPr>
        <w:tabs>
          <w:tab w:val="clear" w:pos="426"/>
        </w:tabs>
        <w:rPr>
          <w:rFonts w:hint="eastAsia"/>
        </w:rPr>
      </w:pPr>
      <w:r>
        <w:t>招标文件中下列术语应解释为：</w:t>
      </w:r>
    </w:p>
    <w:p>
      <w:pPr>
        <w:tabs>
          <w:tab w:val="clear" w:pos="426"/>
        </w:tabs>
        <w:rPr>
          <w:rFonts w:hint="eastAsia"/>
        </w:rPr>
      </w:pPr>
      <w:r>
        <w:rPr>
          <w:szCs w:val="21"/>
        </w:rPr>
        <w:t>3.1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pPr>
        <w:tabs>
          <w:tab w:val="clear" w:pos="426"/>
        </w:tabs>
        <w:rPr>
          <w:rFonts w:hint="eastAsia"/>
        </w:rPr>
      </w:pPr>
      <w:r>
        <w:t xml:space="preserve">3.2“采购人”或“采购单位”：系指利用财政性资金依法进行采购的国家机关、事业单位、团体组织； </w:t>
      </w:r>
    </w:p>
    <w:p>
      <w:pPr>
        <w:tabs>
          <w:tab w:val="clear" w:pos="426"/>
        </w:tabs>
        <w:rPr>
          <w:rFonts w:hint="eastAsia"/>
        </w:rPr>
      </w:pPr>
      <w:r>
        <w:t>3.3“投标供应商”或“投标方”，即供应商，是指参加投标竞争并愿意按照招标文件要求向采购人提供货物、工程或者服务的依法成立的法人、其他组织或者自然人；</w:t>
      </w:r>
    </w:p>
    <w:p>
      <w:pPr>
        <w:tabs>
          <w:tab w:val="clear" w:pos="426"/>
        </w:tabs>
        <w:rPr>
          <w:rFonts w:hint="eastAsia"/>
        </w:rPr>
      </w:pPr>
      <w:r>
        <w:t>3.4“评标委员会”和“谈判小组”是依据有关规定组建的专门负责本次招标其评标（谈判）工作的临时性机构；</w:t>
      </w:r>
    </w:p>
    <w:p>
      <w:pPr>
        <w:tabs>
          <w:tab w:val="clear" w:pos="426"/>
        </w:tabs>
        <w:rPr>
          <w:rFonts w:hint="eastAsia"/>
        </w:rPr>
      </w:pPr>
      <w:r>
        <w:t>3.5“日期”指</w:t>
      </w:r>
      <w:r>
        <w:rPr>
          <w:rFonts w:hint="eastAsia"/>
        </w:rPr>
        <w:t>公历日；</w:t>
      </w:r>
    </w:p>
    <w:p>
      <w:pPr>
        <w:tabs>
          <w:tab w:val="clear" w:pos="426"/>
        </w:tabs>
        <w:rPr>
          <w:rFonts w:hint="eastAsia"/>
        </w:rPr>
      </w:pPr>
      <w:r>
        <w:t>3.6“合同”指由本次招标所产生的合同或合约文件；</w:t>
      </w:r>
    </w:p>
    <w:p>
      <w:pPr>
        <w:tabs>
          <w:tab w:val="clear" w:pos="426"/>
        </w:tabs>
        <w:rPr>
          <w:rFonts w:hint="eastAsia"/>
        </w:rPr>
      </w:pPr>
      <w:r>
        <w:t>3.7招标文件中的标题或题名仅起引导作用，而不应视为对招标文件内容的理解和解释。</w:t>
      </w:r>
    </w:p>
    <w:p>
      <w:pPr>
        <w:tabs>
          <w:tab w:val="clear" w:pos="426"/>
        </w:tabs>
        <w:rPr>
          <w:rFonts w:hint="eastAsia"/>
        </w:rPr>
      </w:pPr>
      <w:r>
        <w:t>4.</w:t>
      </w:r>
      <w:r>
        <w:rPr>
          <w:rFonts w:hint="eastAsia"/>
        </w:rPr>
        <w:t>供应商责任</w:t>
      </w:r>
    </w:p>
    <w:p>
      <w:pPr>
        <w:tabs>
          <w:tab w:val="clear" w:pos="426"/>
        </w:tabs>
        <w:rPr>
          <w:rFonts w:hint="eastAsia"/>
        </w:rPr>
      </w:pPr>
      <w:r>
        <w:t>4.1欢迎诚信、有实力和有社会责任心的供应商参与采购事业。</w:t>
      </w:r>
    </w:p>
    <w:p>
      <w:pPr>
        <w:tabs>
          <w:tab w:val="clear" w:pos="426"/>
        </w:tabs>
        <w:rPr>
          <w:rFonts w:hint="eastAsia"/>
        </w:rPr>
      </w:pPr>
      <w: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相关监督管理部门给予一定年限内禁止参加采购活动的处罚或其他处罚。</w:t>
      </w:r>
    </w:p>
    <w:p>
      <w:pPr>
        <w:tabs>
          <w:tab w:val="clear" w:pos="426"/>
        </w:tabs>
        <w:rPr>
          <w:rFonts w:hint="eastAsia"/>
        </w:rPr>
      </w:pPr>
      <w:r>
        <w:t>5．合格的投标供应商</w:t>
      </w:r>
    </w:p>
    <w:p>
      <w:pPr>
        <w:widowControl w:val="0"/>
        <w:shd w:val="clear" w:color="auto" w:fill="auto"/>
        <w:tabs>
          <w:tab w:val="clear" w:pos="426"/>
        </w:tabs>
        <w:autoSpaceDE w:val="0"/>
        <w:autoSpaceDN w:val="0"/>
        <w:rPr>
          <w:rFonts w:hint="eastAsia"/>
          <w:szCs w:val="21"/>
        </w:rPr>
      </w:pPr>
      <w:r>
        <w:rPr>
          <w:szCs w:val="21"/>
        </w:rPr>
        <w:t xml:space="preserve">5.1 </w:t>
      </w:r>
      <w:r>
        <w:rPr>
          <w:rFonts w:hint="eastAsia"/>
          <w:szCs w:val="21"/>
        </w:rPr>
        <w:t>投标供应商是响应招标并且符合招标文件规定资格条件和参加投标竞争的法人、其他组织或者自然人。</w:t>
      </w:r>
    </w:p>
    <w:p>
      <w:pPr>
        <w:widowControl w:val="0"/>
        <w:shd w:val="clear" w:color="auto" w:fill="auto"/>
        <w:tabs>
          <w:tab w:val="clear" w:pos="426"/>
        </w:tabs>
        <w:autoSpaceDE w:val="0"/>
        <w:autoSpaceDN w:val="0"/>
        <w:rPr>
          <w:rFonts w:hint="eastAsia"/>
          <w:szCs w:val="21"/>
          <w:lang w:eastAsia="zh-TW"/>
        </w:rPr>
      </w:pPr>
      <w:r>
        <w:rPr>
          <w:szCs w:val="21"/>
        </w:rPr>
        <w:t xml:space="preserve">5.2 </w:t>
      </w:r>
      <w:r>
        <w:rPr>
          <w:rFonts w:hint="eastAsia"/>
          <w:szCs w:val="21"/>
          <w:lang w:eastAsia="zh-TW"/>
        </w:rPr>
        <w:t>合格的投标供应商</w:t>
      </w:r>
    </w:p>
    <w:p>
      <w:pPr>
        <w:widowControl w:val="0"/>
        <w:shd w:val="clear" w:color="auto" w:fill="auto"/>
        <w:tabs>
          <w:tab w:val="clear" w:pos="426"/>
        </w:tabs>
        <w:autoSpaceDE w:val="0"/>
        <w:autoSpaceDN w:val="0"/>
        <w:rPr>
          <w:rFonts w:hint="eastAsia"/>
          <w:szCs w:val="21"/>
        </w:rPr>
      </w:pPr>
      <w:r>
        <w:rPr>
          <w:szCs w:val="21"/>
        </w:rPr>
        <w:t>5.2.1 具有独立承担民事责任的能力。</w:t>
      </w:r>
    </w:p>
    <w:p>
      <w:pPr>
        <w:widowControl w:val="0"/>
        <w:shd w:val="clear" w:color="auto" w:fill="auto"/>
        <w:tabs>
          <w:tab w:val="clear" w:pos="426"/>
        </w:tabs>
        <w:autoSpaceDE w:val="0"/>
        <w:autoSpaceDN w:val="0"/>
        <w:rPr>
          <w:rFonts w:hint="eastAsia"/>
          <w:szCs w:val="21"/>
        </w:rPr>
      </w:pPr>
      <w:r>
        <w:rPr>
          <w:szCs w:val="21"/>
        </w:rPr>
        <w:t>5.2.2 具有良好的商业信誉和健全的财务会计制度</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5.2.3 具有履行合同所必需的</w:t>
      </w:r>
      <w:r>
        <w:rPr>
          <w:rFonts w:hint="eastAsia"/>
          <w:szCs w:val="21"/>
        </w:rPr>
        <w:t>设备</w:t>
      </w:r>
      <w:r>
        <w:rPr>
          <w:szCs w:val="21"/>
        </w:rPr>
        <w:t>和专业技术能力</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5.2.4 有依法缴纳税收和社会保障资金的良好记录</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5.2.5 参加采购活动前三年内，在经营活动中没有重大违法记录</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5.2.6 法律、行政法规规定的其他条件</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 xml:space="preserve">5.2.7 </w:t>
      </w:r>
      <w:r>
        <w:rPr>
          <w:rFonts w:hint="eastAsia"/>
          <w:szCs w:val="21"/>
        </w:rPr>
        <w:t>只有在法律上和财务上独立、合法运作并独立于采购人和代理机构的供货商才能参加投标。</w:t>
      </w:r>
    </w:p>
    <w:p>
      <w:pPr>
        <w:widowControl w:val="0"/>
        <w:shd w:val="clear" w:color="auto" w:fill="auto"/>
        <w:tabs>
          <w:tab w:val="clear" w:pos="426"/>
        </w:tabs>
        <w:autoSpaceDE w:val="0"/>
        <w:autoSpaceDN w:val="0"/>
        <w:rPr>
          <w:rFonts w:hint="eastAsia"/>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rFonts w:hint="eastAsia"/>
          <w:szCs w:val="21"/>
        </w:rPr>
      </w:pPr>
      <w:r>
        <w:rPr>
          <w:szCs w:val="21"/>
        </w:rPr>
        <w:t xml:space="preserve">5.2.9 </w:t>
      </w:r>
      <w:r>
        <w:rPr>
          <w:rFonts w:hint="eastAsia"/>
          <w:szCs w:val="21"/>
        </w:rPr>
        <w:t>符合</w:t>
      </w:r>
      <w:r>
        <w:rPr>
          <w:rFonts w:hint="eastAsia" w:cs="黑体"/>
          <w:szCs w:val="21"/>
        </w:rPr>
        <w:t>第一章采购公告“投标供应商资格要求”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rFonts w:hint="eastAsia"/>
          <w:szCs w:val="21"/>
        </w:rPr>
      </w:pPr>
      <w:r>
        <w:rPr>
          <w:szCs w:val="21"/>
        </w:rPr>
        <w:t xml:space="preserve">5.3 </w:t>
      </w:r>
      <w:r>
        <w:rPr>
          <w:rFonts w:hint="eastAsia"/>
          <w:szCs w:val="21"/>
        </w:rPr>
        <w:t>中标供应商是指经法定程序确定并授予合同的投标供应商。</w:t>
      </w:r>
    </w:p>
    <w:p>
      <w:pPr>
        <w:tabs>
          <w:tab w:val="clear" w:pos="426"/>
        </w:tabs>
        <w:rPr>
          <w:rFonts w:hint="eastAsia"/>
        </w:rPr>
      </w:pPr>
      <w:r>
        <w:t>6．联合体投标</w:t>
      </w:r>
    </w:p>
    <w:p>
      <w:pPr>
        <w:tabs>
          <w:tab w:val="clear" w:pos="426"/>
        </w:tabs>
        <w:rPr>
          <w:rFonts w:hint="eastAsia"/>
        </w:rPr>
      </w:pPr>
      <w:r>
        <w:t>6.1　以下有关联合体投标的条款仅适用于允许投标供应商组成联合体投标的项目。</w:t>
      </w:r>
    </w:p>
    <w:p>
      <w:pPr>
        <w:tabs>
          <w:tab w:val="clear" w:pos="426"/>
        </w:tabs>
        <w:rPr>
          <w:rFonts w:hint="eastAsia"/>
        </w:rPr>
      </w:pPr>
      <w:r>
        <w:t>6.2　由两个或两个以上的自然人、法人或者其他组织可以组成一个联合体，以一个供应商的身份共同投标时，应符合以下原则：</w:t>
      </w:r>
    </w:p>
    <w:p>
      <w:pPr>
        <w:tabs>
          <w:tab w:val="clear" w:pos="426"/>
        </w:tabs>
        <w:rPr>
          <w:rFonts w:hint="eastAsia"/>
        </w:rPr>
      </w:pPr>
      <w:r>
        <w:t>6.2.</w:t>
      </w:r>
      <w:r>
        <w:rPr>
          <w:bCs/>
        </w:rPr>
        <w:t>1投标联合体应满足采购公告有关投标供应商资格要求中对联合体的要求；</w:t>
      </w:r>
    </w:p>
    <w:p>
      <w:pPr>
        <w:tabs>
          <w:tab w:val="clear" w:pos="426"/>
        </w:tabs>
        <w:rPr>
          <w:rFonts w:hint="eastAsia"/>
        </w:rPr>
      </w:pPr>
      <w:r>
        <w:t>6.2.2对于采购公告中所要求投标供应商应具有的某一资质，若联合体各方均具有，则将以联合体各方中最低的资质等级作为联合体在这一资质条件上的资质等级；联合体各方的不同资质可优势互补。</w:t>
      </w:r>
    </w:p>
    <w:p>
      <w:pPr>
        <w:tabs>
          <w:tab w:val="clear" w:pos="426"/>
        </w:tabs>
        <w:rPr>
          <w:rFonts w:hint="eastAsia"/>
        </w:rPr>
      </w:pPr>
      <w:r>
        <w:t>6.2.3投标供应商的投标文件及中标后签署的合同协议对联合体各方均具法律约束力；</w:t>
      </w:r>
    </w:p>
    <w:p>
      <w:pPr>
        <w:tabs>
          <w:tab w:val="clear" w:pos="426"/>
        </w:tabs>
        <w:rPr>
          <w:rFonts w:hint="eastAsia"/>
        </w:rPr>
      </w:pPr>
      <w:r>
        <w:t>6.2.4联合体各方应当签订共同投标协议，明确约定各方拟承担的工作和责任，并将该共同投标协议随投标文件一并递交给代理机构；</w:t>
      </w:r>
    </w:p>
    <w:p>
      <w:pPr>
        <w:tabs>
          <w:tab w:val="clear" w:pos="426"/>
        </w:tabs>
        <w:rPr>
          <w:rFonts w:hint="eastAsia"/>
        </w:rPr>
      </w:pPr>
      <w:r>
        <w:t>6.2.5联合体的各方应当共同推荐一联合体投标授权代表人，由联合体各方提交一份授权书，证明其有资格代表联合体各方签署投标文件，该授权书作为投标文件的组成部分一并提交给代理机构；</w:t>
      </w:r>
    </w:p>
    <w:p>
      <w:pPr>
        <w:tabs>
          <w:tab w:val="clear" w:pos="426"/>
        </w:tabs>
        <w:rPr>
          <w:rFonts w:hint="eastAsia"/>
        </w:rPr>
      </w:pPr>
      <w: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rFonts w:hint="eastAsia"/>
        </w:rPr>
      </w:pPr>
      <w:r>
        <w:t>6.2.7除非另有规定或说明，本须知中“投标供应商”一词亦指联合体各方。</w:t>
      </w:r>
    </w:p>
    <w:p>
      <w:pPr>
        <w:tabs>
          <w:tab w:val="clear" w:pos="426"/>
        </w:tabs>
        <w:rPr>
          <w:rFonts w:hint="eastAsia"/>
        </w:rPr>
      </w:pPr>
      <w:r>
        <w:t xml:space="preserve">7. </w:t>
      </w:r>
      <w:r>
        <w:rPr>
          <w:rFonts w:hint="eastAsia"/>
        </w:rPr>
        <w:t>合格的服务和货物</w:t>
      </w:r>
    </w:p>
    <w:p>
      <w:pPr>
        <w:widowControl w:val="0"/>
        <w:shd w:val="clear" w:color="auto" w:fill="auto"/>
        <w:tabs>
          <w:tab w:val="clear" w:pos="426"/>
        </w:tabs>
        <w:autoSpaceDE w:val="0"/>
        <w:autoSpaceDN w:val="0"/>
        <w:rPr>
          <w:rFonts w:hint="eastAsia"/>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hint="eastAsia"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rFonts w:hint="eastAsia"/>
          <w:szCs w:val="21"/>
        </w:rPr>
      </w:pPr>
      <w:r>
        <w:rPr>
          <w:szCs w:val="21"/>
        </w:rPr>
        <w:t xml:space="preserve">7.3 </w:t>
      </w:r>
      <w:r>
        <w:rPr>
          <w:rFonts w:hint="eastAsia"/>
          <w:szCs w:val="21"/>
        </w:rPr>
        <w:t>投标供应商提供的所有服务，其质量、技术等特征必须符合国家、行业现行法律、法规的相关标准和《中华人民共和国政府采购法》的有关规定及用户需求。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rFonts w:hint="eastAsia"/>
          <w:szCs w:val="21"/>
        </w:rPr>
      </w:pPr>
      <w:r>
        <w:rPr>
          <w:szCs w:val="21"/>
        </w:rPr>
        <w:t xml:space="preserve">7.4 </w:t>
      </w:r>
      <w:r>
        <w:rPr>
          <w:rFonts w:hint="eastAsia"/>
          <w:szCs w:val="21"/>
        </w:rPr>
        <w:t>采购人有权拒绝接受任何不合格的服务，由此产生的费用及相关后果均由供应商自行承担。</w:t>
      </w:r>
    </w:p>
    <w:p>
      <w:pPr>
        <w:widowControl w:val="0"/>
        <w:shd w:val="clear" w:color="auto" w:fill="auto"/>
        <w:tabs>
          <w:tab w:val="clear" w:pos="426"/>
        </w:tabs>
        <w:autoSpaceDE w:val="0"/>
        <w:autoSpaceDN w:val="0"/>
        <w:rPr>
          <w:rFonts w:hint="eastAsia"/>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pPr>
        <w:tabs>
          <w:tab w:val="clear" w:pos="426"/>
        </w:tabs>
        <w:rPr>
          <w:rFonts w:hint="eastAsia"/>
        </w:rPr>
      </w:pPr>
      <w:r>
        <w:t>8．投标费用</w:t>
      </w:r>
    </w:p>
    <w:p>
      <w:pPr>
        <w:tabs>
          <w:tab w:val="clear" w:pos="426"/>
        </w:tabs>
        <w:rPr>
          <w:rFonts w:hint="eastAsia"/>
        </w:rPr>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pPr>
        <w:tabs>
          <w:tab w:val="clear" w:pos="426"/>
        </w:tabs>
        <w:rPr>
          <w:rFonts w:hint="eastAsia"/>
        </w:rPr>
      </w:pPr>
      <w:r>
        <w:t>9．踏勘现场</w:t>
      </w:r>
    </w:p>
    <w:p>
      <w:pPr>
        <w:tabs>
          <w:tab w:val="clear" w:pos="426"/>
        </w:tabs>
        <w:rPr>
          <w:rFonts w:hint="eastAsia"/>
        </w:rPr>
      </w:pPr>
      <w:r>
        <w:t>9.1如有需要，采购代理机构或采购单位将组织投标供应商对项目现场及周围环境进行踏勘，以便投标供应商获取有关编制投标文件和签署合同所需的所有资料。踏勘现场所发生的费用和风险由投标供应商自己承担，投标供应商应按采购公告所约定的时间、地点统一踏勘现场。</w:t>
      </w:r>
    </w:p>
    <w:p>
      <w:pPr>
        <w:tabs>
          <w:tab w:val="clear" w:pos="426"/>
        </w:tabs>
        <w:rPr>
          <w:rFonts w:hint="eastAsia"/>
        </w:rPr>
      </w:pPr>
      <w:r>
        <w:t>9.2投标供应商及其人员经过采购单位的允许，可以踏勘目的进入采购单位的项目现场。若本项目招标文件要求投标供应商于统一时间地点踏勘现场的，投标供应商按时前往。</w:t>
      </w:r>
    </w:p>
    <w:p>
      <w:pPr>
        <w:tabs>
          <w:tab w:val="clear" w:pos="426"/>
        </w:tabs>
        <w:rPr>
          <w:rFonts w:hint="eastAsia"/>
        </w:rPr>
      </w:pPr>
      <w:r>
        <w:t>9.3采购单位必须通过采购代理机构向投标供应商提供有关现场的资料和数据。</w:t>
      </w:r>
    </w:p>
    <w:p>
      <w:pPr>
        <w:tabs>
          <w:tab w:val="clear" w:pos="426"/>
        </w:tabs>
        <w:rPr>
          <w:rFonts w:hint="eastAsia"/>
        </w:rPr>
      </w:pPr>
      <w:r>
        <w:t>9.4任何人或任何组织在踏勘现场时向投标供应商提交的任何书面或口头上的资料，未经采购代理机构在网上发布或书面通知，均作无效处理。采购代理机构对投标供应商由此而做出的推论、理解和结论概不负责。</w:t>
      </w:r>
    </w:p>
    <w:p>
      <w:pPr>
        <w:tabs>
          <w:tab w:val="clear" w:pos="426"/>
        </w:tabs>
        <w:rPr>
          <w:rFonts w:hint="eastAsia"/>
        </w:rPr>
      </w:pPr>
      <w:r>
        <w:t xml:space="preserve">9.5 </w:t>
      </w:r>
      <w:r>
        <w:rPr>
          <w:rFonts w:hint="eastAsia"/>
        </w:rPr>
        <w:t>未参与现场踏勘不作为否定投标供应商资格的理由。</w:t>
      </w:r>
    </w:p>
    <w:p>
      <w:pPr>
        <w:tabs>
          <w:tab w:val="clear" w:pos="426"/>
        </w:tabs>
        <w:rPr>
          <w:rFonts w:hint="eastAsia"/>
        </w:rPr>
      </w:pPr>
      <w:r>
        <w:t>10．招标答疑</w:t>
      </w:r>
    </w:p>
    <w:p>
      <w:pPr>
        <w:tabs>
          <w:tab w:val="clear" w:pos="426"/>
        </w:tabs>
        <w:rPr>
          <w:rFonts w:hint="eastAsia"/>
        </w:rPr>
      </w:pPr>
      <w:r>
        <w:t>10.1招标答疑的目的是澄清、解答投标供应商在查阅招标文件后或现场踏勘中可能提出的与投标有关的疑问或询问。</w:t>
      </w:r>
    </w:p>
    <w:p>
      <w:pPr>
        <w:tabs>
          <w:tab w:val="clear" w:pos="426"/>
        </w:tabs>
        <w:rPr>
          <w:rFonts w:hint="eastAsia"/>
        </w:rPr>
      </w:pPr>
      <w:r>
        <w:t xml:space="preserve">10.2投标供应商提出的与投标有关的问题须在招标文件规定的答疑截止时间前以 </w:t>
      </w:r>
      <w:r>
        <w:rPr>
          <w:rFonts w:hint="eastAsia"/>
        </w:rPr>
        <w:t>“质疑函</w:t>
      </w:r>
      <w:r>
        <w:t>”</w:t>
      </w:r>
      <w:r>
        <w:rPr>
          <w:rFonts w:hint="eastAsia"/>
        </w:rPr>
        <w:t>的形式提交给采购代理机构，质疑函应该加盖质疑单位公章。</w:t>
      </w:r>
    </w:p>
    <w:p>
      <w:pPr>
        <w:tabs>
          <w:tab w:val="clear" w:pos="426"/>
        </w:tabs>
        <w:rPr>
          <w:rFonts w:hint="eastAsia"/>
        </w:rPr>
      </w:pPr>
      <w:r>
        <w:t>10.3采购代理机构对疑问所做出的澄清和解答，以书面答复（包括网站发布信息）为准。答疑纪要的有效性规定按照本通用条款第13.3</w:t>
      </w:r>
      <w:r>
        <w:rPr>
          <w:rFonts w:hint="eastAsia"/>
        </w:rPr>
        <w:t>、</w:t>
      </w:r>
      <w:r>
        <w:t>13.4</w:t>
      </w:r>
      <w:r>
        <w:rPr>
          <w:rFonts w:hint="eastAsia"/>
        </w:rPr>
        <w:t>款规定执行。</w:t>
      </w:r>
    </w:p>
    <w:p>
      <w:pPr>
        <w:tabs>
          <w:tab w:val="clear" w:pos="426"/>
        </w:tabs>
        <w:rPr>
          <w:rFonts w:hint="eastAsia"/>
        </w:rPr>
      </w:pPr>
      <w:r>
        <w:t>10.4如采购代理机构认为有必要组织现场答疑会，投标供应商应按照招标文件规定的时间或采购代理机构另行书面通知（包括网站发布的通知）的时间和地点，参与现场答疑会。</w:t>
      </w:r>
    </w:p>
    <w:p>
      <w:pPr>
        <w:tabs>
          <w:tab w:val="clear" w:pos="426"/>
        </w:tabs>
        <w:rPr>
          <w:rFonts w:hint="eastAsia"/>
        </w:rPr>
      </w:pPr>
      <w:r>
        <w:t>10.5未参与招标答疑不作为否定投标供应商资格的理由。</w:t>
      </w:r>
    </w:p>
    <w:p>
      <w:pPr>
        <w:pStyle w:val="5"/>
        <w:tabs>
          <w:tab w:val="clear" w:pos="426"/>
        </w:tabs>
        <w:rPr>
          <w:rFonts w:hint="eastAsia"/>
        </w:rPr>
      </w:pPr>
      <w:bookmarkStart w:id="153" w:name="_Toc529280582"/>
      <w:bookmarkStart w:id="154" w:name="_Toc10191"/>
      <w:bookmarkStart w:id="155" w:name="_Toc14427255"/>
      <w:bookmarkStart w:id="156" w:name="_Toc530152523"/>
      <w:r>
        <w:rPr>
          <w:rFonts w:hint="eastAsia"/>
        </w:rPr>
        <w:t>第二章 招标文件</w:t>
      </w:r>
      <w:bookmarkEnd w:id="153"/>
      <w:bookmarkEnd w:id="154"/>
      <w:bookmarkEnd w:id="155"/>
      <w:bookmarkEnd w:id="156"/>
    </w:p>
    <w:p>
      <w:pPr>
        <w:tabs>
          <w:tab w:val="clear" w:pos="426"/>
        </w:tabs>
        <w:rPr>
          <w:rFonts w:hint="eastAsia"/>
        </w:rPr>
      </w:pPr>
      <w:r>
        <w:t>11．招标文件的编制与组成</w:t>
      </w:r>
    </w:p>
    <w:p>
      <w:pPr>
        <w:tabs>
          <w:tab w:val="clear" w:pos="426"/>
        </w:tabs>
        <w:rPr>
          <w:rFonts w:hint="eastAsia"/>
        </w:rPr>
      </w:pPr>
      <w:r>
        <w:t>11.1招标文件除以下内容外，采购代理机构在招标（或谈判）期间发出的答疑纪要和其他补充修改函件，均是招标文件的组成部分，对投标供应商起约束作用；</w:t>
      </w:r>
    </w:p>
    <w:p>
      <w:pPr>
        <w:tabs>
          <w:tab w:val="clear" w:pos="426"/>
        </w:tabs>
        <w:rPr>
          <w:rFonts w:hint="eastAsia"/>
        </w:rPr>
      </w:pPr>
      <w:r>
        <w:rPr>
          <w:rFonts w:hint="eastAsia"/>
        </w:rPr>
        <w:t>招标文件包括下列内容：</w:t>
      </w:r>
    </w:p>
    <w:p>
      <w:pPr>
        <w:tabs>
          <w:tab w:val="clear" w:pos="426"/>
        </w:tabs>
        <w:rPr>
          <w:rFonts w:hint="eastAsia"/>
        </w:rPr>
      </w:pPr>
      <w:r>
        <w:rPr>
          <w:rFonts w:hint="eastAsia"/>
        </w:rPr>
        <w:t>项目关键信息</w:t>
      </w:r>
    </w:p>
    <w:p>
      <w:pPr>
        <w:tabs>
          <w:tab w:val="clear" w:pos="426"/>
        </w:tabs>
        <w:rPr>
          <w:rFonts w:hint="eastAsia"/>
        </w:rPr>
      </w:pPr>
      <w:r>
        <w:rPr>
          <w:rFonts w:hint="eastAsia"/>
        </w:rPr>
        <w:t>招标文件第一册（专用部分）</w:t>
      </w:r>
    </w:p>
    <w:p>
      <w:pPr>
        <w:tabs>
          <w:tab w:val="clear" w:pos="426"/>
        </w:tabs>
        <w:rPr>
          <w:rFonts w:hint="eastAsia"/>
        </w:rPr>
      </w:pPr>
      <w:r>
        <w:rPr>
          <w:rFonts w:hint="eastAsia"/>
        </w:rPr>
        <w:t>第一章 投标邀请</w:t>
      </w:r>
    </w:p>
    <w:p>
      <w:pPr>
        <w:tabs>
          <w:tab w:val="clear" w:pos="426"/>
        </w:tabs>
        <w:rPr>
          <w:rFonts w:hint="eastAsia"/>
        </w:rPr>
      </w:pPr>
      <w:r>
        <w:rPr>
          <w:rFonts w:hint="eastAsia"/>
        </w:rPr>
        <w:t>第二章 项目需求</w:t>
      </w:r>
    </w:p>
    <w:p>
      <w:pPr>
        <w:tabs>
          <w:tab w:val="clear" w:pos="426"/>
        </w:tabs>
        <w:rPr>
          <w:rFonts w:hint="eastAsia"/>
        </w:rPr>
      </w:pPr>
      <w:r>
        <w:rPr>
          <w:rFonts w:hint="eastAsia"/>
        </w:rPr>
        <w:t>第三章 定价方式、合同类型和风险管理措施</w:t>
      </w:r>
    </w:p>
    <w:p>
      <w:pPr>
        <w:tabs>
          <w:tab w:val="clear" w:pos="426"/>
        </w:tabs>
        <w:rPr>
          <w:rFonts w:hint="eastAsia"/>
        </w:rPr>
      </w:pPr>
      <w:r>
        <w:rPr>
          <w:rFonts w:hint="eastAsia"/>
        </w:rPr>
        <w:t>第四章 资格审查和评标方法</w:t>
      </w:r>
    </w:p>
    <w:p>
      <w:pPr>
        <w:tabs>
          <w:tab w:val="clear" w:pos="426"/>
        </w:tabs>
        <w:rPr>
          <w:rFonts w:hint="eastAsia"/>
        </w:rPr>
      </w:pPr>
      <w:r>
        <w:rPr>
          <w:rFonts w:hint="eastAsia"/>
        </w:rPr>
        <w:t>第五章 合同文本</w:t>
      </w:r>
    </w:p>
    <w:p>
      <w:pPr>
        <w:tabs>
          <w:tab w:val="clear" w:pos="426"/>
        </w:tabs>
        <w:rPr>
          <w:rFonts w:hint="eastAsia"/>
        </w:rPr>
      </w:pPr>
      <w:r>
        <w:rPr>
          <w:rFonts w:hint="eastAsia"/>
        </w:rPr>
        <w:t>第六章 投标资料表</w:t>
      </w:r>
    </w:p>
    <w:p>
      <w:pPr>
        <w:tabs>
          <w:tab w:val="clear" w:pos="426"/>
        </w:tabs>
        <w:rPr>
          <w:rFonts w:hint="eastAsia"/>
        </w:rPr>
      </w:pPr>
      <w:r>
        <w:rPr>
          <w:rFonts w:hint="eastAsia"/>
        </w:rPr>
        <w:t>第七章 投标文件格式</w:t>
      </w:r>
    </w:p>
    <w:p>
      <w:pPr>
        <w:tabs>
          <w:tab w:val="clear" w:pos="426"/>
        </w:tabs>
        <w:rPr>
          <w:rFonts w:hint="eastAsia"/>
        </w:rPr>
      </w:pPr>
      <w:r>
        <w:rPr>
          <w:rFonts w:hint="eastAsia"/>
        </w:rPr>
        <w:t>招标文件第二册（通用部分）</w:t>
      </w:r>
    </w:p>
    <w:p>
      <w:pPr>
        <w:tabs>
          <w:tab w:val="clear" w:pos="426"/>
        </w:tabs>
        <w:rPr>
          <w:rFonts w:hint="eastAsia"/>
        </w:rPr>
      </w:pPr>
      <w:r>
        <w:rPr>
          <w:rFonts w:hint="eastAsia"/>
        </w:rPr>
        <w:t>第一章 总则</w:t>
      </w:r>
    </w:p>
    <w:p>
      <w:pPr>
        <w:tabs>
          <w:tab w:val="clear" w:pos="426"/>
        </w:tabs>
        <w:rPr>
          <w:rFonts w:hint="eastAsia"/>
        </w:rPr>
      </w:pPr>
      <w:r>
        <w:rPr>
          <w:rFonts w:hint="eastAsia"/>
        </w:rPr>
        <w:t>第二章 招标文件</w:t>
      </w:r>
    </w:p>
    <w:p>
      <w:pPr>
        <w:tabs>
          <w:tab w:val="clear" w:pos="426"/>
        </w:tabs>
        <w:rPr>
          <w:rFonts w:hint="eastAsia"/>
        </w:rPr>
      </w:pPr>
      <w:r>
        <w:rPr>
          <w:rFonts w:hint="eastAsia"/>
        </w:rPr>
        <w:t>第三章 投标文件的编制与递交</w:t>
      </w:r>
    </w:p>
    <w:p>
      <w:pPr>
        <w:tabs>
          <w:tab w:val="clear" w:pos="426"/>
        </w:tabs>
        <w:rPr>
          <w:rFonts w:hint="eastAsia"/>
        </w:rPr>
      </w:pPr>
      <w:r>
        <w:rPr>
          <w:rFonts w:hint="eastAsia"/>
        </w:rPr>
        <w:t>第四章 开标</w:t>
      </w:r>
    </w:p>
    <w:p>
      <w:pPr>
        <w:tabs>
          <w:tab w:val="clear" w:pos="426"/>
        </w:tabs>
        <w:rPr>
          <w:rFonts w:hint="eastAsia"/>
        </w:rPr>
      </w:pPr>
      <w:r>
        <w:rPr>
          <w:rFonts w:hint="eastAsia"/>
        </w:rPr>
        <w:t>第五章 评标要求</w:t>
      </w:r>
    </w:p>
    <w:p>
      <w:pPr>
        <w:tabs>
          <w:tab w:val="clear" w:pos="426"/>
        </w:tabs>
        <w:rPr>
          <w:rFonts w:hint="eastAsia"/>
        </w:rPr>
      </w:pPr>
      <w:r>
        <w:rPr>
          <w:rFonts w:hint="eastAsia"/>
        </w:rPr>
        <w:t>第六章 评标程序及评标方法</w:t>
      </w:r>
    </w:p>
    <w:p>
      <w:pPr>
        <w:tabs>
          <w:tab w:val="clear" w:pos="426"/>
        </w:tabs>
        <w:rPr>
          <w:rFonts w:hint="eastAsia"/>
        </w:rPr>
      </w:pPr>
      <w:r>
        <w:rPr>
          <w:rFonts w:hint="eastAsia"/>
        </w:rPr>
        <w:t>第七章 定标及公示</w:t>
      </w:r>
    </w:p>
    <w:p>
      <w:pPr>
        <w:tabs>
          <w:tab w:val="clear" w:pos="426"/>
        </w:tabs>
        <w:rPr>
          <w:rFonts w:hint="eastAsia"/>
        </w:rPr>
      </w:pPr>
      <w:r>
        <w:rPr>
          <w:rFonts w:hint="eastAsia"/>
        </w:rPr>
        <w:t>第八章 公开招标失败的后续处理</w:t>
      </w:r>
    </w:p>
    <w:p>
      <w:pPr>
        <w:tabs>
          <w:tab w:val="clear" w:pos="426"/>
        </w:tabs>
        <w:rPr>
          <w:rFonts w:hint="eastAsia"/>
        </w:rPr>
      </w:pPr>
      <w:r>
        <w:rPr>
          <w:rFonts w:hint="eastAsia"/>
        </w:rPr>
        <w:t>第九章 合同的授予与备案</w:t>
      </w:r>
    </w:p>
    <w:p>
      <w:pPr>
        <w:tabs>
          <w:tab w:val="clear" w:pos="426"/>
        </w:tabs>
        <w:rPr>
          <w:rFonts w:hint="eastAsia"/>
        </w:rPr>
      </w:pPr>
      <w:r>
        <w:rPr>
          <w:rFonts w:hint="eastAsia"/>
        </w:rPr>
        <w:t>第十章 质疑受理</w:t>
      </w:r>
    </w:p>
    <w:p>
      <w:pPr>
        <w:tabs>
          <w:tab w:val="clear" w:pos="426"/>
        </w:tabs>
        <w:rPr>
          <w:rFonts w:hint="eastAsia"/>
        </w:rPr>
      </w:pPr>
      <w:r>
        <w:rPr>
          <w:rFonts w:hint="eastAsia"/>
        </w:rPr>
        <w:t>招标代理服务取费说明</w:t>
      </w:r>
    </w:p>
    <w:p>
      <w:pPr>
        <w:tabs>
          <w:tab w:val="clear" w:pos="426"/>
        </w:tabs>
        <w:rPr>
          <w:rFonts w:hint="eastAsia"/>
        </w:rPr>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pPr>
        <w:tabs>
          <w:tab w:val="clear" w:pos="426"/>
        </w:tabs>
        <w:rPr>
          <w:rFonts w:hint="eastAsia"/>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pPr>
        <w:tabs>
          <w:tab w:val="clear" w:pos="426"/>
        </w:tabs>
        <w:rPr>
          <w:rFonts w:hint="eastAsia"/>
        </w:rPr>
      </w:pPr>
      <w:r>
        <w:t>12．招标文件的澄清</w:t>
      </w:r>
    </w:p>
    <w:p>
      <w:pPr>
        <w:tabs>
          <w:tab w:val="clear" w:pos="426"/>
        </w:tabs>
        <w:rPr>
          <w:rFonts w:hint="eastAsia"/>
        </w:rPr>
      </w:pPr>
      <w:r>
        <w:t>12.1投标供应商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供应商起约束作用；</w:t>
      </w:r>
    </w:p>
    <w:p>
      <w:pPr>
        <w:tabs>
          <w:tab w:val="clear" w:pos="426"/>
        </w:tabs>
        <w:rPr>
          <w:rFonts w:hint="eastAsia"/>
        </w:rPr>
      </w:pPr>
      <w:r>
        <w:t>12.2对于没有提出澄清又参与了该项目投标的供应商将被视为完全认同该招标文件（含澄清纪要），投标截止期后不再受理针对招标文件的相关质疑或投诉。</w:t>
      </w:r>
    </w:p>
    <w:p>
      <w:pPr>
        <w:tabs>
          <w:tab w:val="clear" w:pos="426"/>
        </w:tabs>
        <w:rPr>
          <w:rFonts w:hint="eastAsia"/>
        </w:rPr>
      </w:pPr>
      <w:r>
        <w:t xml:space="preserve">12.3 </w:t>
      </w:r>
      <w:r>
        <w:rPr>
          <w:rFonts w:hint="eastAsia"/>
        </w:rPr>
        <w:t>对招标文件中描述有歧意或前后不一致的地方，评标委员会有权进行评判，但对同一条款的评判应适用于每个投标供应商。</w:t>
      </w:r>
    </w:p>
    <w:p>
      <w:pPr>
        <w:tabs>
          <w:tab w:val="clear" w:pos="426"/>
        </w:tabs>
        <w:rPr>
          <w:rFonts w:hint="eastAsia"/>
        </w:rPr>
      </w:pPr>
      <w:r>
        <w:t>13．招标文件的修改</w:t>
      </w:r>
    </w:p>
    <w:p>
      <w:pPr>
        <w:tabs>
          <w:tab w:val="clear" w:pos="426"/>
        </w:tabs>
        <w:rPr>
          <w:rFonts w:hint="eastAsia"/>
        </w:rPr>
      </w:pPr>
      <w:r>
        <w:t>13.1招标文件发出后，在投标截止日期前任何时候，确需要变更招标内容的，采购代理机构可主动地或在解答投标供应商提出的澄清问题时对招标文件进行修改；</w:t>
      </w:r>
    </w:p>
    <w:p>
      <w:pPr>
        <w:tabs>
          <w:tab w:val="clear" w:pos="426"/>
        </w:tabs>
        <w:rPr>
          <w:rFonts w:hint="eastAsia"/>
        </w:rPr>
      </w:pPr>
      <w:r>
        <w:t>13.2招标文件的修改以书面形式（包括网站公开发布方式）发送给所有投标供应商，招标文件的修改内容作为招标文件的组成部分，并具有约束力。</w:t>
      </w:r>
    </w:p>
    <w:p>
      <w:pPr>
        <w:tabs>
          <w:tab w:val="clear" w:pos="426"/>
        </w:tabs>
        <w:rPr>
          <w:rFonts w:hint="eastAsia"/>
        </w:rPr>
      </w:pPr>
      <w: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rFonts w:hint="eastAsia"/>
        </w:rPr>
      </w:pPr>
      <w:r>
        <w:t>13.4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pPr>
        <w:pStyle w:val="5"/>
        <w:tabs>
          <w:tab w:val="clear" w:pos="426"/>
        </w:tabs>
        <w:rPr>
          <w:rFonts w:hint="eastAsia"/>
        </w:rPr>
      </w:pPr>
      <w:bookmarkStart w:id="157" w:name="_Toc15015"/>
      <w:bookmarkStart w:id="158" w:name="_Toc14427256"/>
      <w:bookmarkStart w:id="159" w:name="_Toc530152524"/>
      <w:bookmarkStart w:id="160" w:name="_Toc529280583"/>
      <w:r>
        <w:rPr>
          <w:rFonts w:hint="eastAsia"/>
        </w:rPr>
        <w:t>第三章 投标文件的编制与递交</w:t>
      </w:r>
      <w:bookmarkEnd w:id="157"/>
      <w:bookmarkEnd w:id="158"/>
      <w:bookmarkEnd w:id="159"/>
      <w:bookmarkEnd w:id="160"/>
    </w:p>
    <w:p>
      <w:pPr>
        <w:tabs>
          <w:tab w:val="clear" w:pos="426"/>
        </w:tabs>
        <w:rPr>
          <w:rFonts w:hint="eastAsia"/>
        </w:rPr>
      </w:pPr>
      <w:r>
        <w:t>14．投标文件的语言及度量单位</w:t>
      </w:r>
    </w:p>
    <w:p>
      <w:pPr>
        <w:tabs>
          <w:tab w:val="clear" w:pos="426"/>
        </w:tabs>
        <w:rPr>
          <w:rFonts w:hint="eastAsia"/>
        </w:rPr>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pPr>
        <w:tabs>
          <w:tab w:val="clear" w:pos="426"/>
        </w:tabs>
        <w:rPr>
          <w:rFonts w:hint="eastAsia"/>
        </w:rPr>
      </w:pPr>
      <w:r>
        <w:t xml:space="preserve">14.2 </w:t>
      </w:r>
      <w:r>
        <w:rPr>
          <w:rFonts w:hint="eastAsia"/>
        </w:rPr>
        <w:t>除技术规范另有规定外，投标文件使用的度量单位，均采用中华人民共和国法定计量单位。</w:t>
      </w:r>
    </w:p>
    <w:p>
      <w:pPr>
        <w:tabs>
          <w:tab w:val="clear" w:pos="426"/>
        </w:tabs>
        <w:rPr>
          <w:rFonts w:hint="eastAsia"/>
        </w:rPr>
      </w:pPr>
      <w:r>
        <w:t>15．投标文件的组成</w:t>
      </w:r>
    </w:p>
    <w:p>
      <w:pPr>
        <w:tabs>
          <w:tab w:val="clear" w:pos="426"/>
        </w:tabs>
        <w:rPr>
          <w:rFonts w:hint="eastAsia"/>
        </w:rPr>
      </w:pPr>
      <w:r>
        <w:rPr>
          <w:rFonts w:hint="eastAsia"/>
        </w:rPr>
        <w:t>具体内容请详见本项目专用条款的相关内容。</w:t>
      </w:r>
    </w:p>
    <w:p>
      <w:pPr>
        <w:tabs>
          <w:tab w:val="clear" w:pos="426"/>
        </w:tabs>
        <w:rPr>
          <w:rFonts w:hint="eastAsia"/>
        </w:rPr>
      </w:pPr>
      <w:r>
        <w:t xml:space="preserve">16. </w:t>
      </w:r>
      <w:r>
        <w:rPr>
          <w:rFonts w:hint="eastAsia"/>
        </w:rPr>
        <w:t>投标文件格式</w:t>
      </w:r>
    </w:p>
    <w:p>
      <w:pPr>
        <w:tabs>
          <w:tab w:val="clear" w:pos="426"/>
        </w:tabs>
        <w:rPr>
          <w:rFonts w:hint="eastAsia"/>
        </w:rPr>
      </w:pPr>
      <w:r>
        <w:t>16.1</w:t>
      </w:r>
      <w:r>
        <w:rPr>
          <w:rFonts w:hint="eastAsia"/>
        </w:rPr>
        <w:t>投标文件包括本通用条款第</w:t>
      </w:r>
      <w:r>
        <w:t>15条中规定的内容。如招标文件提供了投标文件格式，则投标供应商提交的投标文件必须毫无例外地使用招标文件所提供的相应格式并统一使用A4篇幅（表格可以按同样格式扩展）。</w:t>
      </w:r>
    </w:p>
    <w:p>
      <w:pPr>
        <w:tabs>
          <w:tab w:val="clear" w:pos="426"/>
        </w:tabs>
        <w:rPr>
          <w:rFonts w:hint="eastAsia"/>
        </w:rPr>
      </w:pPr>
      <w:r>
        <w:t>17．投标货币</w:t>
      </w:r>
    </w:p>
    <w:p>
      <w:pPr>
        <w:tabs>
          <w:tab w:val="clear" w:pos="426"/>
        </w:tabs>
        <w:rPr>
          <w:rFonts w:hint="eastAsia"/>
        </w:rPr>
      </w:pPr>
      <w:r>
        <w:rPr>
          <w:rFonts w:hint="eastAsia"/>
        </w:rPr>
        <w:t>本项目的投标应以人民币计。</w:t>
      </w:r>
    </w:p>
    <w:p>
      <w:pPr>
        <w:widowControl w:val="0"/>
        <w:shd w:val="clear" w:color="auto" w:fill="auto"/>
        <w:tabs>
          <w:tab w:val="clear" w:pos="426"/>
        </w:tabs>
        <w:autoSpaceDE w:val="0"/>
        <w:autoSpaceDN w:val="0"/>
        <w:rPr>
          <w:rFonts w:hint="eastAsia"/>
        </w:rPr>
      </w:pPr>
      <w:r>
        <w:t xml:space="preserve">18. </w:t>
      </w:r>
      <w:r>
        <w:rPr>
          <w:rFonts w:hint="eastAsia"/>
        </w:rPr>
        <w:t>证明投标供应商合格和资格的文件</w:t>
      </w:r>
    </w:p>
    <w:p>
      <w:pPr>
        <w:widowControl w:val="0"/>
        <w:shd w:val="clear" w:color="auto" w:fill="auto"/>
        <w:tabs>
          <w:tab w:val="clear" w:pos="426"/>
        </w:tabs>
        <w:autoSpaceDE w:val="0"/>
        <w:autoSpaceDN w:val="0"/>
        <w:rPr>
          <w:rFonts w:hint="eastAsia"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pPr>
        <w:widowControl w:val="0"/>
        <w:shd w:val="clear" w:color="auto" w:fill="auto"/>
        <w:tabs>
          <w:tab w:val="clear" w:pos="426"/>
        </w:tabs>
        <w:autoSpaceDE w:val="0"/>
        <w:autoSpaceDN w:val="0"/>
        <w:rPr>
          <w:rFonts w:hint="eastAsia"/>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pPr>
        <w:tabs>
          <w:tab w:val="clear" w:pos="426"/>
        </w:tabs>
        <w:rPr>
          <w:rFonts w:hint="eastAsia"/>
        </w:rPr>
      </w:pPr>
      <w:r>
        <w:t>19．证明投标文件投标技术方案的合格性和符合招标文件规定的文件要求</w:t>
      </w:r>
    </w:p>
    <w:p>
      <w:pPr>
        <w:tabs>
          <w:tab w:val="clear" w:pos="426"/>
        </w:tabs>
        <w:rPr>
          <w:rFonts w:hint="eastAsia"/>
        </w:rPr>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pPr>
        <w:tabs>
          <w:tab w:val="clear" w:pos="426"/>
        </w:tabs>
        <w:rPr>
          <w:rFonts w:hint="eastAsia"/>
        </w:rPr>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pPr>
        <w:tabs>
          <w:tab w:val="clear" w:pos="426"/>
        </w:tabs>
        <w:rPr>
          <w:rFonts w:hint="eastAsia"/>
        </w:rPr>
      </w:pPr>
      <w:r>
        <w:t>19.2.1主要技术指标和性能的详细说明。</w:t>
      </w:r>
    </w:p>
    <w:p>
      <w:pPr>
        <w:tabs>
          <w:tab w:val="clear" w:pos="426"/>
        </w:tabs>
        <w:rPr>
          <w:rFonts w:hint="eastAsia"/>
        </w:rPr>
      </w:pPr>
      <w:r>
        <w:t>19.2.2</w:t>
      </w:r>
      <w:r>
        <w:rPr>
          <w:rFonts w:hint="eastAsia"/>
        </w:rPr>
        <w:t>投标产品从采购单位开始使用至招标文件中规定的周期内正常、连续地使用所必须的备件和专用工具清单，包括备件和专用工具的货源及现行价格。</w:t>
      </w:r>
    </w:p>
    <w:p>
      <w:pPr>
        <w:tabs>
          <w:tab w:val="clear" w:pos="426"/>
        </w:tabs>
        <w:rPr>
          <w:rFonts w:hint="eastAsia"/>
        </w:rPr>
      </w:pPr>
      <w:r>
        <w:t>19.2.3</w:t>
      </w:r>
      <w:r>
        <w:rPr>
          <w:rFonts w:hint="eastAsia"/>
        </w:rPr>
        <w:t>对照招标文件技术规格，逐条说明投标技术方案已对采购单位的技术规格做出了实质性的响应，或申明与技术规格条文的偏差和例外。投标供应商应详细说明投标技术方案中产品的具体参数，不得照搬照抄招标文件的技术要求。</w:t>
      </w:r>
    </w:p>
    <w:p>
      <w:pPr>
        <w:tabs>
          <w:tab w:val="clear" w:pos="426"/>
        </w:tabs>
        <w:rPr>
          <w:rFonts w:hint="eastAsia"/>
        </w:rPr>
      </w:pPr>
      <w: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rFonts w:hint="eastAsia"/>
        </w:rPr>
      </w:pPr>
      <w:r>
        <w:t>19.2.5我国政府机构出具的产品检验和核准证件应为证件正面、背面和附件标注的全部具体内容；产品检验和核准证件应能清晰的阅读、识别和判断，提供原件复印件。</w:t>
      </w:r>
    </w:p>
    <w:p>
      <w:pPr>
        <w:tabs>
          <w:tab w:val="clear" w:pos="426"/>
        </w:tabs>
        <w:rPr>
          <w:rFonts w:hint="eastAsia"/>
        </w:rPr>
      </w:pPr>
      <w:r>
        <w:t>19.3相关资料不符合19.2款要求的，评标委员会有权认定为投标技术方案不合格响应，其相关分数予以扣减或作废标处理。</w:t>
      </w:r>
    </w:p>
    <w:p>
      <w:pPr>
        <w:tabs>
          <w:tab w:val="clear" w:pos="426"/>
        </w:tabs>
        <w:rPr>
          <w:rFonts w:hint="eastAsia"/>
        </w:rPr>
      </w:pPr>
      <w:r>
        <w:t>19.4评标委员会有权对以谋取中标为目的的技术规格模糊响应（如有意照搬照抄招标文件的技术要求）或虚假响应予以认定。供应商上述行为一经发现或查实，除扣分或废标外，采购代理机构可视情况报相关监督管理部门做进一步处理。</w:t>
      </w:r>
    </w:p>
    <w:p>
      <w:pPr>
        <w:tabs>
          <w:tab w:val="clear" w:pos="426"/>
        </w:tabs>
        <w:rPr>
          <w:rFonts w:hint="eastAsia"/>
        </w:rPr>
      </w:pPr>
      <w:r>
        <w:t>19.5投标供应商在阐述上述第18.2时应注意采购单位在技术规格中指出的工艺、材料和</w:t>
      </w:r>
      <w:r>
        <w:rPr>
          <w:rFonts w:hint="eastAsia"/>
        </w:rPr>
        <w:t>设备</w:t>
      </w:r>
      <w:r>
        <w:t>的标准以及参照的牌号或分类号仅起说明作用，并没有任何限制性。投标供应商在投标中可以选用替代标准、牌号或分类号，但这些替代要实质上满足招标文件中技术规格的要求，是否满足要求，由评标委员会来评判。</w:t>
      </w:r>
    </w:p>
    <w:p>
      <w:pPr>
        <w:tabs>
          <w:tab w:val="clear" w:pos="426"/>
        </w:tabs>
        <w:rPr>
          <w:rFonts w:hint="eastAsia"/>
        </w:rPr>
      </w:pPr>
      <w:r>
        <w:t>19.6为保证公平公正，除非另有规定或说明，投标供应商对同一货物或服务投标时，不得同时提供两套或两套以上的投标方案。</w:t>
      </w:r>
    </w:p>
    <w:p>
      <w:pPr>
        <w:tabs>
          <w:tab w:val="clear" w:pos="426"/>
        </w:tabs>
        <w:rPr>
          <w:rFonts w:hint="eastAsia"/>
        </w:rPr>
      </w:pPr>
      <w:r>
        <w:t>20．投标文件其他证明文件的要求</w:t>
      </w:r>
    </w:p>
    <w:p>
      <w:pPr>
        <w:tabs>
          <w:tab w:val="clear" w:pos="426"/>
        </w:tabs>
        <w:rPr>
          <w:rFonts w:hint="eastAsia"/>
        </w:rPr>
      </w:pPr>
      <w:r>
        <w:t>20.1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pPr>
        <w:tabs>
          <w:tab w:val="clear" w:pos="426"/>
        </w:tabs>
        <w:rPr>
          <w:rFonts w:hint="eastAsia"/>
        </w:rPr>
      </w:pPr>
      <w:r>
        <w:t>20.2本项目涉及提供的有关资质证书，若原有资质证书处于年审期间，投标供应商提供年审证明的可按原资质投标；若投标供应商正在申报上一级别资质，在未获批准之前，仍按原级别资质投标。</w:t>
      </w:r>
    </w:p>
    <w:p>
      <w:pPr>
        <w:tabs>
          <w:tab w:val="clear" w:pos="426"/>
        </w:tabs>
        <w:rPr>
          <w:rFonts w:hint="eastAsia"/>
        </w:rPr>
      </w:pPr>
      <w:r>
        <w:t>21．投标有效期</w:t>
      </w:r>
    </w:p>
    <w:p>
      <w:pPr>
        <w:tabs>
          <w:tab w:val="clear" w:pos="426"/>
        </w:tabs>
        <w:rPr>
          <w:rFonts w:hint="eastAsia"/>
        </w:rPr>
      </w:pPr>
      <w:r>
        <w:t xml:space="preserve">21.1 </w:t>
      </w:r>
      <w:r>
        <w:rPr>
          <w:rFonts w:hint="eastAsia"/>
        </w:rPr>
        <w:t>投标有效期为从投标截止之日算起的日历天数，具体见专用条款中投标有效期的天数要求。在此期限内，所有投标文件均保持有效；</w:t>
      </w:r>
    </w:p>
    <w:p>
      <w:pPr>
        <w:tabs>
          <w:tab w:val="clear" w:pos="426"/>
        </w:tabs>
        <w:rPr>
          <w:rFonts w:hint="eastAsia"/>
        </w:rPr>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22条关于投标保证金的退还与没收的规定仍然适用；</w:t>
      </w:r>
    </w:p>
    <w:p>
      <w:pPr>
        <w:tabs>
          <w:tab w:val="clear" w:pos="426"/>
        </w:tabs>
        <w:rPr>
          <w:rFonts w:hint="eastAsia"/>
        </w:rPr>
      </w:pPr>
      <w:r>
        <w:t>21.3 中标单位的投标书有效期，截止于完成本招标文件规定的全部项目内容，并通过竣工验收及保修结束。</w:t>
      </w:r>
    </w:p>
    <w:p>
      <w:pPr>
        <w:tabs>
          <w:tab w:val="clear" w:pos="426"/>
        </w:tabs>
        <w:rPr>
          <w:rFonts w:hint="eastAsia"/>
        </w:rPr>
      </w:pPr>
      <w:r>
        <w:t>22．投标保证金</w:t>
      </w:r>
    </w:p>
    <w:p>
      <w:pPr>
        <w:tabs>
          <w:tab w:val="clear" w:pos="426"/>
        </w:tabs>
        <w:rPr>
          <w:rFonts w:hint="eastAsia"/>
        </w:rPr>
      </w:pPr>
      <w:r>
        <w:t>22.1投标保证金的缴纳：</w:t>
      </w:r>
      <w:r>
        <w:rPr>
          <w:rFonts w:hint="eastAsia"/>
          <w:b/>
        </w:rPr>
        <w:t>（本项目不适用）</w:t>
      </w:r>
    </w:p>
    <w:p>
      <w:pPr>
        <w:tabs>
          <w:tab w:val="clear" w:pos="426"/>
        </w:tabs>
        <w:rPr>
          <w:rFonts w:hint="eastAsia"/>
        </w:rPr>
      </w:pPr>
      <w:r>
        <w:t>22.1.1缴纳投标保证金的方式：参与投标前须缴纳</w:t>
      </w:r>
      <w:r>
        <w:rPr>
          <w:rFonts w:hint="eastAsia"/>
        </w:rPr>
        <w:t>/</w:t>
      </w:r>
      <w:r>
        <w:t>万元保证金，落标或中标项目完成后返还，参与投标前未缴纳的，其投标将不予受理。</w:t>
      </w:r>
    </w:p>
    <w:p>
      <w:pPr>
        <w:tabs>
          <w:tab w:val="clear" w:pos="426"/>
        </w:tabs>
        <w:rPr>
          <w:rFonts w:hint="eastAsia"/>
        </w:rPr>
      </w:pPr>
      <w:r>
        <w:t xml:space="preserve">22.1.2 </w:t>
      </w:r>
      <w:r>
        <w:rPr>
          <w:rFonts w:hint="eastAsia"/>
        </w:rPr>
        <w:t>若为重大项目，采购代理机构可自行决定另外收取投标保证金，不受</w:t>
      </w:r>
      <w:r>
        <w:t>22.1.1款限制。是否另外收取投标保证金，请见本招标文件专用条款《对通用条款的补充内容》中的相关要求。</w:t>
      </w:r>
    </w:p>
    <w:p>
      <w:pPr>
        <w:tabs>
          <w:tab w:val="clear" w:pos="426"/>
        </w:tabs>
        <w:rPr>
          <w:rFonts w:hint="eastAsia"/>
          <w:szCs w:val="21"/>
        </w:rPr>
      </w:pPr>
      <w:r>
        <w:rPr>
          <w:szCs w:val="21"/>
        </w:rPr>
        <w:t>22.2</w:t>
      </w:r>
      <w:r>
        <w:rPr>
          <w:rFonts w:hint="eastAsia"/>
        </w:rPr>
        <w:t>投标保证金是为了保护采购代理机构和采购单位免因投标供应商的行为而蒙受损失。采购代理机构和采购单位因投标供应商的行为受到损害时可根据本通用条款第</w:t>
      </w:r>
      <w:r>
        <w:rPr>
          <w:szCs w:val="21"/>
        </w:rPr>
        <w:t>22.3款</w:t>
      </w:r>
      <w:r>
        <w:rPr>
          <w:rFonts w:hint="eastAsia"/>
        </w:rPr>
        <w:t>的规定没收投标供应商的投标保证金。</w:t>
      </w:r>
    </w:p>
    <w:p>
      <w:pPr>
        <w:tabs>
          <w:tab w:val="clear" w:pos="426"/>
        </w:tabs>
        <w:rPr>
          <w:rFonts w:hint="eastAsia"/>
        </w:rPr>
      </w:pPr>
      <w:r>
        <w:t>22.3如下列任何情况发生时，投标保证金将被没收。</w:t>
      </w:r>
    </w:p>
    <w:p>
      <w:pPr>
        <w:tabs>
          <w:tab w:val="clear" w:pos="426"/>
        </w:tabs>
        <w:rPr>
          <w:rFonts w:hint="eastAsia"/>
        </w:rPr>
      </w:pPr>
      <w:r>
        <w:t>1）投标供应商在招标文件中规定的投标有效期内撤回其投标；</w:t>
      </w:r>
    </w:p>
    <w:p>
      <w:pPr>
        <w:tabs>
          <w:tab w:val="clear" w:pos="426"/>
        </w:tabs>
        <w:rPr>
          <w:rFonts w:hint="eastAsia"/>
        </w:rPr>
      </w:pPr>
      <w:r>
        <w:t>2）中标供应商在规定期限内未能根据本项通用条款第47条规定签订合同；</w:t>
      </w:r>
    </w:p>
    <w:p>
      <w:pPr>
        <w:tabs>
          <w:tab w:val="clear" w:pos="426"/>
        </w:tabs>
        <w:rPr>
          <w:rFonts w:hint="eastAsia"/>
        </w:rPr>
      </w:pPr>
      <w:r>
        <w:t>3）投标供应商提供虚假投标文件或虚假补充文件：</w:t>
      </w:r>
    </w:p>
    <w:p>
      <w:pPr>
        <w:tabs>
          <w:tab w:val="clear" w:pos="426"/>
        </w:tabs>
        <w:rPr>
          <w:rFonts w:hint="eastAsia"/>
        </w:rPr>
      </w:pPr>
      <w:r>
        <w:t>4）投标供应商以谋取中标为目的的技术规格模糊响应（如有意照搬照抄招标文件的技术要求）或虚假响应的；</w:t>
      </w:r>
    </w:p>
    <w:p>
      <w:pPr>
        <w:tabs>
          <w:tab w:val="clear" w:pos="426"/>
        </w:tabs>
        <w:rPr>
          <w:rFonts w:hint="eastAsia"/>
        </w:rPr>
      </w:pPr>
      <w:r>
        <w:t>5）投标供应商质疑投诉提供虚假情况。</w:t>
      </w:r>
    </w:p>
    <w:p>
      <w:pPr>
        <w:tabs>
          <w:tab w:val="clear" w:pos="426"/>
        </w:tabs>
        <w:rPr>
          <w:rFonts w:hint="eastAsia"/>
        </w:rPr>
      </w:pPr>
      <w:r>
        <w:t>22.4</w:t>
      </w:r>
      <w:r>
        <w:rPr>
          <w:rFonts w:hint="eastAsia"/>
        </w:rPr>
        <w:t>不再收取</w:t>
      </w:r>
      <w:r>
        <w:t>投标保证金</w:t>
      </w:r>
      <w:r>
        <w:rPr>
          <w:rFonts w:hint="eastAsia"/>
        </w:rPr>
        <w:t>。</w:t>
      </w:r>
    </w:p>
    <w:p>
      <w:pPr>
        <w:tabs>
          <w:tab w:val="clear" w:pos="426"/>
        </w:tabs>
        <w:rPr>
          <w:rFonts w:hint="eastAsia"/>
        </w:rPr>
      </w:pPr>
      <w:r>
        <w:t>23．投标供应商的替代方案</w:t>
      </w:r>
    </w:p>
    <w:p>
      <w:pPr>
        <w:tabs>
          <w:tab w:val="clear" w:pos="426"/>
        </w:tabs>
        <w:rPr>
          <w:rFonts w:hint="eastAsia"/>
        </w:rPr>
      </w:pPr>
      <w:r>
        <w:t>23.1投标供应商所提交的投标文件应完全满足招标文件（包括图纸和技术规范所示的基本技术设计）的要求。除非招标的项目明确允许投标供应商提交替代方案，否则投标供应商有关替代方案的条款将不予考虑。</w:t>
      </w:r>
    </w:p>
    <w:p>
      <w:pPr>
        <w:tabs>
          <w:tab w:val="clear" w:pos="426"/>
        </w:tabs>
        <w:rPr>
          <w:rFonts w:hint="eastAsia"/>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tabs>
          <w:tab w:val="clear" w:pos="426"/>
        </w:tabs>
        <w:rPr>
          <w:rFonts w:hint="eastAsia"/>
        </w:rPr>
      </w:pPr>
      <w:r>
        <w:t xml:space="preserve">24． </w:t>
      </w:r>
      <w:r>
        <w:rPr>
          <w:rFonts w:hint="eastAsia"/>
        </w:rPr>
        <w:t>投标文件的密封、标记和装订</w:t>
      </w:r>
    </w:p>
    <w:p>
      <w:pPr>
        <w:widowControl w:val="0"/>
        <w:shd w:val="clear" w:color="auto" w:fill="auto"/>
        <w:tabs>
          <w:tab w:val="clear" w:pos="426"/>
        </w:tabs>
        <w:autoSpaceDE w:val="0"/>
        <w:autoSpaceDN w:val="0"/>
        <w:rPr>
          <w:rFonts w:hint="eastAsia" w:cs="黑体"/>
          <w:bCs/>
          <w:szCs w:val="21"/>
        </w:rPr>
      </w:pPr>
      <w:r>
        <w:t xml:space="preserve">24.1 </w:t>
      </w:r>
      <w:r>
        <w:rPr>
          <w:rFonts w:hint="eastAsia" w:cs="黑体"/>
          <w:bCs/>
          <w:szCs w:val="21"/>
        </w:rPr>
        <w:t>为方便开标唱标，投标供应商应单独提交一个密封信封，并在信封上标明“开标信封”的字样，内容包括开标一览表</w:t>
      </w:r>
      <w:r>
        <w:rPr>
          <w:rFonts w:cs="黑体"/>
          <w:bCs/>
          <w:szCs w:val="21"/>
        </w:rPr>
        <w:t>(报价表)、法定代表人证明书或法定代表人授权委托书、</w:t>
      </w:r>
      <w:r>
        <w:rPr>
          <w:rFonts w:hint="eastAsia"/>
          <w:szCs w:val="21"/>
        </w:rPr>
        <w:t>投标文件电子光盘</w:t>
      </w:r>
      <w:r>
        <w:rPr>
          <w:rFonts w:hint="eastAsia" w:cs="黑体"/>
          <w:bCs/>
          <w:szCs w:val="21"/>
        </w:rPr>
        <w:t>，若本项目（或包组）接受联合体投标，则联合体投标，应将各方共同签署的《联合投标协议》和《投标联合体授权主体方协议书》一并提交。开标信封是投标文件的组成部分。</w:t>
      </w:r>
    </w:p>
    <w:p>
      <w:pPr>
        <w:tabs>
          <w:tab w:val="clear" w:pos="426"/>
        </w:tabs>
        <w:rPr>
          <w:rFonts w:hint="eastAsia"/>
          <w:szCs w:val="21"/>
        </w:rPr>
      </w:pPr>
      <w:r>
        <w:t xml:space="preserve">24.2 </w:t>
      </w:r>
      <w:r>
        <w:rPr>
          <w:rFonts w:hint="eastAsia"/>
        </w:rPr>
        <w:t>投标文件为纸质投标文件，</w:t>
      </w:r>
      <w:r>
        <w:rPr>
          <w:rFonts w:hint="eastAsia"/>
          <w:szCs w:val="21"/>
        </w:rPr>
        <w:t>含正本和副本，投标文件应标明项目编号、招标项目名称及“正本”或“副本”。</w:t>
      </w:r>
      <w:r>
        <w:rPr>
          <w:rFonts w:hint="eastAsia"/>
        </w:rPr>
        <w:t>投标文件的所有内容应按</w:t>
      </w:r>
      <w:r>
        <w:t>A4篇幅装订成一册，装订应牢固不可拆卸。装订好的投标文件密封包装在一个外密封袋中，并在外密封袋上注明：</w:t>
      </w:r>
    </w:p>
    <w:p>
      <w:pPr>
        <w:tabs>
          <w:tab w:val="clear" w:pos="426"/>
        </w:tabs>
        <w:rPr>
          <w:rFonts w:hint="eastAsia"/>
        </w:rPr>
      </w:pPr>
      <w:r>
        <w:rPr>
          <w:rFonts w:hint="eastAsia"/>
        </w:rPr>
        <w:t>投标文件</w:t>
      </w:r>
    </w:p>
    <w:p>
      <w:pPr>
        <w:tabs>
          <w:tab w:val="clear" w:pos="426"/>
        </w:tabs>
        <w:rPr>
          <w:rFonts w:hint="eastAsia"/>
        </w:rPr>
      </w:pPr>
      <w:r>
        <w:rPr>
          <w:rFonts w:hint="eastAsia"/>
        </w:rPr>
        <w:t>项目编号：</w:t>
      </w:r>
    </w:p>
    <w:p>
      <w:pPr>
        <w:tabs>
          <w:tab w:val="clear" w:pos="426"/>
        </w:tabs>
        <w:rPr>
          <w:rFonts w:hint="eastAsia"/>
        </w:rPr>
      </w:pPr>
      <w:r>
        <w:rPr>
          <w:rFonts w:hint="eastAsia"/>
        </w:rPr>
        <w:t>项目名称：</w:t>
      </w:r>
    </w:p>
    <w:p>
      <w:pPr>
        <w:tabs>
          <w:tab w:val="clear" w:pos="426"/>
        </w:tabs>
        <w:rPr>
          <w:rFonts w:hint="eastAsia"/>
        </w:rPr>
      </w:pPr>
      <w:r>
        <w:rPr>
          <w:rFonts w:hint="eastAsia"/>
        </w:rPr>
        <w:t>投标供应商名称（盖章）：</w:t>
      </w:r>
    </w:p>
    <w:p>
      <w:pPr>
        <w:tabs>
          <w:tab w:val="clear" w:pos="426"/>
        </w:tabs>
        <w:rPr>
          <w:rFonts w:hint="eastAsia"/>
        </w:rPr>
      </w:pPr>
      <w:r>
        <w:rPr>
          <w:rFonts w:hint="eastAsia"/>
        </w:rPr>
        <w:t>投标截止时间：</w:t>
      </w:r>
      <w:r>
        <w:rPr>
          <w:u w:val="single"/>
        </w:rPr>
        <w:t>_______年______月______日______时______分（前不得开封）</w:t>
      </w:r>
      <w:r>
        <w:rPr>
          <w:rFonts w:hint="eastAsia"/>
        </w:rPr>
        <w:t>。</w:t>
      </w:r>
    </w:p>
    <w:p>
      <w:pPr>
        <w:tabs>
          <w:tab w:val="clear" w:pos="426"/>
        </w:tabs>
        <w:rPr>
          <w:rFonts w:hint="eastAsia"/>
        </w:rPr>
      </w:pPr>
      <w:r>
        <w:t xml:space="preserve">24.3  </w:t>
      </w:r>
      <w:r>
        <w:rPr>
          <w:rFonts w:hint="eastAsia"/>
        </w:rPr>
        <w:t>所有投标文件的密封袋的封口处均应加盖投标供应商公章。</w:t>
      </w:r>
    </w:p>
    <w:p>
      <w:pPr>
        <w:tabs>
          <w:tab w:val="clear" w:pos="426"/>
        </w:tabs>
        <w:rPr>
          <w:rFonts w:hint="eastAsia"/>
        </w:rPr>
      </w:pPr>
      <w:r>
        <w:t xml:space="preserve">24.4  </w:t>
      </w:r>
      <w:r>
        <w:rPr>
          <w:rFonts w:hint="eastAsia"/>
        </w:rPr>
        <w:t>对于因标书标识不清、装订不牢、密封不严等导致的不利后果由该投标供应商自负。</w:t>
      </w:r>
    </w:p>
    <w:p>
      <w:pPr>
        <w:tabs>
          <w:tab w:val="clear" w:pos="426"/>
        </w:tabs>
        <w:rPr>
          <w:rFonts w:hint="eastAsia"/>
          <w:szCs w:val="21"/>
        </w:rPr>
      </w:pPr>
      <w:r>
        <w:rPr>
          <w:szCs w:val="21"/>
        </w:rPr>
        <w:t xml:space="preserve">24.5  </w:t>
      </w:r>
      <w:r>
        <w:rPr>
          <w:rFonts w:hint="eastAsia"/>
          <w:szCs w:val="21"/>
        </w:rPr>
        <w:t>投标方应将投标文件按</w:t>
      </w:r>
      <w:r>
        <w:rPr>
          <w:szCs w:val="21"/>
        </w:rPr>
        <w:t>24.1-24.2中的规定进行密封和标记后，按专用条款中采购公告注明的地址送至招标机构。</w:t>
      </w:r>
    </w:p>
    <w:p>
      <w:pPr>
        <w:tabs>
          <w:tab w:val="clear" w:pos="426"/>
        </w:tabs>
        <w:rPr>
          <w:rFonts w:hint="eastAsia"/>
          <w:szCs w:val="21"/>
        </w:rPr>
      </w:pPr>
      <w:r>
        <w:rPr>
          <w:szCs w:val="21"/>
        </w:rPr>
        <w:t xml:space="preserve">24.6  </w:t>
      </w:r>
      <w:r>
        <w:rPr>
          <w:rFonts w:hint="eastAsia"/>
          <w:szCs w:val="21"/>
        </w:rPr>
        <w:t>邮寄、电报、电话、传真形式的投标概不接受。</w:t>
      </w:r>
    </w:p>
    <w:p>
      <w:pPr>
        <w:tabs>
          <w:tab w:val="clear" w:pos="426"/>
        </w:tabs>
        <w:rPr>
          <w:rFonts w:hint="eastAsia"/>
          <w:b/>
          <w:szCs w:val="21"/>
        </w:rPr>
      </w:pPr>
      <w:r>
        <w:rPr>
          <w:b/>
          <w:szCs w:val="21"/>
        </w:rPr>
        <w:t xml:space="preserve">24.7  </w:t>
      </w:r>
      <w:r>
        <w:rPr>
          <w:rFonts w:hint="eastAsia"/>
          <w:b/>
          <w:bCs/>
          <w:szCs w:val="21"/>
        </w:rPr>
        <w:t>投标文件电子版：电子光盘一张</w:t>
      </w:r>
      <w:bookmarkStart w:id="161" w:name="_Hlk180015173"/>
      <w:r>
        <w:rPr>
          <w:rFonts w:hint="eastAsia"/>
          <w:b/>
          <w:bCs/>
          <w:szCs w:val="21"/>
        </w:rPr>
        <w:t>或U盘一个</w:t>
      </w:r>
      <w:bookmarkEnd w:id="161"/>
      <w:r>
        <w:rPr>
          <w:rFonts w:hint="eastAsia"/>
          <w:b/>
          <w:bCs/>
          <w:szCs w:val="21"/>
        </w:rPr>
        <w:t>（</w:t>
      </w:r>
      <w:bookmarkStart w:id="162" w:name="_Hlk180015185"/>
      <w:r>
        <w:rPr>
          <w:rFonts w:hint="eastAsia"/>
          <w:b/>
          <w:bCs/>
          <w:szCs w:val="21"/>
        </w:rPr>
        <w:t>WORD及</w:t>
      </w:r>
      <w:bookmarkEnd w:id="162"/>
      <w:r>
        <w:rPr>
          <w:rFonts w:hint="eastAsia"/>
          <w:b/>
          <w:bCs/>
          <w:szCs w:val="21"/>
        </w:rPr>
        <w:t>投标文件正本盖章后的彩色复印件，复印件要求为</w:t>
      </w:r>
      <w:r>
        <w:rPr>
          <w:b/>
          <w:bCs/>
          <w:szCs w:val="21"/>
        </w:rPr>
        <w:t>PDF格式），请将该光盘放在开标信封中，并在光盘上标明项目编号、项目名称及投标供应商名称。</w:t>
      </w:r>
    </w:p>
    <w:p>
      <w:pPr>
        <w:tabs>
          <w:tab w:val="clear" w:pos="426"/>
        </w:tabs>
        <w:rPr>
          <w:rFonts w:hint="eastAsia"/>
          <w:szCs w:val="21"/>
        </w:rPr>
      </w:pPr>
      <w:r>
        <w:rPr>
          <w:szCs w:val="21"/>
        </w:rPr>
        <w:t xml:space="preserve">25． </w:t>
      </w:r>
      <w:r>
        <w:rPr>
          <w:rFonts w:hint="eastAsia"/>
          <w:szCs w:val="21"/>
        </w:rPr>
        <w:t>投标截止时间</w:t>
      </w:r>
    </w:p>
    <w:p>
      <w:pPr>
        <w:tabs>
          <w:tab w:val="clear" w:pos="426"/>
        </w:tabs>
        <w:rPr>
          <w:rFonts w:hint="eastAsia"/>
          <w:szCs w:val="21"/>
        </w:rPr>
      </w:pPr>
      <w:r>
        <w:rPr>
          <w:rFonts w:hint="eastAsia"/>
          <w:szCs w:val="21"/>
        </w:rPr>
        <w:t>招标机构在投标供应商须知第</w:t>
      </w:r>
      <w:r>
        <w:rPr>
          <w:szCs w:val="21"/>
        </w:rPr>
        <w:t>24.5条规定的地址收到投标书的时间不得迟于“投标供应商须知前附表”第19</w:t>
      </w:r>
      <w:r>
        <w:rPr>
          <w:rFonts w:hint="eastAsia"/>
          <w:szCs w:val="21"/>
        </w:rPr>
        <w:t>项所规定的时间。</w:t>
      </w:r>
    </w:p>
    <w:p>
      <w:pPr>
        <w:tabs>
          <w:tab w:val="clear" w:pos="426"/>
        </w:tabs>
        <w:rPr>
          <w:rFonts w:hint="eastAsia"/>
          <w:szCs w:val="21"/>
        </w:rPr>
      </w:pPr>
      <w:r>
        <w:rPr>
          <w:szCs w:val="21"/>
        </w:rPr>
        <w:t>26．迟交的投标书</w:t>
      </w:r>
    </w:p>
    <w:p>
      <w:pPr>
        <w:tabs>
          <w:tab w:val="clear" w:pos="426"/>
        </w:tabs>
        <w:rPr>
          <w:rFonts w:hint="eastAsia"/>
          <w:szCs w:val="21"/>
        </w:rPr>
      </w:pPr>
      <w:r>
        <w:rPr>
          <w:szCs w:val="21"/>
        </w:rPr>
        <w:t xml:space="preserve">    按照本通用条款第25条规定，招标机构将拒绝并原封退回在其规定的投标截止期后收到的任何投标书。</w:t>
      </w:r>
    </w:p>
    <w:p>
      <w:pPr>
        <w:tabs>
          <w:tab w:val="clear" w:pos="426"/>
        </w:tabs>
        <w:rPr>
          <w:rFonts w:hint="eastAsia"/>
        </w:rPr>
      </w:pPr>
      <w:r>
        <w:t xml:space="preserve">27． </w:t>
      </w:r>
      <w:r>
        <w:rPr>
          <w:rFonts w:hint="eastAsia"/>
        </w:rPr>
        <w:t>投标文件的提交和截标时投标文件的数量要求</w:t>
      </w:r>
    </w:p>
    <w:p>
      <w:pPr>
        <w:tabs>
          <w:tab w:val="clear" w:pos="426"/>
        </w:tabs>
        <w:rPr>
          <w:rFonts w:hint="eastAsia"/>
        </w:rPr>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pPr>
        <w:tabs>
          <w:tab w:val="clear" w:pos="426"/>
        </w:tabs>
        <w:rPr>
          <w:rFonts w:hint="eastAsia"/>
        </w:rPr>
      </w:pPr>
      <w:r>
        <w:t>27.2  截标时</w:t>
      </w:r>
      <w:r>
        <w:rPr>
          <w:rFonts w:hint="eastAsia"/>
        </w:rPr>
        <w:t>递</w:t>
      </w:r>
      <w:r>
        <w:t>交标书的投标供应商数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投标供应商</w:t>
      </w:r>
      <w:r>
        <w:rPr>
          <w:rFonts w:hint="eastAsia"/>
        </w:rPr>
        <w:t>造成的损失。</w:t>
      </w:r>
    </w:p>
    <w:p>
      <w:pPr>
        <w:tabs>
          <w:tab w:val="clear" w:pos="426"/>
        </w:tabs>
        <w:rPr>
          <w:rFonts w:hint="eastAsia"/>
        </w:rPr>
      </w:pPr>
      <w:r>
        <w:t xml:space="preserve">28．  </w:t>
      </w:r>
      <w:r>
        <w:rPr>
          <w:rFonts w:hint="eastAsia"/>
        </w:rPr>
        <w:t>投标文件的修改或撤回</w:t>
      </w:r>
    </w:p>
    <w:p>
      <w:pPr>
        <w:tabs>
          <w:tab w:val="clear" w:pos="426"/>
        </w:tabs>
        <w:rPr>
          <w:rFonts w:hint="eastAsia"/>
        </w:rPr>
      </w:pPr>
      <w:r>
        <w:t xml:space="preserve">28.1  </w:t>
      </w:r>
      <w:r>
        <w:rPr>
          <w:rFonts w:hint="eastAsia"/>
        </w:rPr>
        <w:t>投标供应商已提交投标文件，规定的投标</w:t>
      </w:r>
      <w:r>
        <w:t>截止</w:t>
      </w:r>
      <w:r>
        <w:rPr>
          <w:rFonts w:hint="eastAsia"/>
        </w:rPr>
        <w:t>时间还未到，投标供应商可提出对其投标文件的修改或撤回。投标供应商须提交由投标供应商代表签名的修改或撤回的书面通知。</w:t>
      </w:r>
    </w:p>
    <w:p>
      <w:pPr>
        <w:tabs>
          <w:tab w:val="clear" w:pos="426"/>
        </w:tabs>
        <w:rPr>
          <w:rFonts w:hint="eastAsia"/>
        </w:rPr>
      </w:pPr>
      <w:r>
        <w:t xml:space="preserve">28.2  </w:t>
      </w:r>
      <w:r>
        <w:rPr>
          <w:rFonts w:hint="eastAsia"/>
        </w:rPr>
        <w:t>采购代理机构收到由投标供应商代表签名的修改或撤回的书面通知并确认后，投标供应商可对其投标文件进行修改，或是撤回其投标。</w:t>
      </w:r>
    </w:p>
    <w:p>
      <w:pPr>
        <w:tabs>
          <w:tab w:val="clear" w:pos="426"/>
        </w:tabs>
        <w:rPr>
          <w:rFonts w:hint="eastAsia"/>
        </w:rPr>
      </w:pPr>
      <w:r>
        <w:t xml:space="preserve">28.3  </w:t>
      </w:r>
      <w:r>
        <w:rPr>
          <w:rFonts w:hint="eastAsia"/>
        </w:rPr>
        <w:t>投标供应商的修改文件应按照本招标文件的规定进行编制、密封、标记和提交，并在密封袋上注明“投标修改”。</w:t>
      </w:r>
    </w:p>
    <w:p>
      <w:pPr>
        <w:tabs>
          <w:tab w:val="clear" w:pos="426"/>
        </w:tabs>
        <w:rPr>
          <w:rFonts w:hint="eastAsia"/>
        </w:rPr>
      </w:pPr>
      <w:r>
        <w:t xml:space="preserve">28.4  </w:t>
      </w:r>
      <w:r>
        <w:rPr>
          <w:rFonts w:hint="eastAsia"/>
        </w:rPr>
        <w:t>投标截止时间之后至投标文件有效期终止之前，投标供应商不得要求撤回其投标。在此期间撤回投标的，其投标担保将会被没收。</w:t>
      </w:r>
    </w:p>
    <w:p>
      <w:pPr>
        <w:tabs>
          <w:tab w:val="clear" w:pos="426"/>
        </w:tabs>
        <w:rPr>
          <w:rFonts w:hint="eastAsia"/>
        </w:rPr>
      </w:pPr>
      <w:r>
        <w:t xml:space="preserve">28.5  </w:t>
      </w:r>
      <w:r>
        <w:rPr>
          <w:rFonts w:hint="eastAsia"/>
        </w:rPr>
        <w:t>评标结束后，不论中标与否，投标供应商均不得收回投标文件。</w:t>
      </w:r>
    </w:p>
    <w:p>
      <w:pPr>
        <w:pStyle w:val="5"/>
        <w:tabs>
          <w:tab w:val="clear" w:pos="426"/>
        </w:tabs>
        <w:rPr>
          <w:rFonts w:hint="eastAsia"/>
        </w:rPr>
      </w:pPr>
      <w:bookmarkStart w:id="163" w:name="_Toc14427257"/>
      <w:bookmarkStart w:id="164" w:name="_Toc529280584"/>
      <w:bookmarkStart w:id="165" w:name="_Toc18415"/>
      <w:bookmarkStart w:id="166" w:name="_Toc530152525"/>
      <w:r>
        <w:rPr>
          <w:rFonts w:hint="eastAsia"/>
        </w:rPr>
        <w:t>第四章 开标</w:t>
      </w:r>
      <w:bookmarkEnd w:id="163"/>
      <w:bookmarkEnd w:id="164"/>
      <w:bookmarkEnd w:id="165"/>
      <w:bookmarkEnd w:id="166"/>
    </w:p>
    <w:p>
      <w:pPr>
        <w:tabs>
          <w:tab w:val="clear" w:pos="426"/>
        </w:tabs>
        <w:rPr>
          <w:rFonts w:hint="eastAsia"/>
        </w:rPr>
      </w:pPr>
      <w:r>
        <w:t>29．　开标</w:t>
      </w:r>
    </w:p>
    <w:p>
      <w:pPr>
        <w:tabs>
          <w:tab w:val="clear" w:pos="426"/>
        </w:tabs>
        <w:rPr>
          <w:rFonts w:hint="eastAsia"/>
        </w:rPr>
      </w:pPr>
      <w:r>
        <w:t xml:space="preserve">29.1  </w:t>
      </w:r>
      <w:r>
        <w:rPr>
          <w:rFonts w:hint="eastAsia"/>
        </w:rPr>
        <w:t>采购人在“投标须知前附表”中规定的时间、地点组织公开开标。邀请所有投标供应商代表参加。不参加开标会的投标供应商，视为其认可开标程序和结果。</w:t>
      </w:r>
    </w:p>
    <w:p>
      <w:pPr>
        <w:tabs>
          <w:tab w:val="clear" w:pos="426"/>
        </w:tabs>
        <w:rPr>
          <w:rFonts w:hint="eastAsia"/>
        </w:rPr>
      </w:pPr>
      <w:r>
        <w:t xml:space="preserve">29.2  </w:t>
      </w:r>
      <w:r>
        <w:rPr>
          <w:rFonts w:hint="eastAsia"/>
        </w:rPr>
        <w:t>参加开标会议的投标供应商只委派一名代表，且必须是本单位法定代表人或授权代表，参加会议人员须提供相应的授权委托书。</w:t>
      </w:r>
    </w:p>
    <w:p>
      <w:pPr>
        <w:tabs>
          <w:tab w:val="clear" w:pos="426"/>
        </w:tabs>
        <w:rPr>
          <w:rFonts w:hint="eastAsia"/>
        </w:rPr>
      </w:pPr>
      <w:r>
        <w:t xml:space="preserve">29.3  </w:t>
      </w:r>
      <w:r>
        <w:rPr>
          <w:rFonts w:hint="eastAsia"/>
        </w:rPr>
        <w:t>开标会由采购代理机构主持，开标程序如下：</w:t>
      </w:r>
    </w:p>
    <w:p>
      <w:pPr>
        <w:tabs>
          <w:tab w:val="clear" w:pos="426"/>
        </w:tabs>
        <w:rPr>
          <w:rFonts w:hint="eastAsia"/>
        </w:rPr>
      </w:pPr>
      <w:r>
        <w:t xml:space="preserve">29.3.1  采购代理机构核对法人代表或其授权代表身份证明，若不能提供相应的身份证明或不相符，则不能参与开标会议； </w:t>
      </w:r>
    </w:p>
    <w:p>
      <w:pPr>
        <w:tabs>
          <w:tab w:val="clear" w:pos="426"/>
        </w:tabs>
        <w:rPr>
          <w:rFonts w:hint="eastAsia"/>
          <w:szCs w:val="21"/>
        </w:rPr>
      </w:pPr>
      <w:r>
        <w:rPr>
          <w:szCs w:val="21"/>
        </w:rPr>
        <w:t xml:space="preserve">29.3.2  </w:t>
      </w:r>
      <w:r>
        <w:rPr>
          <w:rFonts w:hint="eastAsia"/>
          <w:szCs w:val="21"/>
        </w:rPr>
        <w:t>招标机构将按“采购公告”规定的时间和地点组织公开开标。投标供应商应委派代表参加，参加开标的代表应签名报到以证明出席。</w:t>
      </w:r>
    </w:p>
    <w:p>
      <w:pPr>
        <w:tabs>
          <w:tab w:val="clear" w:pos="426"/>
        </w:tabs>
        <w:rPr>
          <w:rFonts w:hint="eastAsia"/>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rFonts w:hint="eastAsia"/>
          <w:szCs w:val="21"/>
        </w:rPr>
      </w:pPr>
      <w:r>
        <w:rPr>
          <w:rFonts w:hint="eastAsia"/>
          <w:szCs w:val="21"/>
        </w:rPr>
        <w:t>除了按照本通用条款第</w:t>
      </w:r>
      <w:r>
        <w:rPr>
          <w:szCs w:val="21"/>
        </w:rPr>
        <w:t>26条规定原封退回的投标之外，开标时将不得拒绝任何投标书。</w:t>
      </w:r>
    </w:p>
    <w:p>
      <w:pPr>
        <w:tabs>
          <w:tab w:val="clear" w:pos="426"/>
        </w:tabs>
        <w:rPr>
          <w:rFonts w:hint="eastAsia"/>
          <w:szCs w:val="21"/>
        </w:rPr>
      </w:pPr>
      <w:r>
        <w:rPr>
          <w:szCs w:val="21"/>
        </w:rPr>
        <w:t xml:space="preserve">29.3.4  </w:t>
      </w:r>
      <w:r>
        <w:rPr>
          <w:rFonts w:hint="eastAsia"/>
          <w:szCs w:val="21"/>
        </w:rPr>
        <w:t>开标时，招标机构仅拆封开标信封。如投标供应商未单独密封包装开标信封，招标机构有权拆封投标文件。</w:t>
      </w:r>
    </w:p>
    <w:p>
      <w:pPr>
        <w:tabs>
          <w:tab w:val="clear" w:pos="426"/>
        </w:tabs>
        <w:rPr>
          <w:rFonts w:hint="eastAsia"/>
          <w:szCs w:val="21"/>
        </w:rPr>
      </w:pPr>
      <w:r>
        <w:rPr>
          <w:szCs w:val="21"/>
        </w:rPr>
        <w:t xml:space="preserve">29.3.5  </w:t>
      </w:r>
      <w:r>
        <w:rPr>
          <w:rFonts w:hint="eastAsia"/>
          <w:szCs w:val="21"/>
        </w:rPr>
        <w:t>按照投标供应商须知第</w:t>
      </w:r>
      <w:r>
        <w:rPr>
          <w:szCs w:val="21"/>
        </w:rPr>
        <w:t>28条规定，提交了可接受的“撤回”通知的投标将不予开封。</w:t>
      </w:r>
    </w:p>
    <w:p>
      <w:pPr>
        <w:tabs>
          <w:tab w:val="clear" w:pos="426"/>
        </w:tabs>
        <w:rPr>
          <w:rFonts w:hint="eastAsia"/>
          <w:szCs w:val="21"/>
        </w:rPr>
      </w:pPr>
      <w:r>
        <w:rPr>
          <w:szCs w:val="21"/>
        </w:rPr>
        <w:t xml:space="preserve">29.3.6  </w:t>
      </w:r>
      <w:r>
        <w:rPr>
          <w:rFonts w:hint="eastAsia"/>
          <w:szCs w:val="21"/>
        </w:rPr>
        <w:t>无论如何在开标时没有启封和读出的投标书在评标时将不予考虑。撤回的投标书将原封退回投标供应商。</w:t>
      </w:r>
    </w:p>
    <w:p>
      <w:pPr>
        <w:tabs>
          <w:tab w:val="clear" w:pos="426"/>
        </w:tabs>
        <w:rPr>
          <w:rFonts w:hint="eastAsia"/>
          <w:szCs w:val="21"/>
        </w:rPr>
      </w:pPr>
      <w:r>
        <w:rPr>
          <w:szCs w:val="21"/>
        </w:rPr>
        <w:t xml:space="preserve">29.3.7  </w:t>
      </w:r>
      <w:r>
        <w:rPr>
          <w:rFonts w:hint="eastAsia"/>
          <w:szCs w:val="21"/>
        </w:rPr>
        <w:t>招标机构将做开标记录，开标记录包括按本通用条款第</w:t>
      </w:r>
      <w:r>
        <w:rPr>
          <w:szCs w:val="21"/>
        </w:rPr>
        <w:t>29.3.3的规定在开标时宣读的全部内容。</w:t>
      </w:r>
    </w:p>
    <w:p>
      <w:pPr>
        <w:tabs>
          <w:tab w:val="clear" w:pos="426"/>
        </w:tabs>
        <w:rPr>
          <w:rFonts w:hint="eastAsia"/>
        </w:rPr>
      </w:pPr>
      <w:r>
        <w:t xml:space="preserve">29.3.8  </w:t>
      </w:r>
      <w:r>
        <w:rPr>
          <w:rFonts w:hint="eastAsia"/>
        </w:rPr>
        <w:t>供应商在开标过程中知道或者应知其权益受到损害时必须现场明确提出，未明确提出的，即视为认可开标结果。</w:t>
      </w:r>
    </w:p>
    <w:p>
      <w:pPr>
        <w:pStyle w:val="5"/>
        <w:tabs>
          <w:tab w:val="clear" w:pos="426"/>
        </w:tabs>
        <w:rPr>
          <w:rFonts w:hint="eastAsia"/>
        </w:rPr>
      </w:pPr>
      <w:bookmarkStart w:id="167" w:name="_Toc14427258"/>
      <w:bookmarkStart w:id="168" w:name="_Toc529280585"/>
      <w:bookmarkStart w:id="169" w:name="_Toc31833"/>
      <w:bookmarkStart w:id="170" w:name="_Toc530152526"/>
      <w:r>
        <w:rPr>
          <w:rFonts w:hint="eastAsia"/>
        </w:rPr>
        <w:t>第五章 评标要求</w:t>
      </w:r>
      <w:bookmarkEnd w:id="167"/>
      <w:bookmarkEnd w:id="168"/>
      <w:bookmarkEnd w:id="169"/>
      <w:bookmarkEnd w:id="170"/>
    </w:p>
    <w:p>
      <w:pPr>
        <w:tabs>
          <w:tab w:val="clear" w:pos="426"/>
        </w:tabs>
        <w:rPr>
          <w:rFonts w:hint="eastAsia"/>
        </w:rPr>
      </w:pPr>
      <w:r>
        <w:t>30．评标委员会组成</w:t>
      </w:r>
    </w:p>
    <w:p>
      <w:pPr>
        <w:tabs>
          <w:tab w:val="clear" w:pos="426"/>
        </w:tabs>
        <w:rPr>
          <w:rFonts w:hint="eastAsia"/>
        </w:rPr>
      </w:pPr>
      <w:r>
        <w:t>30.1开标结束后召开评标会议，评标委员会由采购代理机构依法组建，负责评标活动。</w:t>
      </w:r>
    </w:p>
    <w:p>
      <w:pPr>
        <w:tabs>
          <w:tab w:val="clear" w:pos="426"/>
        </w:tabs>
        <w:rPr>
          <w:rFonts w:hint="eastAsia"/>
        </w:rPr>
      </w:pPr>
      <w:r>
        <w:rPr>
          <w:rFonts w:hint="eastAsia"/>
        </w:rPr>
        <w:t>评标委员会的组成及行为规范执行《中华人民共和国政府采购法》《中华人民共和国政府采购法实施条例》，评标委员会由采购单位代表和有关技术、经济等方面的专家组成，成员人数为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pPr>
        <w:tabs>
          <w:tab w:val="clear" w:pos="426"/>
        </w:tabs>
        <w:rPr>
          <w:rFonts w:hint="eastAsia"/>
        </w:rPr>
      </w:pPr>
      <w:r>
        <w:rPr>
          <w:rFonts w:hint="eastAsia"/>
        </w:rPr>
        <w:t>为保证评委人选的专业性，以及评标中的公平公正性，评标委员会成员从深圳市财政委员会评标专家库中随机抽取。</w:t>
      </w:r>
    </w:p>
    <w:p>
      <w:pPr>
        <w:tabs>
          <w:tab w:val="clear" w:pos="426"/>
        </w:tabs>
        <w:rPr>
          <w:rFonts w:hint="eastAsia"/>
        </w:rPr>
      </w:pPr>
      <w:r>
        <w:rPr>
          <w:rFonts w:hint="eastAsia"/>
        </w:rPr>
        <w:t>采购单位代表须持本单位签发的《评标授权书》参加评标。</w:t>
      </w:r>
    </w:p>
    <w:p>
      <w:pPr>
        <w:tabs>
          <w:tab w:val="clear" w:pos="426"/>
        </w:tabs>
        <w:rPr>
          <w:rFonts w:hint="eastAsia"/>
        </w:rPr>
      </w:pPr>
      <w:r>
        <w:rPr>
          <w:rFonts w:hint="eastAsia"/>
        </w:rPr>
        <w:t>采购单位无代表参与评标，应在开标前一天提交《采购单位不派评委参与项目评标承诺书》给采购代理机构。</w:t>
      </w:r>
    </w:p>
    <w:p>
      <w:pPr>
        <w:tabs>
          <w:tab w:val="clear" w:pos="426"/>
        </w:tabs>
        <w:rPr>
          <w:rFonts w:hint="eastAsia"/>
          <w:sz w:val="24"/>
        </w:rPr>
      </w:pPr>
      <w:r>
        <w:rPr>
          <w:rFonts w:hint="eastAsia"/>
        </w:rPr>
        <w:t>注：《评标授权书》《采购单位不派评委参与项目评标承诺书》模板由采购代理机构提供</w:t>
      </w:r>
      <w:r>
        <w:rPr>
          <w:rFonts w:hint="eastAsia"/>
          <w:sz w:val="24"/>
        </w:rPr>
        <w:t>。</w:t>
      </w:r>
    </w:p>
    <w:p>
      <w:pPr>
        <w:tabs>
          <w:tab w:val="clear" w:pos="426"/>
        </w:tabs>
        <w:rPr>
          <w:rFonts w:hint="eastAsia"/>
        </w:rPr>
      </w:pPr>
      <w:r>
        <w:t>30.2评标定标应当遵循公平、公正、科学、择优的原则。</w:t>
      </w:r>
    </w:p>
    <w:p>
      <w:pPr>
        <w:tabs>
          <w:tab w:val="clear" w:pos="426"/>
        </w:tabs>
        <w:rPr>
          <w:rFonts w:hint="eastAsia"/>
        </w:rPr>
      </w:pPr>
      <w:r>
        <w:t>30.3评标活动依法进行，任何单位和个人不得非法干预评标过程和结果。</w:t>
      </w:r>
    </w:p>
    <w:p>
      <w:pPr>
        <w:tabs>
          <w:tab w:val="clear" w:pos="426"/>
        </w:tabs>
        <w:rPr>
          <w:rFonts w:hint="eastAsia"/>
        </w:rPr>
      </w:pPr>
      <w:r>
        <w:t>30.4评标过程中不允许违背评标程序或采用招标文件未载明的评标方法或评标因素进行评标。</w:t>
      </w:r>
    </w:p>
    <w:p>
      <w:pPr>
        <w:tabs>
          <w:tab w:val="clear" w:pos="426"/>
        </w:tabs>
        <w:rPr>
          <w:rFonts w:hint="eastAsia"/>
        </w:rPr>
      </w:pPr>
      <w:r>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pPr>
        <w:tabs>
          <w:tab w:val="clear" w:pos="426"/>
        </w:tabs>
        <w:rPr>
          <w:rFonts w:hint="eastAsia"/>
        </w:rPr>
      </w:pPr>
      <w:r>
        <w:t>31．向评标委员会提供的资料</w:t>
      </w:r>
    </w:p>
    <w:p>
      <w:pPr>
        <w:tabs>
          <w:tab w:val="clear" w:pos="426"/>
        </w:tabs>
        <w:rPr>
          <w:rFonts w:hint="eastAsia"/>
        </w:rPr>
      </w:pPr>
      <w:r>
        <w:t>31.1公开发布的招标文件，包括图纸、服务清单、答疑文件等；</w:t>
      </w:r>
    </w:p>
    <w:p>
      <w:pPr>
        <w:tabs>
          <w:tab w:val="clear" w:pos="426"/>
        </w:tabs>
        <w:rPr>
          <w:rFonts w:hint="eastAsia"/>
        </w:rPr>
      </w:pPr>
      <w:r>
        <w:t>31.2其他评标必须的资料。</w:t>
      </w:r>
    </w:p>
    <w:p>
      <w:pPr>
        <w:tabs>
          <w:tab w:val="clear" w:pos="426"/>
        </w:tabs>
        <w:rPr>
          <w:rFonts w:hint="eastAsia"/>
        </w:rPr>
      </w:pPr>
      <w:r>
        <w:t>31.3评标委员会应当认真研究招标文件，至少应了解熟悉以下</w:t>
      </w:r>
      <w:r>
        <w:rPr>
          <w:rFonts w:hint="eastAsia"/>
        </w:rPr>
        <w:t>内容：</w:t>
      </w:r>
    </w:p>
    <w:p>
      <w:pPr>
        <w:tabs>
          <w:tab w:val="clear" w:pos="426"/>
        </w:tabs>
        <w:rPr>
          <w:rFonts w:hint="eastAsia"/>
        </w:rPr>
      </w:pPr>
      <w:r>
        <w:rPr>
          <w:rFonts w:hint="eastAsia"/>
        </w:rPr>
        <w:t>（1）招标的目的；</w:t>
      </w:r>
    </w:p>
    <w:p>
      <w:pPr>
        <w:tabs>
          <w:tab w:val="clear" w:pos="426"/>
        </w:tabs>
        <w:rPr>
          <w:rFonts w:hint="eastAsia"/>
        </w:rPr>
      </w:pPr>
      <w:r>
        <w:rPr>
          <w:rFonts w:hint="eastAsia"/>
        </w:rPr>
        <w:t>（2）招标项目需求的范围和性质；</w:t>
      </w:r>
    </w:p>
    <w:p>
      <w:pPr>
        <w:tabs>
          <w:tab w:val="clear" w:pos="426"/>
        </w:tabs>
        <w:rPr>
          <w:rFonts w:hint="eastAsia"/>
        </w:rPr>
      </w:pPr>
      <w:r>
        <w:rPr>
          <w:rFonts w:hint="eastAsia"/>
        </w:rPr>
        <w:t>（3）招标文件规定的投标供应商的资格、财政预算限额、商务条款；</w:t>
      </w:r>
    </w:p>
    <w:p>
      <w:pPr>
        <w:tabs>
          <w:tab w:val="clear" w:pos="426"/>
        </w:tabs>
        <w:rPr>
          <w:rFonts w:hint="eastAsia"/>
        </w:rPr>
      </w:pPr>
      <w:r>
        <w:rPr>
          <w:rFonts w:hint="eastAsia"/>
        </w:rPr>
        <w:t>（4）招标文件规定的评标程序、评标方法和评标因素；</w:t>
      </w:r>
    </w:p>
    <w:p>
      <w:pPr>
        <w:tabs>
          <w:tab w:val="clear" w:pos="426"/>
        </w:tabs>
        <w:rPr>
          <w:rFonts w:hint="eastAsia"/>
        </w:rPr>
      </w:pPr>
      <w:r>
        <w:rPr>
          <w:rFonts w:hint="eastAsia"/>
        </w:rPr>
        <w:t>（5）招标文件所列示的投标文件“资格、符合性评审条款”。</w:t>
      </w:r>
    </w:p>
    <w:p>
      <w:pPr>
        <w:tabs>
          <w:tab w:val="clear" w:pos="426"/>
        </w:tabs>
        <w:rPr>
          <w:rFonts w:hint="eastAsia"/>
        </w:rPr>
      </w:pPr>
      <w:r>
        <w:rPr>
          <w:rFonts w:hint="eastAsia"/>
        </w:rPr>
        <w:t>32．独立评标</w:t>
      </w:r>
    </w:p>
    <w:p>
      <w:pPr>
        <w:tabs>
          <w:tab w:val="clear" w:pos="426"/>
        </w:tabs>
        <w:rPr>
          <w:rFonts w:hint="eastAsia"/>
          <w:szCs w:val="21"/>
        </w:rPr>
      </w:pPr>
      <w:r>
        <w:rPr>
          <w:rFonts w:hint="eastAsia"/>
        </w:rPr>
        <w:t>32.1评标委员会成员的评标活动应当独立进行，并应遵循投标文件初审、澄清有关问题、比较与评价、确定中标候选供应商、编写评标报告的工作程序。</w:t>
      </w:r>
    </w:p>
    <w:p>
      <w:pPr>
        <w:pStyle w:val="5"/>
        <w:tabs>
          <w:tab w:val="clear" w:pos="426"/>
        </w:tabs>
        <w:rPr>
          <w:rFonts w:hint="eastAsia"/>
        </w:rPr>
      </w:pPr>
      <w:bookmarkStart w:id="171" w:name="_Toc530152527"/>
      <w:bookmarkStart w:id="172" w:name="_Toc329"/>
      <w:bookmarkStart w:id="173" w:name="_Toc529280586"/>
      <w:bookmarkStart w:id="174" w:name="_Toc14427259"/>
      <w:r>
        <w:rPr>
          <w:rFonts w:hint="eastAsia"/>
        </w:rPr>
        <w:t>第六章 评标程序及评标方法</w:t>
      </w:r>
      <w:bookmarkEnd w:id="171"/>
      <w:bookmarkEnd w:id="172"/>
      <w:bookmarkEnd w:id="173"/>
      <w:bookmarkEnd w:id="174"/>
    </w:p>
    <w:p>
      <w:pPr>
        <w:tabs>
          <w:tab w:val="clear" w:pos="426"/>
        </w:tabs>
        <w:rPr>
          <w:rFonts w:hint="eastAsia"/>
        </w:rPr>
      </w:pPr>
      <w:r>
        <w:rPr>
          <w:rFonts w:hint="eastAsia"/>
        </w:rPr>
        <w:t>33．投标文件初审</w:t>
      </w:r>
    </w:p>
    <w:p>
      <w:pPr>
        <w:widowControl w:val="0"/>
        <w:shd w:val="clear" w:color="auto" w:fill="auto"/>
        <w:tabs>
          <w:tab w:val="clear" w:pos="426"/>
        </w:tabs>
        <w:autoSpaceDE w:val="0"/>
        <w:autoSpaceDN w:val="0"/>
        <w:rPr>
          <w:rFonts w:hint="eastAsia"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tabs>
          <w:tab w:val="clear" w:pos="426"/>
        </w:tabs>
        <w:rPr>
          <w:rFonts w:hint="eastAsia"/>
          <w:b/>
        </w:rPr>
      </w:pPr>
      <w:r>
        <w:rPr>
          <w:rFonts w:hint="eastAsia"/>
        </w:rPr>
        <w:t>33.2 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pPr>
        <w:tabs>
          <w:tab w:val="clear" w:pos="426"/>
        </w:tabs>
        <w:rPr>
          <w:rFonts w:hint="eastAsia"/>
        </w:rPr>
      </w:pPr>
      <w:r>
        <w:rPr>
          <w:rFonts w:hint="eastAsia"/>
        </w:rPr>
        <w:t>33.3 投标文件初审中关于供应商家数的计算。</w:t>
      </w:r>
    </w:p>
    <w:p>
      <w:pPr>
        <w:tabs>
          <w:tab w:val="clear" w:pos="426"/>
        </w:tabs>
        <w:rPr>
          <w:rFonts w:hint="eastAsia"/>
        </w:rPr>
      </w:pPr>
      <w:r>
        <w:rPr>
          <w:rFonts w:hint="eastAsia"/>
        </w:rPr>
        <w:t>33.3.1 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tabs>
          <w:tab w:val="clear" w:pos="426"/>
        </w:tabs>
        <w:rPr>
          <w:rFonts w:hint="eastAsia"/>
        </w:rPr>
      </w:pPr>
      <w:r>
        <w:t>33.3.</w:t>
      </w:r>
      <w:r>
        <w:rPr>
          <w:rFonts w:hint="eastAsia"/>
        </w:rPr>
        <w:t>2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tabs>
          <w:tab w:val="clear" w:pos="426"/>
        </w:tabs>
        <w:rPr>
          <w:rFonts w:hint="eastAsia"/>
        </w:rPr>
      </w:pPr>
      <w:r>
        <w:t>33.3.</w:t>
      </w:r>
      <w:r>
        <w:rPr>
          <w:rFonts w:hint="eastAsia"/>
        </w:rPr>
        <w:t>3非单一产品采购项目，采购人应当根据采购项目技术构成、产品价格比重等合理确定核心产品，并在招标文件中载明。多家投标供应商提供的核心产品品牌相同的，按前两款规定处理。</w:t>
      </w:r>
    </w:p>
    <w:p>
      <w:pPr>
        <w:tabs>
          <w:tab w:val="clear" w:pos="426"/>
        </w:tabs>
        <w:rPr>
          <w:rFonts w:hint="eastAsia"/>
        </w:rPr>
      </w:pPr>
      <w:r>
        <w:rPr>
          <w:rFonts w:hint="eastAsia"/>
        </w:rPr>
        <w:t>33.3.4公开招标以外采购方式以及采购服务和工程涉及采购货物的项目，也按此方法计算供应商家数。</w:t>
      </w:r>
    </w:p>
    <w:p>
      <w:pPr>
        <w:tabs>
          <w:tab w:val="clear" w:pos="426"/>
        </w:tabs>
        <w:rPr>
          <w:rFonts w:hint="eastAsia"/>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pPr>
        <w:tabs>
          <w:tab w:val="clear" w:pos="426"/>
        </w:tabs>
        <w:rPr>
          <w:rFonts w:hint="eastAsia"/>
        </w:rPr>
      </w:pPr>
      <w:r>
        <w:rPr>
          <w:rFonts w:hint="eastAsia"/>
        </w:rPr>
        <w:t>34．澄清有关问题</w:t>
      </w:r>
    </w:p>
    <w:p>
      <w:pPr>
        <w:tabs>
          <w:tab w:val="clear" w:pos="426"/>
        </w:tabs>
        <w:rPr>
          <w:rFonts w:hint="eastAsia"/>
        </w:rPr>
      </w:pPr>
      <w:r>
        <w:rPr>
          <w:rFonts w:hint="eastAsia"/>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供应商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tabs>
          <w:tab w:val="clear" w:pos="426"/>
        </w:tabs>
        <w:rPr>
          <w:rFonts w:hint="eastAsia"/>
        </w:rPr>
      </w:pPr>
      <w:r>
        <w:rPr>
          <w:rFonts w:hint="eastAsia"/>
        </w:rPr>
        <w:t>35．错误的修正</w:t>
      </w:r>
    </w:p>
    <w:p>
      <w:pPr>
        <w:tabs>
          <w:tab w:val="clear" w:pos="426"/>
        </w:tabs>
        <w:rPr>
          <w:rFonts w:hint="eastAsia"/>
        </w:rPr>
      </w:pPr>
      <w:r>
        <w:rPr>
          <w:rFonts w:hint="eastAsia"/>
        </w:rPr>
        <w:t>35</w:t>
      </w:r>
      <w:r>
        <w:t xml:space="preserve">.1 </w:t>
      </w:r>
      <w:r>
        <w:rPr>
          <w:rFonts w:hint="eastAsia"/>
        </w:rPr>
        <w:t>评标委员会将审查投标文件是否完整、总体编排是否有序、文件签署是否合格、投标供应商是否提交了投标保证金、有无计算上的错误等。</w:t>
      </w:r>
    </w:p>
    <w:p>
      <w:pPr>
        <w:tabs>
          <w:tab w:val="clear" w:pos="426"/>
        </w:tabs>
        <w:rPr>
          <w:rFonts w:hint="eastAsia"/>
        </w:rPr>
      </w:pPr>
      <w:r>
        <w:rPr>
          <w:rFonts w:hint="eastAsia"/>
        </w:rPr>
        <w:t>35.2  算术错误将按以下方法更正（次序排先者优先）：</w:t>
      </w:r>
    </w:p>
    <w:p>
      <w:pPr>
        <w:tabs>
          <w:tab w:val="clear" w:pos="426"/>
        </w:tabs>
        <w:rPr>
          <w:rFonts w:hint="eastAsia"/>
        </w:rPr>
      </w:pPr>
      <w:r>
        <w:rPr>
          <w:rFonts w:hint="eastAsia"/>
        </w:rPr>
        <w:t>35.2.1投标文件中开标一览表（报价表）内容与投标文件中相应内容不一致的，以开标一览表（报价表）为准；</w:t>
      </w:r>
    </w:p>
    <w:p>
      <w:pPr>
        <w:tabs>
          <w:tab w:val="clear" w:pos="426"/>
        </w:tabs>
        <w:rPr>
          <w:rFonts w:hint="eastAsia"/>
        </w:rPr>
      </w:pPr>
      <w:r>
        <w:rPr>
          <w:rFonts w:hint="eastAsia"/>
        </w:rPr>
        <w:t>35.2.2大写金额和小写金额不一致的，以大写金额为准；</w:t>
      </w:r>
    </w:p>
    <w:p>
      <w:pPr>
        <w:tabs>
          <w:tab w:val="clear" w:pos="426"/>
        </w:tabs>
        <w:rPr>
          <w:rFonts w:hint="eastAsia"/>
        </w:rPr>
      </w:pPr>
      <w:r>
        <w:rPr>
          <w:rFonts w:hint="eastAsia"/>
        </w:rPr>
        <w:t>35.2.3单价金额小数点或者百分比有明显错位的，以开标一览表的总价为准，并修改单价；</w:t>
      </w:r>
    </w:p>
    <w:p>
      <w:pPr>
        <w:tabs>
          <w:tab w:val="clear" w:pos="426"/>
        </w:tabs>
        <w:rPr>
          <w:rFonts w:hint="eastAsia"/>
        </w:rPr>
      </w:pPr>
      <w:r>
        <w:rPr>
          <w:rFonts w:hint="eastAsia"/>
        </w:rPr>
        <w:t>35.2.4总价金额与按单价汇总金额不一致的，以单价金额计算结果为准；</w:t>
      </w:r>
    </w:p>
    <w:p>
      <w:pPr>
        <w:tabs>
          <w:tab w:val="clear" w:pos="426"/>
        </w:tabs>
        <w:rPr>
          <w:rFonts w:hint="eastAsia"/>
        </w:rPr>
      </w:pPr>
      <w:r>
        <w:rPr>
          <w:rFonts w:hint="eastAsia"/>
        </w:rPr>
        <w:t>35.2.5 对不同文字文本投标文件的解释发生异议的，以中文文本为准。</w:t>
      </w:r>
    </w:p>
    <w:p>
      <w:pPr>
        <w:tabs>
          <w:tab w:val="clear" w:pos="426"/>
        </w:tabs>
        <w:rPr>
          <w:rFonts w:hint="eastAsia"/>
        </w:rPr>
      </w:pPr>
      <w:r>
        <w:rPr>
          <w:rFonts w:hint="eastAsia"/>
        </w:rPr>
        <w:t>35</w:t>
      </w:r>
      <w:r>
        <w:t xml:space="preserve">.3  </w:t>
      </w:r>
      <w:r>
        <w:rPr>
          <w:rFonts w:hint="eastAsia"/>
        </w:rPr>
        <w:t>对于投标文件中不构成实质性偏差的不正规、不一致或不规则，给评审带来不便，评标委员会可以接受。</w:t>
      </w:r>
    </w:p>
    <w:p>
      <w:pPr>
        <w:tabs>
          <w:tab w:val="clear" w:pos="426"/>
        </w:tabs>
        <w:rPr>
          <w:rFonts w:hint="eastAsia"/>
        </w:rPr>
      </w:pPr>
      <w:r>
        <w:rPr>
          <w:rFonts w:hint="eastAsia"/>
        </w:rPr>
        <w:t>35.4  投标供应商的投标报价是可变动价格的，或包含了价格调整要求的，或投标报价中提供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pPr>
        <w:tabs>
          <w:tab w:val="clear" w:pos="426"/>
        </w:tabs>
        <w:rPr>
          <w:rFonts w:hint="eastAsia"/>
        </w:rPr>
      </w:pPr>
      <w:r>
        <w:rPr>
          <w:rFonts w:hint="eastAsia"/>
        </w:rPr>
        <w:t>35.5根据上述修正错误的原则及方法调整或修正投标文件的投标报价，投标供应商同意后，调整后的投标报价对投标供应商起约束作用。</w:t>
      </w:r>
      <w:r>
        <w:rPr>
          <w:rFonts w:hint="eastAsia"/>
          <w:bCs/>
        </w:rPr>
        <w:t>如果投标供应商不接受修正后的报价，则其投标将被拒绝并且其投标保证金也将被没收，并不影响评标工作。</w:t>
      </w:r>
    </w:p>
    <w:p>
      <w:pPr>
        <w:tabs>
          <w:tab w:val="clear" w:pos="426"/>
        </w:tabs>
        <w:rPr>
          <w:rFonts w:hint="eastAsia"/>
        </w:rPr>
      </w:pPr>
      <w:r>
        <w:rPr>
          <w:rFonts w:hint="eastAsia"/>
        </w:rPr>
        <w:t>36．投标文件的比较与评价</w:t>
      </w:r>
    </w:p>
    <w:p>
      <w:pPr>
        <w:tabs>
          <w:tab w:val="clear" w:pos="426"/>
        </w:tabs>
        <w:rPr>
          <w:rFonts w:hint="eastAsia"/>
        </w:rPr>
      </w:pPr>
      <w:r>
        <w:rPr>
          <w:rFonts w:hint="eastAsia"/>
        </w:rPr>
        <w:t>36.1评标委员会将参照相关法律、法规、规定，仅对通过资格性审查和符合性审查的投标文件进行综合比较与评价。</w:t>
      </w:r>
    </w:p>
    <w:p>
      <w:pPr>
        <w:tabs>
          <w:tab w:val="clear" w:pos="426"/>
        </w:tabs>
        <w:rPr>
          <w:rFonts w:hint="eastAsia"/>
        </w:rPr>
      </w:pPr>
      <w:r>
        <w:rPr>
          <w:rFonts w:hint="eastAsia"/>
          <w:bCs/>
        </w:rPr>
        <w:t xml:space="preserve">36.2  </w:t>
      </w:r>
      <w:r>
        <w:rPr>
          <w:rFonts w:hint="eastAsia"/>
        </w:rPr>
        <w:t>评标委员会应当根据招标文件，审查并逐项列出投标文件的全部投标偏离。投标偏离分为重大偏离和细微偏离。</w:t>
      </w:r>
    </w:p>
    <w:p>
      <w:pPr>
        <w:tabs>
          <w:tab w:val="clear" w:pos="426"/>
        </w:tabs>
        <w:rPr>
          <w:rFonts w:hint="eastAsia"/>
        </w:rPr>
      </w:pPr>
      <w:r>
        <w:rPr>
          <w:rFonts w:hint="eastAsia"/>
        </w:rPr>
        <w:t>36.3 评标委员会应当对投标供应商的投标文件进行分析和比较。</w:t>
      </w:r>
    </w:p>
    <w:p>
      <w:pPr>
        <w:tabs>
          <w:tab w:val="clear" w:pos="426"/>
        </w:tabs>
        <w:rPr>
          <w:rFonts w:hint="eastAsia"/>
        </w:rPr>
      </w:pPr>
      <w:r>
        <w:rPr>
          <w:rFonts w:hint="eastAsia"/>
        </w:rPr>
        <w:t>36.4  评标委员会应当根据招标文件规定，对投标文件中的每项评审内容进行评审。</w:t>
      </w:r>
    </w:p>
    <w:p>
      <w:pPr>
        <w:tabs>
          <w:tab w:val="clear" w:pos="426"/>
        </w:tabs>
        <w:rPr>
          <w:rFonts w:hint="eastAsia"/>
          <w:kern w:val="10"/>
        </w:rPr>
      </w:pPr>
      <w:r>
        <w:rPr>
          <w:rFonts w:hint="eastAsia"/>
          <w:kern w:val="10"/>
        </w:rPr>
        <w:t>36.5  投标文件存在重大偏离的，应作废标处理。下列情况属于重大偏离：</w:t>
      </w:r>
    </w:p>
    <w:p>
      <w:pPr>
        <w:tabs>
          <w:tab w:val="clear" w:pos="426"/>
        </w:tabs>
        <w:rPr>
          <w:rFonts w:hint="eastAsia"/>
          <w:kern w:val="10"/>
        </w:rPr>
      </w:pPr>
      <w:r>
        <w:rPr>
          <w:rFonts w:hint="eastAsia"/>
          <w:kern w:val="10"/>
        </w:rPr>
        <w:t>36.5.1  投标供应商以他人的名义投标或出现下列串通投标、弄虚作假投标嫌疑的：</w:t>
      </w:r>
    </w:p>
    <w:p>
      <w:pPr>
        <w:tabs>
          <w:tab w:val="clear" w:pos="426"/>
        </w:tabs>
        <w:rPr>
          <w:rFonts w:hint="eastAsia"/>
          <w:kern w:val="10"/>
        </w:rPr>
      </w:pPr>
      <w:r>
        <w:rPr>
          <w:rFonts w:hint="eastAsia"/>
          <w:kern w:val="10"/>
        </w:rPr>
        <w:t xml:space="preserve">36.5.1.1  </w:t>
      </w:r>
      <w:r>
        <w:rPr>
          <w:kern w:val="10"/>
        </w:rPr>
        <w:t>不同投标供应商的投标文件内容存在非正常一致</w:t>
      </w:r>
      <w:r>
        <w:rPr>
          <w:rFonts w:hint="eastAsia"/>
          <w:kern w:val="10"/>
        </w:rPr>
        <w:t>的</w:t>
      </w:r>
      <w:r>
        <w:rPr>
          <w:kern w:val="10"/>
        </w:rPr>
        <w:t>；</w:t>
      </w:r>
    </w:p>
    <w:p>
      <w:pPr>
        <w:tabs>
          <w:tab w:val="clear" w:pos="426"/>
        </w:tabs>
        <w:rPr>
          <w:rFonts w:hint="eastAsia"/>
          <w:kern w:val="10"/>
        </w:rPr>
      </w:pPr>
      <w:r>
        <w:rPr>
          <w:rFonts w:hint="eastAsia"/>
          <w:kern w:val="10"/>
        </w:rPr>
        <w:t xml:space="preserve">36.5.1.2  </w:t>
      </w:r>
      <w:r>
        <w:rPr>
          <w:kern w:val="10"/>
        </w:rPr>
        <w:t>不同投标供应商的投标文件错漏之处一致的；</w:t>
      </w:r>
    </w:p>
    <w:p>
      <w:pPr>
        <w:tabs>
          <w:tab w:val="clear" w:pos="426"/>
        </w:tabs>
        <w:rPr>
          <w:rFonts w:hint="eastAsia"/>
          <w:kern w:val="10"/>
        </w:rPr>
      </w:pPr>
      <w:r>
        <w:rPr>
          <w:rFonts w:hint="eastAsia"/>
          <w:kern w:val="10"/>
        </w:rPr>
        <w:t xml:space="preserve">36.5.1.3  </w:t>
      </w:r>
      <w:r>
        <w:rPr>
          <w:kern w:val="10"/>
        </w:rPr>
        <w:t>不同投标供应商的投标报价或者报价组成异常一致或者呈规律性变化的；</w:t>
      </w:r>
    </w:p>
    <w:p>
      <w:pPr>
        <w:tabs>
          <w:tab w:val="clear" w:pos="426"/>
        </w:tabs>
        <w:rPr>
          <w:rFonts w:hint="eastAsia"/>
          <w:kern w:val="10"/>
        </w:rPr>
      </w:pPr>
      <w:r>
        <w:rPr>
          <w:rFonts w:hint="eastAsia"/>
          <w:kern w:val="10"/>
        </w:rPr>
        <w:t xml:space="preserve">36.5.1.4  </w:t>
      </w:r>
      <w:r>
        <w:rPr>
          <w:kern w:val="10"/>
        </w:rPr>
        <w:t>不同投标供应商的投标文件由同一单位或者同一个人编制的；</w:t>
      </w:r>
    </w:p>
    <w:p>
      <w:pPr>
        <w:tabs>
          <w:tab w:val="clear" w:pos="426"/>
        </w:tabs>
        <w:rPr>
          <w:rFonts w:hint="eastAsia"/>
          <w:kern w:val="10"/>
        </w:rPr>
      </w:pPr>
      <w:r>
        <w:rPr>
          <w:rFonts w:hint="eastAsia"/>
          <w:kern w:val="10"/>
        </w:rPr>
        <w:t xml:space="preserve">36.5.1.5  </w:t>
      </w:r>
      <w:r>
        <w:rPr>
          <w:kern w:val="10"/>
        </w:rPr>
        <w:t>不同投标供应商的投标文件载明的</w:t>
      </w:r>
      <w:r>
        <w:rPr>
          <w:rFonts w:hint="eastAsia"/>
          <w:kern w:val="10"/>
        </w:rPr>
        <w:t>项目负责人与主要技术人员</w:t>
      </w:r>
      <w:r>
        <w:rPr>
          <w:kern w:val="10"/>
        </w:rPr>
        <w:t>出现同一人的；</w:t>
      </w:r>
    </w:p>
    <w:p>
      <w:pPr>
        <w:tabs>
          <w:tab w:val="clear" w:pos="426"/>
        </w:tabs>
        <w:rPr>
          <w:rFonts w:hint="eastAsia"/>
          <w:kern w:val="10"/>
        </w:rPr>
      </w:pPr>
      <w:r>
        <w:rPr>
          <w:rFonts w:hint="eastAsia"/>
          <w:kern w:val="10"/>
        </w:rPr>
        <w:t xml:space="preserve">36.5.1.6  </w:t>
      </w:r>
      <w:r>
        <w:rPr>
          <w:kern w:val="10"/>
        </w:rPr>
        <w:t>不同投标供应商的投标文件相互混装的；</w:t>
      </w:r>
    </w:p>
    <w:p>
      <w:pPr>
        <w:tabs>
          <w:tab w:val="clear" w:pos="426"/>
        </w:tabs>
        <w:rPr>
          <w:rFonts w:hint="eastAsia"/>
          <w:kern w:val="10"/>
        </w:rPr>
      </w:pPr>
      <w:r>
        <w:rPr>
          <w:rFonts w:hint="eastAsia"/>
          <w:kern w:val="10"/>
        </w:rPr>
        <w:t xml:space="preserve">36.5.1.7  </w:t>
      </w:r>
      <w:r>
        <w:rPr>
          <w:kern w:val="10"/>
        </w:rPr>
        <w:t>不同投标供应商委托同一人投标的</w:t>
      </w:r>
      <w:r>
        <w:rPr>
          <w:rFonts w:hint="eastAsia"/>
          <w:kern w:val="10"/>
        </w:rPr>
        <w:t>；</w:t>
      </w:r>
    </w:p>
    <w:p>
      <w:pPr>
        <w:tabs>
          <w:tab w:val="clear" w:pos="426"/>
        </w:tabs>
        <w:rPr>
          <w:rFonts w:hint="eastAsia"/>
          <w:kern w:val="10"/>
        </w:rPr>
      </w:pPr>
      <w:r>
        <w:rPr>
          <w:rFonts w:hint="eastAsia"/>
          <w:kern w:val="10"/>
        </w:rPr>
        <w:t>36.5.1.8  不同投标供应商聘请同一人为其投标提供技术或者经济咨询服务的，但招标工程本身要求采用专有技术的除外；</w:t>
      </w:r>
    </w:p>
    <w:p>
      <w:pPr>
        <w:tabs>
          <w:tab w:val="clear" w:pos="426"/>
        </w:tabs>
        <w:rPr>
          <w:rFonts w:hint="eastAsia"/>
          <w:kern w:val="10"/>
        </w:rPr>
      </w:pPr>
      <w:r>
        <w:rPr>
          <w:rFonts w:hint="eastAsia"/>
          <w:kern w:val="10"/>
        </w:rPr>
        <w:t xml:space="preserve">36.5.1.9  </w:t>
      </w:r>
      <w:r>
        <w:rPr>
          <w:kern w:val="10"/>
        </w:rPr>
        <w:t>评标委员会认定的其他串通投标情形。</w:t>
      </w:r>
    </w:p>
    <w:p>
      <w:pPr>
        <w:tabs>
          <w:tab w:val="clear" w:pos="426"/>
        </w:tabs>
        <w:rPr>
          <w:rFonts w:hint="eastAsia"/>
        </w:rPr>
      </w:pPr>
      <w:r>
        <w:rPr>
          <w:rFonts w:hint="eastAsia"/>
          <w:kern w:val="10"/>
        </w:rPr>
        <w:t xml:space="preserve">36.5.2 </w:t>
      </w:r>
      <w:r>
        <w:rPr>
          <w:rFonts w:hint="eastAsia"/>
        </w:rPr>
        <w:t xml:space="preserve"> 投标文件不满足招标文件规定的任何一项实质性要求的；</w:t>
      </w:r>
    </w:p>
    <w:p>
      <w:pPr>
        <w:tabs>
          <w:tab w:val="clear" w:pos="426"/>
        </w:tabs>
        <w:rPr>
          <w:rFonts w:hint="eastAsia"/>
        </w:rPr>
      </w:pPr>
      <w:r>
        <w:rPr>
          <w:rFonts w:hint="eastAsia"/>
          <w:bCs/>
          <w:kern w:val="10"/>
        </w:rPr>
        <w:t xml:space="preserve">36.5.3 </w:t>
      </w:r>
      <w:r>
        <w:rPr>
          <w:rFonts w:hint="eastAsia"/>
        </w:rPr>
        <w:t xml:space="preserve"> 投标文件对招标文件规定的非实质性要求的偏离，超出允许偏离的最大范围或最高项数的；</w:t>
      </w:r>
    </w:p>
    <w:p>
      <w:pPr>
        <w:tabs>
          <w:tab w:val="clear" w:pos="426"/>
        </w:tabs>
        <w:rPr>
          <w:rFonts w:hint="eastAsia"/>
        </w:rPr>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评标委员会根据招标文件的规定对投标文件的投标价格进行调整，投标供应商不接受调整方式的，或不接受调整后的价格的；</w:t>
      </w:r>
    </w:p>
    <w:p>
      <w:pPr>
        <w:tabs>
          <w:tab w:val="clear" w:pos="426"/>
        </w:tabs>
        <w:rPr>
          <w:rFonts w:hint="eastAsia"/>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供应商造成不公平的结果。细微偏离不影响投标文件的有效性。</w:t>
      </w:r>
    </w:p>
    <w:p>
      <w:pPr>
        <w:tabs>
          <w:tab w:val="clear" w:pos="426"/>
        </w:tabs>
        <w:rPr>
          <w:rFonts w:hint="eastAsia"/>
          <w:kern w:val="10"/>
        </w:rPr>
      </w:pPr>
      <w:r>
        <w:rPr>
          <w:rFonts w:hint="eastAsia"/>
          <w:kern w:val="10"/>
        </w:rPr>
        <w:t>36.7 评标委员会应书面要求存在细微偏离的投标供应商在评标结束前予以补正。拒不补正的，在详细评审时可以对细微偏离按照不利于该投标供应商的原则进行调整，且投标供应商不得因此提出任何异议。</w:t>
      </w:r>
    </w:p>
    <w:p>
      <w:pPr>
        <w:tabs>
          <w:tab w:val="clear" w:pos="426"/>
        </w:tabs>
        <w:rPr>
          <w:rFonts w:hint="eastAsia"/>
        </w:rPr>
      </w:pPr>
      <w:r>
        <w:rPr>
          <w:rFonts w:hint="eastAsia"/>
        </w:rPr>
        <w:t>37.实地考察、演示或设备测试</w:t>
      </w:r>
    </w:p>
    <w:p>
      <w:pPr>
        <w:tabs>
          <w:tab w:val="clear" w:pos="426"/>
        </w:tabs>
        <w:rPr>
          <w:rFonts w:hint="eastAsia"/>
        </w:rPr>
      </w:pPr>
      <w:r>
        <w:rPr>
          <w:rFonts w:hint="eastAsia"/>
        </w:rPr>
        <w:t>37.1在招标过程中，评标委员会有权决定是否对本项目投标供应商进行现场勘察或实地考察或检验有关证明材料的原件。投标供应商应随时做好接受检查的准备。</w:t>
      </w:r>
    </w:p>
    <w:p>
      <w:pPr>
        <w:tabs>
          <w:tab w:val="clear" w:pos="426"/>
        </w:tabs>
        <w:rPr>
          <w:rFonts w:hint="eastAsia"/>
        </w:rPr>
      </w:pPr>
      <w:r>
        <w:rPr>
          <w:rFonts w:hint="eastAsia"/>
        </w:rPr>
        <w:t>37.2若招标文件要求进行现场演示或设备测试的，投标供应商应做好相应准备。</w:t>
      </w:r>
    </w:p>
    <w:p>
      <w:pPr>
        <w:tabs>
          <w:tab w:val="clear" w:pos="426"/>
        </w:tabs>
        <w:rPr>
          <w:rFonts w:hint="eastAsia"/>
        </w:rPr>
      </w:pPr>
      <w:r>
        <w:rPr>
          <w:rFonts w:hint="eastAsia"/>
        </w:rPr>
        <w:t>38．评标方法</w:t>
      </w:r>
    </w:p>
    <w:p>
      <w:pPr>
        <w:tabs>
          <w:tab w:val="clear" w:pos="426"/>
        </w:tabs>
        <w:rPr>
          <w:rFonts w:hint="eastAsia"/>
          <w:szCs w:val="21"/>
        </w:rPr>
      </w:pPr>
      <w:r>
        <w:rPr>
          <w:rFonts w:hint="eastAsia"/>
          <w:szCs w:val="21"/>
        </w:rPr>
        <w:t>38.1</w:t>
      </w:r>
      <w:r>
        <w:rPr>
          <w:rFonts w:hint="eastAsia"/>
        </w:rPr>
        <w:t>根据有关要求，</w:t>
      </w:r>
      <w:r>
        <w:rPr>
          <w:rFonts w:hint="eastAsia"/>
          <w:szCs w:val="21"/>
        </w:rPr>
        <w:t>项目评标方法根据是否是评定分离项目进行选择。</w:t>
      </w:r>
    </w:p>
    <w:p>
      <w:pPr>
        <w:tabs>
          <w:tab w:val="clear" w:pos="426"/>
        </w:tabs>
        <w:rPr>
          <w:rFonts w:hint="eastAsia"/>
        </w:rPr>
      </w:pPr>
      <w:r>
        <w:rPr>
          <w:rFonts w:hint="eastAsia"/>
        </w:rPr>
        <w:t>38.2非评定分离项目</w:t>
      </w:r>
    </w:p>
    <w:p>
      <w:pPr>
        <w:tabs>
          <w:tab w:val="clear" w:pos="426"/>
        </w:tabs>
        <w:rPr>
          <w:rFonts w:hint="eastAsia"/>
        </w:rPr>
      </w:pPr>
      <w:r>
        <w:rPr>
          <w:rFonts w:hint="eastAsia"/>
        </w:rPr>
        <w:t>非评定分离项目评分方法为最低评标价法、综合评标法、性价比法及法律、法规允许的其它评标办法。</w:t>
      </w:r>
    </w:p>
    <w:p>
      <w:pPr>
        <w:tabs>
          <w:tab w:val="clear" w:pos="426"/>
        </w:tabs>
        <w:rPr>
          <w:rFonts w:hint="eastAsia"/>
          <w:b/>
        </w:rPr>
      </w:pPr>
      <w:r>
        <w:rPr>
          <w:rFonts w:hint="eastAsia"/>
        </w:rPr>
        <w:t>38.2.1最低评标价法</w:t>
      </w:r>
    </w:p>
    <w:p>
      <w:pPr>
        <w:tabs>
          <w:tab w:val="clear" w:pos="426"/>
        </w:tabs>
        <w:rPr>
          <w:rFonts w:hint="eastAsia"/>
        </w:rPr>
      </w:pPr>
      <w:r>
        <w:rPr>
          <w:rFonts w:hint="eastAsia"/>
        </w:rPr>
        <w:t>最低价法是指以价格因素确定中标候选供应商的评标方法，即在满足招标文件实质性要求前提下，以报价最低的投标供应商作为中标候选供应商或中标供应商的评标方法；</w:t>
      </w:r>
    </w:p>
    <w:p>
      <w:pPr>
        <w:tabs>
          <w:tab w:val="clear" w:pos="426"/>
        </w:tabs>
        <w:rPr>
          <w:rFonts w:hint="eastAsia"/>
          <w:b/>
        </w:rPr>
      </w:pPr>
      <w:r>
        <w:rPr>
          <w:rFonts w:hint="eastAsia"/>
        </w:rPr>
        <w:t>38.2.2综合评分法</w:t>
      </w:r>
    </w:p>
    <w:p>
      <w:pPr>
        <w:tabs>
          <w:tab w:val="clear" w:pos="426"/>
        </w:tabs>
        <w:rPr>
          <w:rFonts w:hint="eastAsia"/>
        </w:rPr>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pPr>
        <w:tabs>
          <w:tab w:val="clear" w:pos="426"/>
        </w:tabs>
        <w:rPr>
          <w:rFonts w:hint="eastAsia"/>
          <w:b/>
          <w:bCs/>
        </w:rPr>
      </w:pPr>
      <w:r>
        <w:rPr>
          <w:rFonts w:hint="eastAsia"/>
        </w:rPr>
        <w:t>38.2.3</w:t>
      </w:r>
      <w:r>
        <w:rPr>
          <w:rFonts w:hint="eastAsia"/>
          <w:bCs/>
        </w:rPr>
        <w:t>性价比法</w:t>
      </w:r>
    </w:p>
    <w:p>
      <w:pPr>
        <w:tabs>
          <w:tab w:val="clear" w:pos="426"/>
        </w:tabs>
        <w:rPr>
          <w:rFonts w:hint="eastAsia"/>
        </w:rPr>
      </w:pPr>
      <w:r>
        <w:rPr>
          <w:rFonts w:hint="eastAsia"/>
        </w:rPr>
        <w:t>性价比法是指除价格因素外，经对投标文件进行评审，计算出评分因素的总分，除以投标报价，以商数最高的投标供应商作为中标候选供应商或中标供应商的评标方法。</w:t>
      </w:r>
    </w:p>
    <w:p>
      <w:pPr>
        <w:tabs>
          <w:tab w:val="clear" w:pos="426"/>
        </w:tabs>
        <w:rPr>
          <w:rFonts w:hint="eastAsia"/>
        </w:rPr>
      </w:pPr>
      <w:r>
        <w:rPr>
          <w:rFonts w:hint="eastAsia"/>
        </w:rPr>
        <w:t>38.3评定分离项目</w:t>
      </w:r>
    </w:p>
    <w:p>
      <w:pPr>
        <w:tabs>
          <w:tab w:val="clear" w:pos="426"/>
        </w:tabs>
        <w:rPr>
          <w:rFonts w:hint="eastAsia"/>
        </w:rPr>
      </w:pPr>
      <w:r>
        <w:rPr>
          <w:rFonts w:hint="eastAsia"/>
        </w:rPr>
        <w:t>评定分离项目，评审委员会应当按照综合评分法、定性评审法、最低价法或者法律、法规及规章规定的其他评审方法对投标文件进行评审。</w:t>
      </w:r>
    </w:p>
    <w:p>
      <w:pPr>
        <w:tabs>
          <w:tab w:val="clear" w:pos="426"/>
        </w:tabs>
        <w:rPr>
          <w:rFonts w:hint="eastAsia"/>
          <w:b/>
        </w:rPr>
      </w:pPr>
      <w:r>
        <w:rPr>
          <w:rFonts w:hint="eastAsia"/>
        </w:rPr>
        <w:t>38.3.1综合评分法</w:t>
      </w:r>
    </w:p>
    <w:p>
      <w:pPr>
        <w:tabs>
          <w:tab w:val="clear" w:pos="426"/>
        </w:tabs>
        <w:rPr>
          <w:rFonts w:hint="eastAsia"/>
        </w:rPr>
      </w:pPr>
      <w:r>
        <w:rPr>
          <w:rFonts w:hint="eastAsia"/>
        </w:rPr>
        <w:t>综合评分法是指在最大限度满足招标文件实质性要求的前提下，按照招标文件中规定的各项因素进行综合评审，评审总得分排名前列的投标供应商，作为推荐的候选中标供应商。</w:t>
      </w:r>
    </w:p>
    <w:p>
      <w:pPr>
        <w:tabs>
          <w:tab w:val="clear" w:pos="426"/>
        </w:tabs>
        <w:rPr>
          <w:rFonts w:hint="eastAsia"/>
          <w:sz w:val="18"/>
          <w:szCs w:val="18"/>
          <w:shd w:val="clear" w:color="auto" w:fill="FFFFFF"/>
        </w:rPr>
      </w:pPr>
      <w:r>
        <w:rPr>
          <w:rFonts w:hint="eastAsia"/>
        </w:rPr>
        <w:t>38.3.2</w:t>
      </w:r>
      <w:r>
        <w:rPr>
          <w:rFonts w:hint="eastAsia"/>
          <w:bCs/>
        </w:rPr>
        <w:t>定性评审法</w:t>
      </w:r>
    </w:p>
    <w:p>
      <w:pPr>
        <w:tabs>
          <w:tab w:val="clear" w:pos="426"/>
        </w:tabs>
        <w:rPr>
          <w:rFonts w:hint="eastAsia"/>
        </w:rPr>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供应商，均推荐为候选中标供应商。</w:t>
      </w:r>
    </w:p>
    <w:p>
      <w:pPr>
        <w:tabs>
          <w:tab w:val="clear" w:pos="426"/>
        </w:tabs>
        <w:rPr>
          <w:rFonts w:hint="eastAsia"/>
        </w:rPr>
      </w:pPr>
      <w:r>
        <w:rPr>
          <w:rFonts w:hint="eastAsia"/>
        </w:rPr>
        <w:t>38.3.3最低价法</w:t>
      </w:r>
    </w:p>
    <w:p>
      <w:pPr>
        <w:tabs>
          <w:tab w:val="clear" w:pos="426"/>
        </w:tabs>
        <w:rPr>
          <w:rFonts w:hint="eastAsia"/>
        </w:rPr>
      </w:pPr>
      <w:r>
        <w:rPr>
          <w:rFonts w:hint="eastAsia"/>
        </w:rPr>
        <w:t>最低价法是指以价格为主要因素确定候选中标供应商的评审方法。</w:t>
      </w:r>
    </w:p>
    <w:p>
      <w:pPr>
        <w:tabs>
          <w:tab w:val="clear" w:pos="426"/>
        </w:tabs>
        <w:rPr>
          <w:rFonts w:hint="eastAsia"/>
        </w:rPr>
      </w:pPr>
      <w:r>
        <w:rPr>
          <w:rFonts w:hint="eastAsia"/>
        </w:rPr>
        <w:t>38.4本项目采用的评标方法见本项目招标文件专用条款的相关内容。</w:t>
      </w:r>
    </w:p>
    <w:p>
      <w:pPr>
        <w:pStyle w:val="5"/>
        <w:tabs>
          <w:tab w:val="clear" w:pos="426"/>
        </w:tabs>
        <w:rPr>
          <w:rFonts w:hint="eastAsia"/>
        </w:rPr>
      </w:pPr>
      <w:bookmarkStart w:id="175" w:name="_Toc530152528"/>
      <w:bookmarkStart w:id="176" w:name="_Toc10018"/>
      <w:bookmarkStart w:id="177" w:name="_Toc14427260"/>
      <w:bookmarkStart w:id="178" w:name="_Toc529280587"/>
      <w:r>
        <w:rPr>
          <w:rFonts w:hint="eastAsia"/>
        </w:rPr>
        <w:t>第七章 定标及公示</w:t>
      </w:r>
      <w:bookmarkEnd w:id="175"/>
      <w:bookmarkEnd w:id="176"/>
      <w:bookmarkEnd w:id="177"/>
      <w:bookmarkEnd w:id="178"/>
    </w:p>
    <w:p>
      <w:pPr>
        <w:tabs>
          <w:tab w:val="clear" w:pos="426"/>
        </w:tabs>
        <w:rPr>
          <w:rFonts w:hint="eastAsia"/>
        </w:rPr>
      </w:pPr>
      <w:r>
        <w:rPr>
          <w:rFonts w:hint="eastAsia"/>
        </w:rPr>
        <w:t>39．定标方法</w:t>
      </w:r>
    </w:p>
    <w:p>
      <w:pPr>
        <w:tabs>
          <w:tab w:val="clear" w:pos="426"/>
        </w:tabs>
        <w:rPr>
          <w:rFonts w:hint="eastAsia"/>
        </w:rPr>
      </w:pPr>
      <w:r>
        <w:rPr>
          <w:rFonts w:hint="eastAsia"/>
        </w:rPr>
        <w:t>39</w:t>
      </w:r>
      <w:r>
        <w:t>.</w:t>
      </w:r>
      <w:r>
        <w:rPr>
          <w:rFonts w:hint="eastAsia"/>
        </w:rPr>
        <w:t>1项目定标方法根据是否是评定分离项目进行选择。</w:t>
      </w:r>
    </w:p>
    <w:p>
      <w:pPr>
        <w:tabs>
          <w:tab w:val="clear" w:pos="426"/>
        </w:tabs>
        <w:rPr>
          <w:rFonts w:hint="eastAsia"/>
        </w:rPr>
      </w:pPr>
      <w:r>
        <w:rPr>
          <w:rFonts w:hint="eastAsia"/>
        </w:rPr>
        <w:t>39</w:t>
      </w:r>
      <w:r>
        <w:t>.</w:t>
      </w:r>
      <w:r>
        <w:rPr>
          <w:rFonts w:hint="eastAsia"/>
        </w:rPr>
        <w:t>2非评定分离项目</w:t>
      </w:r>
    </w:p>
    <w:p>
      <w:pPr>
        <w:tabs>
          <w:tab w:val="clear" w:pos="426"/>
        </w:tabs>
        <w:rPr>
          <w:rFonts w:hint="eastAsia"/>
        </w:rPr>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pPr>
        <w:tabs>
          <w:tab w:val="clear" w:pos="426"/>
        </w:tabs>
        <w:rPr>
          <w:rFonts w:hint="eastAsia"/>
        </w:rPr>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tabs>
          <w:tab w:val="clear" w:pos="426"/>
        </w:tabs>
        <w:rPr>
          <w:rFonts w:hint="eastAsia"/>
        </w:rPr>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pPr>
        <w:tabs>
          <w:tab w:val="clear" w:pos="426"/>
        </w:tabs>
        <w:rPr>
          <w:rFonts w:hint="eastAsia"/>
        </w:rPr>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pPr>
        <w:tabs>
          <w:tab w:val="clear" w:pos="426"/>
        </w:tabs>
        <w:rPr>
          <w:rFonts w:hint="eastAsia"/>
        </w:rPr>
      </w:pPr>
      <w:r>
        <w:rPr>
          <w:rFonts w:hint="eastAsia"/>
        </w:rPr>
        <w:t>39</w:t>
      </w:r>
      <w:r>
        <w:t>.</w:t>
      </w:r>
      <w:r>
        <w:rPr>
          <w:rFonts w:hint="eastAsia"/>
        </w:rPr>
        <w:t>3评定分离项目</w:t>
      </w:r>
    </w:p>
    <w:p>
      <w:pPr>
        <w:tabs>
          <w:tab w:val="clear" w:pos="426"/>
        </w:tabs>
        <w:rPr>
          <w:rFonts w:hint="eastAsia"/>
        </w:rPr>
      </w:pPr>
      <w:r>
        <w:rPr>
          <w:rFonts w:hint="eastAsia"/>
        </w:rPr>
        <w:t>适用评定分离的采购项目，采购人应当根据不同的项目选用自定法、抽签法、竞价法或者法律、法规及规章规定的其他定标方法确定中标供应商。</w:t>
      </w:r>
    </w:p>
    <w:p>
      <w:pPr>
        <w:tabs>
          <w:tab w:val="clear" w:pos="426"/>
        </w:tabs>
        <w:rPr>
          <w:rFonts w:hint="eastAsia"/>
        </w:rPr>
      </w:pPr>
      <w:r>
        <w:rPr>
          <w:rFonts w:hint="eastAsia"/>
        </w:rPr>
        <w:t>39</w:t>
      </w:r>
      <w:r>
        <w:t>.</w:t>
      </w:r>
      <w:r>
        <w:rPr>
          <w:rFonts w:hint="eastAsia"/>
        </w:rPr>
        <w:t>3.1自定法是指采购人组织定标委员会，由定标委员会在候选中标供应商中确定中标供应商。</w:t>
      </w:r>
    </w:p>
    <w:p>
      <w:pPr>
        <w:tabs>
          <w:tab w:val="clear" w:pos="426"/>
        </w:tabs>
        <w:rPr>
          <w:rFonts w:hint="eastAsia"/>
        </w:rPr>
      </w:pPr>
      <w:r>
        <w:rPr>
          <w:rFonts w:hint="eastAsia"/>
        </w:rPr>
        <w:t>39</w:t>
      </w:r>
      <w:r>
        <w:t>.</w:t>
      </w:r>
      <w:r>
        <w:rPr>
          <w:rFonts w:hint="eastAsia"/>
        </w:rPr>
        <w:t>3.2 抽签法是指候选中标供应商产生后，由采购人委托招标机构按照随机抽签的方式在候选中标供应商中确定中标供应商。 </w:t>
      </w:r>
    </w:p>
    <w:p>
      <w:pPr>
        <w:tabs>
          <w:tab w:val="clear" w:pos="426"/>
        </w:tabs>
        <w:rPr>
          <w:rFonts w:hint="eastAsia"/>
        </w:rPr>
      </w:pPr>
      <w:r>
        <w:rPr>
          <w:rFonts w:hint="eastAsia"/>
        </w:rPr>
        <w:t>39</w:t>
      </w:r>
      <w:r>
        <w:t>.</w:t>
      </w:r>
      <w:r>
        <w:rPr>
          <w:rFonts w:hint="eastAsia"/>
        </w:rPr>
        <w:t>3.3竞价法是指候选中标供应商产生后，由采购人委托招标机构组织候选中标供应商进行二次竞价，最终报价最低的为中标供应商</w:t>
      </w:r>
    </w:p>
    <w:p>
      <w:pPr>
        <w:tabs>
          <w:tab w:val="clear" w:pos="426"/>
        </w:tabs>
        <w:rPr>
          <w:rFonts w:hint="eastAsia"/>
        </w:rPr>
      </w:pPr>
      <w:r>
        <w:rPr>
          <w:rFonts w:hint="eastAsia"/>
        </w:rPr>
        <w:t>39.4本项目采用的定标方法见本项目招标文件专用条款的相关内容。</w:t>
      </w:r>
    </w:p>
    <w:p>
      <w:pPr>
        <w:tabs>
          <w:tab w:val="clear" w:pos="426"/>
        </w:tabs>
        <w:rPr>
          <w:rFonts w:hint="eastAsia"/>
        </w:rPr>
      </w:pPr>
      <w:r>
        <w:rPr>
          <w:rFonts w:hint="eastAsia"/>
        </w:rPr>
        <w:t>40．编写评标报告</w:t>
      </w:r>
    </w:p>
    <w:p>
      <w:pPr>
        <w:tabs>
          <w:tab w:val="clear" w:pos="426"/>
        </w:tabs>
        <w:rPr>
          <w:rFonts w:hint="eastAsia"/>
        </w:rPr>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rFonts w:hint="eastAsia"/>
        </w:rPr>
      </w:pPr>
      <w:r>
        <w:rPr>
          <w:rFonts w:hint="eastAsia"/>
        </w:rPr>
        <w:t>41．中标公告</w:t>
      </w:r>
    </w:p>
    <w:p>
      <w:pPr>
        <w:tabs>
          <w:tab w:val="clear" w:pos="426"/>
        </w:tabs>
        <w:rPr>
          <w:rFonts w:hint="eastAsia"/>
        </w:rPr>
      </w:pPr>
      <w:r>
        <w:rPr>
          <w:rFonts w:hint="eastAsia"/>
        </w:rPr>
        <w:t>41.1为体现“公开、公平、公正”的原则，评标结束后，将在深圳海关门户网  （</w:t>
      </w:r>
      <w:r>
        <w:t>http://shenzhen.customs.gov.cn</w:t>
      </w:r>
      <w:r>
        <w:rPr>
          <w:rFonts w:hint="eastAsia"/>
        </w:rPr>
        <w:t>）、中国政府采购网（http://www.ccgp.gov.cn）、采购代理机构官网：（</w:t>
      </w:r>
      <w:r>
        <w:t>http://www.szsszx.com/</w:t>
      </w:r>
      <w:r>
        <w:rPr>
          <w:rFonts w:hint="eastAsia"/>
        </w:rPr>
        <w:t>）上发布中标结果公告， 公示期为1个工作日。供应商如对评标结果有异议，请于公示期内，以书面的形式向我公司反映。若在公示期内未提出异议，则视为认同该评标结果。</w:t>
      </w:r>
    </w:p>
    <w:p>
      <w:pPr>
        <w:tabs>
          <w:tab w:val="clear" w:pos="426"/>
        </w:tabs>
        <w:rPr>
          <w:rFonts w:hint="eastAsia"/>
        </w:rPr>
      </w:pPr>
      <w:r>
        <w:rPr>
          <w:rFonts w:hint="eastAsia"/>
        </w:rPr>
        <w:t>41.2质疑投诉人应保证质疑投诉内容的真实性和可靠性，并承担相应的法律责任。</w:t>
      </w:r>
    </w:p>
    <w:p>
      <w:pPr>
        <w:tabs>
          <w:tab w:val="clear" w:pos="426"/>
        </w:tabs>
        <w:rPr>
          <w:rFonts w:hint="eastAsia"/>
        </w:rPr>
      </w:pPr>
      <w:r>
        <w:rPr>
          <w:rFonts w:hint="eastAsia"/>
        </w:rPr>
        <w:t>42．中标通知书</w:t>
      </w:r>
    </w:p>
    <w:p>
      <w:pPr>
        <w:tabs>
          <w:tab w:val="clear" w:pos="426"/>
        </w:tabs>
        <w:rPr>
          <w:rFonts w:hint="eastAsia"/>
        </w:rPr>
      </w:pPr>
      <w:r>
        <w:rPr>
          <w:rFonts w:hint="eastAsia"/>
        </w:rPr>
        <w:t>42</w:t>
      </w:r>
      <w:r>
        <w:t>.</w:t>
      </w:r>
      <w:r>
        <w:rPr>
          <w:rFonts w:hint="eastAsia"/>
        </w:rPr>
        <w:t>1中标公告公布后,公示期内无人投诉,请中标供应商凭单位证明及本人身份证到采购代理机构领取《中标通知书》。</w:t>
      </w:r>
    </w:p>
    <w:p>
      <w:pPr>
        <w:tabs>
          <w:tab w:val="clear" w:pos="426"/>
        </w:tabs>
        <w:rPr>
          <w:rFonts w:hint="eastAsia"/>
        </w:rPr>
      </w:pPr>
      <w:r>
        <w:rPr>
          <w:rFonts w:hint="eastAsia"/>
        </w:rPr>
        <w:t>42</w:t>
      </w:r>
      <w:r>
        <w:t>.2</w:t>
      </w:r>
      <w:r>
        <w:rPr>
          <w:rFonts w:hint="eastAsia"/>
        </w:rPr>
        <w:t>中标通知书是合同的重要组成部分。</w:t>
      </w:r>
    </w:p>
    <w:p>
      <w:pPr>
        <w:tabs>
          <w:tab w:val="clear" w:pos="426"/>
        </w:tabs>
        <w:rPr>
          <w:rFonts w:hint="eastAsia"/>
        </w:rPr>
      </w:pPr>
      <w:r>
        <w:rPr>
          <w:rFonts w:hint="eastAsia"/>
        </w:rPr>
        <w:t>42.3因质疑投诉或其它原因导致项目结果变更或采购终止的，我公司有权收回中标通知书或终止采购合同。</w:t>
      </w:r>
    </w:p>
    <w:p>
      <w:pPr>
        <w:pStyle w:val="5"/>
        <w:tabs>
          <w:tab w:val="clear" w:pos="426"/>
        </w:tabs>
        <w:rPr>
          <w:rFonts w:hint="eastAsia"/>
        </w:rPr>
      </w:pPr>
      <w:bookmarkStart w:id="179" w:name="_Toc1549"/>
      <w:bookmarkStart w:id="180" w:name="_Toc529280588"/>
      <w:bookmarkStart w:id="181" w:name="_Toc530152529"/>
      <w:bookmarkStart w:id="182" w:name="_Toc14427261"/>
      <w:r>
        <w:rPr>
          <w:rFonts w:hint="eastAsia"/>
        </w:rPr>
        <w:t>第八章 公开招标失败的后续处理</w:t>
      </w:r>
      <w:bookmarkEnd w:id="179"/>
      <w:bookmarkEnd w:id="180"/>
      <w:bookmarkEnd w:id="181"/>
      <w:bookmarkEnd w:id="182"/>
    </w:p>
    <w:p>
      <w:pPr>
        <w:rPr>
          <w:rFonts w:hAnsi="Times New Roman"/>
        </w:rPr>
      </w:pPr>
      <w:r>
        <w:rPr>
          <w:rFonts w:hint="eastAsia"/>
        </w:rPr>
        <w:t>43．公开招标失败的处理</w:t>
      </w:r>
    </w:p>
    <w:p>
      <w:pPr>
        <w:tabs>
          <w:tab w:val="clear" w:pos="426"/>
        </w:tabs>
        <w:rPr>
          <w:rFonts w:hint="eastAsia"/>
        </w:rPr>
      </w:pPr>
      <w:r>
        <w:rPr>
          <w:rFonts w:hint="eastAsia" w:hAnsi="Times New Roman"/>
          <w:szCs w:val="21"/>
        </w:rPr>
        <w:t>43.1</w:t>
      </w:r>
      <w:r>
        <w:rPr>
          <w:rFonts w:hint="eastAsia"/>
          <w:szCs w:val="21"/>
        </w:rPr>
        <w:t>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pPr>
        <w:tabs>
          <w:tab w:val="clear" w:pos="426"/>
        </w:tabs>
        <w:rPr>
          <w:rFonts w:hint="eastAsia"/>
        </w:rPr>
      </w:pPr>
      <w:r>
        <w:rPr>
          <w:rFonts w:hint="eastAsia"/>
        </w:rPr>
        <w:t>43.2对公开招标失败的项目，评标委员会在出具该项目招标失败结论的同时，提出重新采购组织形式的建议，以及进一步完善招标文件的资格、技术、商务要求的修改建议。</w:t>
      </w:r>
    </w:p>
    <w:p>
      <w:pPr>
        <w:tabs>
          <w:tab w:val="clear" w:pos="426"/>
        </w:tabs>
        <w:rPr>
          <w:rFonts w:hint="eastAsia"/>
        </w:rPr>
      </w:pPr>
      <w:r>
        <w:rPr>
          <w:rFonts w:hint="eastAsia"/>
        </w:rPr>
        <w:t>43.3评审委员会要在采购项目招标失败时，出具招标文件是否存在不合理条款的论证意见，要协助采购人、采购代理机构、财政部门答复质疑或处理投诉事项。</w:t>
      </w:r>
    </w:p>
    <w:p>
      <w:pPr>
        <w:tabs>
          <w:tab w:val="clear" w:pos="426"/>
        </w:tabs>
        <w:rPr>
          <w:rFonts w:hint="eastAsia"/>
        </w:rPr>
      </w:pPr>
      <w:r>
        <w:rPr>
          <w:rFonts w:hint="eastAsia"/>
        </w:rPr>
        <w:t>43.4重新组织采购有以下两种组织形式：</w:t>
      </w:r>
    </w:p>
    <w:p>
      <w:pPr>
        <w:tabs>
          <w:tab w:val="clear" w:pos="426"/>
        </w:tabs>
        <w:rPr>
          <w:rFonts w:hint="eastAsia"/>
        </w:rPr>
      </w:pPr>
      <w:r>
        <w:rPr>
          <w:rFonts w:hint="eastAsia"/>
        </w:rPr>
        <w:t>（1）由采购代理机构重新组织公开招标；</w:t>
      </w:r>
    </w:p>
    <w:p>
      <w:pPr>
        <w:tabs>
          <w:tab w:val="clear" w:pos="426"/>
        </w:tabs>
        <w:rPr>
          <w:rFonts w:hint="eastAsia"/>
        </w:rPr>
      </w:pPr>
      <w:r>
        <w:rPr>
          <w:rFonts w:hint="eastAsia"/>
        </w:rPr>
        <w:t>（2）根据实际情况需要向相关监督管理部门提出非公开招标方式申请，经相关监督管理部门批准公开招标失败采购项目可转为竞争性谈判或单一来源谈判方式采购。</w:t>
      </w:r>
    </w:p>
    <w:p>
      <w:pPr>
        <w:tabs>
          <w:tab w:val="clear" w:pos="426"/>
        </w:tabs>
        <w:rPr>
          <w:rFonts w:hint="eastAsia"/>
        </w:rPr>
      </w:pPr>
      <w:r>
        <w:rPr>
          <w:rFonts w:hint="eastAsia"/>
        </w:rPr>
        <w:t>43.5公开招标失败的采购项目重新组织公开招标，采购代理机构要重新按公开招标流程发布采购公告和招标文件、组成评标委员会等组织采购活动。</w:t>
      </w:r>
    </w:p>
    <w:p>
      <w:pPr>
        <w:tabs>
          <w:tab w:val="clear" w:pos="426"/>
        </w:tabs>
        <w:rPr>
          <w:rFonts w:hint="eastAsia"/>
        </w:rPr>
      </w:pPr>
      <w:r>
        <w:rPr>
          <w:rFonts w:hint="eastAsia"/>
        </w:rPr>
        <w:t>43.6公开招标失败的采购项目经相关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rFonts w:hint="eastAsia"/>
        </w:rPr>
      </w:pPr>
      <w:r>
        <w:rPr>
          <w:rFonts w:hint="eastAsia"/>
        </w:rPr>
        <w:t>44．公开招标失败项目转为竞争性谈判方式采购的</w:t>
      </w:r>
    </w:p>
    <w:p>
      <w:pPr>
        <w:tabs>
          <w:tab w:val="clear" w:pos="426"/>
        </w:tabs>
        <w:rPr>
          <w:rFonts w:hint="eastAsia"/>
        </w:rPr>
      </w:pPr>
      <w:r>
        <w:rPr>
          <w:rFonts w:hint="eastAsia"/>
        </w:rPr>
        <w:t>44.1谈判文件</w:t>
      </w:r>
    </w:p>
    <w:p>
      <w:pPr>
        <w:tabs>
          <w:tab w:val="clear" w:pos="426"/>
        </w:tabs>
        <w:rPr>
          <w:rFonts w:hint="eastAsia"/>
        </w:rPr>
      </w:pPr>
      <w:r>
        <w:rPr>
          <w:rFonts w:hint="eastAsia"/>
        </w:rPr>
        <w:t>44.1.1公开招标失败项目转为竞争性谈判方式采购的，原招标文件转为谈判文件。</w:t>
      </w:r>
    </w:p>
    <w:p>
      <w:pPr>
        <w:tabs>
          <w:tab w:val="clear" w:pos="426"/>
        </w:tabs>
        <w:rPr>
          <w:rFonts w:hint="eastAsia"/>
        </w:rPr>
      </w:pPr>
      <w:r>
        <w:rPr>
          <w:rFonts w:hint="eastAsia"/>
        </w:rPr>
        <w:t>44.2谈判小组</w:t>
      </w:r>
    </w:p>
    <w:p>
      <w:pPr>
        <w:tabs>
          <w:tab w:val="clear" w:pos="426"/>
        </w:tabs>
        <w:rPr>
          <w:rFonts w:hint="eastAsia"/>
        </w:rPr>
      </w:pPr>
      <w:r>
        <w:rPr>
          <w:rFonts w:hint="eastAsia"/>
        </w:rPr>
        <w:t>44.2.1公开招标失败项目转为竞争性谈判方式采购后，评标委员会转为谈判小组；专家可重新抽取也可继续采用评标委员会内专家。</w:t>
      </w:r>
    </w:p>
    <w:p>
      <w:pPr>
        <w:tabs>
          <w:tab w:val="clear" w:pos="426"/>
        </w:tabs>
        <w:rPr>
          <w:rFonts w:hint="eastAsia"/>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w:t>
      </w:r>
      <w:r>
        <w:rPr>
          <w:rFonts w:hint="eastAsia"/>
          <w:bCs/>
        </w:rPr>
        <w:t>”</w:t>
      </w:r>
      <w:r>
        <w:rPr>
          <w:rFonts w:hint="eastAsia"/>
        </w:rPr>
        <w:t>部分以及谈判邀请中相应的变动部分。</w:t>
      </w:r>
    </w:p>
    <w:p>
      <w:pPr>
        <w:tabs>
          <w:tab w:val="clear" w:pos="426"/>
        </w:tabs>
        <w:rPr>
          <w:rFonts w:hint="eastAsia"/>
        </w:rPr>
      </w:pPr>
      <w:r>
        <w:rPr>
          <w:rFonts w:hint="eastAsia"/>
        </w:rPr>
        <w:t>44.3谈判程序</w:t>
      </w:r>
    </w:p>
    <w:p>
      <w:pPr>
        <w:tabs>
          <w:tab w:val="clear" w:pos="426"/>
        </w:tabs>
        <w:rPr>
          <w:rFonts w:hint="eastAsia"/>
        </w:rPr>
      </w:pPr>
      <w:r>
        <w:rPr>
          <w:rFonts w:hint="eastAsia"/>
        </w:rPr>
        <w:t>44.3.1参加谈判的供应商和谈判小组成员填写谈判登记表，并交验证明文件（法定代表人证明书、法人授权委托书、被授权的谈判代表身份证原件）。</w:t>
      </w:r>
    </w:p>
    <w:p>
      <w:pPr>
        <w:tabs>
          <w:tab w:val="clear" w:pos="426"/>
        </w:tabs>
        <w:rPr>
          <w:rFonts w:hint="eastAsia"/>
        </w:rPr>
      </w:pPr>
      <w:r>
        <w:rPr>
          <w:rFonts w:hint="eastAsia"/>
        </w:rPr>
        <w:t>44.3</w:t>
      </w:r>
      <w:r>
        <w:t>.2</w:t>
      </w:r>
      <w:r>
        <w:rPr>
          <w:rFonts w:hint="eastAsia"/>
        </w:rPr>
        <w:t>谈判小组主持人宣布谈判规则和谈判纪律。</w:t>
      </w:r>
    </w:p>
    <w:p>
      <w:pPr>
        <w:tabs>
          <w:tab w:val="clear" w:pos="426"/>
        </w:tabs>
        <w:rPr>
          <w:rFonts w:hint="eastAsia"/>
        </w:rPr>
      </w:pPr>
      <w:r>
        <w:rPr>
          <w:rFonts w:hint="eastAsia"/>
        </w:rPr>
        <w:t>44.3</w:t>
      </w:r>
      <w:r>
        <w:t>.3</w:t>
      </w:r>
      <w:r>
        <w:rPr>
          <w:rFonts w:hint="eastAsia"/>
        </w:rPr>
        <w:t>在谈判中，谈判小组将就以下谈判内容跟供应商进行谈判：</w:t>
      </w:r>
    </w:p>
    <w:p>
      <w:pPr>
        <w:tabs>
          <w:tab w:val="clear" w:pos="426"/>
        </w:tabs>
        <w:rPr>
          <w:rFonts w:hint="eastAsia"/>
        </w:rPr>
      </w:pPr>
      <w:r>
        <w:rPr>
          <w:rFonts w:hint="eastAsia"/>
        </w:rPr>
        <w:t>（</w:t>
      </w:r>
      <w:r>
        <w:t>1</w:t>
      </w:r>
      <w:r>
        <w:rPr>
          <w:rFonts w:hint="eastAsia"/>
        </w:rPr>
        <w:t>）项目方案；</w:t>
      </w:r>
    </w:p>
    <w:p>
      <w:pPr>
        <w:tabs>
          <w:tab w:val="clear" w:pos="426"/>
        </w:tabs>
        <w:rPr>
          <w:rFonts w:hint="eastAsia"/>
        </w:rPr>
      </w:pPr>
      <w:r>
        <w:rPr>
          <w:rFonts w:hint="eastAsia"/>
        </w:rPr>
        <w:t>（2）报价；</w:t>
      </w:r>
    </w:p>
    <w:p>
      <w:pPr>
        <w:tabs>
          <w:tab w:val="clear" w:pos="426"/>
        </w:tabs>
        <w:rPr>
          <w:rFonts w:hint="eastAsia"/>
        </w:rPr>
      </w:pPr>
      <w:r>
        <w:rPr>
          <w:rFonts w:hint="eastAsia"/>
        </w:rPr>
        <w:t>（3）其它相关事项。</w:t>
      </w:r>
    </w:p>
    <w:p>
      <w:pPr>
        <w:tabs>
          <w:tab w:val="clear" w:pos="426"/>
        </w:tabs>
        <w:rPr>
          <w:rFonts w:hint="eastAsia"/>
        </w:rPr>
      </w:pPr>
      <w:r>
        <w:rPr>
          <w:rFonts w:hint="eastAsia"/>
        </w:rPr>
        <w:t>原招标文件或谈判邀请文件有实质性变动的，谈判小组应当通过采购代理机构通知所有参加谈判的供应商。</w:t>
      </w:r>
    </w:p>
    <w:p>
      <w:pPr>
        <w:tabs>
          <w:tab w:val="clear" w:pos="426"/>
        </w:tabs>
        <w:rPr>
          <w:rFonts w:hint="eastAsia"/>
        </w:rPr>
      </w:pPr>
      <w:r>
        <w:rPr>
          <w:rFonts w:hint="eastAsia"/>
        </w:rPr>
        <w:t>44.3.4谈判小组可以用书面形式要求各供应商对其谈判应答文件含义不明确的内容作必要的澄清或者说明，重要问题供应商应以书面形式进行澄清、说明。</w:t>
      </w:r>
    </w:p>
    <w:p>
      <w:pPr>
        <w:tabs>
          <w:tab w:val="clear" w:pos="426"/>
        </w:tabs>
        <w:rPr>
          <w:rFonts w:hint="eastAsia"/>
        </w:rPr>
      </w:pPr>
      <w:r>
        <w:rPr>
          <w:rFonts w:hint="eastAsia"/>
        </w:rPr>
        <w:t>44.3</w:t>
      </w:r>
      <w:r>
        <w:t>.</w:t>
      </w:r>
      <w:r>
        <w:rPr>
          <w:rFonts w:hint="eastAsia"/>
        </w:rPr>
        <w:t>5 允许供应商在谈判结束之前根据谈判小组提出的内容进行澄清、修改或完善，或对项目方案进行相应的调整。</w:t>
      </w:r>
    </w:p>
    <w:p>
      <w:pPr>
        <w:tabs>
          <w:tab w:val="clear" w:pos="426"/>
        </w:tabs>
        <w:rPr>
          <w:rFonts w:hint="eastAsia"/>
        </w:rPr>
      </w:pPr>
      <w:r>
        <w:rPr>
          <w:rFonts w:hint="eastAsia"/>
        </w:rPr>
        <w:t>44.3</w:t>
      </w:r>
      <w:r>
        <w:t>.</w:t>
      </w:r>
      <w:r>
        <w:rPr>
          <w:rFonts w:hint="eastAsia"/>
        </w:rPr>
        <w:t>6供应商对谈判应答文件进行修改，都应形成文字材料，并经供应商谈判授权人签字认可。</w:t>
      </w:r>
    </w:p>
    <w:p>
      <w:pPr>
        <w:tabs>
          <w:tab w:val="clear" w:pos="426"/>
        </w:tabs>
        <w:rPr>
          <w:rFonts w:hint="eastAsia"/>
        </w:rPr>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rFonts w:hint="eastAsia"/>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具体内容见原招标文件中不符合“资格、符合性评审条款”部分以及谈判邀请中相应的变动部分。</w:t>
      </w:r>
    </w:p>
    <w:p>
      <w:pPr>
        <w:tabs>
          <w:tab w:val="clear" w:pos="426"/>
        </w:tabs>
        <w:rPr>
          <w:rFonts w:hint="eastAsia"/>
        </w:rPr>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rPr>
          <w:rFonts w:hint="eastAsia"/>
        </w:rPr>
      </w:pPr>
      <w:r>
        <w:rPr>
          <w:rFonts w:hint="eastAsia"/>
        </w:rPr>
        <w:t>44.3.10谈判小组将对谈判过程进行记录，以存档备查。</w:t>
      </w:r>
    </w:p>
    <w:p>
      <w:pPr>
        <w:tabs>
          <w:tab w:val="clear" w:pos="426"/>
        </w:tabs>
        <w:rPr>
          <w:rFonts w:hint="eastAsia"/>
        </w:rPr>
      </w:pPr>
      <w:r>
        <w:rPr>
          <w:rFonts w:hint="eastAsia"/>
        </w:rPr>
        <w:t>44.4评标方法和定标原则</w:t>
      </w:r>
    </w:p>
    <w:p>
      <w:pPr>
        <w:tabs>
          <w:tab w:val="clear" w:pos="426"/>
        </w:tabs>
        <w:rPr>
          <w:rFonts w:hint="eastAsia"/>
        </w:rPr>
      </w:pPr>
      <w:r>
        <w:rPr>
          <w:rFonts w:hint="eastAsia"/>
        </w:rPr>
        <w:t>44.4.1竞争性谈判采购项目的评标方法要比照最低评标价法规定执行。如确因实际情况需要采用其他评标方法的，应报经同级相关监督管理部门批准。原招标文件若采用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pPr>
        <w:tabs>
          <w:tab w:val="clear" w:pos="426"/>
        </w:tabs>
        <w:rPr>
          <w:rFonts w:hint="eastAsia"/>
        </w:rPr>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Cs/>
        </w:rPr>
        <w:t>最低评标价法</w:t>
      </w:r>
      <w:r>
        <w:rPr>
          <w:rFonts w:hint="eastAsia"/>
        </w:rPr>
        <w:t>进行评审。</w:t>
      </w:r>
    </w:p>
    <w:p>
      <w:pPr>
        <w:tabs>
          <w:tab w:val="clear" w:pos="426"/>
        </w:tabs>
        <w:rPr>
          <w:rFonts w:hint="eastAsia"/>
        </w:rPr>
      </w:pPr>
      <w:r>
        <w:rPr>
          <w:rFonts w:hint="eastAsia"/>
        </w:rPr>
        <w:t>44.4.3若要采用其他评标方法的，必须报经相关监督管理部门批准，谈判小组按批准的评标方法进行评审。谈判邀请文件中应注明批准的评标方法。</w:t>
      </w:r>
    </w:p>
    <w:p>
      <w:pPr>
        <w:tabs>
          <w:tab w:val="clear" w:pos="426"/>
        </w:tabs>
        <w:rPr>
          <w:rFonts w:hint="eastAsia"/>
        </w:rPr>
      </w:pPr>
      <w:r>
        <w:rPr>
          <w:rFonts w:hint="eastAsia"/>
        </w:rPr>
        <w:t>44.4.4谈判小组向采购代理机构提交书面评标报告，并推荐中标候选人或确定中标供应商。</w:t>
      </w:r>
    </w:p>
    <w:p>
      <w:pPr>
        <w:tabs>
          <w:tab w:val="clear" w:pos="426"/>
        </w:tabs>
        <w:rPr>
          <w:rFonts w:hint="eastAsia"/>
        </w:rPr>
      </w:pPr>
      <w:r>
        <w:rPr>
          <w:rFonts w:hint="eastAsia"/>
        </w:rPr>
        <w:t>45．公开招标失败项目转为单一来源谈判方式采购</w:t>
      </w:r>
    </w:p>
    <w:p>
      <w:pPr>
        <w:tabs>
          <w:tab w:val="clear" w:pos="426"/>
        </w:tabs>
        <w:rPr>
          <w:rFonts w:hint="eastAsia"/>
        </w:rPr>
      </w:pPr>
      <w:r>
        <w:rPr>
          <w:rFonts w:hint="eastAsia"/>
        </w:rPr>
        <w:t>45.1谈判文件</w:t>
      </w:r>
    </w:p>
    <w:p>
      <w:pPr>
        <w:tabs>
          <w:tab w:val="clear" w:pos="426"/>
        </w:tabs>
        <w:rPr>
          <w:rFonts w:hint="eastAsia"/>
        </w:rPr>
      </w:pPr>
      <w:r>
        <w:rPr>
          <w:rFonts w:hint="eastAsia"/>
        </w:rPr>
        <w:t>45.1.1公开招标失败项目转为单一来源谈判方式采购的，原招标文件转为谈判文件。</w:t>
      </w:r>
    </w:p>
    <w:p>
      <w:pPr>
        <w:tabs>
          <w:tab w:val="clear" w:pos="426"/>
        </w:tabs>
        <w:rPr>
          <w:rFonts w:hint="eastAsia"/>
        </w:rPr>
      </w:pPr>
      <w:r>
        <w:rPr>
          <w:rFonts w:hint="eastAsia"/>
        </w:rPr>
        <w:t>45.2谈判小组</w:t>
      </w:r>
    </w:p>
    <w:p>
      <w:pPr>
        <w:tabs>
          <w:tab w:val="clear" w:pos="426"/>
        </w:tabs>
        <w:rPr>
          <w:rFonts w:hint="eastAsia"/>
        </w:rPr>
      </w:pPr>
      <w:r>
        <w:rPr>
          <w:rFonts w:hint="eastAsia"/>
        </w:rPr>
        <w:t>45.2.1公开招标失败项目转为单一来源谈判方式采购后，评标委员会转为谈判小组，专家可重新抽取也可继续采用评标委员会内专家。</w:t>
      </w:r>
    </w:p>
    <w:p>
      <w:pPr>
        <w:tabs>
          <w:tab w:val="clear" w:pos="426"/>
        </w:tabs>
        <w:rPr>
          <w:rFonts w:hint="eastAsia"/>
        </w:rPr>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具体内容见原招标文件中“资格、符合性评审条款</w:t>
      </w:r>
      <w:r>
        <w:rPr>
          <w:rFonts w:hint="eastAsia"/>
          <w:bCs/>
        </w:rPr>
        <w:t>”</w:t>
      </w:r>
      <w:r>
        <w:rPr>
          <w:rFonts w:hint="eastAsia"/>
        </w:rPr>
        <w:t>部分以及谈判邀请中相应的变动部分。</w:t>
      </w:r>
    </w:p>
    <w:p>
      <w:pPr>
        <w:tabs>
          <w:tab w:val="clear" w:pos="426"/>
        </w:tabs>
        <w:rPr>
          <w:rFonts w:hint="eastAsia"/>
        </w:rPr>
      </w:pPr>
      <w:r>
        <w:rPr>
          <w:rFonts w:hint="eastAsia"/>
        </w:rPr>
        <w:t>45.3谈判程序</w:t>
      </w:r>
    </w:p>
    <w:p>
      <w:pPr>
        <w:tabs>
          <w:tab w:val="clear" w:pos="426"/>
        </w:tabs>
        <w:rPr>
          <w:rFonts w:hint="eastAsia"/>
        </w:rPr>
      </w:pPr>
      <w:r>
        <w:rPr>
          <w:rFonts w:hint="eastAsia"/>
        </w:rPr>
        <w:t>45.3.1参加谈判的供应商和谈判小组成员填写谈判登记表，并交验证明文件（法定代表人证明书、法人授权委托书、被授权的谈判代表身份证原件）。</w:t>
      </w:r>
    </w:p>
    <w:p>
      <w:pPr>
        <w:tabs>
          <w:tab w:val="clear" w:pos="426"/>
        </w:tabs>
        <w:rPr>
          <w:rFonts w:hint="eastAsia"/>
        </w:rPr>
      </w:pPr>
      <w:r>
        <w:rPr>
          <w:rFonts w:hint="eastAsia"/>
        </w:rPr>
        <w:t>45.3</w:t>
      </w:r>
      <w:r>
        <w:t>.2</w:t>
      </w:r>
      <w:r>
        <w:rPr>
          <w:rFonts w:hint="eastAsia"/>
        </w:rPr>
        <w:t>谈判小组主持人宣布谈判规则和谈判纪律。</w:t>
      </w:r>
    </w:p>
    <w:p>
      <w:pPr>
        <w:tabs>
          <w:tab w:val="clear" w:pos="426"/>
        </w:tabs>
        <w:rPr>
          <w:rFonts w:hint="eastAsia"/>
        </w:rPr>
      </w:pPr>
      <w:r>
        <w:rPr>
          <w:rFonts w:hint="eastAsia"/>
        </w:rPr>
        <w:t>45.3</w:t>
      </w:r>
      <w:r>
        <w:t>.3</w:t>
      </w:r>
      <w:r>
        <w:rPr>
          <w:rFonts w:hint="eastAsia"/>
        </w:rPr>
        <w:t>在谈判中，谈判小组将就以下谈判内容跟供应商进行谈判：</w:t>
      </w:r>
    </w:p>
    <w:p>
      <w:pPr>
        <w:tabs>
          <w:tab w:val="clear" w:pos="426"/>
        </w:tabs>
        <w:rPr>
          <w:rFonts w:hint="eastAsia"/>
        </w:rPr>
      </w:pPr>
      <w:r>
        <w:rPr>
          <w:rFonts w:hint="eastAsia"/>
        </w:rPr>
        <w:t>（</w:t>
      </w:r>
      <w:r>
        <w:t>1</w:t>
      </w:r>
      <w:r>
        <w:rPr>
          <w:rFonts w:hint="eastAsia"/>
        </w:rPr>
        <w:t>）项目方案；</w:t>
      </w:r>
    </w:p>
    <w:p>
      <w:pPr>
        <w:tabs>
          <w:tab w:val="clear" w:pos="426"/>
        </w:tabs>
        <w:rPr>
          <w:rFonts w:hint="eastAsia"/>
        </w:rPr>
      </w:pPr>
      <w:r>
        <w:rPr>
          <w:rFonts w:hint="eastAsia"/>
        </w:rPr>
        <w:t>（2）报价；</w:t>
      </w:r>
    </w:p>
    <w:p>
      <w:pPr>
        <w:tabs>
          <w:tab w:val="clear" w:pos="426"/>
        </w:tabs>
        <w:rPr>
          <w:rFonts w:hint="eastAsia"/>
        </w:rPr>
      </w:pPr>
      <w:r>
        <w:rPr>
          <w:rFonts w:hint="eastAsia"/>
        </w:rPr>
        <w:t>（3）其它相关事项。</w:t>
      </w:r>
    </w:p>
    <w:p>
      <w:pPr>
        <w:tabs>
          <w:tab w:val="clear" w:pos="426"/>
        </w:tabs>
        <w:rPr>
          <w:rFonts w:hint="eastAsia"/>
        </w:rPr>
      </w:pPr>
      <w:r>
        <w:rPr>
          <w:rFonts w:hint="eastAsia"/>
        </w:rPr>
        <w:t>原招标文件或谈判邀请文件有实质性变动的，谈判小组应当通过采购代理机构通知供应商。</w:t>
      </w:r>
    </w:p>
    <w:p>
      <w:pPr>
        <w:tabs>
          <w:tab w:val="clear" w:pos="426"/>
        </w:tabs>
        <w:rPr>
          <w:rFonts w:hint="eastAsia"/>
        </w:rPr>
      </w:pPr>
      <w:r>
        <w:rPr>
          <w:rFonts w:hint="eastAsia"/>
        </w:rPr>
        <w:t>45.3.4谈判小组可以用书面形式要求供应商对其谈判应答文件含义不明确的内容作必要的澄清或者说明，重要问题供应商应以书面形式进行澄清、说明。</w:t>
      </w:r>
    </w:p>
    <w:p>
      <w:pPr>
        <w:tabs>
          <w:tab w:val="clear" w:pos="426"/>
        </w:tabs>
        <w:rPr>
          <w:rFonts w:hint="eastAsia"/>
        </w:rPr>
      </w:pPr>
      <w:r>
        <w:rPr>
          <w:rFonts w:hint="eastAsia"/>
        </w:rPr>
        <w:t>45.3</w:t>
      </w:r>
      <w:r>
        <w:t>.</w:t>
      </w:r>
      <w:r>
        <w:rPr>
          <w:rFonts w:hint="eastAsia"/>
        </w:rPr>
        <w:t>5 允许供应商在谈判结束之前根据谈判小组提出的内容进行澄清、修改或完善，或对项目方案进行相应的调整。</w:t>
      </w:r>
    </w:p>
    <w:p>
      <w:pPr>
        <w:tabs>
          <w:tab w:val="clear" w:pos="426"/>
        </w:tabs>
        <w:rPr>
          <w:rFonts w:hint="eastAsia"/>
        </w:rPr>
      </w:pPr>
      <w:r>
        <w:rPr>
          <w:rFonts w:hint="eastAsia"/>
        </w:rPr>
        <w:t>45.3</w:t>
      </w:r>
      <w:r>
        <w:t>.</w:t>
      </w:r>
      <w:r>
        <w:rPr>
          <w:rFonts w:hint="eastAsia"/>
        </w:rPr>
        <w:t>6供应商对谈判应答文件进行修改，都应形成文字材料，并经供应商谈判授权人签字认可。</w:t>
      </w:r>
    </w:p>
    <w:p>
      <w:pPr>
        <w:tabs>
          <w:tab w:val="clear" w:pos="426"/>
        </w:tabs>
        <w:rPr>
          <w:rFonts w:hint="eastAsia"/>
        </w:rPr>
      </w:pPr>
      <w:r>
        <w:rPr>
          <w:rFonts w:hint="eastAsia"/>
        </w:rPr>
        <w:t>45.3.7谈判小组与单一来源供应商进行谈判。供应商有两次更改机会；供应商应在规定的时间内提出最后更改及书面承诺。</w:t>
      </w:r>
    </w:p>
    <w:p>
      <w:pPr>
        <w:tabs>
          <w:tab w:val="clear" w:pos="426"/>
        </w:tabs>
        <w:rPr>
          <w:rFonts w:hint="eastAsia"/>
          <w:szCs w:val="21"/>
        </w:rPr>
      </w:pPr>
      <w:r>
        <w:rPr>
          <w:rFonts w:hint="eastAsia"/>
          <w:szCs w:val="21"/>
        </w:rPr>
        <w:t>45.3.8有下列情形之一的，供应商的谈判结果作废标处理，</w:t>
      </w:r>
      <w:r>
        <w:rPr>
          <w:rFonts w:hint="eastAsia"/>
        </w:rPr>
        <w:t>具体内容见原招标文件中不符合“资格、符合性评审条款”部分以及谈判邀请中相应的变动部分。</w:t>
      </w:r>
    </w:p>
    <w:p>
      <w:pPr>
        <w:tabs>
          <w:tab w:val="clear" w:pos="426"/>
        </w:tabs>
        <w:rPr>
          <w:rFonts w:hint="eastAsia"/>
        </w:rPr>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rPr>
          <w:rFonts w:hint="eastAsia"/>
        </w:rPr>
      </w:pPr>
      <w:r>
        <w:rPr>
          <w:rFonts w:hint="eastAsia"/>
        </w:rPr>
        <w:t>45.3.10谈判小组将对谈判过程进行记录，以存档备查。</w:t>
      </w:r>
    </w:p>
    <w:p>
      <w:pPr>
        <w:tabs>
          <w:tab w:val="clear" w:pos="426"/>
        </w:tabs>
        <w:rPr>
          <w:rFonts w:hint="eastAsia"/>
        </w:rPr>
      </w:pPr>
      <w:r>
        <w:rPr>
          <w:rFonts w:hint="eastAsia"/>
        </w:rPr>
        <w:t>45.4评标方法和定标原则</w:t>
      </w:r>
    </w:p>
    <w:p>
      <w:pPr>
        <w:tabs>
          <w:tab w:val="clear" w:pos="426"/>
        </w:tabs>
        <w:rPr>
          <w:rFonts w:hint="eastAsia"/>
        </w:rPr>
      </w:pPr>
      <w:r>
        <w:rPr>
          <w:rFonts w:hint="eastAsia"/>
          <w:szCs w:val="21"/>
        </w:rPr>
        <w:t>45.4.1单一来源谈判采用最低评标价法。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Cs/>
        </w:rPr>
        <w:t>最低评标价法</w:t>
      </w:r>
      <w:r>
        <w:rPr>
          <w:rFonts w:hint="eastAsia"/>
        </w:rPr>
        <w:t>进行评审。</w:t>
      </w:r>
    </w:p>
    <w:p>
      <w:pPr>
        <w:tabs>
          <w:tab w:val="clear" w:pos="426"/>
        </w:tabs>
        <w:rPr>
          <w:rFonts w:hint="eastAsia"/>
          <w:szCs w:val="21"/>
        </w:rPr>
      </w:pPr>
      <w:r>
        <w:rPr>
          <w:rFonts w:hint="eastAsia"/>
        </w:rPr>
        <w:t>45.4.2谈判小组向采购代理机构提交书面评标报告，并推荐中标候选人或确定中标供应商。</w:t>
      </w:r>
    </w:p>
    <w:p>
      <w:pPr>
        <w:pStyle w:val="5"/>
        <w:tabs>
          <w:tab w:val="clear" w:pos="426"/>
        </w:tabs>
        <w:rPr>
          <w:rFonts w:hint="eastAsia"/>
          <w:sz w:val="28"/>
          <w:szCs w:val="28"/>
        </w:rPr>
      </w:pPr>
      <w:bookmarkStart w:id="183" w:name="_Toc27804"/>
      <w:bookmarkStart w:id="184" w:name="_Toc14427262"/>
      <w:bookmarkStart w:id="185" w:name="_Toc529280589"/>
      <w:bookmarkStart w:id="186" w:name="_Toc530152530"/>
      <w:r>
        <w:rPr>
          <w:rFonts w:hint="eastAsia"/>
        </w:rPr>
        <w:t>第九章 合同的授予与备案</w:t>
      </w:r>
      <w:bookmarkEnd w:id="183"/>
      <w:bookmarkEnd w:id="184"/>
      <w:bookmarkEnd w:id="185"/>
      <w:bookmarkEnd w:id="186"/>
    </w:p>
    <w:p>
      <w:pPr>
        <w:tabs>
          <w:tab w:val="clear" w:pos="426"/>
        </w:tabs>
        <w:rPr>
          <w:rFonts w:hint="eastAsia"/>
        </w:rPr>
      </w:pPr>
      <w:r>
        <w:rPr>
          <w:rFonts w:hint="eastAsia"/>
        </w:rPr>
        <w:t>46．  履约担保</w:t>
      </w:r>
    </w:p>
    <w:p>
      <w:pPr>
        <w:tabs>
          <w:tab w:val="clear" w:pos="426"/>
        </w:tabs>
        <w:rPr>
          <w:rFonts w:hint="eastAsia"/>
        </w:rPr>
      </w:pPr>
      <w:r>
        <w:rPr>
          <w:rFonts w:hint="eastAsia"/>
        </w:rPr>
        <w:t>46.1  本项目履约担保的相关要求：详见“投标须知前附表”。</w:t>
      </w:r>
    </w:p>
    <w:p>
      <w:pPr>
        <w:tabs>
          <w:tab w:val="clear" w:pos="426"/>
        </w:tabs>
        <w:rPr>
          <w:rFonts w:hint="eastAsia"/>
        </w:rPr>
      </w:pPr>
      <w:r>
        <w:rPr>
          <w:rFonts w:hint="eastAsia"/>
        </w:rPr>
        <w:t>46.2  在签订合同前，中标供应商应按规定向采购人提交履约担保，采用履约保函形式的可参照使用本招标文件提供的格式。</w:t>
      </w:r>
    </w:p>
    <w:p>
      <w:pPr>
        <w:tabs>
          <w:tab w:val="clear" w:pos="426"/>
        </w:tabs>
        <w:rPr>
          <w:rFonts w:hint="eastAsia"/>
        </w:rPr>
      </w:pPr>
      <w:r>
        <w:rPr>
          <w:rFonts w:hint="eastAsia"/>
        </w:rPr>
        <w:t>46.3  联合体中标的，其履约担保由联合体牵头人提交，并应符合本节第42.1条、第45.2条的规定。</w:t>
      </w:r>
    </w:p>
    <w:p>
      <w:pPr>
        <w:tabs>
          <w:tab w:val="clear" w:pos="426"/>
        </w:tabs>
        <w:rPr>
          <w:rFonts w:hint="eastAsia"/>
        </w:rPr>
      </w:pPr>
      <w:r>
        <w:rPr>
          <w:rFonts w:hint="eastAsia"/>
        </w:rPr>
        <w:t>46.4  如果中标供应商拒不提交本节第42.1条、第42.2条要求的履约担保的，采购人可取消其中标资格，并没收其投标担保。</w:t>
      </w:r>
    </w:p>
    <w:p>
      <w:pPr>
        <w:tabs>
          <w:tab w:val="clear" w:pos="426"/>
        </w:tabs>
        <w:rPr>
          <w:rFonts w:hint="eastAsia"/>
        </w:rPr>
      </w:pPr>
      <w:r>
        <w:rPr>
          <w:rFonts w:hint="eastAsia"/>
        </w:rPr>
        <w:t>47．  签订合同</w:t>
      </w:r>
    </w:p>
    <w:p>
      <w:pPr>
        <w:tabs>
          <w:tab w:val="clear" w:pos="426"/>
        </w:tabs>
        <w:rPr>
          <w:rFonts w:hint="eastAsia"/>
        </w:rPr>
      </w:pPr>
      <w:r>
        <w:rPr>
          <w:rFonts w:hint="eastAsia"/>
        </w:rPr>
        <w:t>47.1  采购人和中标供应商应当按“投标须知前附表”的规定，依据招标文件和中标供应商的投标文件订立书面合同。</w:t>
      </w:r>
    </w:p>
    <w:p>
      <w:pPr>
        <w:tabs>
          <w:tab w:val="clear" w:pos="426"/>
        </w:tabs>
        <w:rPr>
          <w:rFonts w:hint="eastAsia"/>
        </w:rPr>
      </w:pPr>
      <w:r>
        <w:rPr>
          <w:rFonts w:hint="eastAsia"/>
        </w:rPr>
        <w:t>47.2  中标供应商无正当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pPr>
        <w:pStyle w:val="5"/>
        <w:tabs>
          <w:tab w:val="clear" w:pos="426"/>
        </w:tabs>
        <w:rPr>
          <w:rFonts w:hint="eastAsia"/>
        </w:rPr>
      </w:pPr>
      <w:bookmarkStart w:id="187" w:name="_Toc529280590"/>
      <w:bookmarkStart w:id="188" w:name="_Toc14427263"/>
      <w:bookmarkStart w:id="189" w:name="_Toc530152531"/>
      <w:bookmarkStart w:id="190" w:name="_Toc4334"/>
      <w:r>
        <w:rPr>
          <w:rFonts w:hint="eastAsia"/>
        </w:rPr>
        <w:t>第十章 质疑受理</w:t>
      </w:r>
      <w:bookmarkEnd w:id="187"/>
      <w:bookmarkEnd w:id="188"/>
      <w:bookmarkEnd w:id="189"/>
      <w:bookmarkEnd w:id="190"/>
    </w:p>
    <w:p>
      <w:pPr>
        <w:tabs>
          <w:tab w:val="clear" w:pos="426"/>
        </w:tabs>
        <w:rPr>
          <w:rFonts w:hint="eastAsia"/>
        </w:rPr>
      </w:pPr>
      <w:r>
        <w:rPr>
          <w:rFonts w:hint="eastAsia"/>
        </w:rPr>
        <w:t>48.质疑受理机构</w:t>
      </w:r>
    </w:p>
    <w:p>
      <w:pPr>
        <w:tabs>
          <w:tab w:val="clear" w:pos="426"/>
        </w:tabs>
        <w:rPr>
          <w:rFonts w:hint="eastAsia"/>
          <w:sz w:val="22"/>
          <w:szCs w:val="22"/>
        </w:rPr>
      </w:pPr>
      <w:r>
        <w:rPr>
          <w:rFonts w:hint="eastAsia"/>
        </w:rPr>
        <w:t>采购代理机构及采购人</w:t>
      </w:r>
      <w:r>
        <w:t>负责受理和答复质疑</w:t>
      </w:r>
      <w:r>
        <w:rPr>
          <w:sz w:val="22"/>
          <w:szCs w:val="22"/>
        </w:rPr>
        <w:t>。</w:t>
      </w:r>
    </w:p>
    <w:p>
      <w:pPr>
        <w:tabs>
          <w:tab w:val="clear" w:pos="426"/>
        </w:tabs>
        <w:rPr>
          <w:rFonts w:hint="eastAsia"/>
        </w:rPr>
      </w:pPr>
      <w:r>
        <w:rPr>
          <w:rFonts w:hint="eastAsia"/>
        </w:rPr>
        <w:t>49.质疑处理原则</w:t>
      </w:r>
    </w:p>
    <w:p>
      <w:pPr>
        <w:tabs>
          <w:tab w:val="clear" w:pos="426"/>
        </w:tabs>
        <w:rPr>
          <w:rFonts w:hint="eastAsia"/>
        </w:rPr>
      </w:pPr>
      <w:r>
        <w:rPr>
          <w:rFonts w:hint="eastAsia"/>
        </w:rPr>
        <w:t>49.1</w:t>
      </w:r>
      <w:r>
        <w:t>质疑处理遵循公平、公正、规范、高效的原则。</w:t>
      </w:r>
    </w:p>
    <w:p>
      <w:pPr>
        <w:tabs>
          <w:tab w:val="clear" w:pos="426"/>
        </w:tabs>
        <w:rPr>
          <w:rFonts w:hint="eastAsia"/>
        </w:rPr>
      </w:pPr>
      <w:r>
        <w:rPr>
          <w:rFonts w:hint="eastAsia"/>
        </w:rPr>
        <w:t>49.2</w:t>
      </w:r>
      <w:r>
        <w:t>供应商质疑实行实名制和“谁质疑，谁举证”的原则，质疑应有具体的事项及事实根据。</w:t>
      </w:r>
    </w:p>
    <w:p>
      <w:pPr>
        <w:tabs>
          <w:tab w:val="clear" w:pos="426"/>
        </w:tabs>
        <w:rPr>
          <w:rFonts w:hint="eastAsia"/>
        </w:rPr>
      </w:pPr>
      <w:r>
        <w:rPr>
          <w:rFonts w:hint="eastAsia"/>
        </w:rPr>
        <w:t>50.质疑受理的时效和范围</w:t>
      </w:r>
    </w:p>
    <w:p>
      <w:pPr>
        <w:tabs>
          <w:tab w:val="clear" w:pos="426"/>
        </w:tabs>
        <w:rPr>
          <w:rFonts w:hint="eastAsia"/>
        </w:rPr>
      </w:pPr>
      <w:r>
        <w:rPr>
          <w:rFonts w:hint="eastAsia"/>
        </w:rPr>
        <w:t>50.1供应商认为采购文件、采购过程和中标、成交结果使自己权益受到损害的，可以在知道或者应知其权益受到损害之日起7个工作日内，以书面形式向采购代理机构提出质疑。</w:t>
      </w:r>
    </w:p>
    <w:p>
      <w:pPr>
        <w:tabs>
          <w:tab w:val="clear" w:pos="426"/>
        </w:tabs>
        <w:rPr>
          <w:rFonts w:hint="eastAsia"/>
        </w:rPr>
      </w:pPr>
      <w:r>
        <w:rPr>
          <w:rFonts w:hint="eastAsia"/>
        </w:rPr>
        <w:t>50.2供应商对采购文件有疑问的，采购代理机构及采购人按答疑程序处理；供应商对采购文件有异议的，按质疑程序处理。</w:t>
      </w:r>
    </w:p>
    <w:p>
      <w:pPr>
        <w:tabs>
          <w:tab w:val="clear" w:pos="426"/>
        </w:tabs>
        <w:rPr>
          <w:rFonts w:hint="eastAsia"/>
        </w:rPr>
      </w:pPr>
      <w:r>
        <w:rPr>
          <w:rFonts w:hint="eastAsia"/>
        </w:rPr>
        <w:t>51.质疑条件</w:t>
      </w:r>
    </w:p>
    <w:p>
      <w:pPr>
        <w:tabs>
          <w:tab w:val="clear" w:pos="426"/>
        </w:tabs>
        <w:rPr>
          <w:rFonts w:hint="eastAsia"/>
        </w:rPr>
      </w:pPr>
      <w:r>
        <w:rPr>
          <w:rFonts w:hint="eastAsia"/>
        </w:rPr>
        <w:t>51.1提出质疑的应是直接参与相应采购项目的供应商。以联合体形式参与的，由联合体共同提出；</w:t>
      </w:r>
    </w:p>
    <w:p>
      <w:pPr>
        <w:tabs>
          <w:tab w:val="clear" w:pos="426"/>
        </w:tabs>
        <w:rPr>
          <w:rFonts w:hint="eastAsia"/>
        </w:rPr>
      </w:pPr>
      <w:r>
        <w:rPr>
          <w:rFonts w:hint="eastAsia"/>
        </w:rPr>
        <w:t>51.2提供质疑的项目名称和编号、质疑供应商的单位名称、详细地址、邮政编码、联系人及联系电话等基本情况；</w:t>
      </w:r>
    </w:p>
    <w:p>
      <w:pPr>
        <w:tabs>
          <w:tab w:val="clear" w:pos="426"/>
        </w:tabs>
        <w:rPr>
          <w:rFonts w:hint="eastAsia"/>
        </w:rPr>
      </w:pPr>
      <w:r>
        <w:rPr>
          <w:rFonts w:hint="eastAsia"/>
        </w:rPr>
        <w:t>51.3有质疑的具体事项、请求及理由，并附相关证据材料；</w:t>
      </w:r>
    </w:p>
    <w:p>
      <w:pPr>
        <w:tabs>
          <w:tab w:val="clear" w:pos="426"/>
        </w:tabs>
        <w:rPr>
          <w:rFonts w:hint="eastAsia"/>
        </w:rPr>
      </w:pPr>
      <w:r>
        <w:rPr>
          <w:rFonts w:hint="eastAsia"/>
        </w:rPr>
        <w:t>51.4质疑书加盖公章，被授权人进行质疑的同时提交法人授权委托书；</w:t>
      </w:r>
    </w:p>
    <w:p>
      <w:pPr>
        <w:tabs>
          <w:tab w:val="clear" w:pos="426"/>
        </w:tabs>
        <w:rPr>
          <w:rFonts w:hint="eastAsia"/>
        </w:rPr>
      </w:pPr>
      <w:r>
        <w:rPr>
          <w:rFonts w:hint="eastAsia"/>
        </w:rPr>
        <w:t>51.5质疑材料中有外文资料的，应一并附上中文译本，并以中文译本为准。</w:t>
      </w:r>
    </w:p>
    <w:p>
      <w:pPr>
        <w:tabs>
          <w:tab w:val="clear" w:pos="426"/>
        </w:tabs>
        <w:rPr>
          <w:rFonts w:hint="eastAsia"/>
        </w:rPr>
      </w:pPr>
      <w:r>
        <w:rPr>
          <w:rFonts w:hint="eastAsia"/>
        </w:rPr>
        <w:t>51.6质疑不得超过质疑受理的时效和范围。</w:t>
      </w:r>
    </w:p>
    <w:p>
      <w:pPr>
        <w:tabs>
          <w:tab w:val="clear" w:pos="426"/>
        </w:tabs>
        <w:rPr>
          <w:rFonts w:hint="eastAsia"/>
        </w:rPr>
      </w:pPr>
      <w:r>
        <w:rPr>
          <w:rFonts w:hint="eastAsia"/>
        </w:rPr>
        <w:t>不符合上述条件的，我采购代理机构不予受理。</w:t>
      </w:r>
    </w:p>
    <w:p>
      <w:pPr>
        <w:tabs>
          <w:tab w:val="clear" w:pos="426"/>
        </w:tabs>
        <w:rPr>
          <w:rFonts w:hint="eastAsia"/>
        </w:rPr>
      </w:pPr>
      <w:r>
        <w:rPr>
          <w:rFonts w:hint="eastAsia"/>
        </w:rPr>
        <w:t>52.受理质疑办理程序</w:t>
      </w:r>
    </w:p>
    <w:p>
      <w:pPr>
        <w:tabs>
          <w:tab w:val="clear" w:pos="426"/>
        </w:tabs>
        <w:rPr>
          <w:rFonts w:hint="eastAsia"/>
        </w:rPr>
      </w:pPr>
      <w:r>
        <w:rPr>
          <w:rFonts w:hint="eastAsia"/>
        </w:rPr>
        <w:t>52.1先与质疑供应商进行沟通，以消除因误解或对采购规则和程序的不了解而引起的质疑。对沟通情况满意的，供应商撤回质疑，质疑处理程序终止。</w:t>
      </w:r>
    </w:p>
    <w:p>
      <w:pPr>
        <w:tabs>
          <w:tab w:val="clear" w:pos="426"/>
        </w:tabs>
        <w:rPr>
          <w:rFonts w:hint="eastAsia"/>
        </w:rPr>
      </w:pPr>
      <w:r>
        <w:rPr>
          <w:rFonts w:hint="eastAsia"/>
        </w:rPr>
        <w:t>52.2处理质疑一般进行书面审查；必要时听取各方当事人的陈述和申辩、进行相关调查；组织原评标委员会或谈判小组进行复议。</w:t>
      </w:r>
    </w:p>
    <w:p>
      <w:pPr>
        <w:tabs>
          <w:tab w:val="clear" w:pos="426"/>
        </w:tabs>
        <w:rPr>
          <w:rFonts w:hint="eastAsia"/>
        </w:rPr>
      </w:pPr>
      <w:r>
        <w:rPr>
          <w:rFonts w:hint="eastAsia"/>
        </w:rPr>
        <w:t>52.3在质疑处理期间，采购代理机构视情形决定暂停采购活动。</w:t>
      </w:r>
    </w:p>
    <w:p>
      <w:pPr>
        <w:tabs>
          <w:tab w:val="clear" w:pos="426"/>
        </w:tabs>
        <w:rPr>
          <w:rFonts w:hint="eastAsia"/>
        </w:rPr>
      </w:pPr>
      <w:r>
        <w:rPr>
          <w:rFonts w:hint="eastAsia"/>
        </w:rPr>
        <w:t>52.4采购代理机构原则上在质疑受理之日起7个工作日内书面答复质疑供应商。答复函以直接领取、传真或邮寄方式送达。</w:t>
      </w:r>
    </w:p>
    <w:p>
      <w:pPr>
        <w:tabs>
          <w:tab w:val="clear" w:pos="426"/>
        </w:tabs>
        <w:rPr>
          <w:rFonts w:hint="eastAsia"/>
        </w:rPr>
      </w:pPr>
      <w:r>
        <w:rPr>
          <w:rFonts w:hint="eastAsia"/>
        </w:rPr>
        <w:t>52.5供应商向采购代理机构提出质疑后，在质疑处理期限内，不得同时向其他方面提起同一质疑。质疑供应商如已就同一事项提起投诉、提请行政复议或诉讼的，质疑程序终止。</w:t>
      </w:r>
    </w:p>
    <w:p>
      <w:pPr>
        <w:tabs>
          <w:tab w:val="clear" w:pos="426"/>
        </w:tabs>
        <w:rPr>
          <w:rFonts w:hint="eastAsia"/>
        </w:rPr>
      </w:pPr>
      <w:r>
        <w:rPr>
          <w:rFonts w:hint="eastAsia"/>
        </w:rPr>
        <w:t>53.相关责任与义务</w:t>
      </w:r>
    </w:p>
    <w:p>
      <w:pPr>
        <w:tabs>
          <w:tab w:val="clear" w:pos="426"/>
        </w:tabs>
        <w:rPr>
          <w:rFonts w:hint="eastAsia"/>
        </w:rPr>
      </w:pPr>
      <w:r>
        <w:rPr>
          <w:rFonts w:hint="eastAsia"/>
        </w:rPr>
        <w:t>53.1采购单位、评标专家和相关供应商等当事人应积极配合采购代理机构进行质疑调查，如实反映情况，及时提供证明材料。</w:t>
      </w:r>
    </w:p>
    <w:p>
      <w:pPr>
        <w:tabs>
          <w:tab w:val="clear" w:pos="426"/>
        </w:tabs>
        <w:rPr>
          <w:rFonts w:hint="eastAsia"/>
        </w:rPr>
      </w:pPr>
      <w:r>
        <w:rPr>
          <w:rFonts w:hint="eastAsia"/>
        </w:rPr>
        <w:t>53.2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pPr>
        <w:tabs>
          <w:tab w:val="clear" w:pos="426"/>
        </w:tabs>
        <w:rPr>
          <w:rFonts w:hint="eastAsia"/>
        </w:rPr>
      </w:pPr>
      <w:r>
        <w:rPr>
          <w:rFonts w:hint="eastAsia"/>
        </w:rPr>
        <w:t>53.2.1捏造事实或提供虚假证明材料的；</w:t>
      </w:r>
    </w:p>
    <w:p>
      <w:pPr>
        <w:tabs>
          <w:tab w:val="clear" w:pos="426"/>
        </w:tabs>
        <w:rPr>
          <w:rFonts w:hint="eastAsia"/>
        </w:rPr>
      </w:pPr>
      <w:r>
        <w:rPr>
          <w:rFonts w:hint="eastAsia"/>
        </w:rPr>
        <w:t>53.2.2假冒他人名义进行质疑的；</w:t>
      </w:r>
    </w:p>
    <w:p>
      <w:pPr>
        <w:tabs>
          <w:tab w:val="clear" w:pos="426"/>
        </w:tabs>
        <w:rPr>
          <w:rFonts w:hint="eastAsia"/>
        </w:rPr>
      </w:pPr>
      <w:r>
        <w:rPr>
          <w:rFonts w:hint="eastAsia"/>
        </w:rPr>
        <w:t>53.2.3拒不配合进行有关调查、情节严重的。</w:t>
      </w:r>
    </w:p>
    <w:p>
      <w:pPr>
        <w:tabs>
          <w:tab w:val="clear" w:pos="426"/>
        </w:tabs>
        <w:rPr>
          <w:rFonts w:hint="eastAsia"/>
          <w:b/>
        </w:rPr>
      </w:pPr>
      <w:r>
        <w:rPr>
          <w:rFonts w:hint="eastAsia"/>
        </w:rPr>
        <w:t xml:space="preserve">54．  </w:t>
      </w:r>
      <w:r>
        <w:rPr>
          <w:rFonts w:hint="eastAsia"/>
          <w:b/>
        </w:rPr>
        <w:t>其他</w:t>
      </w:r>
    </w:p>
    <w:p>
      <w:pPr>
        <w:tabs>
          <w:tab w:val="clear" w:pos="426"/>
        </w:tabs>
        <w:rPr>
          <w:rFonts w:hint="eastAsia"/>
        </w:rPr>
      </w:pPr>
      <w:r>
        <w:rPr>
          <w:rFonts w:hint="eastAsia"/>
        </w:rPr>
        <w:t>54.1  本招标文件的解释权归采购代理机构所有，采购代理机构在征得采购人或相关主管部门同意后，有权在法律允许范围内调整本次招标活动的细节及保留最终解释权。</w:t>
      </w:r>
    </w:p>
    <w:p>
      <w:pPr>
        <w:tabs>
          <w:tab w:val="clear" w:pos="426"/>
        </w:tabs>
        <w:rPr>
          <w:rFonts w:hint="eastAsia"/>
        </w:rPr>
      </w:pPr>
      <w:r>
        <w:rPr>
          <w:rFonts w:hint="eastAsia"/>
        </w:rPr>
        <w:t>54.2 采购代理机构向投标供应商提供的资料和数据，是采购代理机构现有的能供投标供应商利用的资料，采购代理机构对投标供应商由此而作出的推论、理解和结论概不负责。</w:t>
      </w:r>
    </w:p>
    <w:p>
      <w:pPr>
        <w:tabs>
          <w:tab w:val="clear" w:pos="426"/>
        </w:tabs>
        <w:rPr>
          <w:rFonts w:hint="eastAsia"/>
        </w:rPr>
      </w:pPr>
      <w:r>
        <w:rPr>
          <w:rFonts w:hint="eastAsia"/>
        </w:rPr>
        <w:t>54.3 如果投标供应商实质上不符合投标资格，即使已购买招标文件、参加投标并缴纳各种费用，采购代理机构或采购人可以随时取消其投标或中标资格，采购代理机构或采购人对该投标供应商的一切损失概不责任。</w:t>
      </w:r>
    </w:p>
    <w:p>
      <w:pPr>
        <w:tabs>
          <w:tab w:val="clear" w:pos="426"/>
        </w:tabs>
        <w:rPr>
          <w:rFonts w:hint="eastAsia"/>
        </w:rPr>
      </w:pPr>
      <w:r>
        <w:rPr>
          <w:rFonts w:hint="eastAsia"/>
        </w:rPr>
        <w:t>54.4 中标无效的，发出的中标通知书和签订的合同自始没有法律约束力，但不影响合同中存在的有关解决争议方法的条款的效力。</w:t>
      </w:r>
    </w:p>
    <w:p>
      <w:pPr>
        <w:shd w:val="clear" w:color="auto" w:fill="auto"/>
        <w:tabs>
          <w:tab w:val="clear" w:pos="426"/>
        </w:tabs>
        <w:adjustRightInd/>
        <w:snapToGrid/>
        <w:spacing w:line="240" w:lineRule="auto"/>
        <w:jc w:val="left"/>
        <w:rPr>
          <w:rFonts w:hint="eastAsia"/>
        </w:rPr>
      </w:pPr>
      <w:r>
        <w:rPr>
          <w:rFonts w:hint="eastAsia"/>
        </w:rPr>
        <w:t>54.5 本招标文件所有的附件与本招标文件具有同等效力。</w:t>
      </w:r>
      <w:r>
        <w:br w:type="page"/>
      </w:r>
    </w:p>
    <w:p>
      <w:pPr>
        <w:pStyle w:val="81"/>
        <w:tabs>
          <w:tab w:val="clear" w:pos="426"/>
        </w:tabs>
      </w:pPr>
      <w:bookmarkStart w:id="191" w:name="_Toc14427264"/>
      <w:bookmarkStart w:id="192" w:name="_Toc13862"/>
      <w:bookmarkStart w:id="193" w:name="_Toc3627284"/>
      <w:r>
        <w:rPr>
          <w:rFonts w:hint="eastAsia"/>
        </w:rPr>
        <w:t>招标代理服务取费说明</w:t>
      </w:r>
      <w:bookmarkEnd w:id="191"/>
      <w:bookmarkEnd w:id="192"/>
      <w:bookmarkEnd w:id="193"/>
    </w:p>
    <w:p>
      <w:pPr>
        <w:tabs>
          <w:tab w:val="clear" w:pos="426"/>
        </w:tabs>
        <w:ind w:firstLine="440" w:firstLineChars="200"/>
        <w:rPr>
          <w:rFonts w:hint="eastAsia"/>
          <w:sz w:val="22"/>
        </w:rPr>
      </w:pPr>
      <w:r>
        <w:rPr>
          <w:rFonts w:hint="eastAsia"/>
          <w:sz w:val="22"/>
        </w:rPr>
        <w:t xml:space="preserve">招标代理服务收费以各包中标金额为计算基数，按差额定率累进法计算，向各包中标供应商收取，收费标准如下表所列： </w:t>
      </w:r>
    </w:p>
    <w:p>
      <w:pPr>
        <w:tabs>
          <w:tab w:val="clear" w:pos="426"/>
        </w:tabs>
        <w:ind w:firstLine="440" w:firstLineChars="200"/>
        <w:rPr>
          <w:rFonts w:hint="eastAsia"/>
          <w:sz w:val="22"/>
        </w:rPr>
      </w:pPr>
      <w:r>
        <w:rPr>
          <w:rFonts w:hint="eastAsia"/>
          <w:sz w:val="22"/>
        </w:rPr>
        <w:t>招标代理服务收费标准</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rFonts w:hint="eastAsia"/>
                <w:szCs w:val="21"/>
              </w:rPr>
            </w:pPr>
            <w:r>
              <w:rPr>
                <w:rFonts w:hint="eastAsia"/>
                <w:szCs w:val="21"/>
              </w:rPr>
              <w:t>服务类型</w:t>
            </w:r>
          </w:p>
          <w:p>
            <w:pPr>
              <w:tabs>
                <w:tab w:val="clear" w:pos="426"/>
              </w:tabs>
              <w:spacing w:line="300" w:lineRule="auto"/>
              <w:jc w:val="center"/>
              <w:rPr>
                <w:rFonts w:hint="eastAsia"/>
                <w:szCs w:val="21"/>
              </w:rPr>
            </w:pPr>
            <w:r>
              <w:rPr>
                <w:rFonts w:hint="eastAsia"/>
                <w:szCs w:val="21"/>
              </w:rPr>
              <w:t>费率</w:t>
            </w:r>
          </w:p>
          <w:p>
            <w:pPr>
              <w:tabs>
                <w:tab w:val="clear" w:pos="426"/>
              </w:tabs>
              <w:spacing w:line="300" w:lineRule="auto"/>
              <w:rPr>
                <w:rFonts w:hint="eastAsia"/>
                <w:szCs w:val="21"/>
              </w:rPr>
            </w:pPr>
            <w:r>
              <w:rPr>
                <w:rFonts w:hint="eastAsia"/>
                <w:szCs w:val="21"/>
              </w:rPr>
              <w:t>中标金额</w:t>
            </w:r>
          </w:p>
        </w:tc>
        <w:tc>
          <w:tcPr>
            <w:tcW w:w="1845" w:type="dxa"/>
            <w:vAlign w:val="center"/>
          </w:tcPr>
          <w:p>
            <w:pPr>
              <w:spacing w:line="240" w:lineRule="auto"/>
              <w:jc w:val="center"/>
              <w:rPr>
                <w:rFonts w:hint="eastAsia"/>
                <w:szCs w:val="21"/>
              </w:rPr>
            </w:pPr>
            <w:r>
              <w:rPr>
                <w:rFonts w:hint="eastAsia"/>
                <w:szCs w:val="21"/>
              </w:rPr>
              <w:t>货物采购</w:t>
            </w:r>
          </w:p>
        </w:tc>
        <w:tc>
          <w:tcPr>
            <w:tcW w:w="1845" w:type="dxa"/>
            <w:vAlign w:val="center"/>
          </w:tcPr>
          <w:p>
            <w:pPr>
              <w:spacing w:line="240" w:lineRule="auto"/>
              <w:jc w:val="center"/>
              <w:rPr>
                <w:rFonts w:hint="eastAsia"/>
                <w:szCs w:val="21"/>
              </w:rPr>
            </w:pPr>
            <w:r>
              <w:rPr>
                <w:szCs w:val="21"/>
              </w:rPr>
              <w:t>服务采购</w:t>
            </w:r>
          </w:p>
        </w:tc>
        <w:tc>
          <w:tcPr>
            <w:tcW w:w="1846" w:type="dxa"/>
            <w:vAlign w:val="center"/>
          </w:tcPr>
          <w:p>
            <w:pPr>
              <w:spacing w:line="240" w:lineRule="auto"/>
              <w:jc w:val="center"/>
              <w:rPr>
                <w:rFonts w:hint="eastAsia"/>
                <w:szCs w:val="21"/>
              </w:rPr>
            </w:pPr>
            <w:r>
              <w:rPr>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adjustRightInd/>
              <w:snapToGrid/>
              <w:spacing w:line="240" w:lineRule="auto"/>
              <w:jc w:val="left"/>
              <w:rPr>
                <w:rFonts w:hint="eastAsia"/>
                <w:szCs w:val="21"/>
              </w:rPr>
            </w:pPr>
            <w:r>
              <w:rPr>
                <w:rFonts w:hint="eastAsia"/>
                <w:szCs w:val="21"/>
              </w:rPr>
              <w:t>100万元以下</w:t>
            </w:r>
          </w:p>
        </w:tc>
        <w:tc>
          <w:tcPr>
            <w:tcW w:w="1845" w:type="dxa"/>
            <w:vAlign w:val="center"/>
          </w:tcPr>
          <w:p>
            <w:pPr>
              <w:spacing w:line="240" w:lineRule="auto"/>
              <w:jc w:val="center"/>
              <w:rPr>
                <w:rFonts w:hint="eastAsia"/>
                <w:szCs w:val="21"/>
              </w:rPr>
            </w:pPr>
            <w:r>
              <w:rPr>
                <w:rFonts w:hint="eastAsia"/>
                <w:szCs w:val="21"/>
              </w:rPr>
              <w:t>1.500%</w:t>
            </w:r>
          </w:p>
        </w:tc>
        <w:tc>
          <w:tcPr>
            <w:tcW w:w="1845" w:type="dxa"/>
            <w:vAlign w:val="center"/>
          </w:tcPr>
          <w:p>
            <w:pPr>
              <w:spacing w:line="240" w:lineRule="auto"/>
              <w:jc w:val="center"/>
              <w:rPr>
                <w:rFonts w:hint="eastAsia"/>
                <w:szCs w:val="21"/>
              </w:rPr>
            </w:pPr>
            <w:r>
              <w:rPr>
                <w:rFonts w:hint="eastAsia"/>
                <w:szCs w:val="21"/>
              </w:rPr>
              <w:t>1.500%</w:t>
            </w:r>
          </w:p>
        </w:tc>
        <w:tc>
          <w:tcPr>
            <w:tcW w:w="1846" w:type="dxa"/>
            <w:vAlign w:val="center"/>
          </w:tcPr>
          <w:p>
            <w:pPr>
              <w:spacing w:line="240" w:lineRule="auto"/>
              <w:jc w:val="center"/>
              <w:rPr>
                <w:rFonts w:hint="eastAsia"/>
                <w:szCs w:val="21"/>
              </w:rPr>
            </w:pPr>
            <w:r>
              <w:rPr>
                <w:rFonts w:hint="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100万元（含）-500万元</w:t>
            </w:r>
          </w:p>
        </w:tc>
        <w:tc>
          <w:tcPr>
            <w:tcW w:w="1845" w:type="dxa"/>
            <w:vAlign w:val="center"/>
          </w:tcPr>
          <w:p>
            <w:pPr>
              <w:spacing w:line="240" w:lineRule="auto"/>
              <w:jc w:val="center"/>
              <w:rPr>
                <w:rFonts w:hint="eastAsia"/>
                <w:szCs w:val="21"/>
              </w:rPr>
            </w:pPr>
            <w:r>
              <w:rPr>
                <w:rFonts w:hint="eastAsia"/>
                <w:szCs w:val="21"/>
              </w:rPr>
              <w:t>1.100%</w:t>
            </w:r>
          </w:p>
        </w:tc>
        <w:tc>
          <w:tcPr>
            <w:tcW w:w="1845" w:type="dxa"/>
            <w:vAlign w:val="center"/>
          </w:tcPr>
          <w:p>
            <w:pPr>
              <w:spacing w:line="240" w:lineRule="auto"/>
              <w:jc w:val="center"/>
              <w:rPr>
                <w:rFonts w:hint="eastAsia"/>
                <w:szCs w:val="21"/>
              </w:rPr>
            </w:pPr>
            <w:r>
              <w:rPr>
                <w:rFonts w:hint="eastAsia"/>
                <w:szCs w:val="21"/>
              </w:rPr>
              <w:t>0.800%</w:t>
            </w:r>
          </w:p>
        </w:tc>
        <w:tc>
          <w:tcPr>
            <w:tcW w:w="1846" w:type="dxa"/>
            <w:vAlign w:val="center"/>
          </w:tcPr>
          <w:p>
            <w:pPr>
              <w:spacing w:line="240" w:lineRule="auto"/>
              <w:jc w:val="center"/>
              <w:rPr>
                <w:rFonts w:hint="eastAsia"/>
                <w:szCs w:val="21"/>
              </w:rPr>
            </w:pPr>
            <w:r>
              <w:rPr>
                <w:rFonts w:hint="eastAsia"/>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500万元（含）-1000万元</w:t>
            </w:r>
          </w:p>
        </w:tc>
        <w:tc>
          <w:tcPr>
            <w:tcW w:w="1845" w:type="dxa"/>
            <w:vAlign w:val="center"/>
          </w:tcPr>
          <w:p>
            <w:pPr>
              <w:spacing w:line="240" w:lineRule="auto"/>
              <w:jc w:val="center"/>
              <w:rPr>
                <w:rFonts w:hint="eastAsia"/>
                <w:szCs w:val="21"/>
              </w:rPr>
            </w:pPr>
            <w:r>
              <w:rPr>
                <w:rFonts w:hint="eastAsia"/>
                <w:szCs w:val="21"/>
              </w:rPr>
              <w:t>0.800%</w:t>
            </w:r>
          </w:p>
        </w:tc>
        <w:tc>
          <w:tcPr>
            <w:tcW w:w="1845" w:type="dxa"/>
            <w:vAlign w:val="center"/>
          </w:tcPr>
          <w:p>
            <w:pPr>
              <w:spacing w:line="240" w:lineRule="auto"/>
              <w:jc w:val="center"/>
              <w:rPr>
                <w:rFonts w:hint="eastAsia"/>
                <w:szCs w:val="21"/>
              </w:rPr>
            </w:pPr>
            <w:r>
              <w:rPr>
                <w:rFonts w:hint="eastAsia"/>
                <w:szCs w:val="21"/>
              </w:rPr>
              <w:t>0.450%</w:t>
            </w:r>
          </w:p>
        </w:tc>
        <w:tc>
          <w:tcPr>
            <w:tcW w:w="1846" w:type="dxa"/>
            <w:vAlign w:val="center"/>
          </w:tcPr>
          <w:p>
            <w:pPr>
              <w:spacing w:line="240" w:lineRule="auto"/>
              <w:jc w:val="center"/>
              <w:rPr>
                <w:rFonts w:hint="eastAsia"/>
                <w:szCs w:val="21"/>
              </w:rPr>
            </w:pPr>
            <w:r>
              <w:rPr>
                <w:rFonts w:hint="eastAsia"/>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1000万元（含）-5000万元</w:t>
            </w:r>
          </w:p>
        </w:tc>
        <w:tc>
          <w:tcPr>
            <w:tcW w:w="1845" w:type="dxa"/>
            <w:vAlign w:val="center"/>
          </w:tcPr>
          <w:p>
            <w:pPr>
              <w:spacing w:line="240" w:lineRule="auto"/>
              <w:jc w:val="center"/>
              <w:rPr>
                <w:rFonts w:hint="eastAsia"/>
                <w:szCs w:val="21"/>
              </w:rPr>
            </w:pPr>
            <w:r>
              <w:rPr>
                <w:rFonts w:hint="eastAsia"/>
                <w:szCs w:val="21"/>
              </w:rPr>
              <w:t>0.500%</w:t>
            </w:r>
          </w:p>
        </w:tc>
        <w:tc>
          <w:tcPr>
            <w:tcW w:w="1845" w:type="dxa"/>
            <w:vAlign w:val="center"/>
          </w:tcPr>
          <w:p>
            <w:pPr>
              <w:spacing w:line="240" w:lineRule="auto"/>
              <w:jc w:val="center"/>
              <w:rPr>
                <w:rFonts w:hint="eastAsia"/>
                <w:szCs w:val="21"/>
              </w:rPr>
            </w:pPr>
            <w:r>
              <w:rPr>
                <w:rFonts w:hint="eastAsia"/>
                <w:szCs w:val="21"/>
              </w:rPr>
              <w:t>0.250%</w:t>
            </w:r>
          </w:p>
        </w:tc>
        <w:tc>
          <w:tcPr>
            <w:tcW w:w="1846" w:type="dxa"/>
            <w:vAlign w:val="center"/>
          </w:tcPr>
          <w:p>
            <w:pPr>
              <w:spacing w:line="240" w:lineRule="auto"/>
              <w:jc w:val="center"/>
              <w:rPr>
                <w:rFonts w:hint="eastAsia"/>
                <w:szCs w:val="21"/>
              </w:rPr>
            </w:pPr>
            <w:r>
              <w:rPr>
                <w:rFonts w:hint="eastAsia"/>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5000万元（含）-1亿元</w:t>
            </w:r>
          </w:p>
        </w:tc>
        <w:tc>
          <w:tcPr>
            <w:tcW w:w="1845" w:type="dxa"/>
            <w:vAlign w:val="center"/>
          </w:tcPr>
          <w:p>
            <w:pPr>
              <w:spacing w:line="240" w:lineRule="auto"/>
              <w:jc w:val="center"/>
              <w:rPr>
                <w:rFonts w:hint="eastAsia"/>
                <w:szCs w:val="21"/>
              </w:rPr>
            </w:pPr>
            <w:r>
              <w:rPr>
                <w:rFonts w:hint="eastAsia"/>
                <w:szCs w:val="21"/>
              </w:rPr>
              <w:t>0.250%</w:t>
            </w:r>
          </w:p>
        </w:tc>
        <w:tc>
          <w:tcPr>
            <w:tcW w:w="1845" w:type="dxa"/>
            <w:vAlign w:val="center"/>
          </w:tcPr>
          <w:p>
            <w:pPr>
              <w:spacing w:line="240" w:lineRule="auto"/>
              <w:jc w:val="center"/>
              <w:rPr>
                <w:rFonts w:hint="eastAsia"/>
                <w:szCs w:val="21"/>
              </w:rPr>
            </w:pPr>
            <w:r>
              <w:rPr>
                <w:rFonts w:hint="eastAsia"/>
                <w:szCs w:val="21"/>
              </w:rPr>
              <w:t>0.100%</w:t>
            </w:r>
          </w:p>
        </w:tc>
        <w:tc>
          <w:tcPr>
            <w:tcW w:w="1846" w:type="dxa"/>
            <w:vAlign w:val="center"/>
          </w:tcPr>
          <w:p>
            <w:pPr>
              <w:spacing w:line="240" w:lineRule="auto"/>
              <w:jc w:val="center"/>
              <w:rPr>
                <w:rFonts w:hint="eastAsia"/>
                <w:szCs w:val="21"/>
              </w:rPr>
            </w:pPr>
            <w:r>
              <w:rPr>
                <w:rFonts w:hint="eastAsia"/>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1亿元（含）-5亿元</w:t>
            </w:r>
          </w:p>
        </w:tc>
        <w:tc>
          <w:tcPr>
            <w:tcW w:w="1845" w:type="dxa"/>
            <w:vAlign w:val="center"/>
          </w:tcPr>
          <w:p>
            <w:pPr>
              <w:spacing w:line="240" w:lineRule="auto"/>
              <w:jc w:val="center"/>
              <w:rPr>
                <w:rFonts w:hint="eastAsia"/>
                <w:szCs w:val="21"/>
              </w:rPr>
            </w:pPr>
            <w:r>
              <w:rPr>
                <w:rFonts w:hint="eastAsia"/>
                <w:szCs w:val="21"/>
              </w:rPr>
              <w:t>0.050%</w:t>
            </w:r>
          </w:p>
        </w:tc>
        <w:tc>
          <w:tcPr>
            <w:tcW w:w="1845" w:type="dxa"/>
            <w:vAlign w:val="center"/>
          </w:tcPr>
          <w:p>
            <w:pPr>
              <w:spacing w:line="240" w:lineRule="auto"/>
              <w:jc w:val="center"/>
              <w:rPr>
                <w:rFonts w:hint="eastAsia"/>
                <w:szCs w:val="21"/>
              </w:rPr>
            </w:pPr>
            <w:r>
              <w:rPr>
                <w:rFonts w:hint="eastAsia"/>
                <w:szCs w:val="21"/>
              </w:rPr>
              <w:t>0.050%</w:t>
            </w:r>
          </w:p>
        </w:tc>
        <w:tc>
          <w:tcPr>
            <w:tcW w:w="1846" w:type="dxa"/>
            <w:vAlign w:val="center"/>
          </w:tcPr>
          <w:p>
            <w:pPr>
              <w:spacing w:line="240" w:lineRule="auto"/>
              <w:jc w:val="center"/>
              <w:rPr>
                <w:rFonts w:hint="eastAsia"/>
                <w:szCs w:val="21"/>
              </w:rPr>
            </w:pPr>
            <w:r>
              <w:rPr>
                <w:rFonts w:hint="eastAsia"/>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5亿元（含）-10亿元</w:t>
            </w:r>
          </w:p>
        </w:tc>
        <w:tc>
          <w:tcPr>
            <w:tcW w:w="1845" w:type="dxa"/>
            <w:vAlign w:val="center"/>
          </w:tcPr>
          <w:p>
            <w:pPr>
              <w:spacing w:line="240" w:lineRule="auto"/>
              <w:jc w:val="center"/>
              <w:rPr>
                <w:rFonts w:hint="eastAsia"/>
                <w:szCs w:val="21"/>
              </w:rPr>
            </w:pPr>
            <w:r>
              <w:rPr>
                <w:rFonts w:hint="eastAsia"/>
                <w:szCs w:val="21"/>
              </w:rPr>
              <w:t>0.035%</w:t>
            </w:r>
          </w:p>
        </w:tc>
        <w:tc>
          <w:tcPr>
            <w:tcW w:w="1845" w:type="dxa"/>
            <w:vAlign w:val="center"/>
          </w:tcPr>
          <w:p>
            <w:pPr>
              <w:spacing w:line="240" w:lineRule="auto"/>
              <w:jc w:val="center"/>
              <w:rPr>
                <w:rFonts w:hint="eastAsia"/>
                <w:szCs w:val="21"/>
              </w:rPr>
            </w:pPr>
            <w:r>
              <w:rPr>
                <w:rFonts w:hint="eastAsia"/>
                <w:szCs w:val="21"/>
              </w:rPr>
              <w:t>0.035%</w:t>
            </w:r>
          </w:p>
        </w:tc>
        <w:tc>
          <w:tcPr>
            <w:tcW w:w="1846" w:type="dxa"/>
            <w:vAlign w:val="center"/>
          </w:tcPr>
          <w:p>
            <w:pPr>
              <w:spacing w:line="240" w:lineRule="auto"/>
              <w:jc w:val="center"/>
              <w:rPr>
                <w:rFonts w:hint="eastAsia"/>
                <w:szCs w:val="21"/>
              </w:rPr>
            </w:pPr>
            <w:r>
              <w:rPr>
                <w:rFonts w:hint="eastAsia"/>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10亿元（含）-50亿元</w:t>
            </w:r>
          </w:p>
        </w:tc>
        <w:tc>
          <w:tcPr>
            <w:tcW w:w="1845" w:type="dxa"/>
            <w:vAlign w:val="center"/>
          </w:tcPr>
          <w:p>
            <w:pPr>
              <w:spacing w:line="240" w:lineRule="auto"/>
              <w:jc w:val="center"/>
              <w:rPr>
                <w:rFonts w:hint="eastAsia"/>
                <w:szCs w:val="21"/>
              </w:rPr>
            </w:pPr>
            <w:r>
              <w:rPr>
                <w:rFonts w:hint="eastAsia"/>
                <w:szCs w:val="21"/>
              </w:rPr>
              <w:t>0.008%</w:t>
            </w:r>
          </w:p>
        </w:tc>
        <w:tc>
          <w:tcPr>
            <w:tcW w:w="1845" w:type="dxa"/>
            <w:vAlign w:val="center"/>
          </w:tcPr>
          <w:p>
            <w:pPr>
              <w:spacing w:line="240" w:lineRule="auto"/>
              <w:jc w:val="center"/>
              <w:rPr>
                <w:rFonts w:hint="eastAsia"/>
                <w:szCs w:val="21"/>
              </w:rPr>
            </w:pPr>
            <w:r>
              <w:rPr>
                <w:rFonts w:hint="eastAsia"/>
                <w:szCs w:val="21"/>
              </w:rPr>
              <w:t>0.008%</w:t>
            </w:r>
          </w:p>
        </w:tc>
        <w:tc>
          <w:tcPr>
            <w:tcW w:w="1846" w:type="dxa"/>
            <w:vAlign w:val="center"/>
          </w:tcPr>
          <w:p>
            <w:pPr>
              <w:spacing w:line="240" w:lineRule="auto"/>
              <w:jc w:val="center"/>
              <w:rPr>
                <w:rFonts w:hint="eastAsia"/>
                <w:szCs w:val="21"/>
              </w:rPr>
            </w:pPr>
            <w:r>
              <w:rPr>
                <w:rFonts w:hint="eastAsia"/>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50亿元（含）-100亿元</w:t>
            </w:r>
          </w:p>
        </w:tc>
        <w:tc>
          <w:tcPr>
            <w:tcW w:w="1845" w:type="dxa"/>
            <w:vAlign w:val="center"/>
          </w:tcPr>
          <w:p>
            <w:pPr>
              <w:spacing w:line="240" w:lineRule="auto"/>
              <w:jc w:val="center"/>
              <w:rPr>
                <w:rFonts w:hint="eastAsia"/>
                <w:szCs w:val="21"/>
              </w:rPr>
            </w:pPr>
            <w:r>
              <w:rPr>
                <w:rFonts w:hint="eastAsia"/>
                <w:szCs w:val="21"/>
              </w:rPr>
              <w:t>0.006%</w:t>
            </w:r>
          </w:p>
        </w:tc>
        <w:tc>
          <w:tcPr>
            <w:tcW w:w="1845" w:type="dxa"/>
            <w:vAlign w:val="center"/>
          </w:tcPr>
          <w:p>
            <w:pPr>
              <w:spacing w:line="240" w:lineRule="auto"/>
              <w:jc w:val="center"/>
              <w:rPr>
                <w:rFonts w:hint="eastAsia"/>
                <w:szCs w:val="21"/>
              </w:rPr>
            </w:pPr>
            <w:r>
              <w:rPr>
                <w:rFonts w:hint="eastAsia"/>
                <w:szCs w:val="21"/>
              </w:rPr>
              <w:t>0.006%</w:t>
            </w:r>
          </w:p>
        </w:tc>
        <w:tc>
          <w:tcPr>
            <w:tcW w:w="1846" w:type="dxa"/>
            <w:vAlign w:val="center"/>
          </w:tcPr>
          <w:p>
            <w:pPr>
              <w:spacing w:line="240" w:lineRule="auto"/>
              <w:jc w:val="center"/>
              <w:rPr>
                <w:rFonts w:hint="eastAsia"/>
                <w:szCs w:val="21"/>
              </w:rPr>
            </w:pPr>
            <w:r>
              <w:rPr>
                <w:rFonts w:hint="eastAsia"/>
                <w:szCs w:val="21"/>
              </w:rPr>
              <w:t>0.006%</w:t>
            </w:r>
          </w:p>
        </w:tc>
      </w:tr>
    </w:tbl>
    <w:p>
      <w:pPr>
        <w:tabs>
          <w:tab w:val="clear" w:pos="426"/>
        </w:tabs>
        <w:ind w:left="424" w:leftChars="202" w:firstLine="440" w:firstLineChars="200"/>
        <w:rPr>
          <w:rFonts w:hint="eastAsia"/>
          <w:sz w:val="22"/>
        </w:rPr>
      </w:pPr>
      <w:r>
        <w:rPr>
          <w:rFonts w:hint="eastAsia"/>
          <w:sz w:val="22"/>
        </w:rPr>
        <w:t>以某包5000万项目货物类招标为例：</w:t>
      </w:r>
    </w:p>
    <w:p>
      <w:pPr>
        <w:tabs>
          <w:tab w:val="clear" w:pos="426"/>
        </w:tabs>
        <w:ind w:left="424" w:leftChars="202" w:firstLine="440" w:firstLineChars="200"/>
        <w:rPr>
          <w:rFonts w:hint="eastAsia"/>
          <w:sz w:val="22"/>
        </w:rPr>
      </w:pPr>
      <w:r>
        <w:rPr>
          <w:rFonts w:hint="eastAsia"/>
          <w:sz w:val="22"/>
        </w:rPr>
        <w:t>该包计算基准价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pPr>
        <w:tabs>
          <w:tab w:val="clear" w:pos="426"/>
        </w:tabs>
        <w:ind w:left="424" w:leftChars="202" w:firstLine="440" w:firstLineChars="200"/>
        <w:rPr>
          <w:rFonts w:hint="eastAsia"/>
          <w:sz w:val="22"/>
        </w:rPr>
      </w:pPr>
      <w:r>
        <w:rPr>
          <w:rFonts w:hint="eastAsia"/>
          <w:sz w:val="22"/>
        </w:rPr>
        <w:t xml:space="preserve">100万元×1.5%=1.5万元   </w:t>
      </w:r>
    </w:p>
    <w:p>
      <w:pPr>
        <w:tabs>
          <w:tab w:val="clear" w:pos="426"/>
        </w:tabs>
        <w:ind w:left="424" w:leftChars="202" w:firstLine="440" w:firstLineChars="200"/>
        <w:rPr>
          <w:rFonts w:hint="eastAsia"/>
          <w:sz w:val="22"/>
        </w:rPr>
      </w:pPr>
      <w:r>
        <w:rPr>
          <w:rFonts w:hint="eastAsia"/>
          <w:sz w:val="22"/>
        </w:rPr>
        <w:t>（500-100）万元×</w:t>
      </w:r>
      <w:r>
        <w:rPr>
          <w:sz w:val="22"/>
        </w:rPr>
        <w:t>1.1</w:t>
      </w:r>
      <w:r>
        <w:rPr>
          <w:rFonts w:hint="eastAsia"/>
          <w:sz w:val="22"/>
        </w:rPr>
        <w:t>%=</w:t>
      </w:r>
      <w:r>
        <w:rPr>
          <w:sz w:val="22"/>
        </w:rPr>
        <w:t>4.4</w:t>
      </w:r>
      <w:r>
        <w:rPr>
          <w:rFonts w:hint="eastAsia"/>
          <w:sz w:val="22"/>
        </w:rPr>
        <w:t xml:space="preserve">万元 </w:t>
      </w:r>
    </w:p>
    <w:p>
      <w:pPr>
        <w:tabs>
          <w:tab w:val="clear" w:pos="426"/>
        </w:tabs>
        <w:ind w:left="424" w:leftChars="202" w:firstLine="440" w:firstLineChars="200"/>
        <w:rPr>
          <w:rFonts w:hint="eastAsia"/>
          <w:sz w:val="22"/>
        </w:rPr>
      </w:pPr>
      <w:r>
        <w:rPr>
          <w:rFonts w:hint="eastAsia"/>
          <w:sz w:val="22"/>
        </w:rPr>
        <w:t>（1000-500）万元×</w:t>
      </w:r>
      <w:r>
        <w:rPr>
          <w:sz w:val="22"/>
        </w:rPr>
        <w:t>0.8</w:t>
      </w:r>
      <w:r>
        <w:rPr>
          <w:rFonts w:hint="eastAsia"/>
          <w:sz w:val="22"/>
        </w:rPr>
        <w:t>%=</w:t>
      </w:r>
      <w:r>
        <w:rPr>
          <w:sz w:val="22"/>
        </w:rPr>
        <w:t>4</w:t>
      </w:r>
      <w:r>
        <w:rPr>
          <w:rFonts w:hint="eastAsia"/>
          <w:sz w:val="22"/>
        </w:rPr>
        <w:t xml:space="preserve">万元 </w:t>
      </w:r>
    </w:p>
    <w:p>
      <w:pPr>
        <w:tabs>
          <w:tab w:val="clear" w:pos="426"/>
        </w:tabs>
        <w:ind w:left="424" w:leftChars="202" w:firstLine="440" w:firstLineChars="200"/>
        <w:rPr>
          <w:rFonts w:hint="eastAsia"/>
          <w:sz w:val="22"/>
        </w:rPr>
      </w:pPr>
      <w:r>
        <w:rPr>
          <w:rFonts w:hint="eastAsia"/>
          <w:sz w:val="22"/>
        </w:rPr>
        <w:t>（5000-1000）万元×0.</w:t>
      </w:r>
      <w:r>
        <w:rPr>
          <w:sz w:val="22"/>
        </w:rPr>
        <w:t>5</w:t>
      </w:r>
      <w:r>
        <w:rPr>
          <w:rFonts w:hint="eastAsia"/>
          <w:sz w:val="22"/>
        </w:rPr>
        <w:t>%=</w:t>
      </w:r>
      <w:r>
        <w:rPr>
          <w:sz w:val="22"/>
        </w:rPr>
        <w:t>20</w:t>
      </w:r>
      <w:r>
        <w:rPr>
          <w:rFonts w:hint="eastAsia"/>
          <w:sz w:val="22"/>
        </w:rPr>
        <w:t>万元</w:t>
      </w:r>
    </w:p>
    <w:p>
      <w:pPr>
        <w:tabs>
          <w:tab w:val="clear" w:pos="426"/>
        </w:tabs>
        <w:ind w:left="424" w:leftChars="202" w:firstLine="440" w:firstLineChars="200"/>
        <w:rPr>
          <w:rFonts w:hint="eastAsia"/>
          <w:sz w:val="22"/>
        </w:rPr>
      </w:pPr>
      <w:r>
        <w:rPr>
          <w:rFonts w:hint="eastAsia"/>
          <w:sz w:val="22"/>
        </w:rPr>
        <w:t>因此，该包招标代理服务费为：1.5+</w:t>
      </w:r>
      <w:r>
        <w:rPr>
          <w:sz w:val="22"/>
        </w:rPr>
        <w:t>4.4</w:t>
      </w:r>
      <w:r>
        <w:rPr>
          <w:rFonts w:hint="eastAsia"/>
          <w:sz w:val="22"/>
        </w:rPr>
        <w:t>+</w:t>
      </w:r>
      <w:r>
        <w:rPr>
          <w:sz w:val="22"/>
        </w:rPr>
        <w:t>4</w:t>
      </w:r>
      <w:r>
        <w:rPr>
          <w:rFonts w:hint="eastAsia"/>
          <w:sz w:val="22"/>
        </w:rPr>
        <w:t>+</w:t>
      </w:r>
      <w:r>
        <w:rPr>
          <w:sz w:val="22"/>
        </w:rPr>
        <w:t>2</w:t>
      </w:r>
      <w:r>
        <w:rPr>
          <w:rFonts w:hint="eastAsia"/>
          <w:sz w:val="22"/>
        </w:rPr>
        <w:t>0=</w:t>
      </w:r>
      <w:r>
        <w:rPr>
          <w:sz w:val="22"/>
        </w:rPr>
        <w:t>29.9</w:t>
      </w:r>
      <w:r>
        <w:rPr>
          <w:rFonts w:hint="eastAsia"/>
          <w:sz w:val="22"/>
        </w:rPr>
        <w:t>万元。</w:t>
      </w:r>
    </w:p>
    <w:p>
      <w:pPr>
        <w:shd w:val="clear" w:color="auto" w:fill="auto"/>
        <w:tabs>
          <w:tab w:val="clear" w:pos="426"/>
        </w:tabs>
        <w:adjustRightInd/>
        <w:snapToGrid/>
        <w:spacing w:line="240" w:lineRule="auto"/>
        <w:jc w:val="left"/>
        <w:rPr>
          <w:rFonts w:ascii="Arial" w:hAnsi="Arial" w:cs="Times New Roman"/>
          <w:bCs/>
          <w:kern w:val="2"/>
          <w:sz w:val="36"/>
          <w:szCs w:val="32"/>
        </w:rPr>
      </w:pPr>
    </w:p>
    <w:sectPr>
      <w:headerReference r:id="rId7" w:type="first"/>
      <w:footerReference r:id="rId9" w:type="first"/>
      <w:headerReference r:id="rId6" w:type="default"/>
      <w:footerReference r:id="rId8" w:type="default"/>
      <w:pgSz w:w="11906" w:h="16838"/>
      <w:pgMar w:top="1134" w:right="1134" w:bottom="1134" w:left="1418" w:header="851" w:footer="992" w:gutter="0"/>
      <w:pgNumType w:start="1"/>
      <w:cols w:space="720" w:num="1"/>
      <w:titlePg/>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133"/>
      </w:rPr>
    </w:pPr>
    <w:r>
      <w:fldChar w:fldCharType="begin"/>
    </w:r>
    <w:r>
      <w:rPr>
        <w:rStyle w:val="133"/>
      </w:rPr>
      <w:instrText xml:space="preserve">PAGE  </w:instrText>
    </w:r>
    <w:r>
      <w:fldChar w:fldCharType="separate"/>
    </w:r>
    <w:r>
      <w:rPr>
        <w:rStyle w:val="133"/>
      </w:rPr>
      <w:t>65</w:t>
    </w:r>
    <w:r>
      <w:fldChar w:fldCharType="end"/>
    </w:r>
  </w:p>
  <w:p>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21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line="240" w:lineRule="auto"/>
    </w:pPr>
    <w:r>
      <w:rPr>
        <w:rFonts w:hint="eastAsia"/>
      </w:rPr>
      <w:t>深圳市深水水务咨询有限公司招标文件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深圳市深水水务咨询有限公司招标文件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5"/>
    <w:multiLevelType w:val="multilevel"/>
    <w:tmpl w:val="00000005"/>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2DF849D3"/>
    <w:multiLevelType w:val="multilevel"/>
    <w:tmpl w:val="2DF849D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5">
    <w:nsid w:val="726C71F1"/>
    <w:multiLevelType w:val="multilevel"/>
    <w:tmpl w:val="726C71F1"/>
    <w:lvl w:ilvl="0" w:tentative="0">
      <w:start w:val="1"/>
      <w:numFmt w:val="chineseCountingThousand"/>
      <w:pStyle w:val="554"/>
      <w:suff w:val="nothing"/>
      <w:lvlText w:val="%1、"/>
      <w:lvlJc w:val="left"/>
      <w:pPr>
        <w:ind w:left="0" w:firstLine="0"/>
      </w:pPr>
      <w:rPr>
        <w:rFonts w:hint="eastAsia"/>
        <w:b/>
        <w:lang w:val="en-US"/>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4NzIwNzA4ZTJjN2M2YzAzODJmMmZmNWFlZjU1OTAifQ=="/>
  </w:docVars>
  <w:rsids>
    <w:rsidRoot w:val="006C5683"/>
    <w:rsid w:val="0000037F"/>
    <w:rsid w:val="000006B9"/>
    <w:rsid w:val="00000915"/>
    <w:rsid w:val="00000941"/>
    <w:rsid w:val="00000AFB"/>
    <w:rsid w:val="00000DA4"/>
    <w:rsid w:val="0000145B"/>
    <w:rsid w:val="0000159C"/>
    <w:rsid w:val="00001AEA"/>
    <w:rsid w:val="00001CE0"/>
    <w:rsid w:val="00002054"/>
    <w:rsid w:val="000020FF"/>
    <w:rsid w:val="00002F93"/>
    <w:rsid w:val="00002F9F"/>
    <w:rsid w:val="00003526"/>
    <w:rsid w:val="000036F7"/>
    <w:rsid w:val="000038EB"/>
    <w:rsid w:val="00003B2E"/>
    <w:rsid w:val="00003CC2"/>
    <w:rsid w:val="00004225"/>
    <w:rsid w:val="00004251"/>
    <w:rsid w:val="0000488C"/>
    <w:rsid w:val="00004952"/>
    <w:rsid w:val="000049E7"/>
    <w:rsid w:val="00005215"/>
    <w:rsid w:val="00005A10"/>
    <w:rsid w:val="00005AB7"/>
    <w:rsid w:val="00005AFC"/>
    <w:rsid w:val="00006D66"/>
    <w:rsid w:val="00007123"/>
    <w:rsid w:val="000073A7"/>
    <w:rsid w:val="000078FF"/>
    <w:rsid w:val="00007B76"/>
    <w:rsid w:val="00007FCD"/>
    <w:rsid w:val="00010102"/>
    <w:rsid w:val="00010A6F"/>
    <w:rsid w:val="000111B4"/>
    <w:rsid w:val="0001175B"/>
    <w:rsid w:val="00011774"/>
    <w:rsid w:val="0001231B"/>
    <w:rsid w:val="000124E2"/>
    <w:rsid w:val="0001275D"/>
    <w:rsid w:val="000128AD"/>
    <w:rsid w:val="00012C0A"/>
    <w:rsid w:val="00013044"/>
    <w:rsid w:val="0001325A"/>
    <w:rsid w:val="00014018"/>
    <w:rsid w:val="00014026"/>
    <w:rsid w:val="00014AA6"/>
    <w:rsid w:val="00014E10"/>
    <w:rsid w:val="00014F58"/>
    <w:rsid w:val="000151D5"/>
    <w:rsid w:val="00015433"/>
    <w:rsid w:val="000154D8"/>
    <w:rsid w:val="00015968"/>
    <w:rsid w:val="00015E98"/>
    <w:rsid w:val="0001634A"/>
    <w:rsid w:val="000168E6"/>
    <w:rsid w:val="00016D58"/>
    <w:rsid w:val="00016ED5"/>
    <w:rsid w:val="00017112"/>
    <w:rsid w:val="0001716B"/>
    <w:rsid w:val="000177C0"/>
    <w:rsid w:val="0001792D"/>
    <w:rsid w:val="0001794C"/>
    <w:rsid w:val="00020321"/>
    <w:rsid w:val="000211EA"/>
    <w:rsid w:val="000218B0"/>
    <w:rsid w:val="00021B1A"/>
    <w:rsid w:val="00022196"/>
    <w:rsid w:val="00022548"/>
    <w:rsid w:val="00022E19"/>
    <w:rsid w:val="000233D6"/>
    <w:rsid w:val="000234B2"/>
    <w:rsid w:val="0002382E"/>
    <w:rsid w:val="0002401D"/>
    <w:rsid w:val="000244E1"/>
    <w:rsid w:val="000245FE"/>
    <w:rsid w:val="000246D4"/>
    <w:rsid w:val="000252D1"/>
    <w:rsid w:val="00025528"/>
    <w:rsid w:val="00025673"/>
    <w:rsid w:val="00025E39"/>
    <w:rsid w:val="00026A09"/>
    <w:rsid w:val="00026CAC"/>
    <w:rsid w:val="00027F8E"/>
    <w:rsid w:val="0003072D"/>
    <w:rsid w:val="000308B1"/>
    <w:rsid w:val="0003148B"/>
    <w:rsid w:val="00031700"/>
    <w:rsid w:val="00031E25"/>
    <w:rsid w:val="00031F18"/>
    <w:rsid w:val="00031F6E"/>
    <w:rsid w:val="00032001"/>
    <w:rsid w:val="00032090"/>
    <w:rsid w:val="000325A7"/>
    <w:rsid w:val="00032926"/>
    <w:rsid w:val="00033051"/>
    <w:rsid w:val="00033725"/>
    <w:rsid w:val="0003373D"/>
    <w:rsid w:val="000339DE"/>
    <w:rsid w:val="00033B7B"/>
    <w:rsid w:val="00034B41"/>
    <w:rsid w:val="00034D82"/>
    <w:rsid w:val="0003503F"/>
    <w:rsid w:val="0003509A"/>
    <w:rsid w:val="0003617B"/>
    <w:rsid w:val="000372DD"/>
    <w:rsid w:val="000377F6"/>
    <w:rsid w:val="00037F52"/>
    <w:rsid w:val="00037F54"/>
    <w:rsid w:val="0004000A"/>
    <w:rsid w:val="00040A4B"/>
    <w:rsid w:val="00040D3C"/>
    <w:rsid w:val="0004120F"/>
    <w:rsid w:val="00041611"/>
    <w:rsid w:val="00041A75"/>
    <w:rsid w:val="00041B72"/>
    <w:rsid w:val="00041B9A"/>
    <w:rsid w:val="00041BD2"/>
    <w:rsid w:val="00041E1A"/>
    <w:rsid w:val="00041E58"/>
    <w:rsid w:val="000423A2"/>
    <w:rsid w:val="00042404"/>
    <w:rsid w:val="00042BE4"/>
    <w:rsid w:val="00042CE2"/>
    <w:rsid w:val="00043131"/>
    <w:rsid w:val="0004348E"/>
    <w:rsid w:val="00043A89"/>
    <w:rsid w:val="00043C31"/>
    <w:rsid w:val="00044204"/>
    <w:rsid w:val="00044591"/>
    <w:rsid w:val="00044926"/>
    <w:rsid w:val="00044A73"/>
    <w:rsid w:val="00045739"/>
    <w:rsid w:val="00045AD6"/>
    <w:rsid w:val="00046354"/>
    <w:rsid w:val="00046767"/>
    <w:rsid w:val="0004790E"/>
    <w:rsid w:val="00050B31"/>
    <w:rsid w:val="00050F3E"/>
    <w:rsid w:val="000510B6"/>
    <w:rsid w:val="00051D3E"/>
    <w:rsid w:val="00051F3F"/>
    <w:rsid w:val="0005204E"/>
    <w:rsid w:val="00052798"/>
    <w:rsid w:val="00052BC1"/>
    <w:rsid w:val="0005365D"/>
    <w:rsid w:val="00053715"/>
    <w:rsid w:val="0005381C"/>
    <w:rsid w:val="000538BE"/>
    <w:rsid w:val="000539E2"/>
    <w:rsid w:val="00053A25"/>
    <w:rsid w:val="00054ABE"/>
    <w:rsid w:val="00055013"/>
    <w:rsid w:val="00055256"/>
    <w:rsid w:val="000557BC"/>
    <w:rsid w:val="0005582B"/>
    <w:rsid w:val="00055C4B"/>
    <w:rsid w:val="00055E99"/>
    <w:rsid w:val="000566D1"/>
    <w:rsid w:val="0005677F"/>
    <w:rsid w:val="00056E39"/>
    <w:rsid w:val="00057332"/>
    <w:rsid w:val="0005740C"/>
    <w:rsid w:val="000601F6"/>
    <w:rsid w:val="000602D1"/>
    <w:rsid w:val="0006039A"/>
    <w:rsid w:val="00060DD9"/>
    <w:rsid w:val="00060E5A"/>
    <w:rsid w:val="0006171E"/>
    <w:rsid w:val="00061BBA"/>
    <w:rsid w:val="00061DCB"/>
    <w:rsid w:val="0006267A"/>
    <w:rsid w:val="00062882"/>
    <w:rsid w:val="00062B74"/>
    <w:rsid w:val="00062BA0"/>
    <w:rsid w:val="00062C42"/>
    <w:rsid w:val="00063131"/>
    <w:rsid w:val="000638E3"/>
    <w:rsid w:val="00063A79"/>
    <w:rsid w:val="00063CD3"/>
    <w:rsid w:val="00063F40"/>
    <w:rsid w:val="00063FD9"/>
    <w:rsid w:val="00065E3F"/>
    <w:rsid w:val="0006640B"/>
    <w:rsid w:val="0006670C"/>
    <w:rsid w:val="00066EA8"/>
    <w:rsid w:val="00066EF6"/>
    <w:rsid w:val="0006703A"/>
    <w:rsid w:val="00067390"/>
    <w:rsid w:val="00067A02"/>
    <w:rsid w:val="00067B7F"/>
    <w:rsid w:val="00067D5E"/>
    <w:rsid w:val="00070409"/>
    <w:rsid w:val="000704BF"/>
    <w:rsid w:val="0007051D"/>
    <w:rsid w:val="00070736"/>
    <w:rsid w:val="00070929"/>
    <w:rsid w:val="000709E4"/>
    <w:rsid w:val="00071CDD"/>
    <w:rsid w:val="00071F7E"/>
    <w:rsid w:val="0007261A"/>
    <w:rsid w:val="00072D8F"/>
    <w:rsid w:val="00072DAB"/>
    <w:rsid w:val="00072DD1"/>
    <w:rsid w:val="0007310B"/>
    <w:rsid w:val="00073180"/>
    <w:rsid w:val="000732C9"/>
    <w:rsid w:val="0007382D"/>
    <w:rsid w:val="00073E77"/>
    <w:rsid w:val="000740B8"/>
    <w:rsid w:val="0007455E"/>
    <w:rsid w:val="000750DC"/>
    <w:rsid w:val="0007542D"/>
    <w:rsid w:val="00075C4A"/>
    <w:rsid w:val="00076BF2"/>
    <w:rsid w:val="00076EDC"/>
    <w:rsid w:val="00077188"/>
    <w:rsid w:val="0007754A"/>
    <w:rsid w:val="00077784"/>
    <w:rsid w:val="00080925"/>
    <w:rsid w:val="00080BBB"/>
    <w:rsid w:val="0008103C"/>
    <w:rsid w:val="00081639"/>
    <w:rsid w:val="000818BE"/>
    <w:rsid w:val="00081A6E"/>
    <w:rsid w:val="000820FF"/>
    <w:rsid w:val="00082667"/>
    <w:rsid w:val="00082B2F"/>
    <w:rsid w:val="00082DBC"/>
    <w:rsid w:val="00082E44"/>
    <w:rsid w:val="00083A93"/>
    <w:rsid w:val="00083AAF"/>
    <w:rsid w:val="00083DA4"/>
    <w:rsid w:val="00083DC6"/>
    <w:rsid w:val="000840C5"/>
    <w:rsid w:val="00085023"/>
    <w:rsid w:val="00085592"/>
    <w:rsid w:val="00085624"/>
    <w:rsid w:val="00085B5B"/>
    <w:rsid w:val="00085D12"/>
    <w:rsid w:val="000862AC"/>
    <w:rsid w:val="000864B8"/>
    <w:rsid w:val="0008698E"/>
    <w:rsid w:val="000869D8"/>
    <w:rsid w:val="00086B77"/>
    <w:rsid w:val="00086BB4"/>
    <w:rsid w:val="00086C4F"/>
    <w:rsid w:val="0008735D"/>
    <w:rsid w:val="00087389"/>
    <w:rsid w:val="00087A08"/>
    <w:rsid w:val="00087C7C"/>
    <w:rsid w:val="000909A1"/>
    <w:rsid w:val="00090EC0"/>
    <w:rsid w:val="00091179"/>
    <w:rsid w:val="0009141A"/>
    <w:rsid w:val="000915F3"/>
    <w:rsid w:val="00091657"/>
    <w:rsid w:val="000924E5"/>
    <w:rsid w:val="00092590"/>
    <w:rsid w:val="0009269A"/>
    <w:rsid w:val="000927D9"/>
    <w:rsid w:val="00092CD0"/>
    <w:rsid w:val="00092FC7"/>
    <w:rsid w:val="00093003"/>
    <w:rsid w:val="00093890"/>
    <w:rsid w:val="00093C08"/>
    <w:rsid w:val="0009421D"/>
    <w:rsid w:val="000946EC"/>
    <w:rsid w:val="00094C30"/>
    <w:rsid w:val="00094EB7"/>
    <w:rsid w:val="000950A7"/>
    <w:rsid w:val="000951B4"/>
    <w:rsid w:val="00095480"/>
    <w:rsid w:val="000954D5"/>
    <w:rsid w:val="00095596"/>
    <w:rsid w:val="00095778"/>
    <w:rsid w:val="00095A25"/>
    <w:rsid w:val="0009618D"/>
    <w:rsid w:val="000961F2"/>
    <w:rsid w:val="0009709B"/>
    <w:rsid w:val="0009778F"/>
    <w:rsid w:val="00097D27"/>
    <w:rsid w:val="000A0441"/>
    <w:rsid w:val="000A0B8E"/>
    <w:rsid w:val="000A0BF6"/>
    <w:rsid w:val="000A1206"/>
    <w:rsid w:val="000A21E9"/>
    <w:rsid w:val="000A28A6"/>
    <w:rsid w:val="000A2927"/>
    <w:rsid w:val="000A2C6D"/>
    <w:rsid w:val="000A48A7"/>
    <w:rsid w:val="000A599B"/>
    <w:rsid w:val="000A5F2D"/>
    <w:rsid w:val="000A6726"/>
    <w:rsid w:val="000A6BCB"/>
    <w:rsid w:val="000A6C1B"/>
    <w:rsid w:val="000A6EE8"/>
    <w:rsid w:val="000A6F39"/>
    <w:rsid w:val="000A756F"/>
    <w:rsid w:val="000A7726"/>
    <w:rsid w:val="000B05E2"/>
    <w:rsid w:val="000B0E71"/>
    <w:rsid w:val="000B11E0"/>
    <w:rsid w:val="000B1345"/>
    <w:rsid w:val="000B20FB"/>
    <w:rsid w:val="000B2311"/>
    <w:rsid w:val="000B2568"/>
    <w:rsid w:val="000B2BAE"/>
    <w:rsid w:val="000B2BB0"/>
    <w:rsid w:val="000B381C"/>
    <w:rsid w:val="000B41A9"/>
    <w:rsid w:val="000B428A"/>
    <w:rsid w:val="000B44C8"/>
    <w:rsid w:val="000B4591"/>
    <w:rsid w:val="000B4777"/>
    <w:rsid w:val="000B4988"/>
    <w:rsid w:val="000B49C5"/>
    <w:rsid w:val="000B5097"/>
    <w:rsid w:val="000B5447"/>
    <w:rsid w:val="000B56CC"/>
    <w:rsid w:val="000B6961"/>
    <w:rsid w:val="000B69EB"/>
    <w:rsid w:val="000B6B59"/>
    <w:rsid w:val="000B6DE4"/>
    <w:rsid w:val="000B73D3"/>
    <w:rsid w:val="000B76A8"/>
    <w:rsid w:val="000B7ABC"/>
    <w:rsid w:val="000B7AF7"/>
    <w:rsid w:val="000C0173"/>
    <w:rsid w:val="000C0559"/>
    <w:rsid w:val="000C0D71"/>
    <w:rsid w:val="000C1C71"/>
    <w:rsid w:val="000C1EE4"/>
    <w:rsid w:val="000C2446"/>
    <w:rsid w:val="000C2FC5"/>
    <w:rsid w:val="000C3360"/>
    <w:rsid w:val="000C33C0"/>
    <w:rsid w:val="000C3497"/>
    <w:rsid w:val="000C3C43"/>
    <w:rsid w:val="000C3D9C"/>
    <w:rsid w:val="000C4198"/>
    <w:rsid w:val="000C427C"/>
    <w:rsid w:val="000C4425"/>
    <w:rsid w:val="000C4518"/>
    <w:rsid w:val="000C5044"/>
    <w:rsid w:val="000C580F"/>
    <w:rsid w:val="000C587B"/>
    <w:rsid w:val="000C5F59"/>
    <w:rsid w:val="000C61EA"/>
    <w:rsid w:val="000C6975"/>
    <w:rsid w:val="000C6AF5"/>
    <w:rsid w:val="000C6BA7"/>
    <w:rsid w:val="000C6F2D"/>
    <w:rsid w:val="000C70F7"/>
    <w:rsid w:val="000C7CA5"/>
    <w:rsid w:val="000C7D81"/>
    <w:rsid w:val="000C7E7E"/>
    <w:rsid w:val="000D093D"/>
    <w:rsid w:val="000D1055"/>
    <w:rsid w:val="000D1275"/>
    <w:rsid w:val="000D12AA"/>
    <w:rsid w:val="000D1330"/>
    <w:rsid w:val="000D1A7D"/>
    <w:rsid w:val="000D1D09"/>
    <w:rsid w:val="000D20CD"/>
    <w:rsid w:val="000D2309"/>
    <w:rsid w:val="000D2390"/>
    <w:rsid w:val="000D23AD"/>
    <w:rsid w:val="000D2C15"/>
    <w:rsid w:val="000D2C2A"/>
    <w:rsid w:val="000D350D"/>
    <w:rsid w:val="000D35B7"/>
    <w:rsid w:val="000D38F9"/>
    <w:rsid w:val="000D40F0"/>
    <w:rsid w:val="000D4106"/>
    <w:rsid w:val="000D41F0"/>
    <w:rsid w:val="000D495E"/>
    <w:rsid w:val="000D4CFC"/>
    <w:rsid w:val="000D4E09"/>
    <w:rsid w:val="000D53B3"/>
    <w:rsid w:val="000D5864"/>
    <w:rsid w:val="000D58D2"/>
    <w:rsid w:val="000D5DD9"/>
    <w:rsid w:val="000D6197"/>
    <w:rsid w:val="000D695F"/>
    <w:rsid w:val="000D6AF1"/>
    <w:rsid w:val="000D6DA4"/>
    <w:rsid w:val="000D77FE"/>
    <w:rsid w:val="000E0040"/>
    <w:rsid w:val="000E01F1"/>
    <w:rsid w:val="000E0227"/>
    <w:rsid w:val="000E0239"/>
    <w:rsid w:val="000E065D"/>
    <w:rsid w:val="000E0885"/>
    <w:rsid w:val="000E121E"/>
    <w:rsid w:val="000E14A4"/>
    <w:rsid w:val="000E14C6"/>
    <w:rsid w:val="000E166A"/>
    <w:rsid w:val="000E1C23"/>
    <w:rsid w:val="000E2321"/>
    <w:rsid w:val="000E2F34"/>
    <w:rsid w:val="000E301B"/>
    <w:rsid w:val="000E34E1"/>
    <w:rsid w:val="000E41C0"/>
    <w:rsid w:val="000E4687"/>
    <w:rsid w:val="000E48ED"/>
    <w:rsid w:val="000E49EB"/>
    <w:rsid w:val="000E4DE8"/>
    <w:rsid w:val="000E60B2"/>
    <w:rsid w:val="000E62FD"/>
    <w:rsid w:val="000E6681"/>
    <w:rsid w:val="000E69FE"/>
    <w:rsid w:val="000E6C5E"/>
    <w:rsid w:val="000E6C9A"/>
    <w:rsid w:val="000E6DB4"/>
    <w:rsid w:val="000E6EC0"/>
    <w:rsid w:val="000E7D2D"/>
    <w:rsid w:val="000F0265"/>
    <w:rsid w:val="000F10F7"/>
    <w:rsid w:val="000F179C"/>
    <w:rsid w:val="000F1DD5"/>
    <w:rsid w:val="000F1FA3"/>
    <w:rsid w:val="000F2065"/>
    <w:rsid w:val="000F2359"/>
    <w:rsid w:val="000F2A88"/>
    <w:rsid w:val="000F2D1B"/>
    <w:rsid w:val="000F353A"/>
    <w:rsid w:val="000F3A80"/>
    <w:rsid w:val="000F3ADB"/>
    <w:rsid w:val="000F3FA1"/>
    <w:rsid w:val="000F4351"/>
    <w:rsid w:val="000F4752"/>
    <w:rsid w:val="000F48D9"/>
    <w:rsid w:val="000F4A59"/>
    <w:rsid w:val="000F4B7E"/>
    <w:rsid w:val="000F4E82"/>
    <w:rsid w:val="000F51DA"/>
    <w:rsid w:val="000F5577"/>
    <w:rsid w:val="000F565B"/>
    <w:rsid w:val="000F57BF"/>
    <w:rsid w:val="000F5F3F"/>
    <w:rsid w:val="000F5F65"/>
    <w:rsid w:val="000F6451"/>
    <w:rsid w:val="000F67AA"/>
    <w:rsid w:val="001005C3"/>
    <w:rsid w:val="00100844"/>
    <w:rsid w:val="001018E7"/>
    <w:rsid w:val="00101C3F"/>
    <w:rsid w:val="00101DD0"/>
    <w:rsid w:val="00102555"/>
    <w:rsid w:val="00102F06"/>
    <w:rsid w:val="00103D3E"/>
    <w:rsid w:val="00103DFC"/>
    <w:rsid w:val="00103ECC"/>
    <w:rsid w:val="001047E8"/>
    <w:rsid w:val="00104B2A"/>
    <w:rsid w:val="00104F15"/>
    <w:rsid w:val="001051A9"/>
    <w:rsid w:val="00105B3E"/>
    <w:rsid w:val="00105B99"/>
    <w:rsid w:val="00105BA0"/>
    <w:rsid w:val="001061D3"/>
    <w:rsid w:val="00106748"/>
    <w:rsid w:val="0010723E"/>
    <w:rsid w:val="001075B1"/>
    <w:rsid w:val="00107D54"/>
    <w:rsid w:val="00110079"/>
    <w:rsid w:val="00110173"/>
    <w:rsid w:val="00110A90"/>
    <w:rsid w:val="00110CD5"/>
    <w:rsid w:val="0011108B"/>
    <w:rsid w:val="001111F7"/>
    <w:rsid w:val="00111A14"/>
    <w:rsid w:val="00111C87"/>
    <w:rsid w:val="001136E5"/>
    <w:rsid w:val="001138DA"/>
    <w:rsid w:val="00115711"/>
    <w:rsid w:val="0011585F"/>
    <w:rsid w:val="00115973"/>
    <w:rsid w:val="00115A55"/>
    <w:rsid w:val="00115AD7"/>
    <w:rsid w:val="00116971"/>
    <w:rsid w:val="00116FE9"/>
    <w:rsid w:val="001172D4"/>
    <w:rsid w:val="00117316"/>
    <w:rsid w:val="00117A19"/>
    <w:rsid w:val="00117E2F"/>
    <w:rsid w:val="001205E7"/>
    <w:rsid w:val="001208AF"/>
    <w:rsid w:val="00120A84"/>
    <w:rsid w:val="001212EF"/>
    <w:rsid w:val="001213CE"/>
    <w:rsid w:val="001215C5"/>
    <w:rsid w:val="001217DC"/>
    <w:rsid w:val="00121AA9"/>
    <w:rsid w:val="0012203F"/>
    <w:rsid w:val="00122238"/>
    <w:rsid w:val="00122873"/>
    <w:rsid w:val="0012293C"/>
    <w:rsid w:val="00122EAA"/>
    <w:rsid w:val="00123243"/>
    <w:rsid w:val="00123987"/>
    <w:rsid w:val="00123CC6"/>
    <w:rsid w:val="001241FC"/>
    <w:rsid w:val="00124A28"/>
    <w:rsid w:val="00124E97"/>
    <w:rsid w:val="00125200"/>
    <w:rsid w:val="00125202"/>
    <w:rsid w:val="00125B11"/>
    <w:rsid w:val="00125C68"/>
    <w:rsid w:val="00125C8A"/>
    <w:rsid w:val="00125CF2"/>
    <w:rsid w:val="00125E74"/>
    <w:rsid w:val="00126080"/>
    <w:rsid w:val="0012649A"/>
    <w:rsid w:val="001264D8"/>
    <w:rsid w:val="00126813"/>
    <w:rsid w:val="00126953"/>
    <w:rsid w:val="00126A3F"/>
    <w:rsid w:val="00126AD5"/>
    <w:rsid w:val="00126C43"/>
    <w:rsid w:val="00126EEB"/>
    <w:rsid w:val="00127777"/>
    <w:rsid w:val="00127A00"/>
    <w:rsid w:val="00127AD2"/>
    <w:rsid w:val="00127CD1"/>
    <w:rsid w:val="0013053B"/>
    <w:rsid w:val="001305BF"/>
    <w:rsid w:val="001307D9"/>
    <w:rsid w:val="00130827"/>
    <w:rsid w:val="001308A2"/>
    <w:rsid w:val="00130C56"/>
    <w:rsid w:val="00131668"/>
    <w:rsid w:val="001319AB"/>
    <w:rsid w:val="00131E17"/>
    <w:rsid w:val="001321FC"/>
    <w:rsid w:val="0013288F"/>
    <w:rsid w:val="00132F55"/>
    <w:rsid w:val="00132FAF"/>
    <w:rsid w:val="001330B3"/>
    <w:rsid w:val="001333A3"/>
    <w:rsid w:val="00133D2B"/>
    <w:rsid w:val="00133F4C"/>
    <w:rsid w:val="00134014"/>
    <w:rsid w:val="001342FB"/>
    <w:rsid w:val="00134374"/>
    <w:rsid w:val="001343C8"/>
    <w:rsid w:val="001346A2"/>
    <w:rsid w:val="001348BB"/>
    <w:rsid w:val="00134AF9"/>
    <w:rsid w:val="00134B47"/>
    <w:rsid w:val="00134B53"/>
    <w:rsid w:val="00134C5F"/>
    <w:rsid w:val="00134D6D"/>
    <w:rsid w:val="00135640"/>
    <w:rsid w:val="00136467"/>
    <w:rsid w:val="00136543"/>
    <w:rsid w:val="00137027"/>
    <w:rsid w:val="0014046D"/>
    <w:rsid w:val="00140645"/>
    <w:rsid w:val="0014143D"/>
    <w:rsid w:val="00142838"/>
    <w:rsid w:val="00143156"/>
    <w:rsid w:val="00143282"/>
    <w:rsid w:val="00143653"/>
    <w:rsid w:val="001437B1"/>
    <w:rsid w:val="0014396D"/>
    <w:rsid w:val="00143B3A"/>
    <w:rsid w:val="00144298"/>
    <w:rsid w:val="001446E6"/>
    <w:rsid w:val="0014521C"/>
    <w:rsid w:val="0014549B"/>
    <w:rsid w:val="00145601"/>
    <w:rsid w:val="001467D4"/>
    <w:rsid w:val="00146AE7"/>
    <w:rsid w:val="00147350"/>
    <w:rsid w:val="001474D5"/>
    <w:rsid w:val="001479A4"/>
    <w:rsid w:val="00147AE8"/>
    <w:rsid w:val="00147B3F"/>
    <w:rsid w:val="00150829"/>
    <w:rsid w:val="00151AFE"/>
    <w:rsid w:val="00152070"/>
    <w:rsid w:val="001520F3"/>
    <w:rsid w:val="00152CBF"/>
    <w:rsid w:val="00152FB5"/>
    <w:rsid w:val="0015305A"/>
    <w:rsid w:val="001530CC"/>
    <w:rsid w:val="001530FC"/>
    <w:rsid w:val="00153212"/>
    <w:rsid w:val="00153237"/>
    <w:rsid w:val="00153387"/>
    <w:rsid w:val="0015340E"/>
    <w:rsid w:val="0015359C"/>
    <w:rsid w:val="0015369F"/>
    <w:rsid w:val="00154156"/>
    <w:rsid w:val="00154CC9"/>
    <w:rsid w:val="001559C0"/>
    <w:rsid w:val="001560F0"/>
    <w:rsid w:val="001566EE"/>
    <w:rsid w:val="001568C1"/>
    <w:rsid w:val="00156D80"/>
    <w:rsid w:val="001573D7"/>
    <w:rsid w:val="00157969"/>
    <w:rsid w:val="00157A9B"/>
    <w:rsid w:val="00157E23"/>
    <w:rsid w:val="00157E58"/>
    <w:rsid w:val="00157FC3"/>
    <w:rsid w:val="0016028E"/>
    <w:rsid w:val="00160352"/>
    <w:rsid w:val="00160354"/>
    <w:rsid w:val="001603CE"/>
    <w:rsid w:val="00160854"/>
    <w:rsid w:val="00160EAC"/>
    <w:rsid w:val="001610A3"/>
    <w:rsid w:val="00161C84"/>
    <w:rsid w:val="001623F2"/>
    <w:rsid w:val="00162564"/>
    <w:rsid w:val="00162651"/>
    <w:rsid w:val="001626BD"/>
    <w:rsid w:val="001628F9"/>
    <w:rsid w:val="00162B2B"/>
    <w:rsid w:val="00162D28"/>
    <w:rsid w:val="001632C1"/>
    <w:rsid w:val="001635AE"/>
    <w:rsid w:val="001635DB"/>
    <w:rsid w:val="0016379F"/>
    <w:rsid w:val="00163812"/>
    <w:rsid w:val="00163865"/>
    <w:rsid w:val="00163E9E"/>
    <w:rsid w:val="00163FB5"/>
    <w:rsid w:val="0016482C"/>
    <w:rsid w:val="0016483A"/>
    <w:rsid w:val="001649DE"/>
    <w:rsid w:val="00164A38"/>
    <w:rsid w:val="00164C3F"/>
    <w:rsid w:val="00164DA5"/>
    <w:rsid w:val="00164E23"/>
    <w:rsid w:val="001650F8"/>
    <w:rsid w:val="00165222"/>
    <w:rsid w:val="0016595F"/>
    <w:rsid w:val="00165A06"/>
    <w:rsid w:val="00165F24"/>
    <w:rsid w:val="00166372"/>
    <w:rsid w:val="001664B0"/>
    <w:rsid w:val="00166A2C"/>
    <w:rsid w:val="00167972"/>
    <w:rsid w:val="00167E9C"/>
    <w:rsid w:val="0017070C"/>
    <w:rsid w:val="00170D23"/>
    <w:rsid w:val="00170E88"/>
    <w:rsid w:val="001711DB"/>
    <w:rsid w:val="00171D51"/>
    <w:rsid w:val="00171D7E"/>
    <w:rsid w:val="001729E0"/>
    <w:rsid w:val="00172D74"/>
    <w:rsid w:val="0017320F"/>
    <w:rsid w:val="0017350C"/>
    <w:rsid w:val="00173696"/>
    <w:rsid w:val="00173A74"/>
    <w:rsid w:val="001746C2"/>
    <w:rsid w:val="00174840"/>
    <w:rsid w:val="00175235"/>
    <w:rsid w:val="0017584B"/>
    <w:rsid w:val="00175E0B"/>
    <w:rsid w:val="00175E43"/>
    <w:rsid w:val="001760B2"/>
    <w:rsid w:val="00176286"/>
    <w:rsid w:val="001766D0"/>
    <w:rsid w:val="00176BC7"/>
    <w:rsid w:val="00176EED"/>
    <w:rsid w:val="00177167"/>
    <w:rsid w:val="001772DF"/>
    <w:rsid w:val="00180F96"/>
    <w:rsid w:val="0018102F"/>
    <w:rsid w:val="0018120A"/>
    <w:rsid w:val="00181DFA"/>
    <w:rsid w:val="0018205E"/>
    <w:rsid w:val="0018206A"/>
    <w:rsid w:val="00182A09"/>
    <w:rsid w:val="001834DC"/>
    <w:rsid w:val="00183959"/>
    <w:rsid w:val="00183B1B"/>
    <w:rsid w:val="00183C79"/>
    <w:rsid w:val="00183C8B"/>
    <w:rsid w:val="00183E75"/>
    <w:rsid w:val="00184125"/>
    <w:rsid w:val="00184225"/>
    <w:rsid w:val="00184465"/>
    <w:rsid w:val="001845CF"/>
    <w:rsid w:val="00184677"/>
    <w:rsid w:val="00184BF0"/>
    <w:rsid w:val="001851CF"/>
    <w:rsid w:val="001857BB"/>
    <w:rsid w:val="00185969"/>
    <w:rsid w:val="001865BB"/>
    <w:rsid w:val="00187339"/>
    <w:rsid w:val="00187438"/>
    <w:rsid w:val="00187518"/>
    <w:rsid w:val="00187885"/>
    <w:rsid w:val="00187941"/>
    <w:rsid w:val="0019005E"/>
    <w:rsid w:val="00190351"/>
    <w:rsid w:val="00190FB6"/>
    <w:rsid w:val="00191101"/>
    <w:rsid w:val="001912E3"/>
    <w:rsid w:val="001913D0"/>
    <w:rsid w:val="001933A1"/>
    <w:rsid w:val="001938DF"/>
    <w:rsid w:val="00193911"/>
    <w:rsid w:val="00193C6E"/>
    <w:rsid w:val="00194444"/>
    <w:rsid w:val="0019464F"/>
    <w:rsid w:val="00194FD4"/>
    <w:rsid w:val="001952F2"/>
    <w:rsid w:val="0019560F"/>
    <w:rsid w:val="00195AC6"/>
    <w:rsid w:val="00195D58"/>
    <w:rsid w:val="00195D5B"/>
    <w:rsid w:val="00195DED"/>
    <w:rsid w:val="00196B4E"/>
    <w:rsid w:val="00196F09"/>
    <w:rsid w:val="0019703B"/>
    <w:rsid w:val="00197BE9"/>
    <w:rsid w:val="00197EE5"/>
    <w:rsid w:val="00197F24"/>
    <w:rsid w:val="001A01E7"/>
    <w:rsid w:val="001A027A"/>
    <w:rsid w:val="001A0554"/>
    <w:rsid w:val="001A0C05"/>
    <w:rsid w:val="001A0D2C"/>
    <w:rsid w:val="001A173F"/>
    <w:rsid w:val="001A1AB1"/>
    <w:rsid w:val="001A1BB8"/>
    <w:rsid w:val="001A1EE6"/>
    <w:rsid w:val="001A2431"/>
    <w:rsid w:val="001A30E6"/>
    <w:rsid w:val="001A3425"/>
    <w:rsid w:val="001A35A9"/>
    <w:rsid w:val="001A3862"/>
    <w:rsid w:val="001A398D"/>
    <w:rsid w:val="001A3AD6"/>
    <w:rsid w:val="001A41EA"/>
    <w:rsid w:val="001A422B"/>
    <w:rsid w:val="001A440A"/>
    <w:rsid w:val="001A4441"/>
    <w:rsid w:val="001A4A55"/>
    <w:rsid w:val="001A4F44"/>
    <w:rsid w:val="001A54D4"/>
    <w:rsid w:val="001A54DC"/>
    <w:rsid w:val="001A58FE"/>
    <w:rsid w:val="001A5F3D"/>
    <w:rsid w:val="001A6A4F"/>
    <w:rsid w:val="001A76B7"/>
    <w:rsid w:val="001B0900"/>
    <w:rsid w:val="001B0C8A"/>
    <w:rsid w:val="001B0E7A"/>
    <w:rsid w:val="001B1339"/>
    <w:rsid w:val="001B197E"/>
    <w:rsid w:val="001B1FC5"/>
    <w:rsid w:val="001B2B6A"/>
    <w:rsid w:val="001B32B8"/>
    <w:rsid w:val="001B3D57"/>
    <w:rsid w:val="001B41B1"/>
    <w:rsid w:val="001B4A03"/>
    <w:rsid w:val="001B4AD1"/>
    <w:rsid w:val="001B4F72"/>
    <w:rsid w:val="001B5B57"/>
    <w:rsid w:val="001B5C8A"/>
    <w:rsid w:val="001B665A"/>
    <w:rsid w:val="001B6B20"/>
    <w:rsid w:val="001B783E"/>
    <w:rsid w:val="001B7BEC"/>
    <w:rsid w:val="001B7ECD"/>
    <w:rsid w:val="001C033C"/>
    <w:rsid w:val="001C04B2"/>
    <w:rsid w:val="001C0D59"/>
    <w:rsid w:val="001C0DED"/>
    <w:rsid w:val="001C150B"/>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4FD9"/>
    <w:rsid w:val="001C5839"/>
    <w:rsid w:val="001C61B1"/>
    <w:rsid w:val="001C6AF5"/>
    <w:rsid w:val="001C725D"/>
    <w:rsid w:val="001C77E1"/>
    <w:rsid w:val="001C7ADA"/>
    <w:rsid w:val="001D08C2"/>
    <w:rsid w:val="001D12B2"/>
    <w:rsid w:val="001D1635"/>
    <w:rsid w:val="001D1872"/>
    <w:rsid w:val="001D1B74"/>
    <w:rsid w:val="001D1C05"/>
    <w:rsid w:val="001D1C72"/>
    <w:rsid w:val="001D1EE5"/>
    <w:rsid w:val="001D2C4D"/>
    <w:rsid w:val="001D2F0C"/>
    <w:rsid w:val="001D3351"/>
    <w:rsid w:val="001D3543"/>
    <w:rsid w:val="001D46EF"/>
    <w:rsid w:val="001D4AF5"/>
    <w:rsid w:val="001D4DEE"/>
    <w:rsid w:val="001D5600"/>
    <w:rsid w:val="001D58E5"/>
    <w:rsid w:val="001D5F4C"/>
    <w:rsid w:val="001D6191"/>
    <w:rsid w:val="001D650B"/>
    <w:rsid w:val="001D6CA4"/>
    <w:rsid w:val="001D76AD"/>
    <w:rsid w:val="001D785D"/>
    <w:rsid w:val="001D7943"/>
    <w:rsid w:val="001D7A5C"/>
    <w:rsid w:val="001E086E"/>
    <w:rsid w:val="001E08AE"/>
    <w:rsid w:val="001E17B2"/>
    <w:rsid w:val="001E1B14"/>
    <w:rsid w:val="001E200A"/>
    <w:rsid w:val="001E2067"/>
    <w:rsid w:val="001E226F"/>
    <w:rsid w:val="001E24A9"/>
    <w:rsid w:val="001E2502"/>
    <w:rsid w:val="001E292F"/>
    <w:rsid w:val="001E2B40"/>
    <w:rsid w:val="001E3202"/>
    <w:rsid w:val="001E328E"/>
    <w:rsid w:val="001E33E9"/>
    <w:rsid w:val="001E3964"/>
    <w:rsid w:val="001E3CD1"/>
    <w:rsid w:val="001E3FDB"/>
    <w:rsid w:val="001E474D"/>
    <w:rsid w:val="001E47E9"/>
    <w:rsid w:val="001E4F0E"/>
    <w:rsid w:val="001E4FA1"/>
    <w:rsid w:val="001E5210"/>
    <w:rsid w:val="001E53B7"/>
    <w:rsid w:val="001E5580"/>
    <w:rsid w:val="001E582A"/>
    <w:rsid w:val="001E5A81"/>
    <w:rsid w:val="001E5AFC"/>
    <w:rsid w:val="001E5C3D"/>
    <w:rsid w:val="001E6DFF"/>
    <w:rsid w:val="001E72B2"/>
    <w:rsid w:val="001E72E6"/>
    <w:rsid w:val="001E7E98"/>
    <w:rsid w:val="001F0169"/>
    <w:rsid w:val="001F01B8"/>
    <w:rsid w:val="001F0349"/>
    <w:rsid w:val="001F05AE"/>
    <w:rsid w:val="001F09FD"/>
    <w:rsid w:val="001F0B74"/>
    <w:rsid w:val="001F15EE"/>
    <w:rsid w:val="001F1A0D"/>
    <w:rsid w:val="001F1E59"/>
    <w:rsid w:val="001F2335"/>
    <w:rsid w:val="001F295C"/>
    <w:rsid w:val="001F2B19"/>
    <w:rsid w:val="001F2D18"/>
    <w:rsid w:val="001F37E0"/>
    <w:rsid w:val="001F40A5"/>
    <w:rsid w:val="001F41F6"/>
    <w:rsid w:val="001F45A1"/>
    <w:rsid w:val="001F4AE1"/>
    <w:rsid w:val="001F4EB8"/>
    <w:rsid w:val="001F5E52"/>
    <w:rsid w:val="001F6F6A"/>
    <w:rsid w:val="001F7077"/>
    <w:rsid w:val="001F7139"/>
    <w:rsid w:val="001F7595"/>
    <w:rsid w:val="00200B34"/>
    <w:rsid w:val="00200B4C"/>
    <w:rsid w:val="002019F2"/>
    <w:rsid w:val="00201C2A"/>
    <w:rsid w:val="00201CDA"/>
    <w:rsid w:val="002021A8"/>
    <w:rsid w:val="00202326"/>
    <w:rsid w:val="002027C7"/>
    <w:rsid w:val="00202DE2"/>
    <w:rsid w:val="00202E03"/>
    <w:rsid w:val="00202F71"/>
    <w:rsid w:val="00203267"/>
    <w:rsid w:val="002033A2"/>
    <w:rsid w:val="0020391D"/>
    <w:rsid w:val="00204482"/>
    <w:rsid w:val="002044BC"/>
    <w:rsid w:val="00204EFE"/>
    <w:rsid w:val="00205010"/>
    <w:rsid w:val="00205519"/>
    <w:rsid w:val="00205F9C"/>
    <w:rsid w:val="00206F27"/>
    <w:rsid w:val="00207369"/>
    <w:rsid w:val="00207BDB"/>
    <w:rsid w:val="00207C8F"/>
    <w:rsid w:val="002100F0"/>
    <w:rsid w:val="00210605"/>
    <w:rsid w:val="00210771"/>
    <w:rsid w:val="00210815"/>
    <w:rsid w:val="00211470"/>
    <w:rsid w:val="00211885"/>
    <w:rsid w:val="00211AB7"/>
    <w:rsid w:val="00211C59"/>
    <w:rsid w:val="002126BA"/>
    <w:rsid w:val="002129C2"/>
    <w:rsid w:val="0021428F"/>
    <w:rsid w:val="002146BC"/>
    <w:rsid w:val="00214715"/>
    <w:rsid w:val="00215699"/>
    <w:rsid w:val="002159DE"/>
    <w:rsid w:val="00215CE6"/>
    <w:rsid w:val="00215E99"/>
    <w:rsid w:val="0021637C"/>
    <w:rsid w:val="00216626"/>
    <w:rsid w:val="002166A6"/>
    <w:rsid w:val="00216A61"/>
    <w:rsid w:val="00216ADB"/>
    <w:rsid w:val="00216BB6"/>
    <w:rsid w:val="00216C30"/>
    <w:rsid w:val="00217B45"/>
    <w:rsid w:val="00217EFA"/>
    <w:rsid w:val="0022006A"/>
    <w:rsid w:val="0022048B"/>
    <w:rsid w:val="00220692"/>
    <w:rsid w:val="00220998"/>
    <w:rsid w:val="00222078"/>
    <w:rsid w:val="00222103"/>
    <w:rsid w:val="00222261"/>
    <w:rsid w:val="00222616"/>
    <w:rsid w:val="00222AD9"/>
    <w:rsid w:val="00222D3C"/>
    <w:rsid w:val="0022369A"/>
    <w:rsid w:val="002237D3"/>
    <w:rsid w:val="00223960"/>
    <w:rsid w:val="00223B07"/>
    <w:rsid w:val="00224084"/>
    <w:rsid w:val="0022436A"/>
    <w:rsid w:val="00224AD6"/>
    <w:rsid w:val="00224E52"/>
    <w:rsid w:val="00225736"/>
    <w:rsid w:val="00225884"/>
    <w:rsid w:val="0022590D"/>
    <w:rsid w:val="00225E64"/>
    <w:rsid w:val="00226098"/>
    <w:rsid w:val="0022669A"/>
    <w:rsid w:val="002267CE"/>
    <w:rsid w:val="002272AB"/>
    <w:rsid w:val="00227C71"/>
    <w:rsid w:val="00227D49"/>
    <w:rsid w:val="00227FC7"/>
    <w:rsid w:val="00230C43"/>
    <w:rsid w:val="00231740"/>
    <w:rsid w:val="002319E6"/>
    <w:rsid w:val="002325A8"/>
    <w:rsid w:val="00232EED"/>
    <w:rsid w:val="002341F6"/>
    <w:rsid w:val="0023440D"/>
    <w:rsid w:val="002347B1"/>
    <w:rsid w:val="00234DDE"/>
    <w:rsid w:val="0023552A"/>
    <w:rsid w:val="00235A21"/>
    <w:rsid w:val="00235D25"/>
    <w:rsid w:val="00235E13"/>
    <w:rsid w:val="002365B5"/>
    <w:rsid w:val="0023694C"/>
    <w:rsid w:val="00236E72"/>
    <w:rsid w:val="00236F13"/>
    <w:rsid w:val="0023706D"/>
    <w:rsid w:val="002372F4"/>
    <w:rsid w:val="00237ABD"/>
    <w:rsid w:val="00237D17"/>
    <w:rsid w:val="0024029A"/>
    <w:rsid w:val="002407C8"/>
    <w:rsid w:val="00240ADA"/>
    <w:rsid w:val="00240F4D"/>
    <w:rsid w:val="002410F9"/>
    <w:rsid w:val="002411E2"/>
    <w:rsid w:val="002412C3"/>
    <w:rsid w:val="002412FE"/>
    <w:rsid w:val="002417F8"/>
    <w:rsid w:val="00241E99"/>
    <w:rsid w:val="00241FC8"/>
    <w:rsid w:val="00242328"/>
    <w:rsid w:val="002424AD"/>
    <w:rsid w:val="00242C4A"/>
    <w:rsid w:val="002437D9"/>
    <w:rsid w:val="00243B56"/>
    <w:rsid w:val="00243C8D"/>
    <w:rsid w:val="00243FC7"/>
    <w:rsid w:val="002440FD"/>
    <w:rsid w:val="002446A3"/>
    <w:rsid w:val="0024472B"/>
    <w:rsid w:val="00244C00"/>
    <w:rsid w:val="00244E56"/>
    <w:rsid w:val="002454BE"/>
    <w:rsid w:val="00245C4C"/>
    <w:rsid w:val="00246221"/>
    <w:rsid w:val="00246447"/>
    <w:rsid w:val="00246C40"/>
    <w:rsid w:val="00246CCD"/>
    <w:rsid w:val="0024727D"/>
    <w:rsid w:val="002478E5"/>
    <w:rsid w:val="00247C53"/>
    <w:rsid w:val="0025073C"/>
    <w:rsid w:val="00250F42"/>
    <w:rsid w:val="00250FD2"/>
    <w:rsid w:val="00251A8F"/>
    <w:rsid w:val="002529C2"/>
    <w:rsid w:val="00253EA0"/>
    <w:rsid w:val="0025434B"/>
    <w:rsid w:val="00254439"/>
    <w:rsid w:val="00254B44"/>
    <w:rsid w:val="00254E99"/>
    <w:rsid w:val="00255460"/>
    <w:rsid w:val="00255BAF"/>
    <w:rsid w:val="0025614D"/>
    <w:rsid w:val="0025673C"/>
    <w:rsid w:val="0025674A"/>
    <w:rsid w:val="0025753B"/>
    <w:rsid w:val="00257561"/>
    <w:rsid w:val="00257940"/>
    <w:rsid w:val="00257AAE"/>
    <w:rsid w:val="0026010B"/>
    <w:rsid w:val="0026027A"/>
    <w:rsid w:val="002602E7"/>
    <w:rsid w:val="00260423"/>
    <w:rsid w:val="00260533"/>
    <w:rsid w:val="00260B94"/>
    <w:rsid w:val="00260ED8"/>
    <w:rsid w:val="002615F8"/>
    <w:rsid w:val="00261A54"/>
    <w:rsid w:val="00261C8F"/>
    <w:rsid w:val="00261D37"/>
    <w:rsid w:val="00261E00"/>
    <w:rsid w:val="00263081"/>
    <w:rsid w:val="00263607"/>
    <w:rsid w:val="00263874"/>
    <w:rsid w:val="00263AA1"/>
    <w:rsid w:val="00263D34"/>
    <w:rsid w:val="00263EF1"/>
    <w:rsid w:val="0026411A"/>
    <w:rsid w:val="00264912"/>
    <w:rsid w:val="00264FC8"/>
    <w:rsid w:val="002654E8"/>
    <w:rsid w:val="002656E1"/>
    <w:rsid w:val="00265946"/>
    <w:rsid w:val="00265CFF"/>
    <w:rsid w:val="00266719"/>
    <w:rsid w:val="002674E3"/>
    <w:rsid w:val="0026768C"/>
    <w:rsid w:val="00267755"/>
    <w:rsid w:val="00267A65"/>
    <w:rsid w:val="00267B69"/>
    <w:rsid w:val="002705FE"/>
    <w:rsid w:val="002706F0"/>
    <w:rsid w:val="00270CF7"/>
    <w:rsid w:val="00270D82"/>
    <w:rsid w:val="00270EEB"/>
    <w:rsid w:val="002713DB"/>
    <w:rsid w:val="00271599"/>
    <w:rsid w:val="002715AC"/>
    <w:rsid w:val="00271ADB"/>
    <w:rsid w:val="00272219"/>
    <w:rsid w:val="0027245C"/>
    <w:rsid w:val="00272A40"/>
    <w:rsid w:val="00272C99"/>
    <w:rsid w:val="00272D7E"/>
    <w:rsid w:val="0027302B"/>
    <w:rsid w:val="00273278"/>
    <w:rsid w:val="00273AFD"/>
    <w:rsid w:val="00273F2B"/>
    <w:rsid w:val="002741A0"/>
    <w:rsid w:val="002746D8"/>
    <w:rsid w:val="0027475A"/>
    <w:rsid w:val="00274B50"/>
    <w:rsid w:val="00275343"/>
    <w:rsid w:val="00275641"/>
    <w:rsid w:val="002762E6"/>
    <w:rsid w:val="00276AE0"/>
    <w:rsid w:val="00276D6A"/>
    <w:rsid w:val="00277E64"/>
    <w:rsid w:val="002802D7"/>
    <w:rsid w:val="00280337"/>
    <w:rsid w:val="00280AB5"/>
    <w:rsid w:val="00280B32"/>
    <w:rsid w:val="00280EDC"/>
    <w:rsid w:val="0028218E"/>
    <w:rsid w:val="002821E9"/>
    <w:rsid w:val="00282363"/>
    <w:rsid w:val="00282DE4"/>
    <w:rsid w:val="0028324E"/>
    <w:rsid w:val="00284163"/>
    <w:rsid w:val="00284F37"/>
    <w:rsid w:val="00285523"/>
    <w:rsid w:val="002857C6"/>
    <w:rsid w:val="002859F5"/>
    <w:rsid w:val="002865A0"/>
    <w:rsid w:val="002868A6"/>
    <w:rsid w:val="002868BE"/>
    <w:rsid w:val="00286EAA"/>
    <w:rsid w:val="0028710F"/>
    <w:rsid w:val="002872C3"/>
    <w:rsid w:val="00287B1D"/>
    <w:rsid w:val="002903E2"/>
    <w:rsid w:val="0029077C"/>
    <w:rsid w:val="002908A7"/>
    <w:rsid w:val="002913FD"/>
    <w:rsid w:val="002916D1"/>
    <w:rsid w:val="00291D71"/>
    <w:rsid w:val="00292115"/>
    <w:rsid w:val="00292681"/>
    <w:rsid w:val="00292F66"/>
    <w:rsid w:val="0029315D"/>
    <w:rsid w:val="00293D6E"/>
    <w:rsid w:val="00293E79"/>
    <w:rsid w:val="0029421A"/>
    <w:rsid w:val="0029449E"/>
    <w:rsid w:val="002947C7"/>
    <w:rsid w:val="00294A35"/>
    <w:rsid w:val="00294C8B"/>
    <w:rsid w:val="00294E8F"/>
    <w:rsid w:val="0029504D"/>
    <w:rsid w:val="00295401"/>
    <w:rsid w:val="0029570C"/>
    <w:rsid w:val="0029625F"/>
    <w:rsid w:val="002965E0"/>
    <w:rsid w:val="0029696A"/>
    <w:rsid w:val="00296D2B"/>
    <w:rsid w:val="00296F46"/>
    <w:rsid w:val="00296F8A"/>
    <w:rsid w:val="002A01FD"/>
    <w:rsid w:val="002A05C9"/>
    <w:rsid w:val="002A0AAC"/>
    <w:rsid w:val="002A12BA"/>
    <w:rsid w:val="002A180F"/>
    <w:rsid w:val="002A183F"/>
    <w:rsid w:val="002A1873"/>
    <w:rsid w:val="002A1AE1"/>
    <w:rsid w:val="002A2060"/>
    <w:rsid w:val="002A2857"/>
    <w:rsid w:val="002A2D7B"/>
    <w:rsid w:val="002A33FE"/>
    <w:rsid w:val="002A353A"/>
    <w:rsid w:val="002A367A"/>
    <w:rsid w:val="002A391D"/>
    <w:rsid w:val="002A3B40"/>
    <w:rsid w:val="002A3C27"/>
    <w:rsid w:val="002A40BC"/>
    <w:rsid w:val="002A4404"/>
    <w:rsid w:val="002A46A3"/>
    <w:rsid w:val="002A51E9"/>
    <w:rsid w:val="002A52E3"/>
    <w:rsid w:val="002A5425"/>
    <w:rsid w:val="002A547D"/>
    <w:rsid w:val="002A556E"/>
    <w:rsid w:val="002A55A2"/>
    <w:rsid w:val="002A5B44"/>
    <w:rsid w:val="002A5CA0"/>
    <w:rsid w:val="002A6170"/>
    <w:rsid w:val="002A61F9"/>
    <w:rsid w:val="002A63AF"/>
    <w:rsid w:val="002A6AD1"/>
    <w:rsid w:val="002A6E8E"/>
    <w:rsid w:val="002A6FBE"/>
    <w:rsid w:val="002A7622"/>
    <w:rsid w:val="002A7869"/>
    <w:rsid w:val="002A7BB5"/>
    <w:rsid w:val="002A7F5B"/>
    <w:rsid w:val="002B0D78"/>
    <w:rsid w:val="002B0D89"/>
    <w:rsid w:val="002B0F46"/>
    <w:rsid w:val="002B1BB2"/>
    <w:rsid w:val="002B2078"/>
    <w:rsid w:val="002B22D4"/>
    <w:rsid w:val="002B2334"/>
    <w:rsid w:val="002B259E"/>
    <w:rsid w:val="002B291F"/>
    <w:rsid w:val="002B2E6C"/>
    <w:rsid w:val="002B3178"/>
    <w:rsid w:val="002B37A1"/>
    <w:rsid w:val="002B3A68"/>
    <w:rsid w:val="002B3C14"/>
    <w:rsid w:val="002B3C46"/>
    <w:rsid w:val="002B3FD0"/>
    <w:rsid w:val="002B43FA"/>
    <w:rsid w:val="002B46E6"/>
    <w:rsid w:val="002B46F6"/>
    <w:rsid w:val="002B4D9A"/>
    <w:rsid w:val="002B5C84"/>
    <w:rsid w:val="002B65D5"/>
    <w:rsid w:val="002B65D8"/>
    <w:rsid w:val="002B6B22"/>
    <w:rsid w:val="002B73B2"/>
    <w:rsid w:val="002B7969"/>
    <w:rsid w:val="002C06D1"/>
    <w:rsid w:val="002C0B3E"/>
    <w:rsid w:val="002C0BB1"/>
    <w:rsid w:val="002C0FA3"/>
    <w:rsid w:val="002C14A5"/>
    <w:rsid w:val="002C2252"/>
    <w:rsid w:val="002C28E2"/>
    <w:rsid w:val="002C2DB8"/>
    <w:rsid w:val="002C3066"/>
    <w:rsid w:val="002C314B"/>
    <w:rsid w:val="002C31E5"/>
    <w:rsid w:val="002C40D9"/>
    <w:rsid w:val="002C41DC"/>
    <w:rsid w:val="002C423C"/>
    <w:rsid w:val="002C4533"/>
    <w:rsid w:val="002C474F"/>
    <w:rsid w:val="002C4822"/>
    <w:rsid w:val="002C4B0A"/>
    <w:rsid w:val="002C4CA9"/>
    <w:rsid w:val="002C5A63"/>
    <w:rsid w:val="002C5B61"/>
    <w:rsid w:val="002C5FD6"/>
    <w:rsid w:val="002C63F6"/>
    <w:rsid w:val="002C7064"/>
    <w:rsid w:val="002C73FD"/>
    <w:rsid w:val="002C754B"/>
    <w:rsid w:val="002C79D7"/>
    <w:rsid w:val="002C7A9A"/>
    <w:rsid w:val="002D0356"/>
    <w:rsid w:val="002D06E7"/>
    <w:rsid w:val="002D07C0"/>
    <w:rsid w:val="002D0829"/>
    <w:rsid w:val="002D0904"/>
    <w:rsid w:val="002D0905"/>
    <w:rsid w:val="002D0C19"/>
    <w:rsid w:val="002D0FC6"/>
    <w:rsid w:val="002D1101"/>
    <w:rsid w:val="002D138C"/>
    <w:rsid w:val="002D14B7"/>
    <w:rsid w:val="002D1822"/>
    <w:rsid w:val="002D18BC"/>
    <w:rsid w:val="002D1A3D"/>
    <w:rsid w:val="002D2385"/>
    <w:rsid w:val="002D2A68"/>
    <w:rsid w:val="002D32C9"/>
    <w:rsid w:val="002D34D0"/>
    <w:rsid w:val="002D36F6"/>
    <w:rsid w:val="002D3B3F"/>
    <w:rsid w:val="002D3EC8"/>
    <w:rsid w:val="002D403E"/>
    <w:rsid w:val="002D4325"/>
    <w:rsid w:val="002D45BF"/>
    <w:rsid w:val="002D46FB"/>
    <w:rsid w:val="002D4776"/>
    <w:rsid w:val="002D4A85"/>
    <w:rsid w:val="002D4D0F"/>
    <w:rsid w:val="002D4E7E"/>
    <w:rsid w:val="002D5365"/>
    <w:rsid w:val="002D553B"/>
    <w:rsid w:val="002D5AE2"/>
    <w:rsid w:val="002D64DF"/>
    <w:rsid w:val="002D6681"/>
    <w:rsid w:val="002D69D3"/>
    <w:rsid w:val="002D71F8"/>
    <w:rsid w:val="002E000C"/>
    <w:rsid w:val="002E02AA"/>
    <w:rsid w:val="002E0BB3"/>
    <w:rsid w:val="002E13E0"/>
    <w:rsid w:val="002E1950"/>
    <w:rsid w:val="002E1CEB"/>
    <w:rsid w:val="002E2864"/>
    <w:rsid w:val="002E2900"/>
    <w:rsid w:val="002E2D4A"/>
    <w:rsid w:val="002E3159"/>
    <w:rsid w:val="002E38DB"/>
    <w:rsid w:val="002E39E2"/>
    <w:rsid w:val="002E4657"/>
    <w:rsid w:val="002E4708"/>
    <w:rsid w:val="002E4F35"/>
    <w:rsid w:val="002E5256"/>
    <w:rsid w:val="002E5271"/>
    <w:rsid w:val="002E538F"/>
    <w:rsid w:val="002E539A"/>
    <w:rsid w:val="002E55DD"/>
    <w:rsid w:val="002E5892"/>
    <w:rsid w:val="002E5995"/>
    <w:rsid w:val="002E5E77"/>
    <w:rsid w:val="002E5F31"/>
    <w:rsid w:val="002E69E6"/>
    <w:rsid w:val="002E72B2"/>
    <w:rsid w:val="002E7B71"/>
    <w:rsid w:val="002E7EA2"/>
    <w:rsid w:val="002F005B"/>
    <w:rsid w:val="002F059B"/>
    <w:rsid w:val="002F0F75"/>
    <w:rsid w:val="002F0FA6"/>
    <w:rsid w:val="002F1008"/>
    <w:rsid w:val="002F108D"/>
    <w:rsid w:val="002F117A"/>
    <w:rsid w:val="002F127D"/>
    <w:rsid w:val="002F12EB"/>
    <w:rsid w:val="002F14F5"/>
    <w:rsid w:val="002F1BD1"/>
    <w:rsid w:val="002F2B7A"/>
    <w:rsid w:val="002F3105"/>
    <w:rsid w:val="002F33CD"/>
    <w:rsid w:val="002F37D0"/>
    <w:rsid w:val="002F3A8A"/>
    <w:rsid w:val="002F45FE"/>
    <w:rsid w:val="002F4604"/>
    <w:rsid w:val="002F4675"/>
    <w:rsid w:val="002F485F"/>
    <w:rsid w:val="002F493D"/>
    <w:rsid w:val="002F49C5"/>
    <w:rsid w:val="002F54F6"/>
    <w:rsid w:val="002F554B"/>
    <w:rsid w:val="002F5836"/>
    <w:rsid w:val="002F5892"/>
    <w:rsid w:val="002F5EB8"/>
    <w:rsid w:val="002F6071"/>
    <w:rsid w:val="002F6F94"/>
    <w:rsid w:val="002F72FF"/>
    <w:rsid w:val="002F797B"/>
    <w:rsid w:val="002F79CC"/>
    <w:rsid w:val="002F7AE0"/>
    <w:rsid w:val="002F7BE7"/>
    <w:rsid w:val="002F7C59"/>
    <w:rsid w:val="002F7F8F"/>
    <w:rsid w:val="00300149"/>
    <w:rsid w:val="00300264"/>
    <w:rsid w:val="00300B45"/>
    <w:rsid w:val="00300D13"/>
    <w:rsid w:val="00300F4E"/>
    <w:rsid w:val="003014B1"/>
    <w:rsid w:val="003019D9"/>
    <w:rsid w:val="0030242B"/>
    <w:rsid w:val="00302595"/>
    <w:rsid w:val="00303041"/>
    <w:rsid w:val="003030F5"/>
    <w:rsid w:val="003036F3"/>
    <w:rsid w:val="00304222"/>
    <w:rsid w:val="0030463E"/>
    <w:rsid w:val="00304AB6"/>
    <w:rsid w:val="00304D17"/>
    <w:rsid w:val="00304ED6"/>
    <w:rsid w:val="00305EAA"/>
    <w:rsid w:val="003062A7"/>
    <w:rsid w:val="003064BF"/>
    <w:rsid w:val="00306521"/>
    <w:rsid w:val="00307223"/>
    <w:rsid w:val="00307B47"/>
    <w:rsid w:val="0031034B"/>
    <w:rsid w:val="003107C6"/>
    <w:rsid w:val="00310825"/>
    <w:rsid w:val="00310FAC"/>
    <w:rsid w:val="00311632"/>
    <w:rsid w:val="00311993"/>
    <w:rsid w:val="00311FAD"/>
    <w:rsid w:val="00312079"/>
    <w:rsid w:val="0031239E"/>
    <w:rsid w:val="003123BD"/>
    <w:rsid w:val="003126DC"/>
    <w:rsid w:val="00312AB8"/>
    <w:rsid w:val="00312B6E"/>
    <w:rsid w:val="00313197"/>
    <w:rsid w:val="0031398C"/>
    <w:rsid w:val="00313CE4"/>
    <w:rsid w:val="00313D9B"/>
    <w:rsid w:val="00313E76"/>
    <w:rsid w:val="00313F79"/>
    <w:rsid w:val="00314102"/>
    <w:rsid w:val="00314410"/>
    <w:rsid w:val="00315212"/>
    <w:rsid w:val="00315306"/>
    <w:rsid w:val="00315A06"/>
    <w:rsid w:val="00315CD2"/>
    <w:rsid w:val="0031615F"/>
    <w:rsid w:val="003163DC"/>
    <w:rsid w:val="00316600"/>
    <w:rsid w:val="003166C1"/>
    <w:rsid w:val="00316A8B"/>
    <w:rsid w:val="00316BF6"/>
    <w:rsid w:val="0031733B"/>
    <w:rsid w:val="00317756"/>
    <w:rsid w:val="00317E87"/>
    <w:rsid w:val="0032081F"/>
    <w:rsid w:val="00320952"/>
    <w:rsid w:val="00321122"/>
    <w:rsid w:val="00322121"/>
    <w:rsid w:val="0032244B"/>
    <w:rsid w:val="003225FB"/>
    <w:rsid w:val="00322604"/>
    <w:rsid w:val="00323503"/>
    <w:rsid w:val="003235CB"/>
    <w:rsid w:val="00323759"/>
    <w:rsid w:val="00323A7C"/>
    <w:rsid w:val="00323ABB"/>
    <w:rsid w:val="00323C32"/>
    <w:rsid w:val="00323FC7"/>
    <w:rsid w:val="003247BA"/>
    <w:rsid w:val="00324A1D"/>
    <w:rsid w:val="00325742"/>
    <w:rsid w:val="00325B63"/>
    <w:rsid w:val="00326196"/>
    <w:rsid w:val="00326240"/>
    <w:rsid w:val="003278A1"/>
    <w:rsid w:val="00327909"/>
    <w:rsid w:val="0032791F"/>
    <w:rsid w:val="00327988"/>
    <w:rsid w:val="00327AB3"/>
    <w:rsid w:val="00327D3F"/>
    <w:rsid w:val="00327DA2"/>
    <w:rsid w:val="0033008F"/>
    <w:rsid w:val="003305B0"/>
    <w:rsid w:val="00330D77"/>
    <w:rsid w:val="00331120"/>
    <w:rsid w:val="003318D5"/>
    <w:rsid w:val="00331E0F"/>
    <w:rsid w:val="00331E9D"/>
    <w:rsid w:val="00331ECF"/>
    <w:rsid w:val="003327DF"/>
    <w:rsid w:val="00332FCC"/>
    <w:rsid w:val="0033364A"/>
    <w:rsid w:val="0033371C"/>
    <w:rsid w:val="00333D6D"/>
    <w:rsid w:val="00333E8D"/>
    <w:rsid w:val="003349B3"/>
    <w:rsid w:val="00334CA7"/>
    <w:rsid w:val="00334E59"/>
    <w:rsid w:val="0033592F"/>
    <w:rsid w:val="003369FF"/>
    <w:rsid w:val="00336AEA"/>
    <w:rsid w:val="00336B35"/>
    <w:rsid w:val="003373AC"/>
    <w:rsid w:val="0033758C"/>
    <w:rsid w:val="003375D7"/>
    <w:rsid w:val="0033764B"/>
    <w:rsid w:val="00340778"/>
    <w:rsid w:val="00340B2C"/>
    <w:rsid w:val="00340B44"/>
    <w:rsid w:val="0034134C"/>
    <w:rsid w:val="003414CC"/>
    <w:rsid w:val="0034170C"/>
    <w:rsid w:val="00341A2A"/>
    <w:rsid w:val="00341CED"/>
    <w:rsid w:val="00342759"/>
    <w:rsid w:val="00342DC1"/>
    <w:rsid w:val="00343BDF"/>
    <w:rsid w:val="00343E87"/>
    <w:rsid w:val="00343F41"/>
    <w:rsid w:val="0034459F"/>
    <w:rsid w:val="00344676"/>
    <w:rsid w:val="00344CAF"/>
    <w:rsid w:val="00344FD2"/>
    <w:rsid w:val="00345300"/>
    <w:rsid w:val="00345424"/>
    <w:rsid w:val="00345517"/>
    <w:rsid w:val="003459F3"/>
    <w:rsid w:val="00345D89"/>
    <w:rsid w:val="00345EA7"/>
    <w:rsid w:val="0034625F"/>
    <w:rsid w:val="0034652C"/>
    <w:rsid w:val="00346679"/>
    <w:rsid w:val="00347598"/>
    <w:rsid w:val="0034765D"/>
    <w:rsid w:val="00347D0E"/>
    <w:rsid w:val="00347F10"/>
    <w:rsid w:val="0035067B"/>
    <w:rsid w:val="00350D8B"/>
    <w:rsid w:val="00350E0D"/>
    <w:rsid w:val="00351B01"/>
    <w:rsid w:val="00351FB4"/>
    <w:rsid w:val="003528EA"/>
    <w:rsid w:val="00352B65"/>
    <w:rsid w:val="00352D4B"/>
    <w:rsid w:val="00353025"/>
    <w:rsid w:val="003530E5"/>
    <w:rsid w:val="00353220"/>
    <w:rsid w:val="00353878"/>
    <w:rsid w:val="00353A00"/>
    <w:rsid w:val="00354A1F"/>
    <w:rsid w:val="00354DAA"/>
    <w:rsid w:val="00355254"/>
    <w:rsid w:val="00355567"/>
    <w:rsid w:val="00355B11"/>
    <w:rsid w:val="00355B28"/>
    <w:rsid w:val="00356117"/>
    <w:rsid w:val="0035640C"/>
    <w:rsid w:val="00356F31"/>
    <w:rsid w:val="00357DFD"/>
    <w:rsid w:val="00357E85"/>
    <w:rsid w:val="00360494"/>
    <w:rsid w:val="0036063B"/>
    <w:rsid w:val="00362527"/>
    <w:rsid w:val="003626C0"/>
    <w:rsid w:val="00362C5E"/>
    <w:rsid w:val="00362E6F"/>
    <w:rsid w:val="00362FA9"/>
    <w:rsid w:val="00363417"/>
    <w:rsid w:val="003635F2"/>
    <w:rsid w:val="003639E5"/>
    <w:rsid w:val="00363D7A"/>
    <w:rsid w:val="00363F6E"/>
    <w:rsid w:val="0036404A"/>
    <w:rsid w:val="003640A7"/>
    <w:rsid w:val="0036449F"/>
    <w:rsid w:val="00364EA5"/>
    <w:rsid w:val="0036508D"/>
    <w:rsid w:val="003650E8"/>
    <w:rsid w:val="003651C8"/>
    <w:rsid w:val="003652EA"/>
    <w:rsid w:val="003657CA"/>
    <w:rsid w:val="00365A25"/>
    <w:rsid w:val="00365B48"/>
    <w:rsid w:val="00366214"/>
    <w:rsid w:val="00366CAC"/>
    <w:rsid w:val="00367440"/>
    <w:rsid w:val="00367894"/>
    <w:rsid w:val="003679BA"/>
    <w:rsid w:val="00367F25"/>
    <w:rsid w:val="003700A3"/>
    <w:rsid w:val="00370217"/>
    <w:rsid w:val="00370B40"/>
    <w:rsid w:val="003721FB"/>
    <w:rsid w:val="0037240A"/>
    <w:rsid w:val="00372AE4"/>
    <w:rsid w:val="00372C5B"/>
    <w:rsid w:val="003730D6"/>
    <w:rsid w:val="00373411"/>
    <w:rsid w:val="00373A55"/>
    <w:rsid w:val="00373D40"/>
    <w:rsid w:val="00374251"/>
    <w:rsid w:val="003744B3"/>
    <w:rsid w:val="003745F4"/>
    <w:rsid w:val="00374910"/>
    <w:rsid w:val="00374D89"/>
    <w:rsid w:val="003751B4"/>
    <w:rsid w:val="00375509"/>
    <w:rsid w:val="00375848"/>
    <w:rsid w:val="00375D29"/>
    <w:rsid w:val="00375D91"/>
    <w:rsid w:val="00376E2B"/>
    <w:rsid w:val="0037769E"/>
    <w:rsid w:val="00377BE4"/>
    <w:rsid w:val="00380094"/>
    <w:rsid w:val="003800F0"/>
    <w:rsid w:val="00380A71"/>
    <w:rsid w:val="00382306"/>
    <w:rsid w:val="003827EC"/>
    <w:rsid w:val="0038292B"/>
    <w:rsid w:val="00382B86"/>
    <w:rsid w:val="00383071"/>
    <w:rsid w:val="003832EF"/>
    <w:rsid w:val="003836DD"/>
    <w:rsid w:val="003837F4"/>
    <w:rsid w:val="003840D8"/>
    <w:rsid w:val="003845A4"/>
    <w:rsid w:val="003846D9"/>
    <w:rsid w:val="00384F9D"/>
    <w:rsid w:val="00384FED"/>
    <w:rsid w:val="0038564A"/>
    <w:rsid w:val="0038576C"/>
    <w:rsid w:val="00385800"/>
    <w:rsid w:val="00385B99"/>
    <w:rsid w:val="00385EA7"/>
    <w:rsid w:val="00385F39"/>
    <w:rsid w:val="0038680B"/>
    <w:rsid w:val="0038743E"/>
    <w:rsid w:val="003879DF"/>
    <w:rsid w:val="00387DFA"/>
    <w:rsid w:val="00390081"/>
    <w:rsid w:val="0039083F"/>
    <w:rsid w:val="00390A30"/>
    <w:rsid w:val="00390D65"/>
    <w:rsid w:val="00390EC0"/>
    <w:rsid w:val="00391374"/>
    <w:rsid w:val="00391FAB"/>
    <w:rsid w:val="00392050"/>
    <w:rsid w:val="00392539"/>
    <w:rsid w:val="00392677"/>
    <w:rsid w:val="00392C99"/>
    <w:rsid w:val="0039365B"/>
    <w:rsid w:val="003936EA"/>
    <w:rsid w:val="00393987"/>
    <w:rsid w:val="003940F7"/>
    <w:rsid w:val="00394981"/>
    <w:rsid w:val="00394986"/>
    <w:rsid w:val="003953A8"/>
    <w:rsid w:val="00395E7E"/>
    <w:rsid w:val="003965D8"/>
    <w:rsid w:val="00396766"/>
    <w:rsid w:val="003968D5"/>
    <w:rsid w:val="00396D36"/>
    <w:rsid w:val="00396D6E"/>
    <w:rsid w:val="00396E80"/>
    <w:rsid w:val="00396FF0"/>
    <w:rsid w:val="0039746F"/>
    <w:rsid w:val="0039788E"/>
    <w:rsid w:val="00397F3C"/>
    <w:rsid w:val="003A0529"/>
    <w:rsid w:val="003A0962"/>
    <w:rsid w:val="003A0BA4"/>
    <w:rsid w:val="003A195A"/>
    <w:rsid w:val="003A1E28"/>
    <w:rsid w:val="003A2385"/>
    <w:rsid w:val="003A3551"/>
    <w:rsid w:val="003A37E9"/>
    <w:rsid w:val="003A38F0"/>
    <w:rsid w:val="003A42F3"/>
    <w:rsid w:val="003A443D"/>
    <w:rsid w:val="003A4932"/>
    <w:rsid w:val="003A556D"/>
    <w:rsid w:val="003A5B55"/>
    <w:rsid w:val="003A5C97"/>
    <w:rsid w:val="003A6627"/>
    <w:rsid w:val="003A6A5A"/>
    <w:rsid w:val="003A7025"/>
    <w:rsid w:val="003A72E9"/>
    <w:rsid w:val="003A7807"/>
    <w:rsid w:val="003B0173"/>
    <w:rsid w:val="003B0398"/>
    <w:rsid w:val="003B0DA5"/>
    <w:rsid w:val="003B0E74"/>
    <w:rsid w:val="003B25B0"/>
    <w:rsid w:val="003B36B9"/>
    <w:rsid w:val="003B3EB8"/>
    <w:rsid w:val="003B4A4A"/>
    <w:rsid w:val="003B4E74"/>
    <w:rsid w:val="003B53A5"/>
    <w:rsid w:val="003B59EE"/>
    <w:rsid w:val="003B5B72"/>
    <w:rsid w:val="003B5C06"/>
    <w:rsid w:val="003B5C42"/>
    <w:rsid w:val="003B5D98"/>
    <w:rsid w:val="003B5DD0"/>
    <w:rsid w:val="003B60F7"/>
    <w:rsid w:val="003B658D"/>
    <w:rsid w:val="003B68A6"/>
    <w:rsid w:val="003B6D71"/>
    <w:rsid w:val="003B6EF2"/>
    <w:rsid w:val="003B7E7A"/>
    <w:rsid w:val="003C0463"/>
    <w:rsid w:val="003C0599"/>
    <w:rsid w:val="003C05F5"/>
    <w:rsid w:val="003C0905"/>
    <w:rsid w:val="003C0F5F"/>
    <w:rsid w:val="003C110F"/>
    <w:rsid w:val="003C1CBE"/>
    <w:rsid w:val="003C1EAF"/>
    <w:rsid w:val="003C241F"/>
    <w:rsid w:val="003C2615"/>
    <w:rsid w:val="003C3460"/>
    <w:rsid w:val="003C346B"/>
    <w:rsid w:val="003C3F12"/>
    <w:rsid w:val="003C40EE"/>
    <w:rsid w:val="003C4206"/>
    <w:rsid w:val="003C42F7"/>
    <w:rsid w:val="003C479F"/>
    <w:rsid w:val="003C4884"/>
    <w:rsid w:val="003C4DC7"/>
    <w:rsid w:val="003C5092"/>
    <w:rsid w:val="003C5A73"/>
    <w:rsid w:val="003C5DEF"/>
    <w:rsid w:val="003C641E"/>
    <w:rsid w:val="003C6C81"/>
    <w:rsid w:val="003C6F33"/>
    <w:rsid w:val="003D047F"/>
    <w:rsid w:val="003D0748"/>
    <w:rsid w:val="003D0FBC"/>
    <w:rsid w:val="003D1145"/>
    <w:rsid w:val="003D2333"/>
    <w:rsid w:val="003D272F"/>
    <w:rsid w:val="003D2912"/>
    <w:rsid w:val="003D2FBA"/>
    <w:rsid w:val="003D3161"/>
    <w:rsid w:val="003D3227"/>
    <w:rsid w:val="003D3600"/>
    <w:rsid w:val="003D36B8"/>
    <w:rsid w:val="003D36EE"/>
    <w:rsid w:val="003D3A55"/>
    <w:rsid w:val="003D408F"/>
    <w:rsid w:val="003D4347"/>
    <w:rsid w:val="003D5181"/>
    <w:rsid w:val="003D5393"/>
    <w:rsid w:val="003D5413"/>
    <w:rsid w:val="003D54E0"/>
    <w:rsid w:val="003D56EA"/>
    <w:rsid w:val="003D5996"/>
    <w:rsid w:val="003D5D5D"/>
    <w:rsid w:val="003D6163"/>
    <w:rsid w:val="003D6407"/>
    <w:rsid w:val="003D647A"/>
    <w:rsid w:val="003D6A90"/>
    <w:rsid w:val="003D6B1D"/>
    <w:rsid w:val="003D6E30"/>
    <w:rsid w:val="003D70B5"/>
    <w:rsid w:val="003D7B41"/>
    <w:rsid w:val="003D7B45"/>
    <w:rsid w:val="003E03E3"/>
    <w:rsid w:val="003E05FE"/>
    <w:rsid w:val="003E0CD7"/>
    <w:rsid w:val="003E0DF7"/>
    <w:rsid w:val="003E14F0"/>
    <w:rsid w:val="003E1E5D"/>
    <w:rsid w:val="003E21E4"/>
    <w:rsid w:val="003E2569"/>
    <w:rsid w:val="003E2784"/>
    <w:rsid w:val="003E2850"/>
    <w:rsid w:val="003E2D79"/>
    <w:rsid w:val="003E32D8"/>
    <w:rsid w:val="003E3A04"/>
    <w:rsid w:val="003E3B65"/>
    <w:rsid w:val="003E3E19"/>
    <w:rsid w:val="003E3E1E"/>
    <w:rsid w:val="003E427F"/>
    <w:rsid w:val="003E47DE"/>
    <w:rsid w:val="003E4CFE"/>
    <w:rsid w:val="003E4F42"/>
    <w:rsid w:val="003E5075"/>
    <w:rsid w:val="003E5233"/>
    <w:rsid w:val="003E57D6"/>
    <w:rsid w:val="003E5F95"/>
    <w:rsid w:val="003E61FD"/>
    <w:rsid w:val="003E67BC"/>
    <w:rsid w:val="003E68A8"/>
    <w:rsid w:val="003E6F0B"/>
    <w:rsid w:val="003E7503"/>
    <w:rsid w:val="003E7F82"/>
    <w:rsid w:val="003F0031"/>
    <w:rsid w:val="003F00D4"/>
    <w:rsid w:val="003F00DF"/>
    <w:rsid w:val="003F018C"/>
    <w:rsid w:val="003F09CB"/>
    <w:rsid w:val="003F1045"/>
    <w:rsid w:val="003F10D3"/>
    <w:rsid w:val="003F1150"/>
    <w:rsid w:val="003F140D"/>
    <w:rsid w:val="003F143C"/>
    <w:rsid w:val="003F1548"/>
    <w:rsid w:val="003F176D"/>
    <w:rsid w:val="003F20AE"/>
    <w:rsid w:val="003F228F"/>
    <w:rsid w:val="003F274F"/>
    <w:rsid w:val="003F2B3D"/>
    <w:rsid w:val="003F3105"/>
    <w:rsid w:val="003F319D"/>
    <w:rsid w:val="003F3303"/>
    <w:rsid w:val="003F3328"/>
    <w:rsid w:val="003F33F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94C"/>
    <w:rsid w:val="003F6ECC"/>
    <w:rsid w:val="003F7EFA"/>
    <w:rsid w:val="00400C90"/>
    <w:rsid w:val="00402D65"/>
    <w:rsid w:val="00402E02"/>
    <w:rsid w:val="004030FE"/>
    <w:rsid w:val="00403364"/>
    <w:rsid w:val="00403780"/>
    <w:rsid w:val="00403941"/>
    <w:rsid w:val="00403971"/>
    <w:rsid w:val="00404027"/>
    <w:rsid w:val="0040415C"/>
    <w:rsid w:val="00404737"/>
    <w:rsid w:val="00404D74"/>
    <w:rsid w:val="0040518A"/>
    <w:rsid w:val="00405553"/>
    <w:rsid w:val="004056F3"/>
    <w:rsid w:val="00405F4B"/>
    <w:rsid w:val="0040616D"/>
    <w:rsid w:val="00406EF0"/>
    <w:rsid w:val="00407760"/>
    <w:rsid w:val="00410CB2"/>
    <w:rsid w:val="00411285"/>
    <w:rsid w:val="00411BB1"/>
    <w:rsid w:val="00411C96"/>
    <w:rsid w:val="00411CA9"/>
    <w:rsid w:val="00411F19"/>
    <w:rsid w:val="004126A1"/>
    <w:rsid w:val="00412A32"/>
    <w:rsid w:val="00414210"/>
    <w:rsid w:val="0041450E"/>
    <w:rsid w:val="00414514"/>
    <w:rsid w:val="004148E1"/>
    <w:rsid w:val="00414FE4"/>
    <w:rsid w:val="0041506A"/>
    <w:rsid w:val="00415238"/>
    <w:rsid w:val="00415370"/>
    <w:rsid w:val="004155B8"/>
    <w:rsid w:val="00415762"/>
    <w:rsid w:val="00415781"/>
    <w:rsid w:val="00415800"/>
    <w:rsid w:val="00415A0B"/>
    <w:rsid w:val="00415C60"/>
    <w:rsid w:val="00415CE0"/>
    <w:rsid w:val="00415F80"/>
    <w:rsid w:val="00416BB6"/>
    <w:rsid w:val="00416F40"/>
    <w:rsid w:val="00417769"/>
    <w:rsid w:val="00417A3D"/>
    <w:rsid w:val="004202A7"/>
    <w:rsid w:val="004207F5"/>
    <w:rsid w:val="00420819"/>
    <w:rsid w:val="00420A85"/>
    <w:rsid w:val="00420C0A"/>
    <w:rsid w:val="004215BB"/>
    <w:rsid w:val="0042173F"/>
    <w:rsid w:val="0042192C"/>
    <w:rsid w:val="00421994"/>
    <w:rsid w:val="00421A87"/>
    <w:rsid w:val="00421EF2"/>
    <w:rsid w:val="00421F34"/>
    <w:rsid w:val="0042241E"/>
    <w:rsid w:val="00422668"/>
    <w:rsid w:val="00422EBD"/>
    <w:rsid w:val="00422EC3"/>
    <w:rsid w:val="004230B6"/>
    <w:rsid w:val="00423339"/>
    <w:rsid w:val="004235A9"/>
    <w:rsid w:val="004235EE"/>
    <w:rsid w:val="00423623"/>
    <w:rsid w:val="00423782"/>
    <w:rsid w:val="00423AE9"/>
    <w:rsid w:val="00423F33"/>
    <w:rsid w:val="00424B17"/>
    <w:rsid w:val="00424CC9"/>
    <w:rsid w:val="00424D00"/>
    <w:rsid w:val="0042548C"/>
    <w:rsid w:val="004259E2"/>
    <w:rsid w:val="00426176"/>
    <w:rsid w:val="004266B1"/>
    <w:rsid w:val="00426865"/>
    <w:rsid w:val="00426892"/>
    <w:rsid w:val="00426979"/>
    <w:rsid w:val="00426C49"/>
    <w:rsid w:val="00426CA0"/>
    <w:rsid w:val="004271DD"/>
    <w:rsid w:val="00427460"/>
    <w:rsid w:val="0042747D"/>
    <w:rsid w:val="004277E6"/>
    <w:rsid w:val="00427B6B"/>
    <w:rsid w:val="00430622"/>
    <w:rsid w:val="004306B1"/>
    <w:rsid w:val="004310B0"/>
    <w:rsid w:val="004311CE"/>
    <w:rsid w:val="0043166B"/>
    <w:rsid w:val="004316D2"/>
    <w:rsid w:val="00431AC1"/>
    <w:rsid w:val="00431C7A"/>
    <w:rsid w:val="0043227F"/>
    <w:rsid w:val="004322D7"/>
    <w:rsid w:val="00432468"/>
    <w:rsid w:val="00432989"/>
    <w:rsid w:val="004329C9"/>
    <w:rsid w:val="00432C23"/>
    <w:rsid w:val="00432CD5"/>
    <w:rsid w:val="00432D2B"/>
    <w:rsid w:val="004335DE"/>
    <w:rsid w:val="004338F0"/>
    <w:rsid w:val="00433C2C"/>
    <w:rsid w:val="00434450"/>
    <w:rsid w:val="0043499F"/>
    <w:rsid w:val="00434AAB"/>
    <w:rsid w:val="00434F05"/>
    <w:rsid w:val="00435893"/>
    <w:rsid w:val="00435997"/>
    <w:rsid w:val="00435D95"/>
    <w:rsid w:val="00435F06"/>
    <w:rsid w:val="004363FA"/>
    <w:rsid w:val="004364CC"/>
    <w:rsid w:val="00436B89"/>
    <w:rsid w:val="00437003"/>
    <w:rsid w:val="004376C0"/>
    <w:rsid w:val="00437875"/>
    <w:rsid w:val="004405B0"/>
    <w:rsid w:val="00440CB7"/>
    <w:rsid w:val="00440CCD"/>
    <w:rsid w:val="00440D3E"/>
    <w:rsid w:val="00440FFC"/>
    <w:rsid w:val="00441440"/>
    <w:rsid w:val="0044169D"/>
    <w:rsid w:val="004417BD"/>
    <w:rsid w:val="00441A35"/>
    <w:rsid w:val="00441FF9"/>
    <w:rsid w:val="00442A49"/>
    <w:rsid w:val="00442B54"/>
    <w:rsid w:val="00442D02"/>
    <w:rsid w:val="004431D7"/>
    <w:rsid w:val="0044363A"/>
    <w:rsid w:val="004436E9"/>
    <w:rsid w:val="004437B2"/>
    <w:rsid w:val="0044382F"/>
    <w:rsid w:val="00443D71"/>
    <w:rsid w:val="00443DE8"/>
    <w:rsid w:val="0044408A"/>
    <w:rsid w:val="004441C8"/>
    <w:rsid w:val="004442EB"/>
    <w:rsid w:val="004443A5"/>
    <w:rsid w:val="004448B1"/>
    <w:rsid w:val="00444C64"/>
    <w:rsid w:val="0044507C"/>
    <w:rsid w:val="0044541F"/>
    <w:rsid w:val="00445A50"/>
    <w:rsid w:val="00445B86"/>
    <w:rsid w:val="00445DF5"/>
    <w:rsid w:val="00445E95"/>
    <w:rsid w:val="00445EE3"/>
    <w:rsid w:val="004510A4"/>
    <w:rsid w:val="0045135E"/>
    <w:rsid w:val="00451544"/>
    <w:rsid w:val="004515FF"/>
    <w:rsid w:val="004525DD"/>
    <w:rsid w:val="004535B0"/>
    <w:rsid w:val="00453A9A"/>
    <w:rsid w:val="00453E31"/>
    <w:rsid w:val="00454597"/>
    <w:rsid w:val="0045467E"/>
    <w:rsid w:val="004548E6"/>
    <w:rsid w:val="0045493D"/>
    <w:rsid w:val="004552F4"/>
    <w:rsid w:val="0045541F"/>
    <w:rsid w:val="0045543A"/>
    <w:rsid w:val="004556D9"/>
    <w:rsid w:val="00455D22"/>
    <w:rsid w:val="004561F9"/>
    <w:rsid w:val="0045637C"/>
    <w:rsid w:val="0045669F"/>
    <w:rsid w:val="0045695D"/>
    <w:rsid w:val="00460190"/>
    <w:rsid w:val="004610C6"/>
    <w:rsid w:val="00461BF2"/>
    <w:rsid w:val="004626F8"/>
    <w:rsid w:val="00462CAE"/>
    <w:rsid w:val="00462D35"/>
    <w:rsid w:val="00463416"/>
    <w:rsid w:val="00463540"/>
    <w:rsid w:val="00463869"/>
    <w:rsid w:val="00463A89"/>
    <w:rsid w:val="00463CF9"/>
    <w:rsid w:val="00463E79"/>
    <w:rsid w:val="00463EAF"/>
    <w:rsid w:val="00464A9C"/>
    <w:rsid w:val="00464BE1"/>
    <w:rsid w:val="00464E8F"/>
    <w:rsid w:val="00464F23"/>
    <w:rsid w:val="0046569F"/>
    <w:rsid w:val="004657B3"/>
    <w:rsid w:val="00465E1C"/>
    <w:rsid w:val="00466341"/>
    <w:rsid w:val="00466395"/>
    <w:rsid w:val="004667A9"/>
    <w:rsid w:val="00466C93"/>
    <w:rsid w:val="004676FA"/>
    <w:rsid w:val="004678C8"/>
    <w:rsid w:val="00467BC2"/>
    <w:rsid w:val="00467C44"/>
    <w:rsid w:val="00467CFB"/>
    <w:rsid w:val="00470418"/>
    <w:rsid w:val="00470ED0"/>
    <w:rsid w:val="00470F62"/>
    <w:rsid w:val="00471065"/>
    <w:rsid w:val="0047196C"/>
    <w:rsid w:val="00471E81"/>
    <w:rsid w:val="004724AF"/>
    <w:rsid w:val="00472620"/>
    <w:rsid w:val="0047272A"/>
    <w:rsid w:val="004727C4"/>
    <w:rsid w:val="004727E8"/>
    <w:rsid w:val="00472CD7"/>
    <w:rsid w:val="0047322A"/>
    <w:rsid w:val="00473379"/>
    <w:rsid w:val="0047352D"/>
    <w:rsid w:val="004743CB"/>
    <w:rsid w:val="00474B50"/>
    <w:rsid w:val="00475898"/>
    <w:rsid w:val="00475D4E"/>
    <w:rsid w:val="00475DCF"/>
    <w:rsid w:val="0047643C"/>
    <w:rsid w:val="0047652F"/>
    <w:rsid w:val="00476821"/>
    <w:rsid w:val="00476A79"/>
    <w:rsid w:val="00476FE9"/>
    <w:rsid w:val="0047742A"/>
    <w:rsid w:val="00477597"/>
    <w:rsid w:val="00477E4A"/>
    <w:rsid w:val="00477EE3"/>
    <w:rsid w:val="00477FAF"/>
    <w:rsid w:val="0048027B"/>
    <w:rsid w:val="0048050F"/>
    <w:rsid w:val="004809AD"/>
    <w:rsid w:val="00481213"/>
    <w:rsid w:val="00481272"/>
    <w:rsid w:val="004817B5"/>
    <w:rsid w:val="00481E94"/>
    <w:rsid w:val="00482199"/>
    <w:rsid w:val="0048231B"/>
    <w:rsid w:val="00482478"/>
    <w:rsid w:val="00482736"/>
    <w:rsid w:val="00482CCF"/>
    <w:rsid w:val="00482DF5"/>
    <w:rsid w:val="00483131"/>
    <w:rsid w:val="00483170"/>
    <w:rsid w:val="00483508"/>
    <w:rsid w:val="0048383D"/>
    <w:rsid w:val="004844AC"/>
    <w:rsid w:val="00484509"/>
    <w:rsid w:val="004851E8"/>
    <w:rsid w:val="00485580"/>
    <w:rsid w:val="00485811"/>
    <w:rsid w:val="00485DD7"/>
    <w:rsid w:val="00485E3C"/>
    <w:rsid w:val="004863D1"/>
    <w:rsid w:val="004869F8"/>
    <w:rsid w:val="00486A68"/>
    <w:rsid w:val="00486B09"/>
    <w:rsid w:val="00486C0C"/>
    <w:rsid w:val="00487644"/>
    <w:rsid w:val="00487CFA"/>
    <w:rsid w:val="004901CA"/>
    <w:rsid w:val="00490A10"/>
    <w:rsid w:val="00490A62"/>
    <w:rsid w:val="00490E9E"/>
    <w:rsid w:val="00491F9F"/>
    <w:rsid w:val="004920D9"/>
    <w:rsid w:val="0049242A"/>
    <w:rsid w:val="00492735"/>
    <w:rsid w:val="00492B25"/>
    <w:rsid w:val="00492EC7"/>
    <w:rsid w:val="004931EB"/>
    <w:rsid w:val="004934C8"/>
    <w:rsid w:val="00493C96"/>
    <w:rsid w:val="004945D4"/>
    <w:rsid w:val="00494932"/>
    <w:rsid w:val="00494D50"/>
    <w:rsid w:val="00494FC9"/>
    <w:rsid w:val="00494FF0"/>
    <w:rsid w:val="004950F8"/>
    <w:rsid w:val="00495211"/>
    <w:rsid w:val="004956F2"/>
    <w:rsid w:val="00495B23"/>
    <w:rsid w:val="00495E19"/>
    <w:rsid w:val="00496087"/>
    <w:rsid w:val="00496AD4"/>
    <w:rsid w:val="00496CBE"/>
    <w:rsid w:val="00496D1E"/>
    <w:rsid w:val="00497512"/>
    <w:rsid w:val="00497818"/>
    <w:rsid w:val="00497D2A"/>
    <w:rsid w:val="004A0324"/>
    <w:rsid w:val="004A034D"/>
    <w:rsid w:val="004A065C"/>
    <w:rsid w:val="004A06B2"/>
    <w:rsid w:val="004A0BDB"/>
    <w:rsid w:val="004A0C25"/>
    <w:rsid w:val="004A0D4D"/>
    <w:rsid w:val="004A0D79"/>
    <w:rsid w:val="004A0E76"/>
    <w:rsid w:val="004A1222"/>
    <w:rsid w:val="004A1EA2"/>
    <w:rsid w:val="004A201B"/>
    <w:rsid w:val="004A2604"/>
    <w:rsid w:val="004A27B0"/>
    <w:rsid w:val="004A2B6F"/>
    <w:rsid w:val="004A2EB2"/>
    <w:rsid w:val="004A3807"/>
    <w:rsid w:val="004A3A38"/>
    <w:rsid w:val="004A3BB0"/>
    <w:rsid w:val="004A3BB4"/>
    <w:rsid w:val="004A4377"/>
    <w:rsid w:val="004A4D2B"/>
    <w:rsid w:val="004A525D"/>
    <w:rsid w:val="004A52C4"/>
    <w:rsid w:val="004A53C4"/>
    <w:rsid w:val="004A57EB"/>
    <w:rsid w:val="004A5824"/>
    <w:rsid w:val="004A6211"/>
    <w:rsid w:val="004B0095"/>
    <w:rsid w:val="004B02EA"/>
    <w:rsid w:val="004B181D"/>
    <w:rsid w:val="004B1CAB"/>
    <w:rsid w:val="004B204F"/>
    <w:rsid w:val="004B274E"/>
    <w:rsid w:val="004B36ED"/>
    <w:rsid w:val="004B398F"/>
    <w:rsid w:val="004B3D44"/>
    <w:rsid w:val="004B40A0"/>
    <w:rsid w:val="004B41B5"/>
    <w:rsid w:val="004B4C04"/>
    <w:rsid w:val="004B5171"/>
    <w:rsid w:val="004B57A6"/>
    <w:rsid w:val="004B5895"/>
    <w:rsid w:val="004B5F8F"/>
    <w:rsid w:val="004B612E"/>
    <w:rsid w:val="004B6202"/>
    <w:rsid w:val="004B623B"/>
    <w:rsid w:val="004B63F2"/>
    <w:rsid w:val="004B6D84"/>
    <w:rsid w:val="004B6E31"/>
    <w:rsid w:val="004B7226"/>
    <w:rsid w:val="004C0625"/>
    <w:rsid w:val="004C1315"/>
    <w:rsid w:val="004C1931"/>
    <w:rsid w:val="004C1BAB"/>
    <w:rsid w:val="004C1E13"/>
    <w:rsid w:val="004C1EA7"/>
    <w:rsid w:val="004C2101"/>
    <w:rsid w:val="004C21B7"/>
    <w:rsid w:val="004C231F"/>
    <w:rsid w:val="004C2A81"/>
    <w:rsid w:val="004C31EF"/>
    <w:rsid w:val="004C3BF9"/>
    <w:rsid w:val="004C3E02"/>
    <w:rsid w:val="004C3EE4"/>
    <w:rsid w:val="004C4010"/>
    <w:rsid w:val="004C422D"/>
    <w:rsid w:val="004C4CEB"/>
    <w:rsid w:val="004C4D63"/>
    <w:rsid w:val="004C56BE"/>
    <w:rsid w:val="004C5CF1"/>
    <w:rsid w:val="004C667A"/>
    <w:rsid w:val="004C66A9"/>
    <w:rsid w:val="004C6D8E"/>
    <w:rsid w:val="004C7634"/>
    <w:rsid w:val="004C76FA"/>
    <w:rsid w:val="004C7A27"/>
    <w:rsid w:val="004C7CAC"/>
    <w:rsid w:val="004C7CE4"/>
    <w:rsid w:val="004D000F"/>
    <w:rsid w:val="004D0538"/>
    <w:rsid w:val="004D0551"/>
    <w:rsid w:val="004D07A8"/>
    <w:rsid w:val="004D0D3E"/>
    <w:rsid w:val="004D1BE7"/>
    <w:rsid w:val="004D2379"/>
    <w:rsid w:val="004D28EF"/>
    <w:rsid w:val="004D2A4E"/>
    <w:rsid w:val="004D3733"/>
    <w:rsid w:val="004D3A58"/>
    <w:rsid w:val="004D414F"/>
    <w:rsid w:val="004D466E"/>
    <w:rsid w:val="004D47CE"/>
    <w:rsid w:val="004D49C4"/>
    <w:rsid w:val="004D4AE0"/>
    <w:rsid w:val="004D4CF1"/>
    <w:rsid w:val="004D5922"/>
    <w:rsid w:val="004D5A88"/>
    <w:rsid w:val="004D6019"/>
    <w:rsid w:val="004D60A0"/>
    <w:rsid w:val="004D69A2"/>
    <w:rsid w:val="004D6E54"/>
    <w:rsid w:val="004D6FAD"/>
    <w:rsid w:val="004D7BF4"/>
    <w:rsid w:val="004D7C41"/>
    <w:rsid w:val="004D7C92"/>
    <w:rsid w:val="004E00B8"/>
    <w:rsid w:val="004E0471"/>
    <w:rsid w:val="004E077B"/>
    <w:rsid w:val="004E0A57"/>
    <w:rsid w:val="004E0BD9"/>
    <w:rsid w:val="004E0E95"/>
    <w:rsid w:val="004E1156"/>
    <w:rsid w:val="004E1509"/>
    <w:rsid w:val="004E18E0"/>
    <w:rsid w:val="004E19BA"/>
    <w:rsid w:val="004E1AF8"/>
    <w:rsid w:val="004E23D0"/>
    <w:rsid w:val="004E242C"/>
    <w:rsid w:val="004E25FB"/>
    <w:rsid w:val="004E3061"/>
    <w:rsid w:val="004E3253"/>
    <w:rsid w:val="004E326C"/>
    <w:rsid w:val="004E35BF"/>
    <w:rsid w:val="004E38B2"/>
    <w:rsid w:val="004E3936"/>
    <w:rsid w:val="004E45B6"/>
    <w:rsid w:val="004E4AD8"/>
    <w:rsid w:val="004E4E4F"/>
    <w:rsid w:val="004E5760"/>
    <w:rsid w:val="004E57F7"/>
    <w:rsid w:val="004E58E4"/>
    <w:rsid w:val="004E5926"/>
    <w:rsid w:val="004E5D9C"/>
    <w:rsid w:val="004E6B8E"/>
    <w:rsid w:val="004E6E2E"/>
    <w:rsid w:val="004E7388"/>
    <w:rsid w:val="004E750D"/>
    <w:rsid w:val="004E7E87"/>
    <w:rsid w:val="004F031D"/>
    <w:rsid w:val="004F0543"/>
    <w:rsid w:val="004F0DDD"/>
    <w:rsid w:val="004F104E"/>
    <w:rsid w:val="004F114F"/>
    <w:rsid w:val="004F1E2E"/>
    <w:rsid w:val="004F1F62"/>
    <w:rsid w:val="004F243E"/>
    <w:rsid w:val="004F25B7"/>
    <w:rsid w:val="004F2F11"/>
    <w:rsid w:val="004F4435"/>
    <w:rsid w:val="004F48D9"/>
    <w:rsid w:val="004F4ACD"/>
    <w:rsid w:val="004F578B"/>
    <w:rsid w:val="004F63F8"/>
    <w:rsid w:val="004F713A"/>
    <w:rsid w:val="004F72AD"/>
    <w:rsid w:val="004F7408"/>
    <w:rsid w:val="004F7BA5"/>
    <w:rsid w:val="00500035"/>
    <w:rsid w:val="0050023A"/>
    <w:rsid w:val="0050088F"/>
    <w:rsid w:val="00500BDE"/>
    <w:rsid w:val="00500E97"/>
    <w:rsid w:val="00500F7A"/>
    <w:rsid w:val="005011A4"/>
    <w:rsid w:val="005012AD"/>
    <w:rsid w:val="00501F97"/>
    <w:rsid w:val="005020EF"/>
    <w:rsid w:val="00502122"/>
    <w:rsid w:val="0050241C"/>
    <w:rsid w:val="005027BB"/>
    <w:rsid w:val="0050319C"/>
    <w:rsid w:val="005037E1"/>
    <w:rsid w:val="00503B5C"/>
    <w:rsid w:val="00503B96"/>
    <w:rsid w:val="0050456A"/>
    <w:rsid w:val="00505563"/>
    <w:rsid w:val="00505E1D"/>
    <w:rsid w:val="00506697"/>
    <w:rsid w:val="005068E1"/>
    <w:rsid w:val="00506CE0"/>
    <w:rsid w:val="005070EA"/>
    <w:rsid w:val="0050760D"/>
    <w:rsid w:val="005076E3"/>
    <w:rsid w:val="005077C5"/>
    <w:rsid w:val="00507A65"/>
    <w:rsid w:val="00510870"/>
    <w:rsid w:val="005110BA"/>
    <w:rsid w:val="0051168A"/>
    <w:rsid w:val="00512085"/>
    <w:rsid w:val="005122F4"/>
    <w:rsid w:val="00513007"/>
    <w:rsid w:val="00513BC7"/>
    <w:rsid w:val="005140C6"/>
    <w:rsid w:val="00514197"/>
    <w:rsid w:val="005141DA"/>
    <w:rsid w:val="00514DDB"/>
    <w:rsid w:val="00514E36"/>
    <w:rsid w:val="00515172"/>
    <w:rsid w:val="00515316"/>
    <w:rsid w:val="00515422"/>
    <w:rsid w:val="005156A6"/>
    <w:rsid w:val="00515794"/>
    <w:rsid w:val="0051636C"/>
    <w:rsid w:val="00516393"/>
    <w:rsid w:val="005170C9"/>
    <w:rsid w:val="0052073C"/>
    <w:rsid w:val="00520949"/>
    <w:rsid w:val="00520B4F"/>
    <w:rsid w:val="00521E21"/>
    <w:rsid w:val="0052237A"/>
    <w:rsid w:val="00522423"/>
    <w:rsid w:val="00522DB0"/>
    <w:rsid w:val="00523306"/>
    <w:rsid w:val="00523B66"/>
    <w:rsid w:val="00523EB7"/>
    <w:rsid w:val="00523EF2"/>
    <w:rsid w:val="00523F51"/>
    <w:rsid w:val="00524016"/>
    <w:rsid w:val="005244A4"/>
    <w:rsid w:val="00524AD7"/>
    <w:rsid w:val="00525727"/>
    <w:rsid w:val="0052591E"/>
    <w:rsid w:val="00525B43"/>
    <w:rsid w:val="00525F07"/>
    <w:rsid w:val="0052639A"/>
    <w:rsid w:val="00526477"/>
    <w:rsid w:val="005265B9"/>
    <w:rsid w:val="00526691"/>
    <w:rsid w:val="00526D7E"/>
    <w:rsid w:val="00527AE0"/>
    <w:rsid w:val="0053027E"/>
    <w:rsid w:val="005312E8"/>
    <w:rsid w:val="005313F7"/>
    <w:rsid w:val="00531ACC"/>
    <w:rsid w:val="00531E8D"/>
    <w:rsid w:val="00531F39"/>
    <w:rsid w:val="00532607"/>
    <w:rsid w:val="00532767"/>
    <w:rsid w:val="005328BA"/>
    <w:rsid w:val="00532B70"/>
    <w:rsid w:val="005333EA"/>
    <w:rsid w:val="00533920"/>
    <w:rsid w:val="00533DC4"/>
    <w:rsid w:val="0053480E"/>
    <w:rsid w:val="00534BA9"/>
    <w:rsid w:val="00534CB2"/>
    <w:rsid w:val="00534ED5"/>
    <w:rsid w:val="00535324"/>
    <w:rsid w:val="0053540E"/>
    <w:rsid w:val="00535521"/>
    <w:rsid w:val="00535969"/>
    <w:rsid w:val="005359D9"/>
    <w:rsid w:val="00535A1B"/>
    <w:rsid w:val="00535D6D"/>
    <w:rsid w:val="00535F4E"/>
    <w:rsid w:val="0053602B"/>
    <w:rsid w:val="005363C4"/>
    <w:rsid w:val="005366F8"/>
    <w:rsid w:val="0053678B"/>
    <w:rsid w:val="00536D31"/>
    <w:rsid w:val="00536DEF"/>
    <w:rsid w:val="005371C4"/>
    <w:rsid w:val="005371D4"/>
    <w:rsid w:val="0053749F"/>
    <w:rsid w:val="005404B0"/>
    <w:rsid w:val="005405E2"/>
    <w:rsid w:val="0054125E"/>
    <w:rsid w:val="005412E1"/>
    <w:rsid w:val="005418B9"/>
    <w:rsid w:val="005419F2"/>
    <w:rsid w:val="00541A05"/>
    <w:rsid w:val="00541C30"/>
    <w:rsid w:val="0054209B"/>
    <w:rsid w:val="0054216F"/>
    <w:rsid w:val="005422EB"/>
    <w:rsid w:val="0054294B"/>
    <w:rsid w:val="00542969"/>
    <w:rsid w:val="00542993"/>
    <w:rsid w:val="00542D37"/>
    <w:rsid w:val="00542F18"/>
    <w:rsid w:val="00543397"/>
    <w:rsid w:val="005439A1"/>
    <w:rsid w:val="00543C00"/>
    <w:rsid w:val="00544492"/>
    <w:rsid w:val="005446D3"/>
    <w:rsid w:val="00544824"/>
    <w:rsid w:val="00544853"/>
    <w:rsid w:val="00544984"/>
    <w:rsid w:val="00544B83"/>
    <w:rsid w:val="005450E2"/>
    <w:rsid w:val="005452E2"/>
    <w:rsid w:val="005453A0"/>
    <w:rsid w:val="005456F8"/>
    <w:rsid w:val="0054576E"/>
    <w:rsid w:val="00545F3B"/>
    <w:rsid w:val="0054750F"/>
    <w:rsid w:val="00547A40"/>
    <w:rsid w:val="00547AC8"/>
    <w:rsid w:val="00547E4C"/>
    <w:rsid w:val="0055001C"/>
    <w:rsid w:val="005500B1"/>
    <w:rsid w:val="0055086B"/>
    <w:rsid w:val="005508E3"/>
    <w:rsid w:val="00550D43"/>
    <w:rsid w:val="00550DD7"/>
    <w:rsid w:val="005511E2"/>
    <w:rsid w:val="005512D5"/>
    <w:rsid w:val="0055175A"/>
    <w:rsid w:val="00551B0D"/>
    <w:rsid w:val="00551DEC"/>
    <w:rsid w:val="00552096"/>
    <w:rsid w:val="0055245B"/>
    <w:rsid w:val="0055255F"/>
    <w:rsid w:val="00552717"/>
    <w:rsid w:val="005529FC"/>
    <w:rsid w:val="00553371"/>
    <w:rsid w:val="00553918"/>
    <w:rsid w:val="00553D54"/>
    <w:rsid w:val="00553F9F"/>
    <w:rsid w:val="005546BF"/>
    <w:rsid w:val="00554CB6"/>
    <w:rsid w:val="00554D3D"/>
    <w:rsid w:val="00554FC3"/>
    <w:rsid w:val="00555523"/>
    <w:rsid w:val="00555E0D"/>
    <w:rsid w:val="00556BF7"/>
    <w:rsid w:val="00556E02"/>
    <w:rsid w:val="00556F4A"/>
    <w:rsid w:val="0055764E"/>
    <w:rsid w:val="0055783F"/>
    <w:rsid w:val="00557CF4"/>
    <w:rsid w:val="00557D04"/>
    <w:rsid w:val="00560528"/>
    <w:rsid w:val="00560A5E"/>
    <w:rsid w:val="00560CD3"/>
    <w:rsid w:val="00560D92"/>
    <w:rsid w:val="005615E3"/>
    <w:rsid w:val="00561923"/>
    <w:rsid w:val="00561D24"/>
    <w:rsid w:val="0056295E"/>
    <w:rsid w:val="00562ED2"/>
    <w:rsid w:val="0056310A"/>
    <w:rsid w:val="00563B00"/>
    <w:rsid w:val="00563C49"/>
    <w:rsid w:val="0056592B"/>
    <w:rsid w:val="00565AC1"/>
    <w:rsid w:val="00565B0F"/>
    <w:rsid w:val="00565D0D"/>
    <w:rsid w:val="00566286"/>
    <w:rsid w:val="005668DF"/>
    <w:rsid w:val="00566920"/>
    <w:rsid w:val="00567223"/>
    <w:rsid w:val="00567A04"/>
    <w:rsid w:val="00567F76"/>
    <w:rsid w:val="00570215"/>
    <w:rsid w:val="00570239"/>
    <w:rsid w:val="005704CB"/>
    <w:rsid w:val="00570D7F"/>
    <w:rsid w:val="005710A9"/>
    <w:rsid w:val="005711C5"/>
    <w:rsid w:val="00571718"/>
    <w:rsid w:val="0057178D"/>
    <w:rsid w:val="00571D59"/>
    <w:rsid w:val="00571DED"/>
    <w:rsid w:val="00571F91"/>
    <w:rsid w:val="005725C5"/>
    <w:rsid w:val="00572CF9"/>
    <w:rsid w:val="00572E3E"/>
    <w:rsid w:val="00573335"/>
    <w:rsid w:val="00573345"/>
    <w:rsid w:val="00573619"/>
    <w:rsid w:val="005737F5"/>
    <w:rsid w:val="005741C2"/>
    <w:rsid w:val="00574209"/>
    <w:rsid w:val="0057420B"/>
    <w:rsid w:val="0057434B"/>
    <w:rsid w:val="005756E7"/>
    <w:rsid w:val="0057571E"/>
    <w:rsid w:val="00575951"/>
    <w:rsid w:val="00576330"/>
    <w:rsid w:val="0057657F"/>
    <w:rsid w:val="00577E70"/>
    <w:rsid w:val="00577E77"/>
    <w:rsid w:val="00580280"/>
    <w:rsid w:val="0058031C"/>
    <w:rsid w:val="005806CF"/>
    <w:rsid w:val="0058107A"/>
    <w:rsid w:val="0058135A"/>
    <w:rsid w:val="005815FE"/>
    <w:rsid w:val="005827AE"/>
    <w:rsid w:val="0058298F"/>
    <w:rsid w:val="00582C36"/>
    <w:rsid w:val="00583AB1"/>
    <w:rsid w:val="00583B4D"/>
    <w:rsid w:val="00583FDC"/>
    <w:rsid w:val="00584058"/>
    <w:rsid w:val="005847E2"/>
    <w:rsid w:val="00584E0C"/>
    <w:rsid w:val="00585571"/>
    <w:rsid w:val="005855F8"/>
    <w:rsid w:val="00585991"/>
    <w:rsid w:val="00585B91"/>
    <w:rsid w:val="005869CA"/>
    <w:rsid w:val="00586BF1"/>
    <w:rsid w:val="00586EB2"/>
    <w:rsid w:val="005872CC"/>
    <w:rsid w:val="0058745C"/>
    <w:rsid w:val="00587AE1"/>
    <w:rsid w:val="0059039A"/>
    <w:rsid w:val="005903E4"/>
    <w:rsid w:val="00590565"/>
    <w:rsid w:val="00590954"/>
    <w:rsid w:val="00591256"/>
    <w:rsid w:val="005917DF"/>
    <w:rsid w:val="00592899"/>
    <w:rsid w:val="00593386"/>
    <w:rsid w:val="00593C6E"/>
    <w:rsid w:val="00593F3D"/>
    <w:rsid w:val="0059424C"/>
    <w:rsid w:val="005943AE"/>
    <w:rsid w:val="0059442B"/>
    <w:rsid w:val="005946CA"/>
    <w:rsid w:val="00594826"/>
    <w:rsid w:val="0059494C"/>
    <w:rsid w:val="005950D6"/>
    <w:rsid w:val="00595486"/>
    <w:rsid w:val="00595762"/>
    <w:rsid w:val="005958D0"/>
    <w:rsid w:val="005962B6"/>
    <w:rsid w:val="005966B3"/>
    <w:rsid w:val="00596ED3"/>
    <w:rsid w:val="0059751C"/>
    <w:rsid w:val="00597827"/>
    <w:rsid w:val="0059786C"/>
    <w:rsid w:val="00597919"/>
    <w:rsid w:val="005A0000"/>
    <w:rsid w:val="005A03A2"/>
    <w:rsid w:val="005A0506"/>
    <w:rsid w:val="005A08FB"/>
    <w:rsid w:val="005A0B9F"/>
    <w:rsid w:val="005A0C48"/>
    <w:rsid w:val="005A0D08"/>
    <w:rsid w:val="005A0D31"/>
    <w:rsid w:val="005A1625"/>
    <w:rsid w:val="005A2D88"/>
    <w:rsid w:val="005A2FCE"/>
    <w:rsid w:val="005A3095"/>
    <w:rsid w:val="005A3ACA"/>
    <w:rsid w:val="005A3B1B"/>
    <w:rsid w:val="005A42FD"/>
    <w:rsid w:val="005A4385"/>
    <w:rsid w:val="005A4707"/>
    <w:rsid w:val="005A47E3"/>
    <w:rsid w:val="005A496B"/>
    <w:rsid w:val="005A4CEF"/>
    <w:rsid w:val="005A5171"/>
    <w:rsid w:val="005A5815"/>
    <w:rsid w:val="005A5D1A"/>
    <w:rsid w:val="005A6089"/>
    <w:rsid w:val="005A63D8"/>
    <w:rsid w:val="005A73D7"/>
    <w:rsid w:val="005A7467"/>
    <w:rsid w:val="005A7527"/>
    <w:rsid w:val="005A7DBE"/>
    <w:rsid w:val="005A7E63"/>
    <w:rsid w:val="005B04DF"/>
    <w:rsid w:val="005B075B"/>
    <w:rsid w:val="005B1082"/>
    <w:rsid w:val="005B152A"/>
    <w:rsid w:val="005B1EB5"/>
    <w:rsid w:val="005B21E6"/>
    <w:rsid w:val="005B2378"/>
    <w:rsid w:val="005B270C"/>
    <w:rsid w:val="005B2C3A"/>
    <w:rsid w:val="005B32CE"/>
    <w:rsid w:val="005B33DC"/>
    <w:rsid w:val="005B3479"/>
    <w:rsid w:val="005B34EE"/>
    <w:rsid w:val="005B3568"/>
    <w:rsid w:val="005B3606"/>
    <w:rsid w:val="005B3972"/>
    <w:rsid w:val="005B3ED7"/>
    <w:rsid w:val="005B446E"/>
    <w:rsid w:val="005B49B6"/>
    <w:rsid w:val="005B4A45"/>
    <w:rsid w:val="005B4D55"/>
    <w:rsid w:val="005B54AB"/>
    <w:rsid w:val="005B5D5E"/>
    <w:rsid w:val="005B5FDA"/>
    <w:rsid w:val="005B68A7"/>
    <w:rsid w:val="005B6986"/>
    <w:rsid w:val="005B6AD2"/>
    <w:rsid w:val="005B6E36"/>
    <w:rsid w:val="005B74C5"/>
    <w:rsid w:val="005B7733"/>
    <w:rsid w:val="005B7A22"/>
    <w:rsid w:val="005C00C1"/>
    <w:rsid w:val="005C047D"/>
    <w:rsid w:val="005C04C8"/>
    <w:rsid w:val="005C0602"/>
    <w:rsid w:val="005C1820"/>
    <w:rsid w:val="005C19A8"/>
    <w:rsid w:val="005C1D01"/>
    <w:rsid w:val="005C2114"/>
    <w:rsid w:val="005C2362"/>
    <w:rsid w:val="005C25DD"/>
    <w:rsid w:val="005C2B3C"/>
    <w:rsid w:val="005C2E28"/>
    <w:rsid w:val="005C3015"/>
    <w:rsid w:val="005C3069"/>
    <w:rsid w:val="005C343C"/>
    <w:rsid w:val="005C37F5"/>
    <w:rsid w:val="005C3C22"/>
    <w:rsid w:val="005C3DB2"/>
    <w:rsid w:val="005C3ECE"/>
    <w:rsid w:val="005C3F10"/>
    <w:rsid w:val="005C40C7"/>
    <w:rsid w:val="005C42B0"/>
    <w:rsid w:val="005C430E"/>
    <w:rsid w:val="005C438F"/>
    <w:rsid w:val="005C4A96"/>
    <w:rsid w:val="005C4C7F"/>
    <w:rsid w:val="005C4CC6"/>
    <w:rsid w:val="005C5042"/>
    <w:rsid w:val="005C5B37"/>
    <w:rsid w:val="005C63FA"/>
    <w:rsid w:val="005C75D1"/>
    <w:rsid w:val="005C773A"/>
    <w:rsid w:val="005C7C28"/>
    <w:rsid w:val="005C7DD7"/>
    <w:rsid w:val="005D00CC"/>
    <w:rsid w:val="005D0512"/>
    <w:rsid w:val="005D058E"/>
    <w:rsid w:val="005D082B"/>
    <w:rsid w:val="005D0976"/>
    <w:rsid w:val="005D097F"/>
    <w:rsid w:val="005D0E7C"/>
    <w:rsid w:val="005D0E9B"/>
    <w:rsid w:val="005D1576"/>
    <w:rsid w:val="005D1762"/>
    <w:rsid w:val="005D1D9F"/>
    <w:rsid w:val="005D2217"/>
    <w:rsid w:val="005D2507"/>
    <w:rsid w:val="005D2667"/>
    <w:rsid w:val="005D3E22"/>
    <w:rsid w:val="005D3EBB"/>
    <w:rsid w:val="005D3ED4"/>
    <w:rsid w:val="005D42B4"/>
    <w:rsid w:val="005D4AFC"/>
    <w:rsid w:val="005D4CF7"/>
    <w:rsid w:val="005D51D9"/>
    <w:rsid w:val="005D52FB"/>
    <w:rsid w:val="005D5347"/>
    <w:rsid w:val="005D570F"/>
    <w:rsid w:val="005D5CC5"/>
    <w:rsid w:val="005D5E85"/>
    <w:rsid w:val="005D6732"/>
    <w:rsid w:val="005D69FE"/>
    <w:rsid w:val="005D71F8"/>
    <w:rsid w:val="005D787B"/>
    <w:rsid w:val="005D7E93"/>
    <w:rsid w:val="005E0949"/>
    <w:rsid w:val="005E0E20"/>
    <w:rsid w:val="005E0F03"/>
    <w:rsid w:val="005E12BE"/>
    <w:rsid w:val="005E1374"/>
    <w:rsid w:val="005E1467"/>
    <w:rsid w:val="005E3DF8"/>
    <w:rsid w:val="005E4660"/>
    <w:rsid w:val="005E4976"/>
    <w:rsid w:val="005E49F5"/>
    <w:rsid w:val="005E4B27"/>
    <w:rsid w:val="005E515C"/>
    <w:rsid w:val="005E6499"/>
    <w:rsid w:val="005E6505"/>
    <w:rsid w:val="005E6FD7"/>
    <w:rsid w:val="005E75E3"/>
    <w:rsid w:val="005E7BE6"/>
    <w:rsid w:val="005E7ECD"/>
    <w:rsid w:val="005E7F37"/>
    <w:rsid w:val="005F01E5"/>
    <w:rsid w:val="005F0215"/>
    <w:rsid w:val="005F0EF5"/>
    <w:rsid w:val="005F1267"/>
    <w:rsid w:val="005F1A0D"/>
    <w:rsid w:val="005F1D43"/>
    <w:rsid w:val="005F2132"/>
    <w:rsid w:val="005F2A12"/>
    <w:rsid w:val="005F2E4C"/>
    <w:rsid w:val="005F2EA8"/>
    <w:rsid w:val="005F322F"/>
    <w:rsid w:val="005F3322"/>
    <w:rsid w:val="005F3751"/>
    <w:rsid w:val="005F3EC3"/>
    <w:rsid w:val="005F4136"/>
    <w:rsid w:val="005F446D"/>
    <w:rsid w:val="005F4713"/>
    <w:rsid w:val="005F48D6"/>
    <w:rsid w:val="005F584B"/>
    <w:rsid w:val="005F637A"/>
    <w:rsid w:val="005F64C6"/>
    <w:rsid w:val="005F6B1A"/>
    <w:rsid w:val="005F6E55"/>
    <w:rsid w:val="005F6F87"/>
    <w:rsid w:val="005F76FB"/>
    <w:rsid w:val="005F784D"/>
    <w:rsid w:val="005F7A0B"/>
    <w:rsid w:val="00600089"/>
    <w:rsid w:val="00600677"/>
    <w:rsid w:val="0060081A"/>
    <w:rsid w:val="006008F1"/>
    <w:rsid w:val="00600C01"/>
    <w:rsid w:val="006014DB"/>
    <w:rsid w:val="00601735"/>
    <w:rsid w:val="006018B5"/>
    <w:rsid w:val="00601BE4"/>
    <w:rsid w:val="00601D85"/>
    <w:rsid w:val="006022E0"/>
    <w:rsid w:val="006025F2"/>
    <w:rsid w:val="00602AC4"/>
    <w:rsid w:val="00602B46"/>
    <w:rsid w:val="00602BD2"/>
    <w:rsid w:val="00603480"/>
    <w:rsid w:val="006039B8"/>
    <w:rsid w:val="00603A79"/>
    <w:rsid w:val="00603D7A"/>
    <w:rsid w:val="00604174"/>
    <w:rsid w:val="00604356"/>
    <w:rsid w:val="00604B87"/>
    <w:rsid w:val="00605275"/>
    <w:rsid w:val="00605529"/>
    <w:rsid w:val="006059DB"/>
    <w:rsid w:val="00605A3E"/>
    <w:rsid w:val="00605CAB"/>
    <w:rsid w:val="00605DAE"/>
    <w:rsid w:val="00605DB9"/>
    <w:rsid w:val="0060650E"/>
    <w:rsid w:val="006065CF"/>
    <w:rsid w:val="00606604"/>
    <w:rsid w:val="00606A48"/>
    <w:rsid w:val="00606E5D"/>
    <w:rsid w:val="0060725E"/>
    <w:rsid w:val="006076EF"/>
    <w:rsid w:val="006079C8"/>
    <w:rsid w:val="0061066F"/>
    <w:rsid w:val="00610CBA"/>
    <w:rsid w:val="00610F39"/>
    <w:rsid w:val="00611DEF"/>
    <w:rsid w:val="00611F28"/>
    <w:rsid w:val="00612E59"/>
    <w:rsid w:val="0061315B"/>
    <w:rsid w:val="006132CC"/>
    <w:rsid w:val="0061352F"/>
    <w:rsid w:val="0061375F"/>
    <w:rsid w:val="00613C12"/>
    <w:rsid w:val="00613C47"/>
    <w:rsid w:val="00614071"/>
    <w:rsid w:val="00614292"/>
    <w:rsid w:val="006148AC"/>
    <w:rsid w:val="006153E5"/>
    <w:rsid w:val="00615525"/>
    <w:rsid w:val="00615544"/>
    <w:rsid w:val="00615651"/>
    <w:rsid w:val="00615654"/>
    <w:rsid w:val="00615901"/>
    <w:rsid w:val="00616201"/>
    <w:rsid w:val="00616225"/>
    <w:rsid w:val="00616C1C"/>
    <w:rsid w:val="00616D5E"/>
    <w:rsid w:val="00616EEC"/>
    <w:rsid w:val="00617270"/>
    <w:rsid w:val="00617A8B"/>
    <w:rsid w:val="00617C23"/>
    <w:rsid w:val="006200B8"/>
    <w:rsid w:val="0062040C"/>
    <w:rsid w:val="00620422"/>
    <w:rsid w:val="00620552"/>
    <w:rsid w:val="006208F9"/>
    <w:rsid w:val="00620A9B"/>
    <w:rsid w:val="00620CE4"/>
    <w:rsid w:val="006219A0"/>
    <w:rsid w:val="00621F46"/>
    <w:rsid w:val="0062224C"/>
    <w:rsid w:val="006223C7"/>
    <w:rsid w:val="006227FA"/>
    <w:rsid w:val="00622FEA"/>
    <w:rsid w:val="0062349B"/>
    <w:rsid w:val="006239E8"/>
    <w:rsid w:val="00623B67"/>
    <w:rsid w:val="00623CDF"/>
    <w:rsid w:val="00623DB1"/>
    <w:rsid w:val="00623FC2"/>
    <w:rsid w:val="006241D2"/>
    <w:rsid w:val="006245F3"/>
    <w:rsid w:val="006246AF"/>
    <w:rsid w:val="00624B63"/>
    <w:rsid w:val="00624E6F"/>
    <w:rsid w:val="006252E6"/>
    <w:rsid w:val="0062552F"/>
    <w:rsid w:val="00625966"/>
    <w:rsid w:val="00625B47"/>
    <w:rsid w:val="00625D54"/>
    <w:rsid w:val="00625FC9"/>
    <w:rsid w:val="00626A11"/>
    <w:rsid w:val="00626BE7"/>
    <w:rsid w:val="0062726B"/>
    <w:rsid w:val="00627ED6"/>
    <w:rsid w:val="006304D2"/>
    <w:rsid w:val="00630C76"/>
    <w:rsid w:val="006319CA"/>
    <w:rsid w:val="00633107"/>
    <w:rsid w:val="00633A3C"/>
    <w:rsid w:val="00633F60"/>
    <w:rsid w:val="00634498"/>
    <w:rsid w:val="00634932"/>
    <w:rsid w:val="00634EC0"/>
    <w:rsid w:val="00635D83"/>
    <w:rsid w:val="0063627F"/>
    <w:rsid w:val="006362FE"/>
    <w:rsid w:val="006364D6"/>
    <w:rsid w:val="00636C26"/>
    <w:rsid w:val="006370A6"/>
    <w:rsid w:val="00637785"/>
    <w:rsid w:val="00637988"/>
    <w:rsid w:val="00637A76"/>
    <w:rsid w:val="00637EE5"/>
    <w:rsid w:val="00640F42"/>
    <w:rsid w:val="006411E4"/>
    <w:rsid w:val="0064140B"/>
    <w:rsid w:val="006415C7"/>
    <w:rsid w:val="00641868"/>
    <w:rsid w:val="006419A2"/>
    <w:rsid w:val="00641EFC"/>
    <w:rsid w:val="00641F02"/>
    <w:rsid w:val="0064266A"/>
    <w:rsid w:val="00642ADE"/>
    <w:rsid w:val="00642B24"/>
    <w:rsid w:val="00642D72"/>
    <w:rsid w:val="006431BC"/>
    <w:rsid w:val="00643671"/>
    <w:rsid w:val="00643819"/>
    <w:rsid w:val="00643B4C"/>
    <w:rsid w:val="00643C2F"/>
    <w:rsid w:val="00643F85"/>
    <w:rsid w:val="006443CB"/>
    <w:rsid w:val="00644A19"/>
    <w:rsid w:val="00644F80"/>
    <w:rsid w:val="00645088"/>
    <w:rsid w:val="00645874"/>
    <w:rsid w:val="006479E0"/>
    <w:rsid w:val="00647A43"/>
    <w:rsid w:val="00647B53"/>
    <w:rsid w:val="00647D78"/>
    <w:rsid w:val="00647F7B"/>
    <w:rsid w:val="0065074A"/>
    <w:rsid w:val="00650DD0"/>
    <w:rsid w:val="00650E7A"/>
    <w:rsid w:val="00650EE4"/>
    <w:rsid w:val="0065124B"/>
    <w:rsid w:val="00651382"/>
    <w:rsid w:val="006517DD"/>
    <w:rsid w:val="00651E96"/>
    <w:rsid w:val="00652AB2"/>
    <w:rsid w:val="00652CCD"/>
    <w:rsid w:val="006530C9"/>
    <w:rsid w:val="006533F3"/>
    <w:rsid w:val="00653579"/>
    <w:rsid w:val="00653622"/>
    <w:rsid w:val="00653FE6"/>
    <w:rsid w:val="0065446A"/>
    <w:rsid w:val="00654767"/>
    <w:rsid w:val="00654C11"/>
    <w:rsid w:val="00654EB9"/>
    <w:rsid w:val="006551F6"/>
    <w:rsid w:val="0065552B"/>
    <w:rsid w:val="006558F8"/>
    <w:rsid w:val="006564DF"/>
    <w:rsid w:val="006566ED"/>
    <w:rsid w:val="00656B4B"/>
    <w:rsid w:val="006577CC"/>
    <w:rsid w:val="006578D7"/>
    <w:rsid w:val="00660024"/>
    <w:rsid w:val="00660B46"/>
    <w:rsid w:val="00660F6F"/>
    <w:rsid w:val="00661283"/>
    <w:rsid w:val="0066129E"/>
    <w:rsid w:val="00661918"/>
    <w:rsid w:val="00661F08"/>
    <w:rsid w:val="00662130"/>
    <w:rsid w:val="0066226E"/>
    <w:rsid w:val="00662A5A"/>
    <w:rsid w:val="00662B31"/>
    <w:rsid w:val="00662B7E"/>
    <w:rsid w:val="00662F7D"/>
    <w:rsid w:val="0066318E"/>
    <w:rsid w:val="006641C4"/>
    <w:rsid w:val="00664292"/>
    <w:rsid w:val="00664875"/>
    <w:rsid w:val="006653D7"/>
    <w:rsid w:val="006654F3"/>
    <w:rsid w:val="00665F5E"/>
    <w:rsid w:val="00666129"/>
    <w:rsid w:val="006665BA"/>
    <w:rsid w:val="006665FE"/>
    <w:rsid w:val="00666A4F"/>
    <w:rsid w:val="00667106"/>
    <w:rsid w:val="00667111"/>
    <w:rsid w:val="0066720F"/>
    <w:rsid w:val="00667328"/>
    <w:rsid w:val="00667662"/>
    <w:rsid w:val="006703AA"/>
    <w:rsid w:val="006703D9"/>
    <w:rsid w:val="006704B8"/>
    <w:rsid w:val="006704F6"/>
    <w:rsid w:val="006708EA"/>
    <w:rsid w:val="00671091"/>
    <w:rsid w:val="00671AC7"/>
    <w:rsid w:val="00672154"/>
    <w:rsid w:val="00672B6A"/>
    <w:rsid w:val="00672D8D"/>
    <w:rsid w:val="006740E3"/>
    <w:rsid w:val="0067426D"/>
    <w:rsid w:val="006745EC"/>
    <w:rsid w:val="00674713"/>
    <w:rsid w:val="0067545E"/>
    <w:rsid w:val="006758D1"/>
    <w:rsid w:val="0067650C"/>
    <w:rsid w:val="00676E43"/>
    <w:rsid w:val="00677435"/>
    <w:rsid w:val="00677C33"/>
    <w:rsid w:val="00680102"/>
    <w:rsid w:val="006803B4"/>
    <w:rsid w:val="00680936"/>
    <w:rsid w:val="00680D8C"/>
    <w:rsid w:val="00681236"/>
    <w:rsid w:val="0068165C"/>
    <w:rsid w:val="006818B4"/>
    <w:rsid w:val="00681C66"/>
    <w:rsid w:val="006820E0"/>
    <w:rsid w:val="00682221"/>
    <w:rsid w:val="006826B4"/>
    <w:rsid w:val="00682725"/>
    <w:rsid w:val="006828DF"/>
    <w:rsid w:val="00682AED"/>
    <w:rsid w:val="00682C03"/>
    <w:rsid w:val="00682D87"/>
    <w:rsid w:val="00683158"/>
    <w:rsid w:val="00683502"/>
    <w:rsid w:val="006836B2"/>
    <w:rsid w:val="00683A1C"/>
    <w:rsid w:val="00683A1E"/>
    <w:rsid w:val="0068413E"/>
    <w:rsid w:val="00684387"/>
    <w:rsid w:val="006845A2"/>
    <w:rsid w:val="006853A4"/>
    <w:rsid w:val="0068558F"/>
    <w:rsid w:val="006856C0"/>
    <w:rsid w:val="006862B9"/>
    <w:rsid w:val="006864E1"/>
    <w:rsid w:val="00686546"/>
    <w:rsid w:val="006865F1"/>
    <w:rsid w:val="00686871"/>
    <w:rsid w:val="00686948"/>
    <w:rsid w:val="006876CE"/>
    <w:rsid w:val="006877FF"/>
    <w:rsid w:val="0068793A"/>
    <w:rsid w:val="00687B34"/>
    <w:rsid w:val="00690781"/>
    <w:rsid w:val="006907A1"/>
    <w:rsid w:val="00690B17"/>
    <w:rsid w:val="00690CD7"/>
    <w:rsid w:val="0069128F"/>
    <w:rsid w:val="00691404"/>
    <w:rsid w:val="00691580"/>
    <w:rsid w:val="006920A6"/>
    <w:rsid w:val="00692582"/>
    <w:rsid w:val="006926E2"/>
    <w:rsid w:val="006929D9"/>
    <w:rsid w:val="00692FF6"/>
    <w:rsid w:val="00692FFA"/>
    <w:rsid w:val="0069350A"/>
    <w:rsid w:val="00693652"/>
    <w:rsid w:val="0069369F"/>
    <w:rsid w:val="0069376C"/>
    <w:rsid w:val="006939E7"/>
    <w:rsid w:val="00693D3E"/>
    <w:rsid w:val="006942F7"/>
    <w:rsid w:val="0069438B"/>
    <w:rsid w:val="00694E91"/>
    <w:rsid w:val="00695396"/>
    <w:rsid w:val="006954A0"/>
    <w:rsid w:val="00695620"/>
    <w:rsid w:val="00695659"/>
    <w:rsid w:val="0069582C"/>
    <w:rsid w:val="00695D76"/>
    <w:rsid w:val="00696A0F"/>
    <w:rsid w:val="006971D2"/>
    <w:rsid w:val="00697413"/>
    <w:rsid w:val="00697669"/>
    <w:rsid w:val="00697AE8"/>
    <w:rsid w:val="00697F01"/>
    <w:rsid w:val="006A15BA"/>
    <w:rsid w:val="006A1AAE"/>
    <w:rsid w:val="006A1EEA"/>
    <w:rsid w:val="006A2150"/>
    <w:rsid w:val="006A241D"/>
    <w:rsid w:val="006A24EA"/>
    <w:rsid w:val="006A2B0C"/>
    <w:rsid w:val="006A2C61"/>
    <w:rsid w:val="006A2D13"/>
    <w:rsid w:val="006A3288"/>
    <w:rsid w:val="006A35A2"/>
    <w:rsid w:val="006A3C54"/>
    <w:rsid w:val="006A3DE6"/>
    <w:rsid w:val="006A3E6B"/>
    <w:rsid w:val="006A43E6"/>
    <w:rsid w:val="006A45B1"/>
    <w:rsid w:val="006A4A1E"/>
    <w:rsid w:val="006A50C7"/>
    <w:rsid w:val="006A5741"/>
    <w:rsid w:val="006A5CD5"/>
    <w:rsid w:val="006A5D9B"/>
    <w:rsid w:val="006A5E28"/>
    <w:rsid w:val="006A5E65"/>
    <w:rsid w:val="006A5EF5"/>
    <w:rsid w:val="006A67BC"/>
    <w:rsid w:val="006A6A3A"/>
    <w:rsid w:val="006A70BE"/>
    <w:rsid w:val="006A7662"/>
    <w:rsid w:val="006A7ACA"/>
    <w:rsid w:val="006A7F39"/>
    <w:rsid w:val="006A7FD0"/>
    <w:rsid w:val="006B0121"/>
    <w:rsid w:val="006B0128"/>
    <w:rsid w:val="006B0260"/>
    <w:rsid w:val="006B0334"/>
    <w:rsid w:val="006B059F"/>
    <w:rsid w:val="006B0C6D"/>
    <w:rsid w:val="006B1011"/>
    <w:rsid w:val="006B134D"/>
    <w:rsid w:val="006B1A20"/>
    <w:rsid w:val="006B1C7C"/>
    <w:rsid w:val="006B1EC8"/>
    <w:rsid w:val="006B2136"/>
    <w:rsid w:val="006B2B64"/>
    <w:rsid w:val="006B2BD2"/>
    <w:rsid w:val="006B3063"/>
    <w:rsid w:val="006B3086"/>
    <w:rsid w:val="006B3568"/>
    <w:rsid w:val="006B3D99"/>
    <w:rsid w:val="006B4547"/>
    <w:rsid w:val="006B5752"/>
    <w:rsid w:val="006B5BF9"/>
    <w:rsid w:val="006B63D8"/>
    <w:rsid w:val="006B6BD0"/>
    <w:rsid w:val="006B6F32"/>
    <w:rsid w:val="006B7130"/>
    <w:rsid w:val="006B7D4A"/>
    <w:rsid w:val="006B7E8A"/>
    <w:rsid w:val="006B7EF5"/>
    <w:rsid w:val="006C0D76"/>
    <w:rsid w:val="006C1401"/>
    <w:rsid w:val="006C201C"/>
    <w:rsid w:val="006C211C"/>
    <w:rsid w:val="006C22C1"/>
    <w:rsid w:val="006C397B"/>
    <w:rsid w:val="006C408A"/>
    <w:rsid w:val="006C4150"/>
    <w:rsid w:val="006C4728"/>
    <w:rsid w:val="006C507B"/>
    <w:rsid w:val="006C5186"/>
    <w:rsid w:val="006C5189"/>
    <w:rsid w:val="006C51DA"/>
    <w:rsid w:val="006C5214"/>
    <w:rsid w:val="006C5683"/>
    <w:rsid w:val="006C5E33"/>
    <w:rsid w:val="006C5E48"/>
    <w:rsid w:val="006C6295"/>
    <w:rsid w:val="006C6434"/>
    <w:rsid w:val="006C6552"/>
    <w:rsid w:val="006C65CC"/>
    <w:rsid w:val="006C6B08"/>
    <w:rsid w:val="006C6CD8"/>
    <w:rsid w:val="006C6CF4"/>
    <w:rsid w:val="006C7FD4"/>
    <w:rsid w:val="006D013F"/>
    <w:rsid w:val="006D017F"/>
    <w:rsid w:val="006D032D"/>
    <w:rsid w:val="006D0696"/>
    <w:rsid w:val="006D08DF"/>
    <w:rsid w:val="006D0A14"/>
    <w:rsid w:val="006D0A45"/>
    <w:rsid w:val="006D10BF"/>
    <w:rsid w:val="006D11E1"/>
    <w:rsid w:val="006D17B1"/>
    <w:rsid w:val="006D1836"/>
    <w:rsid w:val="006D1D3F"/>
    <w:rsid w:val="006D20B4"/>
    <w:rsid w:val="006D211A"/>
    <w:rsid w:val="006D253B"/>
    <w:rsid w:val="006D2CCC"/>
    <w:rsid w:val="006D3C1D"/>
    <w:rsid w:val="006D3C4F"/>
    <w:rsid w:val="006D44D0"/>
    <w:rsid w:val="006D471A"/>
    <w:rsid w:val="006D4C56"/>
    <w:rsid w:val="006D4F07"/>
    <w:rsid w:val="006D5625"/>
    <w:rsid w:val="006D57CB"/>
    <w:rsid w:val="006D5A82"/>
    <w:rsid w:val="006D5D92"/>
    <w:rsid w:val="006D60EE"/>
    <w:rsid w:val="006D6A53"/>
    <w:rsid w:val="006D6CDD"/>
    <w:rsid w:val="006D719D"/>
    <w:rsid w:val="006D7444"/>
    <w:rsid w:val="006E044C"/>
    <w:rsid w:val="006E0A61"/>
    <w:rsid w:val="006E1999"/>
    <w:rsid w:val="006E2251"/>
    <w:rsid w:val="006E2812"/>
    <w:rsid w:val="006E3587"/>
    <w:rsid w:val="006E36D4"/>
    <w:rsid w:val="006E3711"/>
    <w:rsid w:val="006E3992"/>
    <w:rsid w:val="006E3AAD"/>
    <w:rsid w:val="006E4118"/>
    <w:rsid w:val="006E4238"/>
    <w:rsid w:val="006E447A"/>
    <w:rsid w:val="006E4560"/>
    <w:rsid w:val="006E48D2"/>
    <w:rsid w:val="006E4F8C"/>
    <w:rsid w:val="006E50C3"/>
    <w:rsid w:val="006E5BA6"/>
    <w:rsid w:val="006E665F"/>
    <w:rsid w:val="006E68AD"/>
    <w:rsid w:val="006E6948"/>
    <w:rsid w:val="006E6EAA"/>
    <w:rsid w:val="006E720E"/>
    <w:rsid w:val="006E7A57"/>
    <w:rsid w:val="006E7B97"/>
    <w:rsid w:val="006E7C1C"/>
    <w:rsid w:val="006E7D02"/>
    <w:rsid w:val="006E7D23"/>
    <w:rsid w:val="006F05FD"/>
    <w:rsid w:val="006F063E"/>
    <w:rsid w:val="006F0B83"/>
    <w:rsid w:val="006F15F3"/>
    <w:rsid w:val="006F1BBB"/>
    <w:rsid w:val="006F1D39"/>
    <w:rsid w:val="006F2173"/>
    <w:rsid w:val="006F2235"/>
    <w:rsid w:val="006F2318"/>
    <w:rsid w:val="006F2550"/>
    <w:rsid w:val="006F2CA3"/>
    <w:rsid w:val="006F3B10"/>
    <w:rsid w:val="006F3EA8"/>
    <w:rsid w:val="006F41E7"/>
    <w:rsid w:val="006F4740"/>
    <w:rsid w:val="006F49A7"/>
    <w:rsid w:val="006F4A47"/>
    <w:rsid w:val="006F568F"/>
    <w:rsid w:val="006F5862"/>
    <w:rsid w:val="006F58F8"/>
    <w:rsid w:val="006F5E56"/>
    <w:rsid w:val="006F62F2"/>
    <w:rsid w:val="006F6798"/>
    <w:rsid w:val="006F6D4C"/>
    <w:rsid w:val="006F6E67"/>
    <w:rsid w:val="006F7157"/>
    <w:rsid w:val="006F786E"/>
    <w:rsid w:val="006F78E0"/>
    <w:rsid w:val="006F7FE0"/>
    <w:rsid w:val="0070032D"/>
    <w:rsid w:val="00701590"/>
    <w:rsid w:val="0070176D"/>
    <w:rsid w:val="00701CF4"/>
    <w:rsid w:val="00702150"/>
    <w:rsid w:val="00702468"/>
    <w:rsid w:val="00702B1B"/>
    <w:rsid w:val="00702C43"/>
    <w:rsid w:val="00702CFE"/>
    <w:rsid w:val="00702EFE"/>
    <w:rsid w:val="0070395E"/>
    <w:rsid w:val="00703C76"/>
    <w:rsid w:val="00704164"/>
    <w:rsid w:val="00704473"/>
    <w:rsid w:val="00704E3D"/>
    <w:rsid w:val="00705031"/>
    <w:rsid w:val="00705134"/>
    <w:rsid w:val="007053D4"/>
    <w:rsid w:val="00705FFB"/>
    <w:rsid w:val="00706277"/>
    <w:rsid w:val="00706A58"/>
    <w:rsid w:val="00706CAF"/>
    <w:rsid w:val="00706D75"/>
    <w:rsid w:val="00707670"/>
    <w:rsid w:val="00707EC8"/>
    <w:rsid w:val="007101A0"/>
    <w:rsid w:val="007110E1"/>
    <w:rsid w:val="0071113D"/>
    <w:rsid w:val="00711CFE"/>
    <w:rsid w:val="0071204E"/>
    <w:rsid w:val="007126A8"/>
    <w:rsid w:val="007127F4"/>
    <w:rsid w:val="00712AF8"/>
    <w:rsid w:val="00712C30"/>
    <w:rsid w:val="007135B0"/>
    <w:rsid w:val="00713662"/>
    <w:rsid w:val="00713753"/>
    <w:rsid w:val="007139C3"/>
    <w:rsid w:val="00713ADE"/>
    <w:rsid w:val="00713CE8"/>
    <w:rsid w:val="0071427A"/>
    <w:rsid w:val="00714394"/>
    <w:rsid w:val="007143BC"/>
    <w:rsid w:val="007150B9"/>
    <w:rsid w:val="00715AAC"/>
    <w:rsid w:val="007163F8"/>
    <w:rsid w:val="00716B9D"/>
    <w:rsid w:val="00716C46"/>
    <w:rsid w:val="00716D40"/>
    <w:rsid w:val="00716D64"/>
    <w:rsid w:val="0071729C"/>
    <w:rsid w:val="0072057C"/>
    <w:rsid w:val="00720A60"/>
    <w:rsid w:val="00720E0B"/>
    <w:rsid w:val="00720E0F"/>
    <w:rsid w:val="007210F5"/>
    <w:rsid w:val="00721282"/>
    <w:rsid w:val="00721946"/>
    <w:rsid w:val="00721D10"/>
    <w:rsid w:val="00721F54"/>
    <w:rsid w:val="00721F7E"/>
    <w:rsid w:val="0072238C"/>
    <w:rsid w:val="007225B1"/>
    <w:rsid w:val="00722E29"/>
    <w:rsid w:val="007238C5"/>
    <w:rsid w:val="00723F67"/>
    <w:rsid w:val="00724507"/>
    <w:rsid w:val="00724606"/>
    <w:rsid w:val="00724B92"/>
    <w:rsid w:val="00724E85"/>
    <w:rsid w:val="00725318"/>
    <w:rsid w:val="00725346"/>
    <w:rsid w:val="00725860"/>
    <w:rsid w:val="00725FAE"/>
    <w:rsid w:val="007266DD"/>
    <w:rsid w:val="00726815"/>
    <w:rsid w:val="00726B00"/>
    <w:rsid w:val="00726D0F"/>
    <w:rsid w:val="00726DA7"/>
    <w:rsid w:val="00727583"/>
    <w:rsid w:val="00727806"/>
    <w:rsid w:val="00727DDC"/>
    <w:rsid w:val="00730073"/>
    <w:rsid w:val="007304C9"/>
    <w:rsid w:val="007305BB"/>
    <w:rsid w:val="007306E5"/>
    <w:rsid w:val="00730839"/>
    <w:rsid w:val="00730DAF"/>
    <w:rsid w:val="00730F89"/>
    <w:rsid w:val="00731296"/>
    <w:rsid w:val="00731542"/>
    <w:rsid w:val="00731923"/>
    <w:rsid w:val="00731FC8"/>
    <w:rsid w:val="00732170"/>
    <w:rsid w:val="00732B28"/>
    <w:rsid w:val="00732E20"/>
    <w:rsid w:val="00733025"/>
    <w:rsid w:val="00733094"/>
    <w:rsid w:val="0073320D"/>
    <w:rsid w:val="007334DC"/>
    <w:rsid w:val="00733996"/>
    <w:rsid w:val="00733B19"/>
    <w:rsid w:val="007343AA"/>
    <w:rsid w:val="00734858"/>
    <w:rsid w:val="00734887"/>
    <w:rsid w:val="00734994"/>
    <w:rsid w:val="00734A44"/>
    <w:rsid w:val="00734D06"/>
    <w:rsid w:val="0073642E"/>
    <w:rsid w:val="007365B6"/>
    <w:rsid w:val="00736B84"/>
    <w:rsid w:val="00737E64"/>
    <w:rsid w:val="00737EBD"/>
    <w:rsid w:val="007401E2"/>
    <w:rsid w:val="0074077D"/>
    <w:rsid w:val="00740780"/>
    <w:rsid w:val="0074081A"/>
    <w:rsid w:val="00740B49"/>
    <w:rsid w:val="00740E33"/>
    <w:rsid w:val="007411E5"/>
    <w:rsid w:val="00742233"/>
    <w:rsid w:val="007424A6"/>
    <w:rsid w:val="007424CF"/>
    <w:rsid w:val="00742D57"/>
    <w:rsid w:val="00742F8A"/>
    <w:rsid w:val="007431CD"/>
    <w:rsid w:val="007443C2"/>
    <w:rsid w:val="007447A4"/>
    <w:rsid w:val="00744FA3"/>
    <w:rsid w:val="00745ED9"/>
    <w:rsid w:val="00746755"/>
    <w:rsid w:val="00746951"/>
    <w:rsid w:val="0074722C"/>
    <w:rsid w:val="0074791E"/>
    <w:rsid w:val="0075001A"/>
    <w:rsid w:val="00750376"/>
    <w:rsid w:val="00750904"/>
    <w:rsid w:val="00750A08"/>
    <w:rsid w:val="00750A66"/>
    <w:rsid w:val="00750B28"/>
    <w:rsid w:val="00750D0C"/>
    <w:rsid w:val="00750D30"/>
    <w:rsid w:val="0075115D"/>
    <w:rsid w:val="007524D7"/>
    <w:rsid w:val="007525FF"/>
    <w:rsid w:val="0075283C"/>
    <w:rsid w:val="00752BB7"/>
    <w:rsid w:val="00753069"/>
    <w:rsid w:val="007532A7"/>
    <w:rsid w:val="00753890"/>
    <w:rsid w:val="007538F6"/>
    <w:rsid w:val="00753B7D"/>
    <w:rsid w:val="00753E5A"/>
    <w:rsid w:val="00754464"/>
    <w:rsid w:val="00754EEC"/>
    <w:rsid w:val="00754FEC"/>
    <w:rsid w:val="0075500C"/>
    <w:rsid w:val="0075501A"/>
    <w:rsid w:val="007555DF"/>
    <w:rsid w:val="00755818"/>
    <w:rsid w:val="00755B12"/>
    <w:rsid w:val="00755D21"/>
    <w:rsid w:val="00755E75"/>
    <w:rsid w:val="007565B5"/>
    <w:rsid w:val="00756B44"/>
    <w:rsid w:val="0075720A"/>
    <w:rsid w:val="007573A5"/>
    <w:rsid w:val="007577CB"/>
    <w:rsid w:val="0076002F"/>
    <w:rsid w:val="0076032C"/>
    <w:rsid w:val="00760C40"/>
    <w:rsid w:val="00761434"/>
    <w:rsid w:val="00761721"/>
    <w:rsid w:val="007618EF"/>
    <w:rsid w:val="00761FD5"/>
    <w:rsid w:val="00762065"/>
    <w:rsid w:val="007624BB"/>
    <w:rsid w:val="00762BCF"/>
    <w:rsid w:val="00763027"/>
    <w:rsid w:val="00763072"/>
    <w:rsid w:val="00763D30"/>
    <w:rsid w:val="00763D3A"/>
    <w:rsid w:val="00763D4B"/>
    <w:rsid w:val="00763DB6"/>
    <w:rsid w:val="00763EE6"/>
    <w:rsid w:val="0076460E"/>
    <w:rsid w:val="00764668"/>
    <w:rsid w:val="00764B49"/>
    <w:rsid w:val="00764CBE"/>
    <w:rsid w:val="00764D8B"/>
    <w:rsid w:val="00764DBD"/>
    <w:rsid w:val="00764E4E"/>
    <w:rsid w:val="00764F70"/>
    <w:rsid w:val="00765CC3"/>
    <w:rsid w:val="00765DD8"/>
    <w:rsid w:val="007666DD"/>
    <w:rsid w:val="007669D3"/>
    <w:rsid w:val="00766D36"/>
    <w:rsid w:val="00766EB1"/>
    <w:rsid w:val="007673C6"/>
    <w:rsid w:val="00767607"/>
    <w:rsid w:val="00767A1C"/>
    <w:rsid w:val="00767E47"/>
    <w:rsid w:val="0077067D"/>
    <w:rsid w:val="007709CB"/>
    <w:rsid w:val="00771587"/>
    <w:rsid w:val="0077158D"/>
    <w:rsid w:val="0077165F"/>
    <w:rsid w:val="00771972"/>
    <w:rsid w:val="0077228D"/>
    <w:rsid w:val="00772FA4"/>
    <w:rsid w:val="0077314F"/>
    <w:rsid w:val="007735C4"/>
    <w:rsid w:val="007736BA"/>
    <w:rsid w:val="00773874"/>
    <w:rsid w:val="00773B7E"/>
    <w:rsid w:val="00773C0D"/>
    <w:rsid w:val="0077477A"/>
    <w:rsid w:val="00774FDC"/>
    <w:rsid w:val="00775048"/>
    <w:rsid w:val="00775273"/>
    <w:rsid w:val="00775861"/>
    <w:rsid w:val="0077589B"/>
    <w:rsid w:val="00775952"/>
    <w:rsid w:val="00775B52"/>
    <w:rsid w:val="00775EED"/>
    <w:rsid w:val="007762DB"/>
    <w:rsid w:val="007765DF"/>
    <w:rsid w:val="007766D8"/>
    <w:rsid w:val="00776AD1"/>
    <w:rsid w:val="007770B9"/>
    <w:rsid w:val="007770E1"/>
    <w:rsid w:val="007778D4"/>
    <w:rsid w:val="00777BA4"/>
    <w:rsid w:val="007803F2"/>
    <w:rsid w:val="00780661"/>
    <w:rsid w:val="00780A4F"/>
    <w:rsid w:val="00780D88"/>
    <w:rsid w:val="00780F42"/>
    <w:rsid w:val="0078126C"/>
    <w:rsid w:val="007813B4"/>
    <w:rsid w:val="00781AD1"/>
    <w:rsid w:val="00781FAF"/>
    <w:rsid w:val="007833C7"/>
    <w:rsid w:val="00783B85"/>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87EB5"/>
    <w:rsid w:val="00790739"/>
    <w:rsid w:val="00790DFB"/>
    <w:rsid w:val="00791098"/>
    <w:rsid w:val="007910EB"/>
    <w:rsid w:val="00791B10"/>
    <w:rsid w:val="0079218E"/>
    <w:rsid w:val="00792447"/>
    <w:rsid w:val="00792659"/>
    <w:rsid w:val="00792679"/>
    <w:rsid w:val="0079270E"/>
    <w:rsid w:val="00792855"/>
    <w:rsid w:val="007937CB"/>
    <w:rsid w:val="0079385A"/>
    <w:rsid w:val="007943DF"/>
    <w:rsid w:val="00794A05"/>
    <w:rsid w:val="00794A3A"/>
    <w:rsid w:val="00795B64"/>
    <w:rsid w:val="00795F96"/>
    <w:rsid w:val="0079694C"/>
    <w:rsid w:val="00796DBD"/>
    <w:rsid w:val="00797450"/>
    <w:rsid w:val="0079773A"/>
    <w:rsid w:val="00797FAD"/>
    <w:rsid w:val="007A0AF5"/>
    <w:rsid w:val="007A2AEF"/>
    <w:rsid w:val="007A354D"/>
    <w:rsid w:val="007A38D8"/>
    <w:rsid w:val="007A452F"/>
    <w:rsid w:val="007A4C77"/>
    <w:rsid w:val="007A4E17"/>
    <w:rsid w:val="007A520F"/>
    <w:rsid w:val="007A56E3"/>
    <w:rsid w:val="007A5704"/>
    <w:rsid w:val="007A5AF4"/>
    <w:rsid w:val="007A641B"/>
    <w:rsid w:val="007A660D"/>
    <w:rsid w:val="007A68DC"/>
    <w:rsid w:val="007A6D0D"/>
    <w:rsid w:val="007A79D8"/>
    <w:rsid w:val="007A7B09"/>
    <w:rsid w:val="007A7BA2"/>
    <w:rsid w:val="007A7F6D"/>
    <w:rsid w:val="007B01C5"/>
    <w:rsid w:val="007B058B"/>
    <w:rsid w:val="007B0FBD"/>
    <w:rsid w:val="007B172E"/>
    <w:rsid w:val="007B1BAF"/>
    <w:rsid w:val="007B1C65"/>
    <w:rsid w:val="007B1E34"/>
    <w:rsid w:val="007B2245"/>
    <w:rsid w:val="007B2331"/>
    <w:rsid w:val="007B2896"/>
    <w:rsid w:val="007B2CDD"/>
    <w:rsid w:val="007B3154"/>
    <w:rsid w:val="007B35F7"/>
    <w:rsid w:val="007B3948"/>
    <w:rsid w:val="007B396F"/>
    <w:rsid w:val="007B3B4C"/>
    <w:rsid w:val="007B41D6"/>
    <w:rsid w:val="007B461D"/>
    <w:rsid w:val="007B4F47"/>
    <w:rsid w:val="007B4F72"/>
    <w:rsid w:val="007B5192"/>
    <w:rsid w:val="007B5445"/>
    <w:rsid w:val="007B5A5B"/>
    <w:rsid w:val="007B5C63"/>
    <w:rsid w:val="007B65CA"/>
    <w:rsid w:val="007B67FC"/>
    <w:rsid w:val="007B6896"/>
    <w:rsid w:val="007B698D"/>
    <w:rsid w:val="007B6D9F"/>
    <w:rsid w:val="007B757D"/>
    <w:rsid w:val="007B75F6"/>
    <w:rsid w:val="007B7764"/>
    <w:rsid w:val="007B7942"/>
    <w:rsid w:val="007B79F5"/>
    <w:rsid w:val="007B7BE9"/>
    <w:rsid w:val="007C0A01"/>
    <w:rsid w:val="007C0E04"/>
    <w:rsid w:val="007C123B"/>
    <w:rsid w:val="007C13DF"/>
    <w:rsid w:val="007C1DB5"/>
    <w:rsid w:val="007C21F1"/>
    <w:rsid w:val="007C2827"/>
    <w:rsid w:val="007C2B1F"/>
    <w:rsid w:val="007C3224"/>
    <w:rsid w:val="007C344C"/>
    <w:rsid w:val="007C3813"/>
    <w:rsid w:val="007C3858"/>
    <w:rsid w:val="007C3A26"/>
    <w:rsid w:val="007C3A80"/>
    <w:rsid w:val="007C40BB"/>
    <w:rsid w:val="007C41F0"/>
    <w:rsid w:val="007C42C0"/>
    <w:rsid w:val="007C4CB1"/>
    <w:rsid w:val="007C5029"/>
    <w:rsid w:val="007C527A"/>
    <w:rsid w:val="007C543F"/>
    <w:rsid w:val="007C6A0A"/>
    <w:rsid w:val="007C6DD2"/>
    <w:rsid w:val="007C6E85"/>
    <w:rsid w:val="007C6EA8"/>
    <w:rsid w:val="007C6F36"/>
    <w:rsid w:val="007C70A7"/>
    <w:rsid w:val="007C73B0"/>
    <w:rsid w:val="007C74E5"/>
    <w:rsid w:val="007C76FB"/>
    <w:rsid w:val="007D060B"/>
    <w:rsid w:val="007D0698"/>
    <w:rsid w:val="007D0E43"/>
    <w:rsid w:val="007D0FFB"/>
    <w:rsid w:val="007D13E7"/>
    <w:rsid w:val="007D1991"/>
    <w:rsid w:val="007D1E37"/>
    <w:rsid w:val="007D2037"/>
    <w:rsid w:val="007D227D"/>
    <w:rsid w:val="007D232F"/>
    <w:rsid w:val="007D2385"/>
    <w:rsid w:val="007D2E2D"/>
    <w:rsid w:val="007D3D9D"/>
    <w:rsid w:val="007D3F52"/>
    <w:rsid w:val="007D45F8"/>
    <w:rsid w:val="007D48B3"/>
    <w:rsid w:val="007D4DCF"/>
    <w:rsid w:val="007D52CA"/>
    <w:rsid w:val="007D563E"/>
    <w:rsid w:val="007D577F"/>
    <w:rsid w:val="007D5B51"/>
    <w:rsid w:val="007D5BA5"/>
    <w:rsid w:val="007D5F71"/>
    <w:rsid w:val="007D5FC1"/>
    <w:rsid w:val="007D6485"/>
    <w:rsid w:val="007D6C3F"/>
    <w:rsid w:val="007D715A"/>
    <w:rsid w:val="007D733A"/>
    <w:rsid w:val="007D740C"/>
    <w:rsid w:val="007E0153"/>
    <w:rsid w:val="007E0A3F"/>
    <w:rsid w:val="007E0E9E"/>
    <w:rsid w:val="007E10A9"/>
    <w:rsid w:val="007E1199"/>
    <w:rsid w:val="007E17B3"/>
    <w:rsid w:val="007E19DC"/>
    <w:rsid w:val="007E1CEA"/>
    <w:rsid w:val="007E21FB"/>
    <w:rsid w:val="007E2347"/>
    <w:rsid w:val="007E26A8"/>
    <w:rsid w:val="007E2E3F"/>
    <w:rsid w:val="007E329D"/>
    <w:rsid w:val="007E3474"/>
    <w:rsid w:val="007E35DC"/>
    <w:rsid w:val="007E39E7"/>
    <w:rsid w:val="007E420B"/>
    <w:rsid w:val="007E47D2"/>
    <w:rsid w:val="007E4932"/>
    <w:rsid w:val="007E49D4"/>
    <w:rsid w:val="007E502C"/>
    <w:rsid w:val="007E598A"/>
    <w:rsid w:val="007E5A74"/>
    <w:rsid w:val="007E5BD7"/>
    <w:rsid w:val="007E6023"/>
    <w:rsid w:val="007E60E8"/>
    <w:rsid w:val="007E659E"/>
    <w:rsid w:val="007E69C0"/>
    <w:rsid w:val="007E75F0"/>
    <w:rsid w:val="007E7968"/>
    <w:rsid w:val="007E7E7A"/>
    <w:rsid w:val="007F013A"/>
    <w:rsid w:val="007F067A"/>
    <w:rsid w:val="007F0691"/>
    <w:rsid w:val="007F088F"/>
    <w:rsid w:val="007F1890"/>
    <w:rsid w:val="007F193D"/>
    <w:rsid w:val="007F1CE5"/>
    <w:rsid w:val="007F1FB0"/>
    <w:rsid w:val="007F2857"/>
    <w:rsid w:val="007F2D90"/>
    <w:rsid w:val="007F3EFD"/>
    <w:rsid w:val="007F4211"/>
    <w:rsid w:val="007F4F82"/>
    <w:rsid w:val="007F53A5"/>
    <w:rsid w:val="007F54DB"/>
    <w:rsid w:val="007F5DE4"/>
    <w:rsid w:val="007F67D0"/>
    <w:rsid w:val="007F6A9A"/>
    <w:rsid w:val="007F6B93"/>
    <w:rsid w:val="007F6B9F"/>
    <w:rsid w:val="007F709F"/>
    <w:rsid w:val="007F73DA"/>
    <w:rsid w:val="007F78FA"/>
    <w:rsid w:val="0080042A"/>
    <w:rsid w:val="008008F3"/>
    <w:rsid w:val="008013D6"/>
    <w:rsid w:val="008014FC"/>
    <w:rsid w:val="008018AD"/>
    <w:rsid w:val="00801CA0"/>
    <w:rsid w:val="00801EEA"/>
    <w:rsid w:val="00802493"/>
    <w:rsid w:val="00802785"/>
    <w:rsid w:val="00802D6D"/>
    <w:rsid w:val="008039FE"/>
    <w:rsid w:val="00804653"/>
    <w:rsid w:val="00804A2E"/>
    <w:rsid w:val="00805D36"/>
    <w:rsid w:val="00806336"/>
    <w:rsid w:val="00806579"/>
    <w:rsid w:val="008066F8"/>
    <w:rsid w:val="00806A84"/>
    <w:rsid w:val="00806F66"/>
    <w:rsid w:val="008073D2"/>
    <w:rsid w:val="0080750E"/>
    <w:rsid w:val="00807C6C"/>
    <w:rsid w:val="00807F4C"/>
    <w:rsid w:val="0081138B"/>
    <w:rsid w:val="00811F8C"/>
    <w:rsid w:val="0081243E"/>
    <w:rsid w:val="00812687"/>
    <w:rsid w:val="00812B10"/>
    <w:rsid w:val="00813278"/>
    <w:rsid w:val="00813385"/>
    <w:rsid w:val="0081340B"/>
    <w:rsid w:val="00813511"/>
    <w:rsid w:val="00813D52"/>
    <w:rsid w:val="00813DA5"/>
    <w:rsid w:val="00813E59"/>
    <w:rsid w:val="0081628A"/>
    <w:rsid w:val="00816304"/>
    <w:rsid w:val="00816703"/>
    <w:rsid w:val="00816BD8"/>
    <w:rsid w:val="00816C39"/>
    <w:rsid w:val="00816E37"/>
    <w:rsid w:val="00817A98"/>
    <w:rsid w:val="00817BB4"/>
    <w:rsid w:val="00817DFE"/>
    <w:rsid w:val="00817E89"/>
    <w:rsid w:val="00817E9F"/>
    <w:rsid w:val="00820BE8"/>
    <w:rsid w:val="00821021"/>
    <w:rsid w:val="008214BB"/>
    <w:rsid w:val="00821609"/>
    <w:rsid w:val="00821B58"/>
    <w:rsid w:val="0082202C"/>
    <w:rsid w:val="00822117"/>
    <w:rsid w:val="0082211D"/>
    <w:rsid w:val="008225E3"/>
    <w:rsid w:val="00822922"/>
    <w:rsid w:val="00822D06"/>
    <w:rsid w:val="00822D4E"/>
    <w:rsid w:val="00822DC0"/>
    <w:rsid w:val="00823329"/>
    <w:rsid w:val="00823487"/>
    <w:rsid w:val="00823B4E"/>
    <w:rsid w:val="00823CEC"/>
    <w:rsid w:val="00824594"/>
    <w:rsid w:val="0082460C"/>
    <w:rsid w:val="008249B0"/>
    <w:rsid w:val="00824A07"/>
    <w:rsid w:val="00824E60"/>
    <w:rsid w:val="0082529F"/>
    <w:rsid w:val="00825661"/>
    <w:rsid w:val="00825BF1"/>
    <w:rsid w:val="008268A1"/>
    <w:rsid w:val="00826AC0"/>
    <w:rsid w:val="00826CD4"/>
    <w:rsid w:val="00826D8D"/>
    <w:rsid w:val="00826F17"/>
    <w:rsid w:val="00826F4C"/>
    <w:rsid w:val="00827183"/>
    <w:rsid w:val="0082722A"/>
    <w:rsid w:val="00827797"/>
    <w:rsid w:val="00827B01"/>
    <w:rsid w:val="008302F0"/>
    <w:rsid w:val="008309A3"/>
    <w:rsid w:val="0083135D"/>
    <w:rsid w:val="00832524"/>
    <w:rsid w:val="008329DB"/>
    <w:rsid w:val="00833014"/>
    <w:rsid w:val="008330FB"/>
    <w:rsid w:val="00833970"/>
    <w:rsid w:val="00833F66"/>
    <w:rsid w:val="00833FBB"/>
    <w:rsid w:val="00834846"/>
    <w:rsid w:val="00834A99"/>
    <w:rsid w:val="00834BCA"/>
    <w:rsid w:val="00834F10"/>
    <w:rsid w:val="008350BD"/>
    <w:rsid w:val="00835237"/>
    <w:rsid w:val="0083544C"/>
    <w:rsid w:val="00835503"/>
    <w:rsid w:val="008356E1"/>
    <w:rsid w:val="00835EEB"/>
    <w:rsid w:val="00836193"/>
    <w:rsid w:val="00836A4D"/>
    <w:rsid w:val="00836F94"/>
    <w:rsid w:val="0083737F"/>
    <w:rsid w:val="00837699"/>
    <w:rsid w:val="008377DA"/>
    <w:rsid w:val="00837B93"/>
    <w:rsid w:val="00837DF6"/>
    <w:rsid w:val="00837FEE"/>
    <w:rsid w:val="008409B9"/>
    <w:rsid w:val="00840AEB"/>
    <w:rsid w:val="00840AFF"/>
    <w:rsid w:val="00840E57"/>
    <w:rsid w:val="008417B3"/>
    <w:rsid w:val="008425DD"/>
    <w:rsid w:val="008428DE"/>
    <w:rsid w:val="00842A25"/>
    <w:rsid w:val="00843122"/>
    <w:rsid w:val="00843393"/>
    <w:rsid w:val="00843427"/>
    <w:rsid w:val="00843842"/>
    <w:rsid w:val="00844002"/>
    <w:rsid w:val="0084439F"/>
    <w:rsid w:val="0084459B"/>
    <w:rsid w:val="008448DD"/>
    <w:rsid w:val="00844D06"/>
    <w:rsid w:val="00844EC9"/>
    <w:rsid w:val="00845811"/>
    <w:rsid w:val="00845A15"/>
    <w:rsid w:val="00845ED5"/>
    <w:rsid w:val="0084632F"/>
    <w:rsid w:val="0084708B"/>
    <w:rsid w:val="00847121"/>
    <w:rsid w:val="00847309"/>
    <w:rsid w:val="008475A9"/>
    <w:rsid w:val="0084765F"/>
    <w:rsid w:val="00847C0D"/>
    <w:rsid w:val="00847C2B"/>
    <w:rsid w:val="00847DA7"/>
    <w:rsid w:val="00850C0F"/>
    <w:rsid w:val="00850EF7"/>
    <w:rsid w:val="0085106A"/>
    <w:rsid w:val="008523F6"/>
    <w:rsid w:val="00852945"/>
    <w:rsid w:val="00852A1F"/>
    <w:rsid w:val="00853195"/>
    <w:rsid w:val="0085381C"/>
    <w:rsid w:val="00853C37"/>
    <w:rsid w:val="00853F10"/>
    <w:rsid w:val="00853F6C"/>
    <w:rsid w:val="008541E3"/>
    <w:rsid w:val="0085468B"/>
    <w:rsid w:val="00854D3D"/>
    <w:rsid w:val="00854EA0"/>
    <w:rsid w:val="008552FC"/>
    <w:rsid w:val="00855423"/>
    <w:rsid w:val="008556A6"/>
    <w:rsid w:val="008556B3"/>
    <w:rsid w:val="00855B06"/>
    <w:rsid w:val="008561BB"/>
    <w:rsid w:val="008565AA"/>
    <w:rsid w:val="008575F9"/>
    <w:rsid w:val="00857641"/>
    <w:rsid w:val="00857D29"/>
    <w:rsid w:val="00857E25"/>
    <w:rsid w:val="00860071"/>
    <w:rsid w:val="00860A30"/>
    <w:rsid w:val="00861DC6"/>
    <w:rsid w:val="00862095"/>
    <w:rsid w:val="0086214C"/>
    <w:rsid w:val="008629A8"/>
    <w:rsid w:val="00862E46"/>
    <w:rsid w:val="00863089"/>
    <w:rsid w:val="00863198"/>
    <w:rsid w:val="008633A9"/>
    <w:rsid w:val="00863544"/>
    <w:rsid w:val="00863B3D"/>
    <w:rsid w:val="00863C98"/>
    <w:rsid w:val="00863E32"/>
    <w:rsid w:val="008640B5"/>
    <w:rsid w:val="00864C32"/>
    <w:rsid w:val="00864C9F"/>
    <w:rsid w:val="00864D55"/>
    <w:rsid w:val="00865199"/>
    <w:rsid w:val="00865426"/>
    <w:rsid w:val="008655BA"/>
    <w:rsid w:val="00865F44"/>
    <w:rsid w:val="0086605D"/>
    <w:rsid w:val="00866572"/>
    <w:rsid w:val="008667FD"/>
    <w:rsid w:val="008679DC"/>
    <w:rsid w:val="00870272"/>
    <w:rsid w:val="008706AE"/>
    <w:rsid w:val="00870CB6"/>
    <w:rsid w:val="00870D76"/>
    <w:rsid w:val="00871421"/>
    <w:rsid w:val="00871499"/>
    <w:rsid w:val="0087163B"/>
    <w:rsid w:val="0087270F"/>
    <w:rsid w:val="00872828"/>
    <w:rsid w:val="00872882"/>
    <w:rsid w:val="00872C79"/>
    <w:rsid w:val="00873D3D"/>
    <w:rsid w:val="00873FEA"/>
    <w:rsid w:val="0087419B"/>
    <w:rsid w:val="008743DF"/>
    <w:rsid w:val="00874592"/>
    <w:rsid w:val="0087475F"/>
    <w:rsid w:val="00874E59"/>
    <w:rsid w:val="00874F9A"/>
    <w:rsid w:val="0087516A"/>
    <w:rsid w:val="00875679"/>
    <w:rsid w:val="00875ADE"/>
    <w:rsid w:val="00875E1F"/>
    <w:rsid w:val="00875E91"/>
    <w:rsid w:val="008762F2"/>
    <w:rsid w:val="0087655C"/>
    <w:rsid w:val="00876F84"/>
    <w:rsid w:val="00876FF9"/>
    <w:rsid w:val="00877741"/>
    <w:rsid w:val="008777A6"/>
    <w:rsid w:val="008778FD"/>
    <w:rsid w:val="00877DF5"/>
    <w:rsid w:val="00877E5C"/>
    <w:rsid w:val="0088028E"/>
    <w:rsid w:val="008807EE"/>
    <w:rsid w:val="00880A96"/>
    <w:rsid w:val="008814F2"/>
    <w:rsid w:val="008818F6"/>
    <w:rsid w:val="00881FFE"/>
    <w:rsid w:val="00882056"/>
    <w:rsid w:val="00882EC4"/>
    <w:rsid w:val="00882F6D"/>
    <w:rsid w:val="00883059"/>
    <w:rsid w:val="0088398E"/>
    <w:rsid w:val="008844D7"/>
    <w:rsid w:val="00884B9F"/>
    <w:rsid w:val="00885BEA"/>
    <w:rsid w:val="008862AF"/>
    <w:rsid w:val="008864AD"/>
    <w:rsid w:val="00886AC5"/>
    <w:rsid w:val="008871C1"/>
    <w:rsid w:val="00887705"/>
    <w:rsid w:val="00887887"/>
    <w:rsid w:val="00887AA0"/>
    <w:rsid w:val="00887C2D"/>
    <w:rsid w:val="00887E02"/>
    <w:rsid w:val="00890237"/>
    <w:rsid w:val="00890535"/>
    <w:rsid w:val="008909F3"/>
    <w:rsid w:val="00890B0F"/>
    <w:rsid w:val="00890CA8"/>
    <w:rsid w:val="00890D7C"/>
    <w:rsid w:val="00890F2E"/>
    <w:rsid w:val="00891E92"/>
    <w:rsid w:val="00892580"/>
    <w:rsid w:val="008929A4"/>
    <w:rsid w:val="00892ADF"/>
    <w:rsid w:val="0089305C"/>
    <w:rsid w:val="008933A7"/>
    <w:rsid w:val="00893479"/>
    <w:rsid w:val="00894121"/>
    <w:rsid w:val="00894A90"/>
    <w:rsid w:val="00894CC7"/>
    <w:rsid w:val="00894EAA"/>
    <w:rsid w:val="00894FC1"/>
    <w:rsid w:val="00895433"/>
    <w:rsid w:val="00895C1C"/>
    <w:rsid w:val="00896ADB"/>
    <w:rsid w:val="008977CD"/>
    <w:rsid w:val="00897A3D"/>
    <w:rsid w:val="00897E03"/>
    <w:rsid w:val="00897F77"/>
    <w:rsid w:val="008A0547"/>
    <w:rsid w:val="008A05E0"/>
    <w:rsid w:val="008A072C"/>
    <w:rsid w:val="008A0FB6"/>
    <w:rsid w:val="008A1517"/>
    <w:rsid w:val="008A1C47"/>
    <w:rsid w:val="008A2400"/>
    <w:rsid w:val="008A28A5"/>
    <w:rsid w:val="008A3084"/>
    <w:rsid w:val="008A34BF"/>
    <w:rsid w:val="008A35AB"/>
    <w:rsid w:val="008A35E7"/>
    <w:rsid w:val="008A465B"/>
    <w:rsid w:val="008A48FF"/>
    <w:rsid w:val="008A4CBF"/>
    <w:rsid w:val="008A4E38"/>
    <w:rsid w:val="008A5290"/>
    <w:rsid w:val="008A5549"/>
    <w:rsid w:val="008A5684"/>
    <w:rsid w:val="008A58A2"/>
    <w:rsid w:val="008A593A"/>
    <w:rsid w:val="008A5A27"/>
    <w:rsid w:val="008A6C5A"/>
    <w:rsid w:val="008B0061"/>
    <w:rsid w:val="008B0202"/>
    <w:rsid w:val="008B031D"/>
    <w:rsid w:val="008B0EAD"/>
    <w:rsid w:val="008B1718"/>
    <w:rsid w:val="008B190C"/>
    <w:rsid w:val="008B1983"/>
    <w:rsid w:val="008B1CA3"/>
    <w:rsid w:val="008B1E83"/>
    <w:rsid w:val="008B1EF5"/>
    <w:rsid w:val="008B219A"/>
    <w:rsid w:val="008B2537"/>
    <w:rsid w:val="008B27A3"/>
    <w:rsid w:val="008B2C9C"/>
    <w:rsid w:val="008B2DF3"/>
    <w:rsid w:val="008B2E4C"/>
    <w:rsid w:val="008B349C"/>
    <w:rsid w:val="008B369E"/>
    <w:rsid w:val="008B376A"/>
    <w:rsid w:val="008B3B97"/>
    <w:rsid w:val="008B3F57"/>
    <w:rsid w:val="008B4969"/>
    <w:rsid w:val="008B5660"/>
    <w:rsid w:val="008B5790"/>
    <w:rsid w:val="008B6576"/>
    <w:rsid w:val="008B69C4"/>
    <w:rsid w:val="008B7220"/>
    <w:rsid w:val="008B75D5"/>
    <w:rsid w:val="008B78D8"/>
    <w:rsid w:val="008B79AB"/>
    <w:rsid w:val="008B7BAA"/>
    <w:rsid w:val="008C00CA"/>
    <w:rsid w:val="008C0246"/>
    <w:rsid w:val="008C031A"/>
    <w:rsid w:val="008C08A5"/>
    <w:rsid w:val="008C0FB1"/>
    <w:rsid w:val="008C1349"/>
    <w:rsid w:val="008C31A3"/>
    <w:rsid w:val="008C3413"/>
    <w:rsid w:val="008C347E"/>
    <w:rsid w:val="008C36B2"/>
    <w:rsid w:val="008C384A"/>
    <w:rsid w:val="008C44D9"/>
    <w:rsid w:val="008C4510"/>
    <w:rsid w:val="008C479C"/>
    <w:rsid w:val="008C47B4"/>
    <w:rsid w:val="008C4AB7"/>
    <w:rsid w:val="008C4D4B"/>
    <w:rsid w:val="008C4E14"/>
    <w:rsid w:val="008C4EDA"/>
    <w:rsid w:val="008C4F75"/>
    <w:rsid w:val="008C543B"/>
    <w:rsid w:val="008C55A4"/>
    <w:rsid w:val="008C57A4"/>
    <w:rsid w:val="008C5C97"/>
    <w:rsid w:val="008C64E3"/>
    <w:rsid w:val="008C68C3"/>
    <w:rsid w:val="008C6EB6"/>
    <w:rsid w:val="008C725D"/>
    <w:rsid w:val="008C743F"/>
    <w:rsid w:val="008C74C6"/>
    <w:rsid w:val="008C769B"/>
    <w:rsid w:val="008C76BF"/>
    <w:rsid w:val="008C7741"/>
    <w:rsid w:val="008C7868"/>
    <w:rsid w:val="008C7883"/>
    <w:rsid w:val="008C78F9"/>
    <w:rsid w:val="008C7B5C"/>
    <w:rsid w:val="008C7C3A"/>
    <w:rsid w:val="008D044B"/>
    <w:rsid w:val="008D0D1E"/>
    <w:rsid w:val="008D110C"/>
    <w:rsid w:val="008D1E79"/>
    <w:rsid w:val="008D25CD"/>
    <w:rsid w:val="008D29A6"/>
    <w:rsid w:val="008D3103"/>
    <w:rsid w:val="008D3201"/>
    <w:rsid w:val="008D32AF"/>
    <w:rsid w:val="008D33C1"/>
    <w:rsid w:val="008D345F"/>
    <w:rsid w:val="008D3735"/>
    <w:rsid w:val="008D3775"/>
    <w:rsid w:val="008D4677"/>
    <w:rsid w:val="008D49A4"/>
    <w:rsid w:val="008D5693"/>
    <w:rsid w:val="008D58D2"/>
    <w:rsid w:val="008D592A"/>
    <w:rsid w:val="008D59DD"/>
    <w:rsid w:val="008D5BAA"/>
    <w:rsid w:val="008D5D3C"/>
    <w:rsid w:val="008D776F"/>
    <w:rsid w:val="008D7A19"/>
    <w:rsid w:val="008D7E13"/>
    <w:rsid w:val="008E0D5B"/>
    <w:rsid w:val="008E1068"/>
    <w:rsid w:val="008E18A0"/>
    <w:rsid w:val="008E1CC0"/>
    <w:rsid w:val="008E1E54"/>
    <w:rsid w:val="008E2AA2"/>
    <w:rsid w:val="008E38CF"/>
    <w:rsid w:val="008E3921"/>
    <w:rsid w:val="008E3958"/>
    <w:rsid w:val="008E3B12"/>
    <w:rsid w:val="008E3B7C"/>
    <w:rsid w:val="008E3C88"/>
    <w:rsid w:val="008E47E0"/>
    <w:rsid w:val="008E4880"/>
    <w:rsid w:val="008E5643"/>
    <w:rsid w:val="008E6810"/>
    <w:rsid w:val="008E7082"/>
    <w:rsid w:val="008E7211"/>
    <w:rsid w:val="008E75CF"/>
    <w:rsid w:val="008E78F2"/>
    <w:rsid w:val="008E792D"/>
    <w:rsid w:val="008E7A90"/>
    <w:rsid w:val="008F0055"/>
    <w:rsid w:val="008F022C"/>
    <w:rsid w:val="008F089A"/>
    <w:rsid w:val="008F0AB5"/>
    <w:rsid w:val="008F0E05"/>
    <w:rsid w:val="008F0E9C"/>
    <w:rsid w:val="008F12B1"/>
    <w:rsid w:val="008F141E"/>
    <w:rsid w:val="008F1521"/>
    <w:rsid w:val="008F1F09"/>
    <w:rsid w:val="008F25A3"/>
    <w:rsid w:val="008F2838"/>
    <w:rsid w:val="008F2A9A"/>
    <w:rsid w:val="008F2CDD"/>
    <w:rsid w:val="008F41ED"/>
    <w:rsid w:val="008F4886"/>
    <w:rsid w:val="008F55DF"/>
    <w:rsid w:val="008F5988"/>
    <w:rsid w:val="008F6667"/>
    <w:rsid w:val="008F677B"/>
    <w:rsid w:val="008F6794"/>
    <w:rsid w:val="008F6E36"/>
    <w:rsid w:val="008F7069"/>
    <w:rsid w:val="008F783D"/>
    <w:rsid w:val="008F7853"/>
    <w:rsid w:val="008F7A92"/>
    <w:rsid w:val="008F7AA3"/>
    <w:rsid w:val="009000B6"/>
    <w:rsid w:val="009003DE"/>
    <w:rsid w:val="009003EA"/>
    <w:rsid w:val="00900C7B"/>
    <w:rsid w:val="00900D59"/>
    <w:rsid w:val="00901569"/>
    <w:rsid w:val="009024F8"/>
    <w:rsid w:val="00902929"/>
    <w:rsid w:val="00902EC7"/>
    <w:rsid w:val="0090318C"/>
    <w:rsid w:val="00903488"/>
    <w:rsid w:val="009040A3"/>
    <w:rsid w:val="00904795"/>
    <w:rsid w:val="009049FD"/>
    <w:rsid w:val="00904AA8"/>
    <w:rsid w:val="00904C26"/>
    <w:rsid w:val="00904F24"/>
    <w:rsid w:val="00904FB5"/>
    <w:rsid w:val="00905021"/>
    <w:rsid w:val="009059E1"/>
    <w:rsid w:val="00905D12"/>
    <w:rsid w:val="00906619"/>
    <w:rsid w:val="00906A71"/>
    <w:rsid w:val="00906F35"/>
    <w:rsid w:val="0090727F"/>
    <w:rsid w:val="009077BA"/>
    <w:rsid w:val="00907955"/>
    <w:rsid w:val="00907957"/>
    <w:rsid w:val="0090799A"/>
    <w:rsid w:val="00907B8B"/>
    <w:rsid w:val="0091079F"/>
    <w:rsid w:val="00910D7E"/>
    <w:rsid w:val="00910D90"/>
    <w:rsid w:val="0091140F"/>
    <w:rsid w:val="009115F6"/>
    <w:rsid w:val="0091270C"/>
    <w:rsid w:val="00912DE0"/>
    <w:rsid w:val="00913421"/>
    <w:rsid w:val="0091394B"/>
    <w:rsid w:val="009145E9"/>
    <w:rsid w:val="00914825"/>
    <w:rsid w:val="009148DC"/>
    <w:rsid w:val="00916805"/>
    <w:rsid w:val="00916A15"/>
    <w:rsid w:val="00916E58"/>
    <w:rsid w:val="00916FE3"/>
    <w:rsid w:val="00917380"/>
    <w:rsid w:val="00917887"/>
    <w:rsid w:val="00917E45"/>
    <w:rsid w:val="0092007B"/>
    <w:rsid w:val="009207DB"/>
    <w:rsid w:val="009207E1"/>
    <w:rsid w:val="0092117F"/>
    <w:rsid w:val="00921BCD"/>
    <w:rsid w:val="00922024"/>
    <w:rsid w:val="00922AF6"/>
    <w:rsid w:val="00922DF4"/>
    <w:rsid w:val="00922FE4"/>
    <w:rsid w:val="009244A4"/>
    <w:rsid w:val="009246F6"/>
    <w:rsid w:val="00924B93"/>
    <w:rsid w:val="00924BF3"/>
    <w:rsid w:val="00924E99"/>
    <w:rsid w:val="00925288"/>
    <w:rsid w:val="009254AC"/>
    <w:rsid w:val="00925501"/>
    <w:rsid w:val="009255B5"/>
    <w:rsid w:val="00925C4F"/>
    <w:rsid w:val="00925E17"/>
    <w:rsid w:val="00925E32"/>
    <w:rsid w:val="00926301"/>
    <w:rsid w:val="00926982"/>
    <w:rsid w:val="00926BC8"/>
    <w:rsid w:val="00926BF2"/>
    <w:rsid w:val="00926C8F"/>
    <w:rsid w:val="00926C94"/>
    <w:rsid w:val="009270C4"/>
    <w:rsid w:val="00930542"/>
    <w:rsid w:val="00930AA4"/>
    <w:rsid w:val="00930B54"/>
    <w:rsid w:val="00930DF3"/>
    <w:rsid w:val="00930E8A"/>
    <w:rsid w:val="00930F71"/>
    <w:rsid w:val="00931317"/>
    <w:rsid w:val="00931B25"/>
    <w:rsid w:val="00931C34"/>
    <w:rsid w:val="00931D3F"/>
    <w:rsid w:val="0093200A"/>
    <w:rsid w:val="0093208D"/>
    <w:rsid w:val="00932096"/>
    <w:rsid w:val="00932196"/>
    <w:rsid w:val="009321A3"/>
    <w:rsid w:val="0093226D"/>
    <w:rsid w:val="00932459"/>
    <w:rsid w:val="00932B16"/>
    <w:rsid w:val="00932FE6"/>
    <w:rsid w:val="0093412A"/>
    <w:rsid w:val="0093461F"/>
    <w:rsid w:val="00934FA8"/>
    <w:rsid w:val="009363BC"/>
    <w:rsid w:val="00936535"/>
    <w:rsid w:val="0093740F"/>
    <w:rsid w:val="00937B4A"/>
    <w:rsid w:val="00937C1D"/>
    <w:rsid w:val="009405AC"/>
    <w:rsid w:val="009405DB"/>
    <w:rsid w:val="00940712"/>
    <w:rsid w:val="00940A16"/>
    <w:rsid w:val="00940F58"/>
    <w:rsid w:val="00940FC3"/>
    <w:rsid w:val="0094131D"/>
    <w:rsid w:val="0094185C"/>
    <w:rsid w:val="00941BCB"/>
    <w:rsid w:val="00941C49"/>
    <w:rsid w:val="00941F69"/>
    <w:rsid w:val="00942120"/>
    <w:rsid w:val="00942316"/>
    <w:rsid w:val="009425F7"/>
    <w:rsid w:val="00942A91"/>
    <w:rsid w:val="00942F09"/>
    <w:rsid w:val="00942FE3"/>
    <w:rsid w:val="009437F6"/>
    <w:rsid w:val="00943DD5"/>
    <w:rsid w:val="00943F26"/>
    <w:rsid w:val="00944637"/>
    <w:rsid w:val="00944813"/>
    <w:rsid w:val="00944BC7"/>
    <w:rsid w:val="00944BF0"/>
    <w:rsid w:val="00945072"/>
    <w:rsid w:val="009450E6"/>
    <w:rsid w:val="009458E3"/>
    <w:rsid w:val="00946136"/>
    <w:rsid w:val="00946208"/>
    <w:rsid w:val="009464F1"/>
    <w:rsid w:val="00946C1D"/>
    <w:rsid w:val="00947B25"/>
    <w:rsid w:val="00950B62"/>
    <w:rsid w:val="0095124C"/>
    <w:rsid w:val="009512F4"/>
    <w:rsid w:val="00951A3E"/>
    <w:rsid w:val="00951FA8"/>
    <w:rsid w:val="009520CE"/>
    <w:rsid w:val="00952FEE"/>
    <w:rsid w:val="0095348B"/>
    <w:rsid w:val="00953596"/>
    <w:rsid w:val="00953BA0"/>
    <w:rsid w:val="00953BB4"/>
    <w:rsid w:val="00954282"/>
    <w:rsid w:val="009543E5"/>
    <w:rsid w:val="00954427"/>
    <w:rsid w:val="0095467D"/>
    <w:rsid w:val="00954E74"/>
    <w:rsid w:val="00955150"/>
    <w:rsid w:val="0095542F"/>
    <w:rsid w:val="009555AB"/>
    <w:rsid w:val="009560A6"/>
    <w:rsid w:val="009562BF"/>
    <w:rsid w:val="00956A2A"/>
    <w:rsid w:val="00956BBB"/>
    <w:rsid w:val="00956DC3"/>
    <w:rsid w:val="00957A1B"/>
    <w:rsid w:val="009607DA"/>
    <w:rsid w:val="00960C03"/>
    <w:rsid w:val="00961505"/>
    <w:rsid w:val="009618F2"/>
    <w:rsid w:val="00961B3E"/>
    <w:rsid w:val="00961C0C"/>
    <w:rsid w:val="0096205F"/>
    <w:rsid w:val="0096323E"/>
    <w:rsid w:val="009633FD"/>
    <w:rsid w:val="00963FAA"/>
    <w:rsid w:val="0096475C"/>
    <w:rsid w:val="00964924"/>
    <w:rsid w:val="00964F4E"/>
    <w:rsid w:val="00965161"/>
    <w:rsid w:val="00965401"/>
    <w:rsid w:val="00965A7A"/>
    <w:rsid w:val="00965E37"/>
    <w:rsid w:val="00965F51"/>
    <w:rsid w:val="00966425"/>
    <w:rsid w:val="0096646C"/>
    <w:rsid w:val="009664D4"/>
    <w:rsid w:val="009666AA"/>
    <w:rsid w:val="00966E16"/>
    <w:rsid w:val="0096797D"/>
    <w:rsid w:val="00967C2F"/>
    <w:rsid w:val="0097030A"/>
    <w:rsid w:val="00970651"/>
    <w:rsid w:val="009710C3"/>
    <w:rsid w:val="00971262"/>
    <w:rsid w:val="009713DD"/>
    <w:rsid w:val="00971A57"/>
    <w:rsid w:val="00971C53"/>
    <w:rsid w:val="00972103"/>
    <w:rsid w:val="009725F2"/>
    <w:rsid w:val="00972DC6"/>
    <w:rsid w:val="00972F2E"/>
    <w:rsid w:val="0097311D"/>
    <w:rsid w:val="00973179"/>
    <w:rsid w:val="00974105"/>
    <w:rsid w:val="00974795"/>
    <w:rsid w:val="00974B4D"/>
    <w:rsid w:val="00975C75"/>
    <w:rsid w:val="009761BB"/>
    <w:rsid w:val="00976390"/>
    <w:rsid w:val="00976582"/>
    <w:rsid w:val="00977595"/>
    <w:rsid w:val="0097766C"/>
    <w:rsid w:val="00977BCA"/>
    <w:rsid w:val="0098054A"/>
    <w:rsid w:val="009806FB"/>
    <w:rsid w:val="009809DE"/>
    <w:rsid w:val="00981000"/>
    <w:rsid w:val="0098177A"/>
    <w:rsid w:val="00981839"/>
    <w:rsid w:val="00981ABB"/>
    <w:rsid w:val="00982997"/>
    <w:rsid w:val="009833A5"/>
    <w:rsid w:val="0098393F"/>
    <w:rsid w:val="00983CE9"/>
    <w:rsid w:val="00983EFD"/>
    <w:rsid w:val="0098422A"/>
    <w:rsid w:val="009845AF"/>
    <w:rsid w:val="009849BB"/>
    <w:rsid w:val="00984A8A"/>
    <w:rsid w:val="009855E7"/>
    <w:rsid w:val="00985855"/>
    <w:rsid w:val="00985D58"/>
    <w:rsid w:val="00985DFA"/>
    <w:rsid w:val="00986257"/>
    <w:rsid w:val="0098643B"/>
    <w:rsid w:val="00986466"/>
    <w:rsid w:val="009864CE"/>
    <w:rsid w:val="009867A7"/>
    <w:rsid w:val="00986861"/>
    <w:rsid w:val="009868C9"/>
    <w:rsid w:val="00986A32"/>
    <w:rsid w:val="009878A0"/>
    <w:rsid w:val="00987BF5"/>
    <w:rsid w:val="00987CBC"/>
    <w:rsid w:val="00987FE7"/>
    <w:rsid w:val="00990519"/>
    <w:rsid w:val="00990609"/>
    <w:rsid w:val="00990904"/>
    <w:rsid w:val="00990AAE"/>
    <w:rsid w:val="00990D2C"/>
    <w:rsid w:val="00990DB9"/>
    <w:rsid w:val="00991706"/>
    <w:rsid w:val="009917E6"/>
    <w:rsid w:val="00992022"/>
    <w:rsid w:val="0099228A"/>
    <w:rsid w:val="009924B9"/>
    <w:rsid w:val="009925AC"/>
    <w:rsid w:val="00992815"/>
    <w:rsid w:val="00992935"/>
    <w:rsid w:val="00992AFB"/>
    <w:rsid w:val="00992DC7"/>
    <w:rsid w:val="00992E3D"/>
    <w:rsid w:val="0099301E"/>
    <w:rsid w:val="0099337A"/>
    <w:rsid w:val="009936DB"/>
    <w:rsid w:val="00993F17"/>
    <w:rsid w:val="00993FFC"/>
    <w:rsid w:val="00994268"/>
    <w:rsid w:val="009943CA"/>
    <w:rsid w:val="00994EA1"/>
    <w:rsid w:val="00995141"/>
    <w:rsid w:val="0099589D"/>
    <w:rsid w:val="00995E04"/>
    <w:rsid w:val="009961D6"/>
    <w:rsid w:val="00996326"/>
    <w:rsid w:val="00996349"/>
    <w:rsid w:val="00996415"/>
    <w:rsid w:val="00996546"/>
    <w:rsid w:val="009966A8"/>
    <w:rsid w:val="0099687E"/>
    <w:rsid w:val="00996C6A"/>
    <w:rsid w:val="00996CA3"/>
    <w:rsid w:val="00996E73"/>
    <w:rsid w:val="0099723F"/>
    <w:rsid w:val="009978A9"/>
    <w:rsid w:val="00997F31"/>
    <w:rsid w:val="009A09B4"/>
    <w:rsid w:val="009A10A4"/>
    <w:rsid w:val="009A1411"/>
    <w:rsid w:val="009A1CD8"/>
    <w:rsid w:val="009A1F25"/>
    <w:rsid w:val="009A214E"/>
    <w:rsid w:val="009A2838"/>
    <w:rsid w:val="009A28B2"/>
    <w:rsid w:val="009A2EFF"/>
    <w:rsid w:val="009A2FDF"/>
    <w:rsid w:val="009A327E"/>
    <w:rsid w:val="009A3451"/>
    <w:rsid w:val="009A3567"/>
    <w:rsid w:val="009A44E8"/>
    <w:rsid w:val="009A4654"/>
    <w:rsid w:val="009A4A0D"/>
    <w:rsid w:val="009A4F69"/>
    <w:rsid w:val="009A5B4A"/>
    <w:rsid w:val="009A5F6E"/>
    <w:rsid w:val="009A602D"/>
    <w:rsid w:val="009A61FF"/>
    <w:rsid w:val="009A6BC0"/>
    <w:rsid w:val="009A74CB"/>
    <w:rsid w:val="009A775A"/>
    <w:rsid w:val="009A7A01"/>
    <w:rsid w:val="009A7C99"/>
    <w:rsid w:val="009B09C4"/>
    <w:rsid w:val="009B0FD8"/>
    <w:rsid w:val="009B1D07"/>
    <w:rsid w:val="009B1DA5"/>
    <w:rsid w:val="009B2453"/>
    <w:rsid w:val="009B2861"/>
    <w:rsid w:val="009B28FD"/>
    <w:rsid w:val="009B2AD6"/>
    <w:rsid w:val="009B2B64"/>
    <w:rsid w:val="009B34B9"/>
    <w:rsid w:val="009B35D6"/>
    <w:rsid w:val="009B37F0"/>
    <w:rsid w:val="009B3F30"/>
    <w:rsid w:val="009B3FF1"/>
    <w:rsid w:val="009B45AC"/>
    <w:rsid w:val="009B45F0"/>
    <w:rsid w:val="009B4BDC"/>
    <w:rsid w:val="009B4F14"/>
    <w:rsid w:val="009B5594"/>
    <w:rsid w:val="009B568E"/>
    <w:rsid w:val="009B57DF"/>
    <w:rsid w:val="009B5879"/>
    <w:rsid w:val="009B5A37"/>
    <w:rsid w:val="009B6792"/>
    <w:rsid w:val="009B7144"/>
    <w:rsid w:val="009B729E"/>
    <w:rsid w:val="009B738C"/>
    <w:rsid w:val="009B7498"/>
    <w:rsid w:val="009B74A2"/>
    <w:rsid w:val="009B74BB"/>
    <w:rsid w:val="009B758E"/>
    <w:rsid w:val="009B77D9"/>
    <w:rsid w:val="009B7ED4"/>
    <w:rsid w:val="009C067A"/>
    <w:rsid w:val="009C0A9A"/>
    <w:rsid w:val="009C0CB4"/>
    <w:rsid w:val="009C0F5B"/>
    <w:rsid w:val="009C104A"/>
    <w:rsid w:val="009C1083"/>
    <w:rsid w:val="009C169C"/>
    <w:rsid w:val="009C178B"/>
    <w:rsid w:val="009C17E8"/>
    <w:rsid w:val="009C221F"/>
    <w:rsid w:val="009C27F8"/>
    <w:rsid w:val="009C34CB"/>
    <w:rsid w:val="009C3BFC"/>
    <w:rsid w:val="009C3D84"/>
    <w:rsid w:val="009C3E2C"/>
    <w:rsid w:val="009C411A"/>
    <w:rsid w:val="009C4228"/>
    <w:rsid w:val="009C42B4"/>
    <w:rsid w:val="009C443A"/>
    <w:rsid w:val="009C469D"/>
    <w:rsid w:val="009C4701"/>
    <w:rsid w:val="009C4B41"/>
    <w:rsid w:val="009C50B7"/>
    <w:rsid w:val="009C51B3"/>
    <w:rsid w:val="009C5923"/>
    <w:rsid w:val="009C6283"/>
    <w:rsid w:val="009C6981"/>
    <w:rsid w:val="009C6BB4"/>
    <w:rsid w:val="009C7773"/>
    <w:rsid w:val="009C781D"/>
    <w:rsid w:val="009C79FD"/>
    <w:rsid w:val="009C7A50"/>
    <w:rsid w:val="009C7B1D"/>
    <w:rsid w:val="009D03F1"/>
    <w:rsid w:val="009D1844"/>
    <w:rsid w:val="009D19B9"/>
    <w:rsid w:val="009D1C41"/>
    <w:rsid w:val="009D1CF4"/>
    <w:rsid w:val="009D2E19"/>
    <w:rsid w:val="009D2E2B"/>
    <w:rsid w:val="009D3528"/>
    <w:rsid w:val="009D380F"/>
    <w:rsid w:val="009D402B"/>
    <w:rsid w:val="009D49AF"/>
    <w:rsid w:val="009D5001"/>
    <w:rsid w:val="009D57A7"/>
    <w:rsid w:val="009D5A1E"/>
    <w:rsid w:val="009D678C"/>
    <w:rsid w:val="009D77C9"/>
    <w:rsid w:val="009D7D70"/>
    <w:rsid w:val="009E0410"/>
    <w:rsid w:val="009E0B59"/>
    <w:rsid w:val="009E0BFF"/>
    <w:rsid w:val="009E13B0"/>
    <w:rsid w:val="009E13F3"/>
    <w:rsid w:val="009E1607"/>
    <w:rsid w:val="009E2227"/>
    <w:rsid w:val="009E237E"/>
    <w:rsid w:val="009E2D39"/>
    <w:rsid w:val="009E2E06"/>
    <w:rsid w:val="009E2E5A"/>
    <w:rsid w:val="009E33D1"/>
    <w:rsid w:val="009E3FEF"/>
    <w:rsid w:val="009E4CF8"/>
    <w:rsid w:val="009E4D3E"/>
    <w:rsid w:val="009E52D3"/>
    <w:rsid w:val="009E53EC"/>
    <w:rsid w:val="009E6A55"/>
    <w:rsid w:val="009E6DD0"/>
    <w:rsid w:val="009E6F5C"/>
    <w:rsid w:val="009E7562"/>
    <w:rsid w:val="009E7ADC"/>
    <w:rsid w:val="009E7B6B"/>
    <w:rsid w:val="009F0861"/>
    <w:rsid w:val="009F0BD9"/>
    <w:rsid w:val="009F0C30"/>
    <w:rsid w:val="009F1A0A"/>
    <w:rsid w:val="009F1EB9"/>
    <w:rsid w:val="009F21DC"/>
    <w:rsid w:val="009F2803"/>
    <w:rsid w:val="009F293D"/>
    <w:rsid w:val="009F2BA2"/>
    <w:rsid w:val="009F2C42"/>
    <w:rsid w:val="009F31A9"/>
    <w:rsid w:val="009F3332"/>
    <w:rsid w:val="009F33FA"/>
    <w:rsid w:val="009F344F"/>
    <w:rsid w:val="009F3645"/>
    <w:rsid w:val="009F3AC7"/>
    <w:rsid w:val="009F4283"/>
    <w:rsid w:val="009F42F3"/>
    <w:rsid w:val="009F4BCE"/>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0FC7"/>
    <w:rsid w:val="00A00FF1"/>
    <w:rsid w:val="00A01149"/>
    <w:rsid w:val="00A01C1F"/>
    <w:rsid w:val="00A01C86"/>
    <w:rsid w:val="00A01C98"/>
    <w:rsid w:val="00A01D92"/>
    <w:rsid w:val="00A02A9F"/>
    <w:rsid w:val="00A02CE8"/>
    <w:rsid w:val="00A02EE0"/>
    <w:rsid w:val="00A02F54"/>
    <w:rsid w:val="00A035F2"/>
    <w:rsid w:val="00A03C90"/>
    <w:rsid w:val="00A04C41"/>
    <w:rsid w:val="00A051FC"/>
    <w:rsid w:val="00A0521B"/>
    <w:rsid w:val="00A052AE"/>
    <w:rsid w:val="00A05322"/>
    <w:rsid w:val="00A05A92"/>
    <w:rsid w:val="00A05ACF"/>
    <w:rsid w:val="00A05D66"/>
    <w:rsid w:val="00A06A54"/>
    <w:rsid w:val="00A06E0F"/>
    <w:rsid w:val="00A06E22"/>
    <w:rsid w:val="00A06EFA"/>
    <w:rsid w:val="00A0749B"/>
    <w:rsid w:val="00A077FC"/>
    <w:rsid w:val="00A10207"/>
    <w:rsid w:val="00A10423"/>
    <w:rsid w:val="00A1050E"/>
    <w:rsid w:val="00A1061C"/>
    <w:rsid w:val="00A10D02"/>
    <w:rsid w:val="00A11911"/>
    <w:rsid w:val="00A11972"/>
    <w:rsid w:val="00A1238B"/>
    <w:rsid w:val="00A1260D"/>
    <w:rsid w:val="00A129CC"/>
    <w:rsid w:val="00A136C8"/>
    <w:rsid w:val="00A137EE"/>
    <w:rsid w:val="00A13CAB"/>
    <w:rsid w:val="00A14034"/>
    <w:rsid w:val="00A14AA2"/>
    <w:rsid w:val="00A152F6"/>
    <w:rsid w:val="00A1548E"/>
    <w:rsid w:val="00A15A52"/>
    <w:rsid w:val="00A15A6A"/>
    <w:rsid w:val="00A15DAF"/>
    <w:rsid w:val="00A1614F"/>
    <w:rsid w:val="00A162F2"/>
    <w:rsid w:val="00A171E1"/>
    <w:rsid w:val="00A172FD"/>
    <w:rsid w:val="00A179AD"/>
    <w:rsid w:val="00A17AEF"/>
    <w:rsid w:val="00A17CFF"/>
    <w:rsid w:val="00A201CF"/>
    <w:rsid w:val="00A20889"/>
    <w:rsid w:val="00A20A26"/>
    <w:rsid w:val="00A21221"/>
    <w:rsid w:val="00A218FE"/>
    <w:rsid w:val="00A21F85"/>
    <w:rsid w:val="00A22536"/>
    <w:rsid w:val="00A227AB"/>
    <w:rsid w:val="00A2283C"/>
    <w:rsid w:val="00A230B1"/>
    <w:rsid w:val="00A2323D"/>
    <w:rsid w:val="00A240AC"/>
    <w:rsid w:val="00A240FF"/>
    <w:rsid w:val="00A2594C"/>
    <w:rsid w:val="00A266C7"/>
    <w:rsid w:val="00A26C96"/>
    <w:rsid w:val="00A2732C"/>
    <w:rsid w:val="00A277C7"/>
    <w:rsid w:val="00A27A71"/>
    <w:rsid w:val="00A27F02"/>
    <w:rsid w:val="00A30047"/>
    <w:rsid w:val="00A301BA"/>
    <w:rsid w:val="00A310C7"/>
    <w:rsid w:val="00A311A8"/>
    <w:rsid w:val="00A314E5"/>
    <w:rsid w:val="00A31CC5"/>
    <w:rsid w:val="00A31DF9"/>
    <w:rsid w:val="00A32078"/>
    <w:rsid w:val="00A32211"/>
    <w:rsid w:val="00A323FD"/>
    <w:rsid w:val="00A32462"/>
    <w:rsid w:val="00A326EF"/>
    <w:rsid w:val="00A32D14"/>
    <w:rsid w:val="00A33876"/>
    <w:rsid w:val="00A33D3A"/>
    <w:rsid w:val="00A34114"/>
    <w:rsid w:val="00A34B29"/>
    <w:rsid w:val="00A34BEA"/>
    <w:rsid w:val="00A34C81"/>
    <w:rsid w:val="00A34E19"/>
    <w:rsid w:val="00A35040"/>
    <w:rsid w:val="00A353D8"/>
    <w:rsid w:val="00A35615"/>
    <w:rsid w:val="00A35B31"/>
    <w:rsid w:val="00A35F00"/>
    <w:rsid w:val="00A361AE"/>
    <w:rsid w:val="00A3664B"/>
    <w:rsid w:val="00A36B46"/>
    <w:rsid w:val="00A36BD5"/>
    <w:rsid w:val="00A37269"/>
    <w:rsid w:val="00A374B1"/>
    <w:rsid w:val="00A401BF"/>
    <w:rsid w:val="00A40906"/>
    <w:rsid w:val="00A409B8"/>
    <w:rsid w:val="00A40C3D"/>
    <w:rsid w:val="00A40D0C"/>
    <w:rsid w:val="00A41302"/>
    <w:rsid w:val="00A415E2"/>
    <w:rsid w:val="00A41C59"/>
    <w:rsid w:val="00A41C63"/>
    <w:rsid w:val="00A420F4"/>
    <w:rsid w:val="00A42130"/>
    <w:rsid w:val="00A421C0"/>
    <w:rsid w:val="00A4271D"/>
    <w:rsid w:val="00A42B3E"/>
    <w:rsid w:val="00A43021"/>
    <w:rsid w:val="00A43278"/>
    <w:rsid w:val="00A4349B"/>
    <w:rsid w:val="00A434EC"/>
    <w:rsid w:val="00A44F68"/>
    <w:rsid w:val="00A459D9"/>
    <w:rsid w:val="00A463EB"/>
    <w:rsid w:val="00A466BC"/>
    <w:rsid w:val="00A469C6"/>
    <w:rsid w:val="00A47029"/>
    <w:rsid w:val="00A47341"/>
    <w:rsid w:val="00A50299"/>
    <w:rsid w:val="00A503CF"/>
    <w:rsid w:val="00A50F4B"/>
    <w:rsid w:val="00A510C2"/>
    <w:rsid w:val="00A518F3"/>
    <w:rsid w:val="00A51D1A"/>
    <w:rsid w:val="00A51D94"/>
    <w:rsid w:val="00A52100"/>
    <w:rsid w:val="00A525EC"/>
    <w:rsid w:val="00A52885"/>
    <w:rsid w:val="00A52FC1"/>
    <w:rsid w:val="00A53048"/>
    <w:rsid w:val="00A5334A"/>
    <w:rsid w:val="00A536D5"/>
    <w:rsid w:val="00A53FCE"/>
    <w:rsid w:val="00A5425D"/>
    <w:rsid w:val="00A5510E"/>
    <w:rsid w:val="00A554CB"/>
    <w:rsid w:val="00A559F4"/>
    <w:rsid w:val="00A56001"/>
    <w:rsid w:val="00A56547"/>
    <w:rsid w:val="00A56BBE"/>
    <w:rsid w:val="00A56D12"/>
    <w:rsid w:val="00A570AE"/>
    <w:rsid w:val="00A570E0"/>
    <w:rsid w:val="00A57343"/>
    <w:rsid w:val="00A57566"/>
    <w:rsid w:val="00A57593"/>
    <w:rsid w:val="00A57889"/>
    <w:rsid w:val="00A606A0"/>
    <w:rsid w:val="00A60754"/>
    <w:rsid w:val="00A60AEA"/>
    <w:rsid w:val="00A60E0C"/>
    <w:rsid w:val="00A61263"/>
    <w:rsid w:val="00A614AD"/>
    <w:rsid w:val="00A61886"/>
    <w:rsid w:val="00A61C42"/>
    <w:rsid w:val="00A6300B"/>
    <w:rsid w:val="00A63706"/>
    <w:rsid w:val="00A63A0E"/>
    <w:rsid w:val="00A63D89"/>
    <w:rsid w:val="00A64DAD"/>
    <w:rsid w:val="00A650DB"/>
    <w:rsid w:val="00A65406"/>
    <w:rsid w:val="00A65E52"/>
    <w:rsid w:val="00A66B3D"/>
    <w:rsid w:val="00A66E04"/>
    <w:rsid w:val="00A671B3"/>
    <w:rsid w:val="00A673BA"/>
    <w:rsid w:val="00A6775B"/>
    <w:rsid w:val="00A67E45"/>
    <w:rsid w:val="00A67E84"/>
    <w:rsid w:val="00A67F13"/>
    <w:rsid w:val="00A71084"/>
    <w:rsid w:val="00A71181"/>
    <w:rsid w:val="00A71996"/>
    <w:rsid w:val="00A722F7"/>
    <w:rsid w:val="00A726AA"/>
    <w:rsid w:val="00A7290C"/>
    <w:rsid w:val="00A72ADA"/>
    <w:rsid w:val="00A733CD"/>
    <w:rsid w:val="00A73642"/>
    <w:rsid w:val="00A73647"/>
    <w:rsid w:val="00A73915"/>
    <w:rsid w:val="00A740A9"/>
    <w:rsid w:val="00A740DC"/>
    <w:rsid w:val="00A749A2"/>
    <w:rsid w:val="00A74C0B"/>
    <w:rsid w:val="00A74CED"/>
    <w:rsid w:val="00A75085"/>
    <w:rsid w:val="00A753C1"/>
    <w:rsid w:val="00A7588B"/>
    <w:rsid w:val="00A758A0"/>
    <w:rsid w:val="00A75E31"/>
    <w:rsid w:val="00A76063"/>
    <w:rsid w:val="00A7661A"/>
    <w:rsid w:val="00A767A1"/>
    <w:rsid w:val="00A767FD"/>
    <w:rsid w:val="00A76850"/>
    <w:rsid w:val="00A771BF"/>
    <w:rsid w:val="00A77A3F"/>
    <w:rsid w:val="00A801BC"/>
    <w:rsid w:val="00A80822"/>
    <w:rsid w:val="00A80B84"/>
    <w:rsid w:val="00A80D67"/>
    <w:rsid w:val="00A815D0"/>
    <w:rsid w:val="00A81953"/>
    <w:rsid w:val="00A81DB2"/>
    <w:rsid w:val="00A82156"/>
    <w:rsid w:val="00A82385"/>
    <w:rsid w:val="00A823AB"/>
    <w:rsid w:val="00A82C6D"/>
    <w:rsid w:val="00A83B5A"/>
    <w:rsid w:val="00A8409E"/>
    <w:rsid w:val="00A84155"/>
    <w:rsid w:val="00A84A64"/>
    <w:rsid w:val="00A84AE2"/>
    <w:rsid w:val="00A84AEB"/>
    <w:rsid w:val="00A861F3"/>
    <w:rsid w:val="00A86A5D"/>
    <w:rsid w:val="00A86F1A"/>
    <w:rsid w:val="00A874F5"/>
    <w:rsid w:val="00A87A3E"/>
    <w:rsid w:val="00A87A52"/>
    <w:rsid w:val="00A87B18"/>
    <w:rsid w:val="00A900ED"/>
    <w:rsid w:val="00A907B1"/>
    <w:rsid w:val="00A90888"/>
    <w:rsid w:val="00A90A43"/>
    <w:rsid w:val="00A90B1F"/>
    <w:rsid w:val="00A90DB1"/>
    <w:rsid w:val="00A90DCE"/>
    <w:rsid w:val="00A910CC"/>
    <w:rsid w:val="00A9147B"/>
    <w:rsid w:val="00A915DC"/>
    <w:rsid w:val="00A9162D"/>
    <w:rsid w:val="00A91BA8"/>
    <w:rsid w:val="00A91DB9"/>
    <w:rsid w:val="00A91EF1"/>
    <w:rsid w:val="00A91EF2"/>
    <w:rsid w:val="00A91EF4"/>
    <w:rsid w:val="00A92331"/>
    <w:rsid w:val="00A92E10"/>
    <w:rsid w:val="00A9325C"/>
    <w:rsid w:val="00A9325E"/>
    <w:rsid w:val="00A9390E"/>
    <w:rsid w:val="00A93B3D"/>
    <w:rsid w:val="00A94171"/>
    <w:rsid w:val="00A947DA"/>
    <w:rsid w:val="00A94AF3"/>
    <w:rsid w:val="00A94FD5"/>
    <w:rsid w:val="00A95227"/>
    <w:rsid w:val="00A95559"/>
    <w:rsid w:val="00A95F9F"/>
    <w:rsid w:val="00A95FC9"/>
    <w:rsid w:val="00A9676C"/>
    <w:rsid w:val="00A96896"/>
    <w:rsid w:val="00A96CAB"/>
    <w:rsid w:val="00A96E85"/>
    <w:rsid w:val="00A96FC6"/>
    <w:rsid w:val="00A97942"/>
    <w:rsid w:val="00A97ACC"/>
    <w:rsid w:val="00A97B61"/>
    <w:rsid w:val="00A97CAF"/>
    <w:rsid w:val="00AA01DA"/>
    <w:rsid w:val="00AA046E"/>
    <w:rsid w:val="00AA06AB"/>
    <w:rsid w:val="00AA0929"/>
    <w:rsid w:val="00AA0C2D"/>
    <w:rsid w:val="00AA0CA2"/>
    <w:rsid w:val="00AA0F42"/>
    <w:rsid w:val="00AA0FDD"/>
    <w:rsid w:val="00AA115C"/>
    <w:rsid w:val="00AA1211"/>
    <w:rsid w:val="00AA1579"/>
    <w:rsid w:val="00AA1ED0"/>
    <w:rsid w:val="00AA2101"/>
    <w:rsid w:val="00AA2774"/>
    <w:rsid w:val="00AA2E76"/>
    <w:rsid w:val="00AA35E5"/>
    <w:rsid w:val="00AA37D3"/>
    <w:rsid w:val="00AA41E9"/>
    <w:rsid w:val="00AA4358"/>
    <w:rsid w:val="00AA4482"/>
    <w:rsid w:val="00AA450C"/>
    <w:rsid w:val="00AA46FE"/>
    <w:rsid w:val="00AA4AE0"/>
    <w:rsid w:val="00AA5139"/>
    <w:rsid w:val="00AA5265"/>
    <w:rsid w:val="00AA560A"/>
    <w:rsid w:val="00AA5AEF"/>
    <w:rsid w:val="00AA5E20"/>
    <w:rsid w:val="00AA5E31"/>
    <w:rsid w:val="00AA6884"/>
    <w:rsid w:val="00AA6E71"/>
    <w:rsid w:val="00AA6EDF"/>
    <w:rsid w:val="00AA70F2"/>
    <w:rsid w:val="00AA7247"/>
    <w:rsid w:val="00AA7437"/>
    <w:rsid w:val="00AA750C"/>
    <w:rsid w:val="00AA7A5E"/>
    <w:rsid w:val="00AA7F57"/>
    <w:rsid w:val="00AB0229"/>
    <w:rsid w:val="00AB07D1"/>
    <w:rsid w:val="00AB07D9"/>
    <w:rsid w:val="00AB0879"/>
    <w:rsid w:val="00AB0966"/>
    <w:rsid w:val="00AB0AA6"/>
    <w:rsid w:val="00AB0E99"/>
    <w:rsid w:val="00AB0F03"/>
    <w:rsid w:val="00AB1287"/>
    <w:rsid w:val="00AB1CE8"/>
    <w:rsid w:val="00AB1FC9"/>
    <w:rsid w:val="00AB25CE"/>
    <w:rsid w:val="00AB2F20"/>
    <w:rsid w:val="00AB3201"/>
    <w:rsid w:val="00AB3F7B"/>
    <w:rsid w:val="00AB4356"/>
    <w:rsid w:val="00AB4419"/>
    <w:rsid w:val="00AB4AD8"/>
    <w:rsid w:val="00AB4E22"/>
    <w:rsid w:val="00AB5597"/>
    <w:rsid w:val="00AB5BAA"/>
    <w:rsid w:val="00AB66AC"/>
    <w:rsid w:val="00AB695B"/>
    <w:rsid w:val="00AB6DFC"/>
    <w:rsid w:val="00AB6EBB"/>
    <w:rsid w:val="00AB6FF1"/>
    <w:rsid w:val="00AB755B"/>
    <w:rsid w:val="00AB7A79"/>
    <w:rsid w:val="00AC0189"/>
    <w:rsid w:val="00AC09CD"/>
    <w:rsid w:val="00AC1004"/>
    <w:rsid w:val="00AC165A"/>
    <w:rsid w:val="00AC2524"/>
    <w:rsid w:val="00AC2588"/>
    <w:rsid w:val="00AC2832"/>
    <w:rsid w:val="00AC2885"/>
    <w:rsid w:val="00AC332B"/>
    <w:rsid w:val="00AC3739"/>
    <w:rsid w:val="00AC37AF"/>
    <w:rsid w:val="00AC3DB7"/>
    <w:rsid w:val="00AC400E"/>
    <w:rsid w:val="00AC4293"/>
    <w:rsid w:val="00AC438A"/>
    <w:rsid w:val="00AC4E38"/>
    <w:rsid w:val="00AC5606"/>
    <w:rsid w:val="00AC561A"/>
    <w:rsid w:val="00AC570E"/>
    <w:rsid w:val="00AC57D2"/>
    <w:rsid w:val="00AC5FFC"/>
    <w:rsid w:val="00AC658F"/>
    <w:rsid w:val="00AC6954"/>
    <w:rsid w:val="00AC7899"/>
    <w:rsid w:val="00AC7F42"/>
    <w:rsid w:val="00AC7F95"/>
    <w:rsid w:val="00AD0B96"/>
    <w:rsid w:val="00AD1A5F"/>
    <w:rsid w:val="00AD1A60"/>
    <w:rsid w:val="00AD2762"/>
    <w:rsid w:val="00AD27FC"/>
    <w:rsid w:val="00AD2ACE"/>
    <w:rsid w:val="00AD378E"/>
    <w:rsid w:val="00AD3FA7"/>
    <w:rsid w:val="00AD4029"/>
    <w:rsid w:val="00AD44C7"/>
    <w:rsid w:val="00AD4532"/>
    <w:rsid w:val="00AD49F3"/>
    <w:rsid w:val="00AD4B09"/>
    <w:rsid w:val="00AD4EF7"/>
    <w:rsid w:val="00AD4F1C"/>
    <w:rsid w:val="00AD4FA3"/>
    <w:rsid w:val="00AD50AD"/>
    <w:rsid w:val="00AD514D"/>
    <w:rsid w:val="00AD516C"/>
    <w:rsid w:val="00AD5DEF"/>
    <w:rsid w:val="00AD5FD1"/>
    <w:rsid w:val="00AD6407"/>
    <w:rsid w:val="00AD6E95"/>
    <w:rsid w:val="00AD752F"/>
    <w:rsid w:val="00AD79BB"/>
    <w:rsid w:val="00AD7D7F"/>
    <w:rsid w:val="00AE00CA"/>
    <w:rsid w:val="00AE0C89"/>
    <w:rsid w:val="00AE10C4"/>
    <w:rsid w:val="00AE1197"/>
    <w:rsid w:val="00AE1524"/>
    <w:rsid w:val="00AE1AE1"/>
    <w:rsid w:val="00AE254F"/>
    <w:rsid w:val="00AE260E"/>
    <w:rsid w:val="00AE2C77"/>
    <w:rsid w:val="00AE2D01"/>
    <w:rsid w:val="00AE2DF4"/>
    <w:rsid w:val="00AE2EE6"/>
    <w:rsid w:val="00AE33A7"/>
    <w:rsid w:val="00AE3C7F"/>
    <w:rsid w:val="00AE415F"/>
    <w:rsid w:val="00AE4AB0"/>
    <w:rsid w:val="00AE4C8E"/>
    <w:rsid w:val="00AE4E21"/>
    <w:rsid w:val="00AE4F15"/>
    <w:rsid w:val="00AE5430"/>
    <w:rsid w:val="00AE55BC"/>
    <w:rsid w:val="00AE57D2"/>
    <w:rsid w:val="00AE638D"/>
    <w:rsid w:val="00AE686D"/>
    <w:rsid w:val="00AE6B19"/>
    <w:rsid w:val="00AE6B27"/>
    <w:rsid w:val="00AE6D6A"/>
    <w:rsid w:val="00AE6F0F"/>
    <w:rsid w:val="00AE7656"/>
    <w:rsid w:val="00AE7663"/>
    <w:rsid w:val="00AF00D2"/>
    <w:rsid w:val="00AF083D"/>
    <w:rsid w:val="00AF0B16"/>
    <w:rsid w:val="00AF0F96"/>
    <w:rsid w:val="00AF1021"/>
    <w:rsid w:val="00AF21D7"/>
    <w:rsid w:val="00AF222F"/>
    <w:rsid w:val="00AF2893"/>
    <w:rsid w:val="00AF28EB"/>
    <w:rsid w:val="00AF2ED6"/>
    <w:rsid w:val="00AF3178"/>
    <w:rsid w:val="00AF36B6"/>
    <w:rsid w:val="00AF36BA"/>
    <w:rsid w:val="00AF3A61"/>
    <w:rsid w:val="00AF3C6C"/>
    <w:rsid w:val="00AF49AE"/>
    <w:rsid w:val="00AF4AB5"/>
    <w:rsid w:val="00AF4E1B"/>
    <w:rsid w:val="00AF527E"/>
    <w:rsid w:val="00AF5407"/>
    <w:rsid w:val="00AF5AC5"/>
    <w:rsid w:val="00AF5D56"/>
    <w:rsid w:val="00AF6595"/>
    <w:rsid w:val="00AF6E19"/>
    <w:rsid w:val="00AF7444"/>
    <w:rsid w:val="00AF782D"/>
    <w:rsid w:val="00AF7E50"/>
    <w:rsid w:val="00B00936"/>
    <w:rsid w:val="00B00D08"/>
    <w:rsid w:val="00B00ED5"/>
    <w:rsid w:val="00B017AB"/>
    <w:rsid w:val="00B017EA"/>
    <w:rsid w:val="00B01B8C"/>
    <w:rsid w:val="00B01D69"/>
    <w:rsid w:val="00B01F2E"/>
    <w:rsid w:val="00B022CF"/>
    <w:rsid w:val="00B02808"/>
    <w:rsid w:val="00B028B0"/>
    <w:rsid w:val="00B028BC"/>
    <w:rsid w:val="00B02BF0"/>
    <w:rsid w:val="00B02C08"/>
    <w:rsid w:val="00B02EEE"/>
    <w:rsid w:val="00B037DC"/>
    <w:rsid w:val="00B038A2"/>
    <w:rsid w:val="00B03920"/>
    <w:rsid w:val="00B03AB4"/>
    <w:rsid w:val="00B03ABD"/>
    <w:rsid w:val="00B043EB"/>
    <w:rsid w:val="00B04580"/>
    <w:rsid w:val="00B0459A"/>
    <w:rsid w:val="00B04830"/>
    <w:rsid w:val="00B04972"/>
    <w:rsid w:val="00B04A5D"/>
    <w:rsid w:val="00B04BED"/>
    <w:rsid w:val="00B05384"/>
    <w:rsid w:val="00B05B34"/>
    <w:rsid w:val="00B05B91"/>
    <w:rsid w:val="00B05C65"/>
    <w:rsid w:val="00B05F77"/>
    <w:rsid w:val="00B05FAD"/>
    <w:rsid w:val="00B05FE5"/>
    <w:rsid w:val="00B0613A"/>
    <w:rsid w:val="00B062A6"/>
    <w:rsid w:val="00B0689A"/>
    <w:rsid w:val="00B069BA"/>
    <w:rsid w:val="00B06DD5"/>
    <w:rsid w:val="00B07297"/>
    <w:rsid w:val="00B077CC"/>
    <w:rsid w:val="00B07CD8"/>
    <w:rsid w:val="00B07F33"/>
    <w:rsid w:val="00B10346"/>
    <w:rsid w:val="00B10762"/>
    <w:rsid w:val="00B10AE6"/>
    <w:rsid w:val="00B10B90"/>
    <w:rsid w:val="00B1114A"/>
    <w:rsid w:val="00B11197"/>
    <w:rsid w:val="00B119A6"/>
    <w:rsid w:val="00B11D78"/>
    <w:rsid w:val="00B11E88"/>
    <w:rsid w:val="00B11F38"/>
    <w:rsid w:val="00B11FEA"/>
    <w:rsid w:val="00B12FD0"/>
    <w:rsid w:val="00B13088"/>
    <w:rsid w:val="00B1325A"/>
    <w:rsid w:val="00B1355A"/>
    <w:rsid w:val="00B13933"/>
    <w:rsid w:val="00B13F7C"/>
    <w:rsid w:val="00B1401B"/>
    <w:rsid w:val="00B1482F"/>
    <w:rsid w:val="00B14E03"/>
    <w:rsid w:val="00B1524E"/>
    <w:rsid w:val="00B152C6"/>
    <w:rsid w:val="00B1551C"/>
    <w:rsid w:val="00B1597B"/>
    <w:rsid w:val="00B15BB2"/>
    <w:rsid w:val="00B16611"/>
    <w:rsid w:val="00B169C8"/>
    <w:rsid w:val="00B17016"/>
    <w:rsid w:val="00B20AF2"/>
    <w:rsid w:val="00B214DD"/>
    <w:rsid w:val="00B216F9"/>
    <w:rsid w:val="00B229BE"/>
    <w:rsid w:val="00B22C92"/>
    <w:rsid w:val="00B22D02"/>
    <w:rsid w:val="00B23157"/>
    <w:rsid w:val="00B23821"/>
    <w:rsid w:val="00B23C29"/>
    <w:rsid w:val="00B241E3"/>
    <w:rsid w:val="00B24E14"/>
    <w:rsid w:val="00B2511B"/>
    <w:rsid w:val="00B25549"/>
    <w:rsid w:val="00B258F7"/>
    <w:rsid w:val="00B25C72"/>
    <w:rsid w:val="00B25E6F"/>
    <w:rsid w:val="00B269C1"/>
    <w:rsid w:val="00B27220"/>
    <w:rsid w:val="00B27A6D"/>
    <w:rsid w:val="00B27CC0"/>
    <w:rsid w:val="00B308F8"/>
    <w:rsid w:val="00B3098F"/>
    <w:rsid w:val="00B30A2A"/>
    <w:rsid w:val="00B30B07"/>
    <w:rsid w:val="00B30BCF"/>
    <w:rsid w:val="00B30D67"/>
    <w:rsid w:val="00B314D0"/>
    <w:rsid w:val="00B31F6E"/>
    <w:rsid w:val="00B324B7"/>
    <w:rsid w:val="00B3254C"/>
    <w:rsid w:val="00B325BF"/>
    <w:rsid w:val="00B329FF"/>
    <w:rsid w:val="00B32C0C"/>
    <w:rsid w:val="00B32E23"/>
    <w:rsid w:val="00B32F2D"/>
    <w:rsid w:val="00B33321"/>
    <w:rsid w:val="00B3370B"/>
    <w:rsid w:val="00B33ACE"/>
    <w:rsid w:val="00B34296"/>
    <w:rsid w:val="00B344C2"/>
    <w:rsid w:val="00B34C4E"/>
    <w:rsid w:val="00B3517D"/>
    <w:rsid w:val="00B35221"/>
    <w:rsid w:val="00B3547E"/>
    <w:rsid w:val="00B35514"/>
    <w:rsid w:val="00B35520"/>
    <w:rsid w:val="00B3621F"/>
    <w:rsid w:val="00B3690C"/>
    <w:rsid w:val="00B370C8"/>
    <w:rsid w:val="00B371AD"/>
    <w:rsid w:val="00B37B57"/>
    <w:rsid w:val="00B40330"/>
    <w:rsid w:val="00B406E5"/>
    <w:rsid w:val="00B4180D"/>
    <w:rsid w:val="00B41B90"/>
    <w:rsid w:val="00B4283B"/>
    <w:rsid w:val="00B42868"/>
    <w:rsid w:val="00B4299A"/>
    <w:rsid w:val="00B42A94"/>
    <w:rsid w:val="00B42C20"/>
    <w:rsid w:val="00B42D9A"/>
    <w:rsid w:val="00B42F20"/>
    <w:rsid w:val="00B434EA"/>
    <w:rsid w:val="00B43697"/>
    <w:rsid w:val="00B43CED"/>
    <w:rsid w:val="00B444DD"/>
    <w:rsid w:val="00B44D47"/>
    <w:rsid w:val="00B44D96"/>
    <w:rsid w:val="00B4521F"/>
    <w:rsid w:val="00B45928"/>
    <w:rsid w:val="00B4592B"/>
    <w:rsid w:val="00B45977"/>
    <w:rsid w:val="00B45E16"/>
    <w:rsid w:val="00B45E8C"/>
    <w:rsid w:val="00B46B3C"/>
    <w:rsid w:val="00B46F19"/>
    <w:rsid w:val="00B470FE"/>
    <w:rsid w:val="00B47148"/>
    <w:rsid w:val="00B479D1"/>
    <w:rsid w:val="00B47E90"/>
    <w:rsid w:val="00B47ED4"/>
    <w:rsid w:val="00B47FE8"/>
    <w:rsid w:val="00B50036"/>
    <w:rsid w:val="00B50B5A"/>
    <w:rsid w:val="00B50F51"/>
    <w:rsid w:val="00B50F82"/>
    <w:rsid w:val="00B51403"/>
    <w:rsid w:val="00B51A2F"/>
    <w:rsid w:val="00B51B5B"/>
    <w:rsid w:val="00B51D30"/>
    <w:rsid w:val="00B52111"/>
    <w:rsid w:val="00B528D0"/>
    <w:rsid w:val="00B52F30"/>
    <w:rsid w:val="00B52FAF"/>
    <w:rsid w:val="00B5323F"/>
    <w:rsid w:val="00B539EB"/>
    <w:rsid w:val="00B54550"/>
    <w:rsid w:val="00B5495B"/>
    <w:rsid w:val="00B54A5A"/>
    <w:rsid w:val="00B54FEB"/>
    <w:rsid w:val="00B55695"/>
    <w:rsid w:val="00B562E6"/>
    <w:rsid w:val="00B5639B"/>
    <w:rsid w:val="00B5660B"/>
    <w:rsid w:val="00B57638"/>
    <w:rsid w:val="00B576C3"/>
    <w:rsid w:val="00B576E1"/>
    <w:rsid w:val="00B6004E"/>
    <w:rsid w:val="00B60477"/>
    <w:rsid w:val="00B60722"/>
    <w:rsid w:val="00B6072A"/>
    <w:rsid w:val="00B608F1"/>
    <w:rsid w:val="00B60E97"/>
    <w:rsid w:val="00B60F79"/>
    <w:rsid w:val="00B61337"/>
    <w:rsid w:val="00B6166D"/>
    <w:rsid w:val="00B61B49"/>
    <w:rsid w:val="00B6254F"/>
    <w:rsid w:val="00B62EE3"/>
    <w:rsid w:val="00B6317C"/>
    <w:rsid w:val="00B63591"/>
    <w:rsid w:val="00B635C6"/>
    <w:rsid w:val="00B63704"/>
    <w:rsid w:val="00B63742"/>
    <w:rsid w:val="00B637D9"/>
    <w:rsid w:val="00B63B4A"/>
    <w:rsid w:val="00B64496"/>
    <w:rsid w:val="00B64498"/>
    <w:rsid w:val="00B6604C"/>
    <w:rsid w:val="00B664B0"/>
    <w:rsid w:val="00B667A5"/>
    <w:rsid w:val="00B66853"/>
    <w:rsid w:val="00B67120"/>
    <w:rsid w:val="00B673CA"/>
    <w:rsid w:val="00B6753E"/>
    <w:rsid w:val="00B67550"/>
    <w:rsid w:val="00B676CA"/>
    <w:rsid w:val="00B679F5"/>
    <w:rsid w:val="00B70D3E"/>
    <w:rsid w:val="00B7112A"/>
    <w:rsid w:val="00B7117A"/>
    <w:rsid w:val="00B71203"/>
    <w:rsid w:val="00B715E1"/>
    <w:rsid w:val="00B72053"/>
    <w:rsid w:val="00B7234F"/>
    <w:rsid w:val="00B72537"/>
    <w:rsid w:val="00B73B57"/>
    <w:rsid w:val="00B746D5"/>
    <w:rsid w:val="00B74753"/>
    <w:rsid w:val="00B74BDA"/>
    <w:rsid w:val="00B75037"/>
    <w:rsid w:val="00B75159"/>
    <w:rsid w:val="00B751C0"/>
    <w:rsid w:val="00B7573D"/>
    <w:rsid w:val="00B759D6"/>
    <w:rsid w:val="00B75AAD"/>
    <w:rsid w:val="00B75D3F"/>
    <w:rsid w:val="00B7745A"/>
    <w:rsid w:val="00B77723"/>
    <w:rsid w:val="00B77ABB"/>
    <w:rsid w:val="00B77CA5"/>
    <w:rsid w:val="00B77E12"/>
    <w:rsid w:val="00B802CA"/>
    <w:rsid w:val="00B80B08"/>
    <w:rsid w:val="00B8154C"/>
    <w:rsid w:val="00B815D3"/>
    <w:rsid w:val="00B818D4"/>
    <w:rsid w:val="00B81DB8"/>
    <w:rsid w:val="00B82DE1"/>
    <w:rsid w:val="00B83476"/>
    <w:rsid w:val="00B835D2"/>
    <w:rsid w:val="00B836B0"/>
    <w:rsid w:val="00B842EE"/>
    <w:rsid w:val="00B8438E"/>
    <w:rsid w:val="00B843A1"/>
    <w:rsid w:val="00B8487D"/>
    <w:rsid w:val="00B848BE"/>
    <w:rsid w:val="00B84978"/>
    <w:rsid w:val="00B84C9C"/>
    <w:rsid w:val="00B84FF8"/>
    <w:rsid w:val="00B8573A"/>
    <w:rsid w:val="00B85861"/>
    <w:rsid w:val="00B85AE3"/>
    <w:rsid w:val="00B85CEA"/>
    <w:rsid w:val="00B86071"/>
    <w:rsid w:val="00B861A7"/>
    <w:rsid w:val="00B870B0"/>
    <w:rsid w:val="00B8748B"/>
    <w:rsid w:val="00B8792C"/>
    <w:rsid w:val="00B87BC1"/>
    <w:rsid w:val="00B87F56"/>
    <w:rsid w:val="00B9103E"/>
    <w:rsid w:val="00B911CB"/>
    <w:rsid w:val="00B913F2"/>
    <w:rsid w:val="00B91818"/>
    <w:rsid w:val="00B919AB"/>
    <w:rsid w:val="00B91E1C"/>
    <w:rsid w:val="00B9258B"/>
    <w:rsid w:val="00B927B0"/>
    <w:rsid w:val="00B92F7A"/>
    <w:rsid w:val="00B93597"/>
    <w:rsid w:val="00B9389D"/>
    <w:rsid w:val="00B94798"/>
    <w:rsid w:val="00B947FD"/>
    <w:rsid w:val="00B94BE5"/>
    <w:rsid w:val="00B96011"/>
    <w:rsid w:val="00B965AF"/>
    <w:rsid w:val="00B97182"/>
    <w:rsid w:val="00B97459"/>
    <w:rsid w:val="00B977A2"/>
    <w:rsid w:val="00B977C7"/>
    <w:rsid w:val="00B97927"/>
    <w:rsid w:val="00B97DBD"/>
    <w:rsid w:val="00BA0255"/>
    <w:rsid w:val="00BA02A6"/>
    <w:rsid w:val="00BA064A"/>
    <w:rsid w:val="00BA06D4"/>
    <w:rsid w:val="00BA075F"/>
    <w:rsid w:val="00BA0827"/>
    <w:rsid w:val="00BA0933"/>
    <w:rsid w:val="00BA0A76"/>
    <w:rsid w:val="00BA0D2A"/>
    <w:rsid w:val="00BA0FA7"/>
    <w:rsid w:val="00BA1218"/>
    <w:rsid w:val="00BA17BF"/>
    <w:rsid w:val="00BA1B48"/>
    <w:rsid w:val="00BA1D32"/>
    <w:rsid w:val="00BA256B"/>
    <w:rsid w:val="00BA3A2C"/>
    <w:rsid w:val="00BA3B8C"/>
    <w:rsid w:val="00BA3DFA"/>
    <w:rsid w:val="00BA4246"/>
    <w:rsid w:val="00BA4671"/>
    <w:rsid w:val="00BA4D83"/>
    <w:rsid w:val="00BA4E59"/>
    <w:rsid w:val="00BA52C1"/>
    <w:rsid w:val="00BA52DB"/>
    <w:rsid w:val="00BA58C0"/>
    <w:rsid w:val="00BA6166"/>
    <w:rsid w:val="00BA683A"/>
    <w:rsid w:val="00BA739B"/>
    <w:rsid w:val="00BA76B1"/>
    <w:rsid w:val="00BA7CCB"/>
    <w:rsid w:val="00BB0423"/>
    <w:rsid w:val="00BB0463"/>
    <w:rsid w:val="00BB090B"/>
    <w:rsid w:val="00BB0C7A"/>
    <w:rsid w:val="00BB1CBD"/>
    <w:rsid w:val="00BB1EA8"/>
    <w:rsid w:val="00BB208A"/>
    <w:rsid w:val="00BB2573"/>
    <w:rsid w:val="00BB2B1F"/>
    <w:rsid w:val="00BB2F0B"/>
    <w:rsid w:val="00BB36C5"/>
    <w:rsid w:val="00BB4AB6"/>
    <w:rsid w:val="00BB4C56"/>
    <w:rsid w:val="00BB4F9A"/>
    <w:rsid w:val="00BB5F6C"/>
    <w:rsid w:val="00BB60C3"/>
    <w:rsid w:val="00BB613F"/>
    <w:rsid w:val="00BB61B4"/>
    <w:rsid w:val="00BB6480"/>
    <w:rsid w:val="00BB6796"/>
    <w:rsid w:val="00BB690D"/>
    <w:rsid w:val="00BB69B6"/>
    <w:rsid w:val="00BB6A4C"/>
    <w:rsid w:val="00BB6C88"/>
    <w:rsid w:val="00BB6ECF"/>
    <w:rsid w:val="00BB74B3"/>
    <w:rsid w:val="00BB76A1"/>
    <w:rsid w:val="00BB777A"/>
    <w:rsid w:val="00BB7C25"/>
    <w:rsid w:val="00BC0B9D"/>
    <w:rsid w:val="00BC0C2F"/>
    <w:rsid w:val="00BC11CE"/>
    <w:rsid w:val="00BC1286"/>
    <w:rsid w:val="00BC137D"/>
    <w:rsid w:val="00BC1424"/>
    <w:rsid w:val="00BC1765"/>
    <w:rsid w:val="00BC1B29"/>
    <w:rsid w:val="00BC1CC3"/>
    <w:rsid w:val="00BC1DFC"/>
    <w:rsid w:val="00BC2243"/>
    <w:rsid w:val="00BC23E1"/>
    <w:rsid w:val="00BC28A7"/>
    <w:rsid w:val="00BC2CA6"/>
    <w:rsid w:val="00BC2E93"/>
    <w:rsid w:val="00BC3668"/>
    <w:rsid w:val="00BC37F6"/>
    <w:rsid w:val="00BC3A87"/>
    <w:rsid w:val="00BC475C"/>
    <w:rsid w:val="00BC47D8"/>
    <w:rsid w:val="00BC51FA"/>
    <w:rsid w:val="00BC5454"/>
    <w:rsid w:val="00BC5961"/>
    <w:rsid w:val="00BC5C7A"/>
    <w:rsid w:val="00BC6288"/>
    <w:rsid w:val="00BC693E"/>
    <w:rsid w:val="00BC7DE9"/>
    <w:rsid w:val="00BD0152"/>
    <w:rsid w:val="00BD028F"/>
    <w:rsid w:val="00BD03C9"/>
    <w:rsid w:val="00BD07F4"/>
    <w:rsid w:val="00BD137C"/>
    <w:rsid w:val="00BD1693"/>
    <w:rsid w:val="00BD16D1"/>
    <w:rsid w:val="00BD1D0B"/>
    <w:rsid w:val="00BD1DEE"/>
    <w:rsid w:val="00BD219A"/>
    <w:rsid w:val="00BD2539"/>
    <w:rsid w:val="00BD26D8"/>
    <w:rsid w:val="00BD2C2C"/>
    <w:rsid w:val="00BD2C42"/>
    <w:rsid w:val="00BD2F2C"/>
    <w:rsid w:val="00BD307A"/>
    <w:rsid w:val="00BD3698"/>
    <w:rsid w:val="00BD4119"/>
    <w:rsid w:val="00BD44A4"/>
    <w:rsid w:val="00BD4655"/>
    <w:rsid w:val="00BD4D35"/>
    <w:rsid w:val="00BD50A8"/>
    <w:rsid w:val="00BD55C0"/>
    <w:rsid w:val="00BD58F5"/>
    <w:rsid w:val="00BD5908"/>
    <w:rsid w:val="00BD65E1"/>
    <w:rsid w:val="00BD6A70"/>
    <w:rsid w:val="00BD6BF2"/>
    <w:rsid w:val="00BD6EF9"/>
    <w:rsid w:val="00BD6F1C"/>
    <w:rsid w:val="00BD754C"/>
    <w:rsid w:val="00BD7568"/>
    <w:rsid w:val="00BD772A"/>
    <w:rsid w:val="00BD7970"/>
    <w:rsid w:val="00BD7E1A"/>
    <w:rsid w:val="00BE02E5"/>
    <w:rsid w:val="00BE1590"/>
    <w:rsid w:val="00BE194D"/>
    <w:rsid w:val="00BE1C76"/>
    <w:rsid w:val="00BE1EB6"/>
    <w:rsid w:val="00BE235C"/>
    <w:rsid w:val="00BE290E"/>
    <w:rsid w:val="00BE29DD"/>
    <w:rsid w:val="00BE2AB1"/>
    <w:rsid w:val="00BE35C9"/>
    <w:rsid w:val="00BE3A79"/>
    <w:rsid w:val="00BE3B80"/>
    <w:rsid w:val="00BE3F85"/>
    <w:rsid w:val="00BE418C"/>
    <w:rsid w:val="00BE4C3A"/>
    <w:rsid w:val="00BE56CF"/>
    <w:rsid w:val="00BE576A"/>
    <w:rsid w:val="00BE5B3E"/>
    <w:rsid w:val="00BE71AE"/>
    <w:rsid w:val="00BE72FD"/>
    <w:rsid w:val="00BE74D1"/>
    <w:rsid w:val="00BE786F"/>
    <w:rsid w:val="00BF0217"/>
    <w:rsid w:val="00BF07C0"/>
    <w:rsid w:val="00BF08F1"/>
    <w:rsid w:val="00BF0993"/>
    <w:rsid w:val="00BF0C38"/>
    <w:rsid w:val="00BF1292"/>
    <w:rsid w:val="00BF139F"/>
    <w:rsid w:val="00BF1728"/>
    <w:rsid w:val="00BF1EF8"/>
    <w:rsid w:val="00BF2674"/>
    <w:rsid w:val="00BF288E"/>
    <w:rsid w:val="00BF2DE5"/>
    <w:rsid w:val="00BF3C29"/>
    <w:rsid w:val="00BF4095"/>
    <w:rsid w:val="00BF42A3"/>
    <w:rsid w:val="00BF4339"/>
    <w:rsid w:val="00BF44FF"/>
    <w:rsid w:val="00BF4AD7"/>
    <w:rsid w:val="00BF4C49"/>
    <w:rsid w:val="00BF5DA2"/>
    <w:rsid w:val="00BF6338"/>
    <w:rsid w:val="00BF63D1"/>
    <w:rsid w:val="00BF6536"/>
    <w:rsid w:val="00BF6679"/>
    <w:rsid w:val="00BF6D56"/>
    <w:rsid w:val="00BF7325"/>
    <w:rsid w:val="00BF7DFA"/>
    <w:rsid w:val="00C003F5"/>
    <w:rsid w:val="00C0079D"/>
    <w:rsid w:val="00C00B99"/>
    <w:rsid w:val="00C00D03"/>
    <w:rsid w:val="00C00DB1"/>
    <w:rsid w:val="00C01151"/>
    <w:rsid w:val="00C017B2"/>
    <w:rsid w:val="00C01C7E"/>
    <w:rsid w:val="00C01DD3"/>
    <w:rsid w:val="00C01DFC"/>
    <w:rsid w:val="00C02205"/>
    <w:rsid w:val="00C0268F"/>
    <w:rsid w:val="00C0282B"/>
    <w:rsid w:val="00C029A0"/>
    <w:rsid w:val="00C02CA7"/>
    <w:rsid w:val="00C02E62"/>
    <w:rsid w:val="00C03D01"/>
    <w:rsid w:val="00C04382"/>
    <w:rsid w:val="00C04ABC"/>
    <w:rsid w:val="00C04F22"/>
    <w:rsid w:val="00C05343"/>
    <w:rsid w:val="00C05381"/>
    <w:rsid w:val="00C06076"/>
    <w:rsid w:val="00C067E0"/>
    <w:rsid w:val="00C06EF0"/>
    <w:rsid w:val="00C074B8"/>
    <w:rsid w:val="00C075D0"/>
    <w:rsid w:val="00C1025D"/>
    <w:rsid w:val="00C103AB"/>
    <w:rsid w:val="00C10466"/>
    <w:rsid w:val="00C11821"/>
    <w:rsid w:val="00C11E30"/>
    <w:rsid w:val="00C12656"/>
    <w:rsid w:val="00C12999"/>
    <w:rsid w:val="00C12D93"/>
    <w:rsid w:val="00C12EE2"/>
    <w:rsid w:val="00C12F7B"/>
    <w:rsid w:val="00C13419"/>
    <w:rsid w:val="00C139DE"/>
    <w:rsid w:val="00C13B55"/>
    <w:rsid w:val="00C13C3F"/>
    <w:rsid w:val="00C13CBD"/>
    <w:rsid w:val="00C13DB6"/>
    <w:rsid w:val="00C13E07"/>
    <w:rsid w:val="00C142BD"/>
    <w:rsid w:val="00C143D5"/>
    <w:rsid w:val="00C148E5"/>
    <w:rsid w:val="00C14B4C"/>
    <w:rsid w:val="00C14B57"/>
    <w:rsid w:val="00C159C1"/>
    <w:rsid w:val="00C15D34"/>
    <w:rsid w:val="00C16489"/>
    <w:rsid w:val="00C16848"/>
    <w:rsid w:val="00C168C0"/>
    <w:rsid w:val="00C16BF9"/>
    <w:rsid w:val="00C1711E"/>
    <w:rsid w:val="00C1746D"/>
    <w:rsid w:val="00C174C6"/>
    <w:rsid w:val="00C17E6E"/>
    <w:rsid w:val="00C2001A"/>
    <w:rsid w:val="00C20915"/>
    <w:rsid w:val="00C20DB7"/>
    <w:rsid w:val="00C21A06"/>
    <w:rsid w:val="00C221D0"/>
    <w:rsid w:val="00C22309"/>
    <w:rsid w:val="00C23513"/>
    <w:rsid w:val="00C23520"/>
    <w:rsid w:val="00C2366E"/>
    <w:rsid w:val="00C23E35"/>
    <w:rsid w:val="00C23FA9"/>
    <w:rsid w:val="00C24097"/>
    <w:rsid w:val="00C24568"/>
    <w:rsid w:val="00C246D7"/>
    <w:rsid w:val="00C24DA9"/>
    <w:rsid w:val="00C24DC0"/>
    <w:rsid w:val="00C24F12"/>
    <w:rsid w:val="00C24F98"/>
    <w:rsid w:val="00C25082"/>
    <w:rsid w:val="00C25277"/>
    <w:rsid w:val="00C252E0"/>
    <w:rsid w:val="00C25E6A"/>
    <w:rsid w:val="00C25E7D"/>
    <w:rsid w:val="00C25F06"/>
    <w:rsid w:val="00C265D4"/>
    <w:rsid w:val="00C26A80"/>
    <w:rsid w:val="00C26C63"/>
    <w:rsid w:val="00C26FCA"/>
    <w:rsid w:val="00C273AE"/>
    <w:rsid w:val="00C27589"/>
    <w:rsid w:val="00C275FC"/>
    <w:rsid w:val="00C27D57"/>
    <w:rsid w:val="00C27D69"/>
    <w:rsid w:val="00C27E01"/>
    <w:rsid w:val="00C30D84"/>
    <w:rsid w:val="00C30FD6"/>
    <w:rsid w:val="00C31196"/>
    <w:rsid w:val="00C3145E"/>
    <w:rsid w:val="00C3152A"/>
    <w:rsid w:val="00C315AE"/>
    <w:rsid w:val="00C315D3"/>
    <w:rsid w:val="00C3160C"/>
    <w:rsid w:val="00C317A7"/>
    <w:rsid w:val="00C31EE1"/>
    <w:rsid w:val="00C32310"/>
    <w:rsid w:val="00C32B52"/>
    <w:rsid w:val="00C33431"/>
    <w:rsid w:val="00C33670"/>
    <w:rsid w:val="00C337A9"/>
    <w:rsid w:val="00C33953"/>
    <w:rsid w:val="00C33AEC"/>
    <w:rsid w:val="00C341FB"/>
    <w:rsid w:val="00C34536"/>
    <w:rsid w:val="00C34CDD"/>
    <w:rsid w:val="00C35DE8"/>
    <w:rsid w:val="00C3608B"/>
    <w:rsid w:val="00C36203"/>
    <w:rsid w:val="00C365EB"/>
    <w:rsid w:val="00C36B2D"/>
    <w:rsid w:val="00C36E09"/>
    <w:rsid w:val="00C37532"/>
    <w:rsid w:val="00C37A82"/>
    <w:rsid w:val="00C37CDE"/>
    <w:rsid w:val="00C37E36"/>
    <w:rsid w:val="00C40C58"/>
    <w:rsid w:val="00C410D2"/>
    <w:rsid w:val="00C416C7"/>
    <w:rsid w:val="00C417CD"/>
    <w:rsid w:val="00C41AFB"/>
    <w:rsid w:val="00C41C08"/>
    <w:rsid w:val="00C4253E"/>
    <w:rsid w:val="00C42580"/>
    <w:rsid w:val="00C42A78"/>
    <w:rsid w:val="00C42FB2"/>
    <w:rsid w:val="00C433BA"/>
    <w:rsid w:val="00C435C8"/>
    <w:rsid w:val="00C437D6"/>
    <w:rsid w:val="00C43C3F"/>
    <w:rsid w:val="00C4426C"/>
    <w:rsid w:val="00C4471A"/>
    <w:rsid w:val="00C449E2"/>
    <w:rsid w:val="00C44CC9"/>
    <w:rsid w:val="00C44E13"/>
    <w:rsid w:val="00C44FD9"/>
    <w:rsid w:val="00C45350"/>
    <w:rsid w:val="00C4555D"/>
    <w:rsid w:val="00C45DD1"/>
    <w:rsid w:val="00C45F6D"/>
    <w:rsid w:val="00C45FDE"/>
    <w:rsid w:val="00C4601D"/>
    <w:rsid w:val="00C4698B"/>
    <w:rsid w:val="00C46D3E"/>
    <w:rsid w:val="00C46FE3"/>
    <w:rsid w:val="00C473E7"/>
    <w:rsid w:val="00C47435"/>
    <w:rsid w:val="00C47478"/>
    <w:rsid w:val="00C47BD2"/>
    <w:rsid w:val="00C47EBB"/>
    <w:rsid w:val="00C50B75"/>
    <w:rsid w:val="00C50DFC"/>
    <w:rsid w:val="00C5135F"/>
    <w:rsid w:val="00C51880"/>
    <w:rsid w:val="00C51FA8"/>
    <w:rsid w:val="00C51FF0"/>
    <w:rsid w:val="00C5259A"/>
    <w:rsid w:val="00C52782"/>
    <w:rsid w:val="00C52CC2"/>
    <w:rsid w:val="00C52D4E"/>
    <w:rsid w:val="00C5300F"/>
    <w:rsid w:val="00C53027"/>
    <w:rsid w:val="00C5304D"/>
    <w:rsid w:val="00C53721"/>
    <w:rsid w:val="00C53EE2"/>
    <w:rsid w:val="00C54182"/>
    <w:rsid w:val="00C54473"/>
    <w:rsid w:val="00C55002"/>
    <w:rsid w:val="00C5521D"/>
    <w:rsid w:val="00C55D94"/>
    <w:rsid w:val="00C56850"/>
    <w:rsid w:val="00C572AC"/>
    <w:rsid w:val="00C57567"/>
    <w:rsid w:val="00C57582"/>
    <w:rsid w:val="00C579CF"/>
    <w:rsid w:val="00C6017A"/>
    <w:rsid w:val="00C602E6"/>
    <w:rsid w:val="00C6087E"/>
    <w:rsid w:val="00C608EF"/>
    <w:rsid w:val="00C60FC1"/>
    <w:rsid w:val="00C60FF0"/>
    <w:rsid w:val="00C612BB"/>
    <w:rsid w:val="00C612BF"/>
    <w:rsid w:val="00C619EE"/>
    <w:rsid w:val="00C6207E"/>
    <w:rsid w:val="00C625C7"/>
    <w:rsid w:val="00C628D3"/>
    <w:rsid w:val="00C6339B"/>
    <w:rsid w:val="00C63770"/>
    <w:rsid w:val="00C64682"/>
    <w:rsid w:val="00C64784"/>
    <w:rsid w:val="00C64AD8"/>
    <w:rsid w:val="00C64FAE"/>
    <w:rsid w:val="00C65320"/>
    <w:rsid w:val="00C65CEF"/>
    <w:rsid w:val="00C66344"/>
    <w:rsid w:val="00C663EE"/>
    <w:rsid w:val="00C66679"/>
    <w:rsid w:val="00C66D4A"/>
    <w:rsid w:val="00C66E0E"/>
    <w:rsid w:val="00C674F7"/>
    <w:rsid w:val="00C67584"/>
    <w:rsid w:val="00C67955"/>
    <w:rsid w:val="00C70074"/>
    <w:rsid w:val="00C70110"/>
    <w:rsid w:val="00C70244"/>
    <w:rsid w:val="00C70341"/>
    <w:rsid w:val="00C70438"/>
    <w:rsid w:val="00C7089C"/>
    <w:rsid w:val="00C70918"/>
    <w:rsid w:val="00C70E3F"/>
    <w:rsid w:val="00C70EE7"/>
    <w:rsid w:val="00C716CF"/>
    <w:rsid w:val="00C717CD"/>
    <w:rsid w:val="00C71AC2"/>
    <w:rsid w:val="00C722EE"/>
    <w:rsid w:val="00C725B9"/>
    <w:rsid w:val="00C726B3"/>
    <w:rsid w:val="00C72AE3"/>
    <w:rsid w:val="00C72B7C"/>
    <w:rsid w:val="00C73162"/>
    <w:rsid w:val="00C73402"/>
    <w:rsid w:val="00C7362E"/>
    <w:rsid w:val="00C7364B"/>
    <w:rsid w:val="00C74283"/>
    <w:rsid w:val="00C745D7"/>
    <w:rsid w:val="00C74865"/>
    <w:rsid w:val="00C74EE5"/>
    <w:rsid w:val="00C750BE"/>
    <w:rsid w:val="00C755C8"/>
    <w:rsid w:val="00C7584E"/>
    <w:rsid w:val="00C758E0"/>
    <w:rsid w:val="00C75A25"/>
    <w:rsid w:val="00C76C64"/>
    <w:rsid w:val="00C76DBB"/>
    <w:rsid w:val="00C7702A"/>
    <w:rsid w:val="00C773C8"/>
    <w:rsid w:val="00C77404"/>
    <w:rsid w:val="00C7746B"/>
    <w:rsid w:val="00C77524"/>
    <w:rsid w:val="00C77707"/>
    <w:rsid w:val="00C807B9"/>
    <w:rsid w:val="00C80827"/>
    <w:rsid w:val="00C80A25"/>
    <w:rsid w:val="00C80BF1"/>
    <w:rsid w:val="00C817D1"/>
    <w:rsid w:val="00C819AC"/>
    <w:rsid w:val="00C81DB4"/>
    <w:rsid w:val="00C81DF7"/>
    <w:rsid w:val="00C8242E"/>
    <w:rsid w:val="00C82930"/>
    <w:rsid w:val="00C82D33"/>
    <w:rsid w:val="00C8301A"/>
    <w:rsid w:val="00C834B3"/>
    <w:rsid w:val="00C835A1"/>
    <w:rsid w:val="00C83C43"/>
    <w:rsid w:val="00C83E34"/>
    <w:rsid w:val="00C84D4F"/>
    <w:rsid w:val="00C8531E"/>
    <w:rsid w:val="00C853A9"/>
    <w:rsid w:val="00C85644"/>
    <w:rsid w:val="00C8572E"/>
    <w:rsid w:val="00C85B6C"/>
    <w:rsid w:val="00C85E1F"/>
    <w:rsid w:val="00C86BFE"/>
    <w:rsid w:val="00C86D8A"/>
    <w:rsid w:val="00C873ED"/>
    <w:rsid w:val="00C87C44"/>
    <w:rsid w:val="00C87F73"/>
    <w:rsid w:val="00C87F8D"/>
    <w:rsid w:val="00C900B0"/>
    <w:rsid w:val="00C90164"/>
    <w:rsid w:val="00C90231"/>
    <w:rsid w:val="00C9080B"/>
    <w:rsid w:val="00C90CF6"/>
    <w:rsid w:val="00C90D8A"/>
    <w:rsid w:val="00C90EF9"/>
    <w:rsid w:val="00C9108F"/>
    <w:rsid w:val="00C91328"/>
    <w:rsid w:val="00C91C5C"/>
    <w:rsid w:val="00C92714"/>
    <w:rsid w:val="00C9286B"/>
    <w:rsid w:val="00C92949"/>
    <w:rsid w:val="00C92B1A"/>
    <w:rsid w:val="00C9312F"/>
    <w:rsid w:val="00C933D8"/>
    <w:rsid w:val="00C9358B"/>
    <w:rsid w:val="00C93DE5"/>
    <w:rsid w:val="00C94AD2"/>
    <w:rsid w:val="00C950CA"/>
    <w:rsid w:val="00C958E9"/>
    <w:rsid w:val="00C95ECA"/>
    <w:rsid w:val="00C95ED6"/>
    <w:rsid w:val="00C95F3F"/>
    <w:rsid w:val="00C95FCC"/>
    <w:rsid w:val="00C9741C"/>
    <w:rsid w:val="00CA001B"/>
    <w:rsid w:val="00CA0057"/>
    <w:rsid w:val="00CA1379"/>
    <w:rsid w:val="00CA1B03"/>
    <w:rsid w:val="00CA1DCF"/>
    <w:rsid w:val="00CA1FB0"/>
    <w:rsid w:val="00CA24D1"/>
    <w:rsid w:val="00CA27A0"/>
    <w:rsid w:val="00CA2E1D"/>
    <w:rsid w:val="00CA30A0"/>
    <w:rsid w:val="00CA324D"/>
    <w:rsid w:val="00CA39CC"/>
    <w:rsid w:val="00CA4743"/>
    <w:rsid w:val="00CA48B2"/>
    <w:rsid w:val="00CA52FB"/>
    <w:rsid w:val="00CA6014"/>
    <w:rsid w:val="00CA6568"/>
    <w:rsid w:val="00CA65FC"/>
    <w:rsid w:val="00CA6781"/>
    <w:rsid w:val="00CA6B6A"/>
    <w:rsid w:val="00CA735E"/>
    <w:rsid w:val="00CA73DD"/>
    <w:rsid w:val="00CA7931"/>
    <w:rsid w:val="00CA7D8A"/>
    <w:rsid w:val="00CB10A6"/>
    <w:rsid w:val="00CB1162"/>
    <w:rsid w:val="00CB138F"/>
    <w:rsid w:val="00CB13E0"/>
    <w:rsid w:val="00CB1640"/>
    <w:rsid w:val="00CB1B42"/>
    <w:rsid w:val="00CB1DCD"/>
    <w:rsid w:val="00CB1F74"/>
    <w:rsid w:val="00CB2197"/>
    <w:rsid w:val="00CB22C2"/>
    <w:rsid w:val="00CB248C"/>
    <w:rsid w:val="00CB254E"/>
    <w:rsid w:val="00CB25B9"/>
    <w:rsid w:val="00CB2E34"/>
    <w:rsid w:val="00CB34D6"/>
    <w:rsid w:val="00CB3934"/>
    <w:rsid w:val="00CB4046"/>
    <w:rsid w:val="00CB43FA"/>
    <w:rsid w:val="00CB4BD7"/>
    <w:rsid w:val="00CB4EF9"/>
    <w:rsid w:val="00CB5A89"/>
    <w:rsid w:val="00CB5B31"/>
    <w:rsid w:val="00CB5BE7"/>
    <w:rsid w:val="00CB712E"/>
    <w:rsid w:val="00CB7234"/>
    <w:rsid w:val="00CB76B8"/>
    <w:rsid w:val="00CB7703"/>
    <w:rsid w:val="00CB783B"/>
    <w:rsid w:val="00CB7F84"/>
    <w:rsid w:val="00CB7FBA"/>
    <w:rsid w:val="00CC1189"/>
    <w:rsid w:val="00CC19C4"/>
    <w:rsid w:val="00CC1E2E"/>
    <w:rsid w:val="00CC1F79"/>
    <w:rsid w:val="00CC203E"/>
    <w:rsid w:val="00CC23C6"/>
    <w:rsid w:val="00CC26B8"/>
    <w:rsid w:val="00CC2803"/>
    <w:rsid w:val="00CC32F3"/>
    <w:rsid w:val="00CC3489"/>
    <w:rsid w:val="00CC3A68"/>
    <w:rsid w:val="00CC3E3F"/>
    <w:rsid w:val="00CC40A0"/>
    <w:rsid w:val="00CC468B"/>
    <w:rsid w:val="00CC4B5B"/>
    <w:rsid w:val="00CC56AF"/>
    <w:rsid w:val="00CC56C9"/>
    <w:rsid w:val="00CC6423"/>
    <w:rsid w:val="00CC657C"/>
    <w:rsid w:val="00CC68D6"/>
    <w:rsid w:val="00CC707F"/>
    <w:rsid w:val="00CC79CD"/>
    <w:rsid w:val="00CC7CC8"/>
    <w:rsid w:val="00CD0332"/>
    <w:rsid w:val="00CD0761"/>
    <w:rsid w:val="00CD0CEE"/>
    <w:rsid w:val="00CD0E1F"/>
    <w:rsid w:val="00CD1841"/>
    <w:rsid w:val="00CD1BF1"/>
    <w:rsid w:val="00CD1C0E"/>
    <w:rsid w:val="00CD2A3E"/>
    <w:rsid w:val="00CD31C1"/>
    <w:rsid w:val="00CD35E8"/>
    <w:rsid w:val="00CD35F1"/>
    <w:rsid w:val="00CD3EA4"/>
    <w:rsid w:val="00CD4704"/>
    <w:rsid w:val="00CD4AE1"/>
    <w:rsid w:val="00CD4B3B"/>
    <w:rsid w:val="00CD4C9C"/>
    <w:rsid w:val="00CD5401"/>
    <w:rsid w:val="00CD5716"/>
    <w:rsid w:val="00CD5927"/>
    <w:rsid w:val="00CD5D58"/>
    <w:rsid w:val="00CD64BF"/>
    <w:rsid w:val="00CD6524"/>
    <w:rsid w:val="00CD68DD"/>
    <w:rsid w:val="00CD6C24"/>
    <w:rsid w:val="00CD6C94"/>
    <w:rsid w:val="00CD7649"/>
    <w:rsid w:val="00CD7760"/>
    <w:rsid w:val="00CD794A"/>
    <w:rsid w:val="00CD7B0E"/>
    <w:rsid w:val="00CD7B8B"/>
    <w:rsid w:val="00CD7D8E"/>
    <w:rsid w:val="00CE0513"/>
    <w:rsid w:val="00CE0703"/>
    <w:rsid w:val="00CE073C"/>
    <w:rsid w:val="00CE08C7"/>
    <w:rsid w:val="00CE0AAE"/>
    <w:rsid w:val="00CE1374"/>
    <w:rsid w:val="00CE1D18"/>
    <w:rsid w:val="00CE23D8"/>
    <w:rsid w:val="00CE24CB"/>
    <w:rsid w:val="00CE2B04"/>
    <w:rsid w:val="00CE3F20"/>
    <w:rsid w:val="00CE4565"/>
    <w:rsid w:val="00CE4E5D"/>
    <w:rsid w:val="00CE4F18"/>
    <w:rsid w:val="00CE50E8"/>
    <w:rsid w:val="00CE5298"/>
    <w:rsid w:val="00CE5841"/>
    <w:rsid w:val="00CE58EB"/>
    <w:rsid w:val="00CE596B"/>
    <w:rsid w:val="00CE5F0A"/>
    <w:rsid w:val="00CE6261"/>
    <w:rsid w:val="00CE643F"/>
    <w:rsid w:val="00CE681D"/>
    <w:rsid w:val="00CE6A32"/>
    <w:rsid w:val="00CE78C9"/>
    <w:rsid w:val="00CF0507"/>
    <w:rsid w:val="00CF091E"/>
    <w:rsid w:val="00CF0A69"/>
    <w:rsid w:val="00CF0C1D"/>
    <w:rsid w:val="00CF10F6"/>
    <w:rsid w:val="00CF12EC"/>
    <w:rsid w:val="00CF1331"/>
    <w:rsid w:val="00CF15E2"/>
    <w:rsid w:val="00CF184F"/>
    <w:rsid w:val="00CF1A09"/>
    <w:rsid w:val="00CF1E7E"/>
    <w:rsid w:val="00CF26A8"/>
    <w:rsid w:val="00CF2ACC"/>
    <w:rsid w:val="00CF3547"/>
    <w:rsid w:val="00CF35A2"/>
    <w:rsid w:val="00CF35B2"/>
    <w:rsid w:val="00CF38D4"/>
    <w:rsid w:val="00CF3AB9"/>
    <w:rsid w:val="00CF3BE7"/>
    <w:rsid w:val="00CF3F0D"/>
    <w:rsid w:val="00CF472E"/>
    <w:rsid w:val="00CF5056"/>
    <w:rsid w:val="00CF50F7"/>
    <w:rsid w:val="00CF5593"/>
    <w:rsid w:val="00CF5672"/>
    <w:rsid w:val="00CF5C9C"/>
    <w:rsid w:val="00CF5DB7"/>
    <w:rsid w:val="00CF60B2"/>
    <w:rsid w:val="00CF6874"/>
    <w:rsid w:val="00CF6BB9"/>
    <w:rsid w:val="00CF6DD6"/>
    <w:rsid w:val="00D00061"/>
    <w:rsid w:val="00D00798"/>
    <w:rsid w:val="00D00FDE"/>
    <w:rsid w:val="00D0121F"/>
    <w:rsid w:val="00D022D6"/>
    <w:rsid w:val="00D0244F"/>
    <w:rsid w:val="00D026EE"/>
    <w:rsid w:val="00D02876"/>
    <w:rsid w:val="00D0316E"/>
    <w:rsid w:val="00D03342"/>
    <w:rsid w:val="00D03563"/>
    <w:rsid w:val="00D03A13"/>
    <w:rsid w:val="00D03F31"/>
    <w:rsid w:val="00D041BF"/>
    <w:rsid w:val="00D04451"/>
    <w:rsid w:val="00D04454"/>
    <w:rsid w:val="00D045FD"/>
    <w:rsid w:val="00D05061"/>
    <w:rsid w:val="00D0586B"/>
    <w:rsid w:val="00D05A0A"/>
    <w:rsid w:val="00D0774F"/>
    <w:rsid w:val="00D10303"/>
    <w:rsid w:val="00D103E0"/>
    <w:rsid w:val="00D1060F"/>
    <w:rsid w:val="00D10E2C"/>
    <w:rsid w:val="00D1140B"/>
    <w:rsid w:val="00D11823"/>
    <w:rsid w:val="00D118F2"/>
    <w:rsid w:val="00D11D06"/>
    <w:rsid w:val="00D11E06"/>
    <w:rsid w:val="00D12105"/>
    <w:rsid w:val="00D12207"/>
    <w:rsid w:val="00D12D32"/>
    <w:rsid w:val="00D12D86"/>
    <w:rsid w:val="00D12E0E"/>
    <w:rsid w:val="00D12F07"/>
    <w:rsid w:val="00D12FCB"/>
    <w:rsid w:val="00D130F7"/>
    <w:rsid w:val="00D132C3"/>
    <w:rsid w:val="00D13444"/>
    <w:rsid w:val="00D13887"/>
    <w:rsid w:val="00D140EF"/>
    <w:rsid w:val="00D1452D"/>
    <w:rsid w:val="00D148D1"/>
    <w:rsid w:val="00D149AD"/>
    <w:rsid w:val="00D14CD4"/>
    <w:rsid w:val="00D15416"/>
    <w:rsid w:val="00D159F8"/>
    <w:rsid w:val="00D1637D"/>
    <w:rsid w:val="00D16650"/>
    <w:rsid w:val="00D16C47"/>
    <w:rsid w:val="00D16C61"/>
    <w:rsid w:val="00D16CC4"/>
    <w:rsid w:val="00D1713A"/>
    <w:rsid w:val="00D171C8"/>
    <w:rsid w:val="00D17AFC"/>
    <w:rsid w:val="00D17CFB"/>
    <w:rsid w:val="00D17D1E"/>
    <w:rsid w:val="00D2009D"/>
    <w:rsid w:val="00D20744"/>
    <w:rsid w:val="00D20822"/>
    <w:rsid w:val="00D2110E"/>
    <w:rsid w:val="00D22287"/>
    <w:rsid w:val="00D22567"/>
    <w:rsid w:val="00D226B9"/>
    <w:rsid w:val="00D22D14"/>
    <w:rsid w:val="00D23437"/>
    <w:rsid w:val="00D234D2"/>
    <w:rsid w:val="00D2373E"/>
    <w:rsid w:val="00D2381C"/>
    <w:rsid w:val="00D23842"/>
    <w:rsid w:val="00D23A94"/>
    <w:rsid w:val="00D23F38"/>
    <w:rsid w:val="00D240BA"/>
    <w:rsid w:val="00D24346"/>
    <w:rsid w:val="00D244E1"/>
    <w:rsid w:val="00D2459A"/>
    <w:rsid w:val="00D24672"/>
    <w:rsid w:val="00D248D9"/>
    <w:rsid w:val="00D24A5C"/>
    <w:rsid w:val="00D24B50"/>
    <w:rsid w:val="00D24CD7"/>
    <w:rsid w:val="00D24D7B"/>
    <w:rsid w:val="00D2502F"/>
    <w:rsid w:val="00D25100"/>
    <w:rsid w:val="00D25450"/>
    <w:rsid w:val="00D255E8"/>
    <w:rsid w:val="00D25A2B"/>
    <w:rsid w:val="00D25F3E"/>
    <w:rsid w:val="00D2628C"/>
    <w:rsid w:val="00D26C87"/>
    <w:rsid w:val="00D26D27"/>
    <w:rsid w:val="00D26D53"/>
    <w:rsid w:val="00D26EF3"/>
    <w:rsid w:val="00D27131"/>
    <w:rsid w:val="00D301AC"/>
    <w:rsid w:val="00D30336"/>
    <w:rsid w:val="00D30815"/>
    <w:rsid w:val="00D30B75"/>
    <w:rsid w:val="00D30C28"/>
    <w:rsid w:val="00D30F3A"/>
    <w:rsid w:val="00D31BBD"/>
    <w:rsid w:val="00D31BEC"/>
    <w:rsid w:val="00D32104"/>
    <w:rsid w:val="00D329A0"/>
    <w:rsid w:val="00D32B44"/>
    <w:rsid w:val="00D32CE1"/>
    <w:rsid w:val="00D32E58"/>
    <w:rsid w:val="00D33010"/>
    <w:rsid w:val="00D33362"/>
    <w:rsid w:val="00D334CD"/>
    <w:rsid w:val="00D3395C"/>
    <w:rsid w:val="00D34412"/>
    <w:rsid w:val="00D34D6B"/>
    <w:rsid w:val="00D354AD"/>
    <w:rsid w:val="00D35628"/>
    <w:rsid w:val="00D35BAA"/>
    <w:rsid w:val="00D36072"/>
    <w:rsid w:val="00D36122"/>
    <w:rsid w:val="00D36D3C"/>
    <w:rsid w:val="00D36ED8"/>
    <w:rsid w:val="00D3756A"/>
    <w:rsid w:val="00D375DA"/>
    <w:rsid w:val="00D377AE"/>
    <w:rsid w:val="00D400D8"/>
    <w:rsid w:val="00D40342"/>
    <w:rsid w:val="00D404B1"/>
    <w:rsid w:val="00D4113F"/>
    <w:rsid w:val="00D4119C"/>
    <w:rsid w:val="00D412B3"/>
    <w:rsid w:val="00D41378"/>
    <w:rsid w:val="00D41616"/>
    <w:rsid w:val="00D417EF"/>
    <w:rsid w:val="00D418D3"/>
    <w:rsid w:val="00D42B1F"/>
    <w:rsid w:val="00D42CD9"/>
    <w:rsid w:val="00D43988"/>
    <w:rsid w:val="00D43AC4"/>
    <w:rsid w:val="00D43DBF"/>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22D"/>
    <w:rsid w:val="00D47867"/>
    <w:rsid w:val="00D4788F"/>
    <w:rsid w:val="00D47D6E"/>
    <w:rsid w:val="00D47E2C"/>
    <w:rsid w:val="00D47EAF"/>
    <w:rsid w:val="00D504F6"/>
    <w:rsid w:val="00D50C02"/>
    <w:rsid w:val="00D50E4B"/>
    <w:rsid w:val="00D50E7A"/>
    <w:rsid w:val="00D50EF0"/>
    <w:rsid w:val="00D512EA"/>
    <w:rsid w:val="00D51552"/>
    <w:rsid w:val="00D51B27"/>
    <w:rsid w:val="00D52013"/>
    <w:rsid w:val="00D5227E"/>
    <w:rsid w:val="00D5242C"/>
    <w:rsid w:val="00D52583"/>
    <w:rsid w:val="00D52D7F"/>
    <w:rsid w:val="00D52F8D"/>
    <w:rsid w:val="00D53034"/>
    <w:rsid w:val="00D532F5"/>
    <w:rsid w:val="00D5331B"/>
    <w:rsid w:val="00D538FE"/>
    <w:rsid w:val="00D54373"/>
    <w:rsid w:val="00D545E9"/>
    <w:rsid w:val="00D54785"/>
    <w:rsid w:val="00D547BC"/>
    <w:rsid w:val="00D54BC4"/>
    <w:rsid w:val="00D54E43"/>
    <w:rsid w:val="00D54F28"/>
    <w:rsid w:val="00D555E4"/>
    <w:rsid w:val="00D559DA"/>
    <w:rsid w:val="00D55A05"/>
    <w:rsid w:val="00D55E57"/>
    <w:rsid w:val="00D56202"/>
    <w:rsid w:val="00D564EF"/>
    <w:rsid w:val="00D5676E"/>
    <w:rsid w:val="00D56DB7"/>
    <w:rsid w:val="00D570FB"/>
    <w:rsid w:val="00D57447"/>
    <w:rsid w:val="00D60111"/>
    <w:rsid w:val="00D60231"/>
    <w:rsid w:val="00D60E3C"/>
    <w:rsid w:val="00D60FC5"/>
    <w:rsid w:val="00D60FE9"/>
    <w:rsid w:val="00D613B2"/>
    <w:rsid w:val="00D61A8C"/>
    <w:rsid w:val="00D61A9F"/>
    <w:rsid w:val="00D61EDD"/>
    <w:rsid w:val="00D621D0"/>
    <w:rsid w:val="00D628AF"/>
    <w:rsid w:val="00D6294B"/>
    <w:rsid w:val="00D62AF3"/>
    <w:rsid w:val="00D630BA"/>
    <w:rsid w:val="00D63413"/>
    <w:rsid w:val="00D63446"/>
    <w:rsid w:val="00D6353D"/>
    <w:rsid w:val="00D640B2"/>
    <w:rsid w:val="00D6429C"/>
    <w:rsid w:val="00D642D7"/>
    <w:rsid w:val="00D64490"/>
    <w:rsid w:val="00D64A3D"/>
    <w:rsid w:val="00D65D91"/>
    <w:rsid w:val="00D662EE"/>
    <w:rsid w:val="00D66331"/>
    <w:rsid w:val="00D66697"/>
    <w:rsid w:val="00D66EDC"/>
    <w:rsid w:val="00D6704C"/>
    <w:rsid w:val="00D670B7"/>
    <w:rsid w:val="00D6750E"/>
    <w:rsid w:val="00D67684"/>
    <w:rsid w:val="00D67ACA"/>
    <w:rsid w:val="00D67EA8"/>
    <w:rsid w:val="00D67F69"/>
    <w:rsid w:val="00D70737"/>
    <w:rsid w:val="00D70E58"/>
    <w:rsid w:val="00D71103"/>
    <w:rsid w:val="00D722B4"/>
    <w:rsid w:val="00D723EC"/>
    <w:rsid w:val="00D72420"/>
    <w:rsid w:val="00D72551"/>
    <w:rsid w:val="00D7255F"/>
    <w:rsid w:val="00D725C6"/>
    <w:rsid w:val="00D726EB"/>
    <w:rsid w:val="00D72DF4"/>
    <w:rsid w:val="00D72E06"/>
    <w:rsid w:val="00D731EC"/>
    <w:rsid w:val="00D73302"/>
    <w:rsid w:val="00D73ADE"/>
    <w:rsid w:val="00D73AF1"/>
    <w:rsid w:val="00D74504"/>
    <w:rsid w:val="00D74639"/>
    <w:rsid w:val="00D74DAF"/>
    <w:rsid w:val="00D74F04"/>
    <w:rsid w:val="00D75E74"/>
    <w:rsid w:val="00D762C4"/>
    <w:rsid w:val="00D76DDA"/>
    <w:rsid w:val="00D77EF0"/>
    <w:rsid w:val="00D77F35"/>
    <w:rsid w:val="00D80341"/>
    <w:rsid w:val="00D8093F"/>
    <w:rsid w:val="00D809B7"/>
    <w:rsid w:val="00D8101C"/>
    <w:rsid w:val="00D810C4"/>
    <w:rsid w:val="00D813B0"/>
    <w:rsid w:val="00D81A57"/>
    <w:rsid w:val="00D81FFC"/>
    <w:rsid w:val="00D82A4C"/>
    <w:rsid w:val="00D82E01"/>
    <w:rsid w:val="00D837B4"/>
    <w:rsid w:val="00D83A8B"/>
    <w:rsid w:val="00D84061"/>
    <w:rsid w:val="00D844E7"/>
    <w:rsid w:val="00D8483A"/>
    <w:rsid w:val="00D8551D"/>
    <w:rsid w:val="00D85683"/>
    <w:rsid w:val="00D8682D"/>
    <w:rsid w:val="00D8687A"/>
    <w:rsid w:val="00D869CC"/>
    <w:rsid w:val="00D86B88"/>
    <w:rsid w:val="00D87125"/>
    <w:rsid w:val="00D87145"/>
    <w:rsid w:val="00D874FB"/>
    <w:rsid w:val="00D87776"/>
    <w:rsid w:val="00D87FDB"/>
    <w:rsid w:val="00D90EC1"/>
    <w:rsid w:val="00D90F8A"/>
    <w:rsid w:val="00D91621"/>
    <w:rsid w:val="00D918C7"/>
    <w:rsid w:val="00D91B8F"/>
    <w:rsid w:val="00D924A0"/>
    <w:rsid w:val="00D92CF0"/>
    <w:rsid w:val="00D930F2"/>
    <w:rsid w:val="00D9310A"/>
    <w:rsid w:val="00D93342"/>
    <w:rsid w:val="00D93415"/>
    <w:rsid w:val="00D9450C"/>
    <w:rsid w:val="00D94D4B"/>
    <w:rsid w:val="00D94E0E"/>
    <w:rsid w:val="00D94F54"/>
    <w:rsid w:val="00D950AF"/>
    <w:rsid w:val="00D9545B"/>
    <w:rsid w:val="00D9553A"/>
    <w:rsid w:val="00D957EB"/>
    <w:rsid w:val="00D95BCF"/>
    <w:rsid w:val="00D95FC2"/>
    <w:rsid w:val="00D961EE"/>
    <w:rsid w:val="00D96952"/>
    <w:rsid w:val="00D97077"/>
    <w:rsid w:val="00D971AA"/>
    <w:rsid w:val="00D97308"/>
    <w:rsid w:val="00D9740F"/>
    <w:rsid w:val="00D97A89"/>
    <w:rsid w:val="00D97BA1"/>
    <w:rsid w:val="00D97D8B"/>
    <w:rsid w:val="00DA01BF"/>
    <w:rsid w:val="00DA02AD"/>
    <w:rsid w:val="00DA09FC"/>
    <w:rsid w:val="00DA0CD3"/>
    <w:rsid w:val="00DA0E8F"/>
    <w:rsid w:val="00DA1779"/>
    <w:rsid w:val="00DA1EE5"/>
    <w:rsid w:val="00DA263F"/>
    <w:rsid w:val="00DA2A54"/>
    <w:rsid w:val="00DA2CDD"/>
    <w:rsid w:val="00DA324E"/>
    <w:rsid w:val="00DA3D5A"/>
    <w:rsid w:val="00DA3D60"/>
    <w:rsid w:val="00DA44CF"/>
    <w:rsid w:val="00DA47B9"/>
    <w:rsid w:val="00DA51F4"/>
    <w:rsid w:val="00DA59D2"/>
    <w:rsid w:val="00DA60CB"/>
    <w:rsid w:val="00DA669D"/>
    <w:rsid w:val="00DA691E"/>
    <w:rsid w:val="00DA6DAA"/>
    <w:rsid w:val="00DA776F"/>
    <w:rsid w:val="00DA7B84"/>
    <w:rsid w:val="00DB1749"/>
    <w:rsid w:val="00DB1FEA"/>
    <w:rsid w:val="00DB2948"/>
    <w:rsid w:val="00DB2B7E"/>
    <w:rsid w:val="00DB328A"/>
    <w:rsid w:val="00DB33D2"/>
    <w:rsid w:val="00DB36D2"/>
    <w:rsid w:val="00DB42F9"/>
    <w:rsid w:val="00DB452C"/>
    <w:rsid w:val="00DB476D"/>
    <w:rsid w:val="00DB47C5"/>
    <w:rsid w:val="00DB527B"/>
    <w:rsid w:val="00DB5719"/>
    <w:rsid w:val="00DB5D19"/>
    <w:rsid w:val="00DB5E4A"/>
    <w:rsid w:val="00DB6042"/>
    <w:rsid w:val="00DB624E"/>
    <w:rsid w:val="00DB6888"/>
    <w:rsid w:val="00DB68E8"/>
    <w:rsid w:val="00DB70A2"/>
    <w:rsid w:val="00DB7A4B"/>
    <w:rsid w:val="00DC02EA"/>
    <w:rsid w:val="00DC0A52"/>
    <w:rsid w:val="00DC0BD5"/>
    <w:rsid w:val="00DC0BDC"/>
    <w:rsid w:val="00DC0E65"/>
    <w:rsid w:val="00DC0F49"/>
    <w:rsid w:val="00DC1103"/>
    <w:rsid w:val="00DC1117"/>
    <w:rsid w:val="00DC1228"/>
    <w:rsid w:val="00DC13E6"/>
    <w:rsid w:val="00DC1CA6"/>
    <w:rsid w:val="00DC20CF"/>
    <w:rsid w:val="00DC224D"/>
    <w:rsid w:val="00DC2259"/>
    <w:rsid w:val="00DC2623"/>
    <w:rsid w:val="00DC30AE"/>
    <w:rsid w:val="00DC31CC"/>
    <w:rsid w:val="00DC37FD"/>
    <w:rsid w:val="00DC3A8D"/>
    <w:rsid w:val="00DC6407"/>
    <w:rsid w:val="00DC72B8"/>
    <w:rsid w:val="00DC76C3"/>
    <w:rsid w:val="00DC77BF"/>
    <w:rsid w:val="00DC7A5D"/>
    <w:rsid w:val="00DC7BDA"/>
    <w:rsid w:val="00DC7E69"/>
    <w:rsid w:val="00DD02C0"/>
    <w:rsid w:val="00DD122C"/>
    <w:rsid w:val="00DD1B83"/>
    <w:rsid w:val="00DD1EC6"/>
    <w:rsid w:val="00DD2821"/>
    <w:rsid w:val="00DD2843"/>
    <w:rsid w:val="00DD2BAF"/>
    <w:rsid w:val="00DD2C41"/>
    <w:rsid w:val="00DD2CAD"/>
    <w:rsid w:val="00DD2E32"/>
    <w:rsid w:val="00DD3145"/>
    <w:rsid w:val="00DD3308"/>
    <w:rsid w:val="00DD3316"/>
    <w:rsid w:val="00DD38FE"/>
    <w:rsid w:val="00DD40D7"/>
    <w:rsid w:val="00DD42D8"/>
    <w:rsid w:val="00DD460E"/>
    <w:rsid w:val="00DD4F5E"/>
    <w:rsid w:val="00DD5ADD"/>
    <w:rsid w:val="00DD5C82"/>
    <w:rsid w:val="00DD5E57"/>
    <w:rsid w:val="00DD6DFD"/>
    <w:rsid w:val="00DD6E32"/>
    <w:rsid w:val="00DD70A2"/>
    <w:rsid w:val="00DD7695"/>
    <w:rsid w:val="00DE02BE"/>
    <w:rsid w:val="00DE1255"/>
    <w:rsid w:val="00DE146E"/>
    <w:rsid w:val="00DE1B0C"/>
    <w:rsid w:val="00DE2B78"/>
    <w:rsid w:val="00DE317C"/>
    <w:rsid w:val="00DE3385"/>
    <w:rsid w:val="00DE3554"/>
    <w:rsid w:val="00DE38A1"/>
    <w:rsid w:val="00DE3C37"/>
    <w:rsid w:val="00DE4051"/>
    <w:rsid w:val="00DE4502"/>
    <w:rsid w:val="00DE4638"/>
    <w:rsid w:val="00DE4651"/>
    <w:rsid w:val="00DE4983"/>
    <w:rsid w:val="00DE6569"/>
    <w:rsid w:val="00DE66D7"/>
    <w:rsid w:val="00DE6A04"/>
    <w:rsid w:val="00DE6AAE"/>
    <w:rsid w:val="00DE70A2"/>
    <w:rsid w:val="00DE7265"/>
    <w:rsid w:val="00DE7525"/>
    <w:rsid w:val="00DE7579"/>
    <w:rsid w:val="00DE7623"/>
    <w:rsid w:val="00DE7758"/>
    <w:rsid w:val="00DE7BDC"/>
    <w:rsid w:val="00DF048D"/>
    <w:rsid w:val="00DF1251"/>
    <w:rsid w:val="00DF1298"/>
    <w:rsid w:val="00DF1352"/>
    <w:rsid w:val="00DF16EB"/>
    <w:rsid w:val="00DF1791"/>
    <w:rsid w:val="00DF1AD3"/>
    <w:rsid w:val="00DF2353"/>
    <w:rsid w:val="00DF27FC"/>
    <w:rsid w:val="00DF2C54"/>
    <w:rsid w:val="00DF3724"/>
    <w:rsid w:val="00DF3837"/>
    <w:rsid w:val="00DF3A26"/>
    <w:rsid w:val="00DF3AB2"/>
    <w:rsid w:val="00DF6677"/>
    <w:rsid w:val="00DF6FBC"/>
    <w:rsid w:val="00DF75D9"/>
    <w:rsid w:val="00DF78B2"/>
    <w:rsid w:val="00DF7DD5"/>
    <w:rsid w:val="00DF7ED4"/>
    <w:rsid w:val="00E004C6"/>
    <w:rsid w:val="00E0054D"/>
    <w:rsid w:val="00E00684"/>
    <w:rsid w:val="00E0074B"/>
    <w:rsid w:val="00E00898"/>
    <w:rsid w:val="00E01CB2"/>
    <w:rsid w:val="00E01DD2"/>
    <w:rsid w:val="00E020A9"/>
    <w:rsid w:val="00E02546"/>
    <w:rsid w:val="00E0272B"/>
    <w:rsid w:val="00E02CFF"/>
    <w:rsid w:val="00E02E2F"/>
    <w:rsid w:val="00E03938"/>
    <w:rsid w:val="00E03BB8"/>
    <w:rsid w:val="00E03CBD"/>
    <w:rsid w:val="00E03E83"/>
    <w:rsid w:val="00E042DE"/>
    <w:rsid w:val="00E044DD"/>
    <w:rsid w:val="00E04877"/>
    <w:rsid w:val="00E04C45"/>
    <w:rsid w:val="00E04D1C"/>
    <w:rsid w:val="00E05681"/>
    <w:rsid w:val="00E0576B"/>
    <w:rsid w:val="00E0588C"/>
    <w:rsid w:val="00E058EB"/>
    <w:rsid w:val="00E05A89"/>
    <w:rsid w:val="00E05FA9"/>
    <w:rsid w:val="00E06062"/>
    <w:rsid w:val="00E0628E"/>
    <w:rsid w:val="00E06460"/>
    <w:rsid w:val="00E06826"/>
    <w:rsid w:val="00E0689E"/>
    <w:rsid w:val="00E0730E"/>
    <w:rsid w:val="00E073CF"/>
    <w:rsid w:val="00E07BA5"/>
    <w:rsid w:val="00E07F31"/>
    <w:rsid w:val="00E10C42"/>
    <w:rsid w:val="00E11C13"/>
    <w:rsid w:val="00E11F04"/>
    <w:rsid w:val="00E12535"/>
    <w:rsid w:val="00E12D89"/>
    <w:rsid w:val="00E13167"/>
    <w:rsid w:val="00E1340B"/>
    <w:rsid w:val="00E13602"/>
    <w:rsid w:val="00E13999"/>
    <w:rsid w:val="00E13F45"/>
    <w:rsid w:val="00E14108"/>
    <w:rsid w:val="00E1493B"/>
    <w:rsid w:val="00E149D3"/>
    <w:rsid w:val="00E14EE9"/>
    <w:rsid w:val="00E15082"/>
    <w:rsid w:val="00E15217"/>
    <w:rsid w:val="00E15282"/>
    <w:rsid w:val="00E1557E"/>
    <w:rsid w:val="00E15F3D"/>
    <w:rsid w:val="00E161AD"/>
    <w:rsid w:val="00E16931"/>
    <w:rsid w:val="00E16D18"/>
    <w:rsid w:val="00E16E3C"/>
    <w:rsid w:val="00E17050"/>
    <w:rsid w:val="00E175DA"/>
    <w:rsid w:val="00E17F53"/>
    <w:rsid w:val="00E2040B"/>
    <w:rsid w:val="00E211FF"/>
    <w:rsid w:val="00E21463"/>
    <w:rsid w:val="00E21479"/>
    <w:rsid w:val="00E21BA1"/>
    <w:rsid w:val="00E21DB7"/>
    <w:rsid w:val="00E2256E"/>
    <w:rsid w:val="00E23FB8"/>
    <w:rsid w:val="00E24195"/>
    <w:rsid w:val="00E24567"/>
    <w:rsid w:val="00E246BF"/>
    <w:rsid w:val="00E249D9"/>
    <w:rsid w:val="00E25124"/>
    <w:rsid w:val="00E25239"/>
    <w:rsid w:val="00E25814"/>
    <w:rsid w:val="00E25A4F"/>
    <w:rsid w:val="00E25AA4"/>
    <w:rsid w:val="00E261F8"/>
    <w:rsid w:val="00E2624E"/>
    <w:rsid w:val="00E2664B"/>
    <w:rsid w:val="00E268EB"/>
    <w:rsid w:val="00E26973"/>
    <w:rsid w:val="00E26E57"/>
    <w:rsid w:val="00E27354"/>
    <w:rsid w:val="00E27467"/>
    <w:rsid w:val="00E278A8"/>
    <w:rsid w:val="00E27BEA"/>
    <w:rsid w:val="00E302E2"/>
    <w:rsid w:val="00E303A9"/>
    <w:rsid w:val="00E3043D"/>
    <w:rsid w:val="00E30628"/>
    <w:rsid w:val="00E30883"/>
    <w:rsid w:val="00E31251"/>
    <w:rsid w:val="00E32231"/>
    <w:rsid w:val="00E324AD"/>
    <w:rsid w:val="00E32E0C"/>
    <w:rsid w:val="00E32F9A"/>
    <w:rsid w:val="00E3336A"/>
    <w:rsid w:val="00E333FB"/>
    <w:rsid w:val="00E3342D"/>
    <w:rsid w:val="00E33683"/>
    <w:rsid w:val="00E33734"/>
    <w:rsid w:val="00E33C47"/>
    <w:rsid w:val="00E33C7F"/>
    <w:rsid w:val="00E33EE3"/>
    <w:rsid w:val="00E3440F"/>
    <w:rsid w:val="00E347F0"/>
    <w:rsid w:val="00E35085"/>
    <w:rsid w:val="00E35094"/>
    <w:rsid w:val="00E3527B"/>
    <w:rsid w:val="00E35693"/>
    <w:rsid w:val="00E356FF"/>
    <w:rsid w:val="00E36783"/>
    <w:rsid w:val="00E36A55"/>
    <w:rsid w:val="00E36CFA"/>
    <w:rsid w:val="00E36EB2"/>
    <w:rsid w:val="00E36F56"/>
    <w:rsid w:val="00E377A0"/>
    <w:rsid w:val="00E37D7C"/>
    <w:rsid w:val="00E37E51"/>
    <w:rsid w:val="00E4060A"/>
    <w:rsid w:val="00E4083B"/>
    <w:rsid w:val="00E40AEB"/>
    <w:rsid w:val="00E40F9D"/>
    <w:rsid w:val="00E4122C"/>
    <w:rsid w:val="00E417D0"/>
    <w:rsid w:val="00E422C4"/>
    <w:rsid w:val="00E428CA"/>
    <w:rsid w:val="00E429EC"/>
    <w:rsid w:val="00E43330"/>
    <w:rsid w:val="00E4335B"/>
    <w:rsid w:val="00E4341C"/>
    <w:rsid w:val="00E4380E"/>
    <w:rsid w:val="00E439F8"/>
    <w:rsid w:val="00E43AD8"/>
    <w:rsid w:val="00E43DC4"/>
    <w:rsid w:val="00E43DF0"/>
    <w:rsid w:val="00E44199"/>
    <w:rsid w:val="00E4431C"/>
    <w:rsid w:val="00E44A0D"/>
    <w:rsid w:val="00E44CD4"/>
    <w:rsid w:val="00E450A6"/>
    <w:rsid w:val="00E455AB"/>
    <w:rsid w:val="00E459A0"/>
    <w:rsid w:val="00E45B91"/>
    <w:rsid w:val="00E46B50"/>
    <w:rsid w:val="00E46B92"/>
    <w:rsid w:val="00E46C57"/>
    <w:rsid w:val="00E46D9B"/>
    <w:rsid w:val="00E47385"/>
    <w:rsid w:val="00E50533"/>
    <w:rsid w:val="00E508F6"/>
    <w:rsid w:val="00E50D34"/>
    <w:rsid w:val="00E50F7B"/>
    <w:rsid w:val="00E51467"/>
    <w:rsid w:val="00E5176B"/>
    <w:rsid w:val="00E517B2"/>
    <w:rsid w:val="00E51B5D"/>
    <w:rsid w:val="00E51CB9"/>
    <w:rsid w:val="00E527FE"/>
    <w:rsid w:val="00E528BA"/>
    <w:rsid w:val="00E53671"/>
    <w:rsid w:val="00E539CD"/>
    <w:rsid w:val="00E53CAB"/>
    <w:rsid w:val="00E53D6A"/>
    <w:rsid w:val="00E53DBB"/>
    <w:rsid w:val="00E540EA"/>
    <w:rsid w:val="00E55339"/>
    <w:rsid w:val="00E55538"/>
    <w:rsid w:val="00E55ADF"/>
    <w:rsid w:val="00E565C2"/>
    <w:rsid w:val="00E56E95"/>
    <w:rsid w:val="00E56ECC"/>
    <w:rsid w:val="00E5731F"/>
    <w:rsid w:val="00E57F05"/>
    <w:rsid w:val="00E57F9B"/>
    <w:rsid w:val="00E60269"/>
    <w:rsid w:val="00E60358"/>
    <w:rsid w:val="00E60586"/>
    <w:rsid w:val="00E6073C"/>
    <w:rsid w:val="00E60B4F"/>
    <w:rsid w:val="00E60C32"/>
    <w:rsid w:val="00E616A2"/>
    <w:rsid w:val="00E6202B"/>
    <w:rsid w:val="00E625DE"/>
    <w:rsid w:val="00E627F6"/>
    <w:rsid w:val="00E62838"/>
    <w:rsid w:val="00E632C3"/>
    <w:rsid w:val="00E639E4"/>
    <w:rsid w:val="00E63AA2"/>
    <w:rsid w:val="00E63E8A"/>
    <w:rsid w:val="00E63F1D"/>
    <w:rsid w:val="00E63FD4"/>
    <w:rsid w:val="00E646D5"/>
    <w:rsid w:val="00E64A75"/>
    <w:rsid w:val="00E64B1B"/>
    <w:rsid w:val="00E650B6"/>
    <w:rsid w:val="00E65779"/>
    <w:rsid w:val="00E6602D"/>
    <w:rsid w:val="00E6603D"/>
    <w:rsid w:val="00E66275"/>
    <w:rsid w:val="00E67336"/>
    <w:rsid w:val="00E67343"/>
    <w:rsid w:val="00E67E86"/>
    <w:rsid w:val="00E7009F"/>
    <w:rsid w:val="00E70752"/>
    <w:rsid w:val="00E7153E"/>
    <w:rsid w:val="00E71650"/>
    <w:rsid w:val="00E729A3"/>
    <w:rsid w:val="00E72A7F"/>
    <w:rsid w:val="00E72E6E"/>
    <w:rsid w:val="00E72EC2"/>
    <w:rsid w:val="00E73199"/>
    <w:rsid w:val="00E73243"/>
    <w:rsid w:val="00E7372A"/>
    <w:rsid w:val="00E7391E"/>
    <w:rsid w:val="00E73F08"/>
    <w:rsid w:val="00E746F4"/>
    <w:rsid w:val="00E7483A"/>
    <w:rsid w:val="00E74926"/>
    <w:rsid w:val="00E751CF"/>
    <w:rsid w:val="00E752A1"/>
    <w:rsid w:val="00E753AA"/>
    <w:rsid w:val="00E75A9D"/>
    <w:rsid w:val="00E75B62"/>
    <w:rsid w:val="00E75E7C"/>
    <w:rsid w:val="00E76210"/>
    <w:rsid w:val="00E76513"/>
    <w:rsid w:val="00E76A32"/>
    <w:rsid w:val="00E76C5E"/>
    <w:rsid w:val="00E803C3"/>
    <w:rsid w:val="00E80727"/>
    <w:rsid w:val="00E80872"/>
    <w:rsid w:val="00E8098A"/>
    <w:rsid w:val="00E80AF4"/>
    <w:rsid w:val="00E80EFB"/>
    <w:rsid w:val="00E81B34"/>
    <w:rsid w:val="00E81B8E"/>
    <w:rsid w:val="00E81EBF"/>
    <w:rsid w:val="00E81ED7"/>
    <w:rsid w:val="00E82075"/>
    <w:rsid w:val="00E8219D"/>
    <w:rsid w:val="00E82941"/>
    <w:rsid w:val="00E83371"/>
    <w:rsid w:val="00E83599"/>
    <w:rsid w:val="00E8377F"/>
    <w:rsid w:val="00E83C5F"/>
    <w:rsid w:val="00E84955"/>
    <w:rsid w:val="00E84D64"/>
    <w:rsid w:val="00E8543E"/>
    <w:rsid w:val="00E855CE"/>
    <w:rsid w:val="00E8607A"/>
    <w:rsid w:val="00E8623F"/>
    <w:rsid w:val="00E8704B"/>
    <w:rsid w:val="00E87631"/>
    <w:rsid w:val="00E878BE"/>
    <w:rsid w:val="00E87B69"/>
    <w:rsid w:val="00E87D52"/>
    <w:rsid w:val="00E87F00"/>
    <w:rsid w:val="00E87F4D"/>
    <w:rsid w:val="00E901BF"/>
    <w:rsid w:val="00E90407"/>
    <w:rsid w:val="00E90555"/>
    <w:rsid w:val="00E90607"/>
    <w:rsid w:val="00E907BE"/>
    <w:rsid w:val="00E90BDB"/>
    <w:rsid w:val="00E91249"/>
    <w:rsid w:val="00E9176F"/>
    <w:rsid w:val="00E91942"/>
    <w:rsid w:val="00E91B48"/>
    <w:rsid w:val="00E91FBA"/>
    <w:rsid w:val="00E9222C"/>
    <w:rsid w:val="00E9229E"/>
    <w:rsid w:val="00E925E4"/>
    <w:rsid w:val="00E92F79"/>
    <w:rsid w:val="00E933EB"/>
    <w:rsid w:val="00E937CF"/>
    <w:rsid w:val="00E9427A"/>
    <w:rsid w:val="00E9439E"/>
    <w:rsid w:val="00E9464A"/>
    <w:rsid w:val="00E9522B"/>
    <w:rsid w:val="00E95277"/>
    <w:rsid w:val="00E9558B"/>
    <w:rsid w:val="00E95D1B"/>
    <w:rsid w:val="00E95E64"/>
    <w:rsid w:val="00E95EDC"/>
    <w:rsid w:val="00E96098"/>
    <w:rsid w:val="00E9623E"/>
    <w:rsid w:val="00E9649D"/>
    <w:rsid w:val="00E969F0"/>
    <w:rsid w:val="00E96FA8"/>
    <w:rsid w:val="00EA0534"/>
    <w:rsid w:val="00EA09FE"/>
    <w:rsid w:val="00EA0A9B"/>
    <w:rsid w:val="00EA0D79"/>
    <w:rsid w:val="00EA0E71"/>
    <w:rsid w:val="00EA175D"/>
    <w:rsid w:val="00EA2523"/>
    <w:rsid w:val="00EA2EFA"/>
    <w:rsid w:val="00EA32BF"/>
    <w:rsid w:val="00EA3852"/>
    <w:rsid w:val="00EA456E"/>
    <w:rsid w:val="00EA50D6"/>
    <w:rsid w:val="00EA548E"/>
    <w:rsid w:val="00EA5714"/>
    <w:rsid w:val="00EA722D"/>
    <w:rsid w:val="00EA7662"/>
    <w:rsid w:val="00EB016F"/>
    <w:rsid w:val="00EB0635"/>
    <w:rsid w:val="00EB06EB"/>
    <w:rsid w:val="00EB0798"/>
    <w:rsid w:val="00EB0B50"/>
    <w:rsid w:val="00EB13E0"/>
    <w:rsid w:val="00EB222C"/>
    <w:rsid w:val="00EB33F4"/>
    <w:rsid w:val="00EB3B9C"/>
    <w:rsid w:val="00EB3C8F"/>
    <w:rsid w:val="00EB4242"/>
    <w:rsid w:val="00EB4718"/>
    <w:rsid w:val="00EB4C04"/>
    <w:rsid w:val="00EB4CA7"/>
    <w:rsid w:val="00EB50C2"/>
    <w:rsid w:val="00EB5E24"/>
    <w:rsid w:val="00EB5E76"/>
    <w:rsid w:val="00EB5E87"/>
    <w:rsid w:val="00EB62A4"/>
    <w:rsid w:val="00EB649D"/>
    <w:rsid w:val="00EB6C6B"/>
    <w:rsid w:val="00EB6E0D"/>
    <w:rsid w:val="00EB70A4"/>
    <w:rsid w:val="00EB7363"/>
    <w:rsid w:val="00EB7714"/>
    <w:rsid w:val="00EB7A49"/>
    <w:rsid w:val="00EB7B5B"/>
    <w:rsid w:val="00EB7C4B"/>
    <w:rsid w:val="00EC0BAD"/>
    <w:rsid w:val="00EC10FC"/>
    <w:rsid w:val="00EC1320"/>
    <w:rsid w:val="00EC1406"/>
    <w:rsid w:val="00EC1E89"/>
    <w:rsid w:val="00EC217C"/>
    <w:rsid w:val="00EC225B"/>
    <w:rsid w:val="00EC2677"/>
    <w:rsid w:val="00EC2DAB"/>
    <w:rsid w:val="00EC36F2"/>
    <w:rsid w:val="00EC3821"/>
    <w:rsid w:val="00EC39EA"/>
    <w:rsid w:val="00EC3F43"/>
    <w:rsid w:val="00EC40B3"/>
    <w:rsid w:val="00EC419B"/>
    <w:rsid w:val="00EC464A"/>
    <w:rsid w:val="00EC476F"/>
    <w:rsid w:val="00EC486B"/>
    <w:rsid w:val="00EC48D7"/>
    <w:rsid w:val="00EC49B5"/>
    <w:rsid w:val="00EC4B7C"/>
    <w:rsid w:val="00EC4BB6"/>
    <w:rsid w:val="00EC4F33"/>
    <w:rsid w:val="00EC4F7E"/>
    <w:rsid w:val="00EC5507"/>
    <w:rsid w:val="00EC5634"/>
    <w:rsid w:val="00EC5A55"/>
    <w:rsid w:val="00EC64EB"/>
    <w:rsid w:val="00EC7129"/>
    <w:rsid w:val="00EC78CF"/>
    <w:rsid w:val="00EC790A"/>
    <w:rsid w:val="00ED0270"/>
    <w:rsid w:val="00ED0721"/>
    <w:rsid w:val="00ED07A3"/>
    <w:rsid w:val="00ED0F1C"/>
    <w:rsid w:val="00ED11C5"/>
    <w:rsid w:val="00ED1924"/>
    <w:rsid w:val="00ED1DED"/>
    <w:rsid w:val="00ED1E35"/>
    <w:rsid w:val="00ED1EEE"/>
    <w:rsid w:val="00ED2C8F"/>
    <w:rsid w:val="00ED2D4A"/>
    <w:rsid w:val="00ED2DB6"/>
    <w:rsid w:val="00ED304F"/>
    <w:rsid w:val="00ED30DC"/>
    <w:rsid w:val="00ED3D2A"/>
    <w:rsid w:val="00ED400E"/>
    <w:rsid w:val="00ED45FE"/>
    <w:rsid w:val="00ED47C8"/>
    <w:rsid w:val="00ED4BF7"/>
    <w:rsid w:val="00ED4FB2"/>
    <w:rsid w:val="00ED507D"/>
    <w:rsid w:val="00ED5E6A"/>
    <w:rsid w:val="00ED6426"/>
    <w:rsid w:val="00ED6C8B"/>
    <w:rsid w:val="00ED6F17"/>
    <w:rsid w:val="00ED6F48"/>
    <w:rsid w:val="00ED76F1"/>
    <w:rsid w:val="00ED7BC1"/>
    <w:rsid w:val="00EE148A"/>
    <w:rsid w:val="00EE1A2B"/>
    <w:rsid w:val="00EE1C1C"/>
    <w:rsid w:val="00EE2406"/>
    <w:rsid w:val="00EE2431"/>
    <w:rsid w:val="00EE24DB"/>
    <w:rsid w:val="00EE24FB"/>
    <w:rsid w:val="00EE2D3F"/>
    <w:rsid w:val="00EE2FC2"/>
    <w:rsid w:val="00EE3270"/>
    <w:rsid w:val="00EE3367"/>
    <w:rsid w:val="00EE3730"/>
    <w:rsid w:val="00EE375E"/>
    <w:rsid w:val="00EE3DA2"/>
    <w:rsid w:val="00EE43C0"/>
    <w:rsid w:val="00EE4452"/>
    <w:rsid w:val="00EE456D"/>
    <w:rsid w:val="00EE4C7E"/>
    <w:rsid w:val="00EE51DB"/>
    <w:rsid w:val="00EE556D"/>
    <w:rsid w:val="00EE5713"/>
    <w:rsid w:val="00EE5DBE"/>
    <w:rsid w:val="00EE6128"/>
    <w:rsid w:val="00EE6184"/>
    <w:rsid w:val="00EE698F"/>
    <w:rsid w:val="00EE721A"/>
    <w:rsid w:val="00EE7607"/>
    <w:rsid w:val="00EE7A2C"/>
    <w:rsid w:val="00EE7BEB"/>
    <w:rsid w:val="00EE7F49"/>
    <w:rsid w:val="00EF01EF"/>
    <w:rsid w:val="00EF0209"/>
    <w:rsid w:val="00EF066A"/>
    <w:rsid w:val="00EF09BD"/>
    <w:rsid w:val="00EF0E5D"/>
    <w:rsid w:val="00EF0F3B"/>
    <w:rsid w:val="00EF20F2"/>
    <w:rsid w:val="00EF2141"/>
    <w:rsid w:val="00EF2240"/>
    <w:rsid w:val="00EF3069"/>
    <w:rsid w:val="00EF33CF"/>
    <w:rsid w:val="00EF3482"/>
    <w:rsid w:val="00EF3A6B"/>
    <w:rsid w:val="00EF3D31"/>
    <w:rsid w:val="00EF3DE5"/>
    <w:rsid w:val="00EF440C"/>
    <w:rsid w:val="00EF4C4E"/>
    <w:rsid w:val="00EF51B0"/>
    <w:rsid w:val="00EF5693"/>
    <w:rsid w:val="00EF57A5"/>
    <w:rsid w:val="00EF5811"/>
    <w:rsid w:val="00EF5987"/>
    <w:rsid w:val="00EF6556"/>
    <w:rsid w:val="00EF6F14"/>
    <w:rsid w:val="00EF713B"/>
    <w:rsid w:val="00EF7A1A"/>
    <w:rsid w:val="00EF7D09"/>
    <w:rsid w:val="00EF7E24"/>
    <w:rsid w:val="00F002EF"/>
    <w:rsid w:val="00F012A8"/>
    <w:rsid w:val="00F01733"/>
    <w:rsid w:val="00F01AEA"/>
    <w:rsid w:val="00F020BB"/>
    <w:rsid w:val="00F0319D"/>
    <w:rsid w:val="00F03323"/>
    <w:rsid w:val="00F0385E"/>
    <w:rsid w:val="00F03D27"/>
    <w:rsid w:val="00F04521"/>
    <w:rsid w:val="00F04815"/>
    <w:rsid w:val="00F04E2E"/>
    <w:rsid w:val="00F05C43"/>
    <w:rsid w:val="00F066C8"/>
    <w:rsid w:val="00F06C0B"/>
    <w:rsid w:val="00F07089"/>
    <w:rsid w:val="00F07129"/>
    <w:rsid w:val="00F0743E"/>
    <w:rsid w:val="00F077D2"/>
    <w:rsid w:val="00F07BE2"/>
    <w:rsid w:val="00F07E6E"/>
    <w:rsid w:val="00F07F28"/>
    <w:rsid w:val="00F102EC"/>
    <w:rsid w:val="00F10548"/>
    <w:rsid w:val="00F10557"/>
    <w:rsid w:val="00F105A7"/>
    <w:rsid w:val="00F106F3"/>
    <w:rsid w:val="00F11001"/>
    <w:rsid w:val="00F117A0"/>
    <w:rsid w:val="00F12169"/>
    <w:rsid w:val="00F1232F"/>
    <w:rsid w:val="00F12994"/>
    <w:rsid w:val="00F12D86"/>
    <w:rsid w:val="00F12DF2"/>
    <w:rsid w:val="00F13058"/>
    <w:rsid w:val="00F13B05"/>
    <w:rsid w:val="00F13F47"/>
    <w:rsid w:val="00F142D6"/>
    <w:rsid w:val="00F1431E"/>
    <w:rsid w:val="00F14642"/>
    <w:rsid w:val="00F14A46"/>
    <w:rsid w:val="00F14BCA"/>
    <w:rsid w:val="00F154D4"/>
    <w:rsid w:val="00F15AF2"/>
    <w:rsid w:val="00F15F1E"/>
    <w:rsid w:val="00F1620C"/>
    <w:rsid w:val="00F1643F"/>
    <w:rsid w:val="00F16D54"/>
    <w:rsid w:val="00F16E49"/>
    <w:rsid w:val="00F177C6"/>
    <w:rsid w:val="00F178AB"/>
    <w:rsid w:val="00F17B16"/>
    <w:rsid w:val="00F17F5B"/>
    <w:rsid w:val="00F2034E"/>
    <w:rsid w:val="00F20EA1"/>
    <w:rsid w:val="00F20F16"/>
    <w:rsid w:val="00F21290"/>
    <w:rsid w:val="00F219DB"/>
    <w:rsid w:val="00F21B53"/>
    <w:rsid w:val="00F2214E"/>
    <w:rsid w:val="00F231A1"/>
    <w:rsid w:val="00F235C1"/>
    <w:rsid w:val="00F23DBA"/>
    <w:rsid w:val="00F23E5B"/>
    <w:rsid w:val="00F23F33"/>
    <w:rsid w:val="00F24738"/>
    <w:rsid w:val="00F24A7D"/>
    <w:rsid w:val="00F25334"/>
    <w:rsid w:val="00F25416"/>
    <w:rsid w:val="00F25869"/>
    <w:rsid w:val="00F25EC4"/>
    <w:rsid w:val="00F2606A"/>
    <w:rsid w:val="00F26092"/>
    <w:rsid w:val="00F26538"/>
    <w:rsid w:val="00F26808"/>
    <w:rsid w:val="00F268A4"/>
    <w:rsid w:val="00F26EE2"/>
    <w:rsid w:val="00F270CF"/>
    <w:rsid w:val="00F270D4"/>
    <w:rsid w:val="00F273CD"/>
    <w:rsid w:val="00F277DB"/>
    <w:rsid w:val="00F27C71"/>
    <w:rsid w:val="00F27D26"/>
    <w:rsid w:val="00F27E6A"/>
    <w:rsid w:val="00F30251"/>
    <w:rsid w:val="00F30696"/>
    <w:rsid w:val="00F307CC"/>
    <w:rsid w:val="00F30BBA"/>
    <w:rsid w:val="00F31259"/>
    <w:rsid w:val="00F3131A"/>
    <w:rsid w:val="00F31584"/>
    <w:rsid w:val="00F31630"/>
    <w:rsid w:val="00F32532"/>
    <w:rsid w:val="00F3322B"/>
    <w:rsid w:val="00F34A95"/>
    <w:rsid w:val="00F34C99"/>
    <w:rsid w:val="00F34F03"/>
    <w:rsid w:val="00F35084"/>
    <w:rsid w:val="00F353F7"/>
    <w:rsid w:val="00F35CF9"/>
    <w:rsid w:val="00F36007"/>
    <w:rsid w:val="00F36162"/>
    <w:rsid w:val="00F3623B"/>
    <w:rsid w:val="00F367AD"/>
    <w:rsid w:val="00F36816"/>
    <w:rsid w:val="00F36FED"/>
    <w:rsid w:val="00F37072"/>
    <w:rsid w:val="00F400A1"/>
    <w:rsid w:val="00F40CF9"/>
    <w:rsid w:val="00F40F5F"/>
    <w:rsid w:val="00F414E2"/>
    <w:rsid w:val="00F4221B"/>
    <w:rsid w:val="00F4233C"/>
    <w:rsid w:val="00F427D5"/>
    <w:rsid w:val="00F437AD"/>
    <w:rsid w:val="00F43932"/>
    <w:rsid w:val="00F439BB"/>
    <w:rsid w:val="00F43AB0"/>
    <w:rsid w:val="00F43FCA"/>
    <w:rsid w:val="00F440AC"/>
    <w:rsid w:val="00F44640"/>
    <w:rsid w:val="00F446AD"/>
    <w:rsid w:val="00F449D7"/>
    <w:rsid w:val="00F44C0B"/>
    <w:rsid w:val="00F455B8"/>
    <w:rsid w:val="00F4573E"/>
    <w:rsid w:val="00F45F5E"/>
    <w:rsid w:val="00F461AE"/>
    <w:rsid w:val="00F46B1C"/>
    <w:rsid w:val="00F46CA0"/>
    <w:rsid w:val="00F46D8C"/>
    <w:rsid w:val="00F4715C"/>
    <w:rsid w:val="00F47D6C"/>
    <w:rsid w:val="00F47F11"/>
    <w:rsid w:val="00F50FE9"/>
    <w:rsid w:val="00F51106"/>
    <w:rsid w:val="00F517B5"/>
    <w:rsid w:val="00F51A00"/>
    <w:rsid w:val="00F51B88"/>
    <w:rsid w:val="00F52A4C"/>
    <w:rsid w:val="00F534D3"/>
    <w:rsid w:val="00F534ED"/>
    <w:rsid w:val="00F5394F"/>
    <w:rsid w:val="00F53968"/>
    <w:rsid w:val="00F53A7B"/>
    <w:rsid w:val="00F53BAF"/>
    <w:rsid w:val="00F53C00"/>
    <w:rsid w:val="00F5421D"/>
    <w:rsid w:val="00F5435E"/>
    <w:rsid w:val="00F55A8B"/>
    <w:rsid w:val="00F562BE"/>
    <w:rsid w:val="00F566BC"/>
    <w:rsid w:val="00F567A9"/>
    <w:rsid w:val="00F570FA"/>
    <w:rsid w:val="00F6005B"/>
    <w:rsid w:val="00F60458"/>
    <w:rsid w:val="00F60DF3"/>
    <w:rsid w:val="00F61026"/>
    <w:rsid w:val="00F613D5"/>
    <w:rsid w:val="00F61567"/>
    <w:rsid w:val="00F61883"/>
    <w:rsid w:val="00F61C20"/>
    <w:rsid w:val="00F62057"/>
    <w:rsid w:val="00F62582"/>
    <w:rsid w:val="00F6489F"/>
    <w:rsid w:val="00F64DC6"/>
    <w:rsid w:val="00F64F14"/>
    <w:rsid w:val="00F65084"/>
    <w:rsid w:val="00F658CB"/>
    <w:rsid w:val="00F65BCB"/>
    <w:rsid w:val="00F66466"/>
    <w:rsid w:val="00F66981"/>
    <w:rsid w:val="00F66D31"/>
    <w:rsid w:val="00F67106"/>
    <w:rsid w:val="00F674E0"/>
    <w:rsid w:val="00F67567"/>
    <w:rsid w:val="00F67C01"/>
    <w:rsid w:val="00F67C2B"/>
    <w:rsid w:val="00F709F5"/>
    <w:rsid w:val="00F7114B"/>
    <w:rsid w:val="00F719FF"/>
    <w:rsid w:val="00F71E7A"/>
    <w:rsid w:val="00F721EF"/>
    <w:rsid w:val="00F72203"/>
    <w:rsid w:val="00F72265"/>
    <w:rsid w:val="00F72301"/>
    <w:rsid w:val="00F72599"/>
    <w:rsid w:val="00F72AC2"/>
    <w:rsid w:val="00F72BF8"/>
    <w:rsid w:val="00F72F86"/>
    <w:rsid w:val="00F73ABD"/>
    <w:rsid w:val="00F74168"/>
    <w:rsid w:val="00F742F1"/>
    <w:rsid w:val="00F747FA"/>
    <w:rsid w:val="00F74871"/>
    <w:rsid w:val="00F76037"/>
    <w:rsid w:val="00F773B7"/>
    <w:rsid w:val="00F77724"/>
    <w:rsid w:val="00F7772A"/>
    <w:rsid w:val="00F777F7"/>
    <w:rsid w:val="00F77839"/>
    <w:rsid w:val="00F77995"/>
    <w:rsid w:val="00F77AB9"/>
    <w:rsid w:val="00F8097D"/>
    <w:rsid w:val="00F80A15"/>
    <w:rsid w:val="00F811B9"/>
    <w:rsid w:val="00F814F1"/>
    <w:rsid w:val="00F815CC"/>
    <w:rsid w:val="00F818AC"/>
    <w:rsid w:val="00F81A57"/>
    <w:rsid w:val="00F8246A"/>
    <w:rsid w:val="00F827E8"/>
    <w:rsid w:val="00F8285E"/>
    <w:rsid w:val="00F82FA7"/>
    <w:rsid w:val="00F8336F"/>
    <w:rsid w:val="00F8374F"/>
    <w:rsid w:val="00F83D49"/>
    <w:rsid w:val="00F83ED9"/>
    <w:rsid w:val="00F83F2C"/>
    <w:rsid w:val="00F84796"/>
    <w:rsid w:val="00F84AFC"/>
    <w:rsid w:val="00F85096"/>
    <w:rsid w:val="00F856ED"/>
    <w:rsid w:val="00F8574D"/>
    <w:rsid w:val="00F85DEC"/>
    <w:rsid w:val="00F85FD9"/>
    <w:rsid w:val="00F8615F"/>
    <w:rsid w:val="00F86637"/>
    <w:rsid w:val="00F86D4E"/>
    <w:rsid w:val="00F86E6F"/>
    <w:rsid w:val="00F87BEF"/>
    <w:rsid w:val="00F87F29"/>
    <w:rsid w:val="00F902F3"/>
    <w:rsid w:val="00F90C13"/>
    <w:rsid w:val="00F90C94"/>
    <w:rsid w:val="00F90DD7"/>
    <w:rsid w:val="00F91164"/>
    <w:rsid w:val="00F9150F"/>
    <w:rsid w:val="00F91524"/>
    <w:rsid w:val="00F926A3"/>
    <w:rsid w:val="00F9270B"/>
    <w:rsid w:val="00F9275A"/>
    <w:rsid w:val="00F92AB1"/>
    <w:rsid w:val="00F92B0F"/>
    <w:rsid w:val="00F92B46"/>
    <w:rsid w:val="00F92BF6"/>
    <w:rsid w:val="00F92C57"/>
    <w:rsid w:val="00F92F53"/>
    <w:rsid w:val="00F93043"/>
    <w:rsid w:val="00F93D6C"/>
    <w:rsid w:val="00F93FCF"/>
    <w:rsid w:val="00F94068"/>
    <w:rsid w:val="00F9489A"/>
    <w:rsid w:val="00F9536B"/>
    <w:rsid w:val="00F95E59"/>
    <w:rsid w:val="00F95FD2"/>
    <w:rsid w:val="00F963DB"/>
    <w:rsid w:val="00F96489"/>
    <w:rsid w:val="00F9687C"/>
    <w:rsid w:val="00F96A63"/>
    <w:rsid w:val="00F96A71"/>
    <w:rsid w:val="00F96A7E"/>
    <w:rsid w:val="00F96ACA"/>
    <w:rsid w:val="00F96D24"/>
    <w:rsid w:val="00F97491"/>
    <w:rsid w:val="00F97BFD"/>
    <w:rsid w:val="00F97E96"/>
    <w:rsid w:val="00FA02C5"/>
    <w:rsid w:val="00FA1AEC"/>
    <w:rsid w:val="00FA26E3"/>
    <w:rsid w:val="00FA279F"/>
    <w:rsid w:val="00FA44FB"/>
    <w:rsid w:val="00FA4BF8"/>
    <w:rsid w:val="00FA5580"/>
    <w:rsid w:val="00FA56B6"/>
    <w:rsid w:val="00FA5BFC"/>
    <w:rsid w:val="00FA5F42"/>
    <w:rsid w:val="00FA620B"/>
    <w:rsid w:val="00FA6361"/>
    <w:rsid w:val="00FA69C3"/>
    <w:rsid w:val="00FA69E4"/>
    <w:rsid w:val="00FA6AAC"/>
    <w:rsid w:val="00FA6CBC"/>
    <w:rsid w:val="00FA6D48"/>
    <w:rsid w:val="00FA7EC0"/>
    <w:rsid w:val="00FB05B8"/>
    <w:rsid w:val="00FB0966"/>
    <w:rsid w:val="00FB0BB2"/>
    <w:rsid w:val="00FB0CE0"/>
    <w:rsid w:val="00FB1311"/>
    <w:rsid w:val="00FB1582"/>
    <w:rsid w:val="00FB1938"/>
    <w:rsid w:val="00FB1AD3"/>
    <w:rsid w:val="00FB349A"/>
    <w:rsid w:val="00FB3790"/>
    <w:rsid w:val="00FB38BE"/>
    <w:rsid w:val="00FB3E1A"/>
    <w:rsid w:val="00FB448D"/>
    <w:rsid w:val="00FB4C36"/>
    <w:rsid w:val="00FB4E5B"/>
    <w:rsid w:val="00FB4EFB"/>
    <w:rsid w:val="00FB5808"/>
    <w:rsid w:val="00FB5AC0"/>
    <w:rsid w:val="00FB61E0"/>
    <w:rsid w:val="00FB6C88"/>
    <w:rsid w:val="00FB6DEC"/>
    <w:rsid w:val="00FB6DFE"/>
    <w:rsid w:val="00FB6F48"/>
    <w:rsid w:val="00FB73D1"/>
    <w:rsid w:val="00FB77CB"/>
    <w:rsid w:val="00FC072E"/>
    <w:rsid w:val="00FC0921"/>
    <w:rsid w:val="00FC11A9"/>
    <w:rsid w:val="00FC1ADE"/>
    <w:rsid w:val="00FC1C6F"/>
    <w:rsid w:val="00FC1DE2"/>
    <w:rsid w:val="00FC20DE"/>
    <w:rsid w:val="00FC2462"/>
    <w:rsid w:val="00FC25F7"/>
    <w:rsid w:val="00FC266E"/>
    <w:rsid w:val="00FC2921"/>
    <w:rsid w:val="00FC30E2"/>
    <w:rsid w:val="00FC3A30"/>
    <w:rsid w:val="00FC3A4E"/>
    <w:rsid w:val="00FC3B2B"/>
    <w:rsid w:val="00FC3CC4"/>
    <w:rsid w:val="00FC3E24"/>
    <w:rsid w:val="00FC4E66"/>
    <w:rsid w:val="00FC5178"/>
    <w:rsid w:val="00FC5249"/>
    <w:rsid w:val="00FC5445"/>
    <w:rsid w:val="00FC551E"/>
    <w:rsid w:val="00FC5613"/>
    <w:rsid w:val="00FC5790"/>
    <w:rsid w:val="00FC5D6A"/>
    <w:rsid w:val="00FC6969"/>
    <w:rsid w:val="00FC6A12"/>
    <w:rsid w:val="00FC6D98"/>
    <w:rsid w:val="00FC6DD7"/>
    <w:rsid w:val="00FC759D"/>
    <w:rsid w:val="00FD039F"/>
    <w:rsid w:val="00FD0721"/>
    <w:rsid w:val="00FD1153"/>
    <w:rsid w:val="00FD13D5"/>
    <w:rsid w:val="00FD1995"/>
    <w:rsid w:val="00FD1FF6"/>
    <w:rsid w:val="00FD25E1"/>
    <w:rsid w:val="00FD2D75"/>
    <w:rsid w:val="00FD32CB"/>
    <w:rsid w:val="00FD37BD"/>
    <w:rsid w:val="00FD3C86"/>
    <w:rsid w:val="00FD3CAB"/>
    <w:rsid w:val="00FD40FF"/>
    <w:rsid w:val="00FD4A49"/>
    <w:rsid w:val="00FD4B8A"/>
    <w:rsid w:val="00FD56F2"/>
    <w:rsid w:val="00FD5E1C"/>
    <w:rsid w:val="00FD62EB"/>
    <w:rsid w:val="00FD6327"/>
    <w:rsid w:val="00FD63DF"/>
    <w:rsid w:val="00FD7339"/>
    <w:rsid w:val="00FD7945"/>
    <w:rsid w:val="00FD7B9D"/>
    <w:rsid w:val="00FE00F1"/>
    <w:rsid w:val="00FE01AC"/>
    <w:rsid w:val="00FE02C1"/>
    <w:rsid w:val="00FE0B54"/>
    <w:rsid w:val="00FE0B5C"/>
    <w:rsid w:val="00FE1880"/>
    <w:rsid w:val="00FE1C18"/>
    <w:rsid w:val="00FE1EB0"/>
    <w:rsid w:val="00FE2075"/>
    <w:rsid w:val="00FE23B0"/>
    <w:rsid w:val="00FE3E44"/>
    <w:rsid w:val="00FE3F8E"/>
    <w:rsid w:val="00FE47ED"/>
    <w:rsid w:val="00FE4AAD"/>
    <w:rsid w:val="00FE522B"/>
    <w:rsid w:val="00FE5330"/>
    <w:rsid w:val="00FE56BF"/>
    <w:rsid w:val="00FE61DC"/>
    <w:rsid w:val="00FE6537"/>
    <w:rsid w:val="00FE67D0"/>
    <w:rsid w:val="00FE6D54"/>
    <w:rsid w:val="00FE782B"/>
    <w:rsid w:val="00FE7B01"/>
    <w:rsid w:val="00FE7D33"/>
    <w:rsid w:val="00FF00BF"/>
    <w:rsid w:val="00FF081E"/>
    <w:rsid w:val="00FF0D09"/>
    <w:rsid w:val="00FF1187"/>
    <w:rsid w:val="00FF13A1"/>
    <w:rsid w:val="00FF145C"/>
    <w:rsid w:val="00FF1BBA"/>
    <w:rsid w:val="00FF2151"/>
    <w:rsid w:val="00FF2213"/>
    <w:rsid w:val="00FF2318"/>
    <w:rsid w:val="00FF2403"/>
    <w:rsid w:val="00FF26EE"/>
    <w:rsid w:val="00FF2EC1"/>
    <w:rsid w:val="00FF3102"/>
    <w:rsid w:val="00FF3329"/>
    <w:rsid w:val="00FF3BB6"/>
    <w:rsid w:val="00FF41D8"/>
    <w:rsid w:val="00FF47A3"/>
    <w:rsid w:val="00FF4D23"/>
    <w:rsid w:val="00FF602B"/>
    <w:rsid w:val="00FF6353"/>
    <w:rsid w:val="00FF657E"/>
    <w:rsid w:val="00FF65F1"/>
    <w:rsid w:val="00FF704A"/>
    <w:rsid w:val="00FF7512"/>
    <w:rsid w:val="00FF7877"/>
    <w:rsid w:val="00FF7FC8"/>
    <w:rsid w:val="010D7DD7"/>
    <w:rsid w:val="01396E1E"/>
    <w:rsid w:val="01457570"/>
    <w:rsid w:val="01C20BC1"/>
    <w:rsid w:val="02107822"/>
    <w:rsid w:val="024F656F"/>
    <w:rsid w:val="02D73205"/>
    <w:rsid w:val="03125B78"/>
    <w:rsid w:val="047654C5"/>
    <w:rsid w:val="04844319"/>
    <w:rsid w:val="05D9038E"/>
    <w:rsid w:val="06507E65"/>
    <w:rsid w:val="06B55883"/>
    <w:rsid w:val="07574D9C"/>
    <w:rsid w:val="07DE090C"/>
    <w:rsid w:val="08290F2E"/>
    <w:rsid w:val="085F1E58"/>
    <w:rsid w:val="08E7715F"/>
    <w:rsid w:val="08EE6740"/>
    <w:rsid w:val="0906165B"/>
    <w:rsid w:val="09300E18"/>
    <w:rsid w:val="09647D8F"/>
    <w:rsid w:val="0A026946"/>
    <w:rsid w:val="0A1F007C"/>
    <w:rsid w:val="0A2A7FE0"/>
    <w:rsid w:val="0A410AF1"/>
    <w:rsid w:val="0A777171"/>
    <w:rsid w:val="0A856C30"/>
    <w:rsid w:val="0AE3115C"/>
    <w:rsid w:val="0AF0634E"/>
    <w:rsid w:val="0B5F61D3"/>
    <w:rsid w:val="0B6D4760"/>
    <w:rsid w:val="0B8339ED"/>
    <w:rsid w:val="0C290BC7"/>
    <w:rsid w:val="0CA737D5"/>
    <w:rsid w:val="0CBB6000"/>
    <w:rsid w:val="0CCE34EE"/>
    <w:rsid w:val="0CE410C9"/>
    <w:rsid w:val="0D1501C9"/>
    <w:rsid w:val="0D49488C"/>
    <w:rsid w:val="0D4B14D3"/>
    <w:rsid w:val="0E165CA5"/>
    <w:rsid w:val="0E21353B"/>
    <w:rsid w:val="0E4842B3"/>
    <w:rsid w:val="0EA80944"/>
    <w:rsid w:val="0EA87391"/>
    <w:rsid w:val="0EC20200"/>
    <w:rsid w:val="0F113188"/>
    <w:rsid w:val="0FC1695C"/>
    <w:rsid w:val="0FD06B9F"/>
    <w:rsid w:val="10046336"/>
    <w:rsid w:val="10190EEA"/>
    <w:rsid w:val="11144CCC"/>
    <w:rsid w:val="11421D1E"/>
    <w:rsid w:val="115832F0"/>
    <w:rsid w:val="1238019B"/>
    <w:rsid w:val="12803108"/>
    <w:rsid w:val="13613ABC"/>
    <w:rsid w:val="13655850"/>
    <w:rsid w:val="13857CA0"/>
    <w:rsid w:val="139A265D"/>
    <w:rsid w:val="13C52DC7"/>
    <w:rsid w:val="13D218D5"/>
    <w:rsid w:val="14185704"/>
    <w:rsid w:val="1473228E"/>
    <w:rsid w:val="14C33176"/>
    <w:rsid w:val="14CC7C00"/>
    <w:rsid w:val="14D27A24"/>
    <w:rsid w:val="161D2A4D"/>
    <w:rsid w:val="16426A1B"/>
    <w:rsid w:val="169D7306"/>
    <w:rsid w:val="16A973E8"/>
    <w:rsid w:val="1717516A"/>
    <w:rsid w:val="172911EC"/>
    <w:rsid w:val="173F6692"/>
    <w:rsid w:val="17E82DB7"/>
    <w:rsid w:val="189F35B2"/>
    <w:rsid w:val="18C92972"/>
    <w:rsid w:val="19A51DB3"/>
    <w:rsid w:val="1A9F789A"/>
    <w:rsid w:val="1AA87BD2"/>
    <w:rsid w:val="1ADE4929"/>
    <w:rsid w:val="1B7A3E63"/>
    <w:rsid w:val="1C263325"/>
    <w:rsid w:val="1D951428"/>
    <w:rsid w:val="1DE16098"/>
    <w:rsid w:val="1E2C09AB"/>
    <w:rsid w:val="1E935967"/>
    <w:rsid w:val="1FD40BF1"/>
    <w:rsid w:val="20261070"/>
    <w:rsid w:val="204F0521"/>
    <w:rsid w:val="205F23C3"/>
    <w:rsid w:val="209B0B03"/>
    <w:rsid w:val="20D74DDE"/>
    <w:rsid w:val="20D84460"/>
    <w:rsid w:val="20F55B55"/>
    <w:rsid w:val="218B501C"/>
    <w:rsid w:val="22F34C27"/>
    <w:rsid w:val="242179DA"/>
    <w:rsid w:val="24521E21"/>
    <w:rsid w:val="24620706"/>
    <w:rsid w:val="246761DA"/>
    <w:rsid w:val="25B05051"/>
    <w:rsid w:val="26692359"/>
    <w:rsid w:val="270277E7"/>
    <w:rsid w:val="27045DE2"/>
    <w:rsid w:val="27AE736E"/>
    <w:rsid w:val="27B16E5E"/>
    <w:rsid w:val="281335CC"/>
    <w:rsid w:val="28550131"/>
    <w:rsid w:val="2866595E"/>
    <w:rsid w:val="288325A9"/>
    <w:rsid w:val="289E3C55"/>
    <w:rsid w:val="28F45255"/>
    <w:rsid w:val="292672D4"/>
    <w:rsid w:val="2A8B7E3A"/>
    <w:rsid w:val="2AF8398E"/>
    <w:rsid w:val="2AFB4FC0"/>
    <w:rsid w:val="2B3050F9"/>
    <w:rsid w:val="2B696A33"/>
    <w:rsid w:val="2C051F5E"/>
    <w:rsid w:val="2CF84D34"/>
    <w:rsid w:val="2D1E3206"/>
    <w:rsid w:val="2D6A3F24"/>
    <w:rsid w:val="2D716A26"/>
    <w:rsid w:val="2DE83A3A"/>
    <w:rsid w:val="2DFC4DDB"/>
    <w:rsid w:val="2E1F5933"/>
    <w:rsid w:val="2EC767E9"/>
    <w:rsid w:val="2F2B1BEC"/>
    <w:rsid w:val="2FC76FBB"/>
    <w:rsid w:val="300246FB"/>
    <w:rsid w:val="3012798E"/>
    <w:rsid w:val="308A5DD7"/>
    <w:rsid w:val="3138414C"/>
    <w:rsid w:val="319B1E4E"/>
    <w:rsid w:val="31D37F49"/>
    <w:rsid w:val="321D6FE5"/>
    <w:rsid w:val="32236BAB"/>
    <w:rsid w:val="324F174E"/>
    <w:rsid w:val="32AA2E28"/>
    <w:rsid w:val="32AC6B69"/>
    <w:rsid w:val="33376F4A"/>
    <w:rsid w:val="34B424E6"/>
    <w:rsid w:val="34CF7D73"/>
    <w:rsid w:val="34E268A9"/>
    <w:rsid w:val="35131158"/>
    <w:rsid w:val="3529272A"/>
    <w:rsid w:val="35A563B0"/>
    <w:rsid w:val="36002765"/>
    <w:rsid w:val="3667350A"/>
    <w:rsid w:val="3686688B"/>
    <w:rsid w:val="36DB7A54"/>
    <w:rsid w:val="36EB330F"/>
    <w:rsid w:val="372413FB"/>
    <w:rsid w:val="37B502A5"/>
    <w:rsid w:val="37BE0F45"/>
    <w:rsid w:val="380B09E4"/>
    <w:rsid w:val="38AE3672"/>
    <w:rsid w:val="38C22C79"/>
    <w:rsid w:val="39346C81"/>
    <w:rsid w:val="3A4E1641"/>
    <w:rsid w:val="3A5E2E76"/>
    <w:rsid w:val="3A881CA1"/>
    <w:rsid w:val="3A8D5671"/>
    <w:rsid w:val="3A932EBB"/>
    <w:rsid w:val="3C94492D"/>
    <w:rsid w:val="3D0F2205"/>
    <w:rsid w:val="3D5C388A"/>
    <w:rsid w:val="3D842BF3"/>
    <w:rsid w:val="3E1C2E2C"/>
    <w:rsid w:val="3EA15EE7"/>
    <w:rsid w:val="3EA710F9"/>
    <w:rsid w:val="3F0F2990"/>
    <w:rsid w:val="3F227025"/>
    <w:rsid w:val="41173D7E"/>
    <w:rsid w:val="41257EF1"/>
    <w:rsid w:val="414904A5"/>
    <w:rsid w:val="42A8090D"/>
    <w:rsid w:val="442055BD"/>
    <w:rsid w:val="44D05E14"/>
    <w:rsid w:val="453666E3"/>
    <w:rsid w:val="45EF7078"/>
    <w:rsid w:val="46F55035"/>
    <w:rsid w:val="47410C68"/>
    <w:rsid w:val="47501768"/>
    <w:rsid w:val="475950F1"/>
    <w:rsid w:val="47641DC7"/>
    <w:rsid w:val="47651B77"/>
    <w:rsid w:val="478974E3"/>
    <w:rsid w:val="47995DCD"/>
    <w:rsid w:val="47E81FD1"/>
    <w:rsid w:val="47F72214"/>
    <w:rsid w:val="47FB61A8"/>
    <w:rsid w:val="48480CC1"/>
    <w:rsid w:val="487B4BF3"/>
    <w:rsid w:val="48912668"/>
    <w:rsid w:val="48967C7F"/>
    <w:rsid w:val="48A4054C"/>
    <w:rsid w:val="48B87BF5"/>
    <w:rsid w:val="48EB621C"/>
    <w:rsid w:val="49142C12"/>
    <w:rsid w:val="493D129C"/>
    <w:rsid w:val="49E65525"/>
    <w:rsid w:val="49F904C5"/>
    <w:rsid w:val="4A673681"/>
    <w:rsid w:val="4A9D1E36"/>
    <w:rsid w:val="4AB3357B"/>
    <w:rsid w:val="4BCE29F7"/>
    <w:rsid w:val="4BD765E4"/>
    <w:rsid w:val="4D33454D"/>
    <w:rsid w:val="4D3A37DB"/>
    <w:rsid w:val="4DB415C8"/>
    <w:rsid w:val="4E261821"/>
    <w:rsid w:val="4E74636C"/>
    <w:rsid w:val="4ED43CAB"/>
    <w:rsid w:val="4F7379C3"/>
    <w:rsid w:val="4FD80B7D"/>
    <w:rsid w:val="500F5A41"/>
    <w:rsid w:val="50642410"/>
    <w:rsid w:val="50B21982"/>
    <w:rsid w:val="511E278C"/>
    <w:rsid w:val="52574559"/>
    <w:rsid w:val="528523B0"/>
    <w:rsid w:val="535D0132"/>
    <w:rsid w:val="540B018D"/>
    <w:rsid w:val="541C0E3A"/>
    <w:rsid w:val="54437D45"/>
    <w:rsid w:val="54A15393"/>
    <w:rsid w:val="55417149"/>
    <w:rsid w:val="55540A0D"/>
    <w:rsid w:val="555E7D76"/>
    <w:rsid w:val="56113491"/>
    <w:rsid w:val="56E60023"/>
    <w:rsid w:val="56E821B5"/>
    <w:rsid w:val="57664335"/>
    <w:rsid w:val="57B014E1"/>
    <w:rsid w:val="582941A3"/>
    <w:rsid w:val="58626CF5"/>
    <w:rsid w:val="586316C4"/>
    <w:rsid w:val="58684954"/>
    <w:rsid w:val="58A0024F"/>
    <w:rsid w:val="594159E5"/>
    <w:rsid w:val="5A153E74"/>
    <w:rsid w:val="5ABA3CA0"/>
    <w:rsid w:val="5AE8674D"/>
    <w:rsid w:val="5B370E4D"/>
    <w:rsid w:val="5B8322E4"/>
    <w:rsid w:val="5BE96B00"/>
    <w:rsid w:val="5C0F231B"/>
    <w:rsid w:val="5C3B671B"/>
    <w:rsid w:val="5C621EFA"/>
    <w:rsid w:val="5D481B17"/>
    <w:rsid w:val="5D6D2855"/>
    <w:rsid w:val="5DC74F93"/>
    <w:rsid w:val="5DEA73A2"/>
    <w:rsid w:val="5E0E772A"/>
    <w:rsid w:val="5E362F0B"/>
    <w:rsid w:val="5E9D190F"/>
    <w:rsid w:val="5F051C85"/>
    <w:rsid w:val="5FAE0E5F"/>
    <w:rsid w:val="608158B4"/>
    <w:rsid w:val="60CC2038"/>
    <w:rsid w:val="60ED3B56"/>
    <w:rsid w:val="610F0176"/>
    <w:rsid w:val="61720DAB"/>
    <w:rsid w:val="61C03E43"/>
    <w:rsid w:val="629D1EDE"/>
    <w:rsid w:val="62A911C3"/>
    <w:rsid w:val="63251ED3"/>
    <w:rsid w:val="635665E4"/>
    <w:rsid w:val="636B1FDC"/>
    <w:rsid w:val="63927420"/>
    <w:rsid w:val="646C194A"/>
    <w:rsid w:val="646D1D84"/>
    <w:rsid w:val="647629E6"/>
    <w:rsid w:val="65D06126"/>
    <w:rsid w:val="661F65EF"/>
    <w:rsid w:val="66301079"/>
    <w:rsid w:val="66587745"/>
    <w:rsid w:val="66666A8A"/>
    <w:rsid w:val="66680A54"/>
    <w:rsid w:val="666845B1"/>
    <w:rsid w:val="66794A10"/>
    <w:rsid w:val="668F4233"/>
    <w:rsid w:val="66FB5425"/>
    <w:rsid w:val="67B87541"/>
    <w:rsid w:val="68080E6A"/>
    <w:rsid w:val="680C4CB4"/>
    <w:rsid w:val="686B482C"/>
    <w:rsid w:val="68D76D7C"/>
    <w:rsid w:val="694E2184"/>
    <w:rsid w:val="69942B10"/>
    <w:rsid w:val="6A46671D"/>
    <w:rsid w:val="6A923CF1"/>
    <w:rsid w:val="6B064398"/>
    <w:rsid w:val="6B105217"/>
    <w:rsid w:val="6B387DCC"/>
    <w:rsid w:val="6BA11F09"/>
    <w:rsid w:val="6C101852"/>
    <w:rsid w:val="6C1E3A57"/>
    <w:rsid w:val="6C4400FA"/>
    <w:rsid w:val="6C946514"/>
    <w:rsid w:val="6C9D2ADA"/>
    <w:rsid w:val="6CBC6118"/>
    <w:rsid w:val="6CCD080F"/>
    <w:rsid w:val="6CE557BD"/>
    <w:rsid w:val="6D837F22"/>
    <w:rsid w:val="6DEC3D19"/>
    <w:rsid w:val="6E3F653F"/>
    <w:rsid w:val="6E4448A1"/>
    <w:rsid w:val="6EB02F99"/>
    <w:rsid w:val="6EFA2466"/>
    <w:rsid w:val="6EFD5AB2"/>
    <w:rsid w:val="6F7748A7"/>
    <w:rsid w:val="6F8739CA"/>
    <w:rsid w:val="6F9F032C"/>
    <w:rsid w:val="700A0487"/>
    <w:rsid w:val="706109EE"/>
    <w:rsid w:val="706202C3"/>
    <w:rsid w:val="70B56644"/>
    <w:rsid w:val="70CC1BE0"/>
    <w:rsid w:val="713E4EC0"/>
    <w:rsid w:val="71551BD5"/>
    <w:rsid w:val="71601728"/>
    <w:rsid w:val="717A163C"/>
    <w:rsid w:val="71916451"/>
    <w:rsid w:val="719721EE"/>
    <w:rsid w:val="72534E9D"/>
    <w:rsid w:val="729E74EE"/>
    <w:rsid w:val="731437CB"/>
    <w:rsid w:val="73155AC0"/>
    <w:rsid w:val="73155BD6"/>
    <w:rsid w:val="7318110C"/>
    <w:rsid w:val="73267CCD"/>
    <w:rsid w:val="73AB60DD"/>
    <w:rsid w:val="7530273D"/>
    <w:rsid w:val="75471C28"/>
    <w:rsid w:val="75CC7809"/>
    <w:rsid w:val="76036E05"/>
    <w:rsid w:val="76083B2D"/>
    <w:rsid w:val="76BF71EE"/>
    <w:rsid w:val="77562203"/>
    <w:rsid w:val="78014865"/>
    <w:rsid w:val="780B1240"/>
    <w:rsid w:val="791B1956"/>
    <w:rsid w:val="796F65E1"/>
    <w:rsid w:val="79E157E7"/>
    <w:rsid w:val="7A293BFF"/>
    <w:rsid w:val="7A5C5D83"/>
    <w:rsid w:val="7B310FBD"/>
    <w:rsid w:val="7B54454D"/>
    <w:rsid w:val="7C6525CC"/>
    <w:rsid w:val="7C7326A1"/>
    <w:rsid w:val="7CA26617"/>
    <w:rsid w:val="7CEA1D6C"/>
    <w:rsid w:val="7D4F4AFF"/>
    <w:rsid w:val="7DC607F5"/>
    <w:rsid w:val="7DEE13E8"/>
    <w:rsid w:val="7EA22840"/>
    <w:rsid w:val="7F206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152"/>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5">
    <w:name w:val="heading 2"/>
    <w:basedOn w:val="3"/>
    <w:next w:val="4"/>
    <w:link w:val="153"/>
    <w:qFormat/>
    <w:uiPriority w:val="0"/>
    <w:pPr>
      <w:tabs>
        <w:tab w:val="left" w:pos="426"/>
      </w:tabs>
      <w:textAlignment w:val="baseline"/>
      <w:outlineLvl w:val="1"/>
    </w:pPr>
    <w:rPr>
      <w:bCs w:val="0"/>
      <w:kern w:val="0"/>
      <w:szCs w:val="20"/>
    </w:rPr>
  </w:style>
  <w:style w:type="paragraph" w:styleId="3">
    <w:name w:val="heading 3"/>
    <w:basedOn w:val="4"/>
    <w:next w:val="1"/>
    <w:link w:val="151"/>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150"/>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54"/>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7"/>
    <w:link w:val="15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7"/>
    <w:link w:val="15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7"/>
    <w:link w:val="15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7"/>
    <w:link w:val="159"/>
    <w:qFormat/>
    <w:uiPriority w:val="0"/>
    <w:pPr>
      <w:keepNext/>
      <w:keepLines/>
      <w:spacing w:before="240" w:after="64" w:line="320" w:lineRule="auto"/>
      <w:outlineLvl w:val="8"/>
    </w:pPr>
    <w:rPr>
      <w:rFonts w:ascii="Arial" w:hAnsi="Arial" w:eastAsia="黑体" w:cs="Times New Roman"/>
      <w:kern w:val="2"/>
      <w:szCs w:val="20"/>
    </w:rPr>
  </w:style>
  <w:style w:type="character" w:default="1" w:styleId="130">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55"/>
    <w:qFormat/>
    <w:uiPriority w:val="0"/>
    <w:pPr>
      <w:ind w:firstLine="420"/>
    </w:pPr>
    <w:rPr>
      <w:rFonts w:ascii="Times New Roman" w:hAnsi="Times New Roman" w:cs="Times New Roman"/>
      <w:kern w:val="2"/>
      <w:szCs w:val="20"/>
    </w:rPr>
  </w:style>
  <w:style w:type="paragraph" w:styleId="12">
    <w:name w:val="List 3"/>
    <w:basedOn w:val="1"/>
    <w:qFormat/>
    <w:uiPriority w:val="0"/>
    <w:pPr>
      <w:widowControl w:val="0"/>
      <w:shd w:val="clear" w:color="auto" w:fill="auto"/>
      <w:tabs>
        <w:tab w:val="clear" w:pos="426"/>
      </w:tabs>
      <w:adjustRightInd/>
      <w:snapToGrid/>
      <w:spacing w:line="240" w:lineRule="auto"/>
      <w:ind w:left="100" w:leftChars="400" w:hanging="200" w:hangingChars="200"/>
    </w:pPr>
    <w:rPr>
      <w:rFonts w:ascii="Times New Roman" w:hAnsi="Times New Roman" w:cs="Times New Roman"/>
      <w:kern w:val="2"/>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820"/>
      </w:tabs>
      <w:spacing w:afterLines="50"/>
      <w:ind w:left="988" w:hanging="420"/>
    </w:pPr>
    <w:rPr>
      <w:sz w:val="24"/>
      <w:szCs w:val="20"/>
    </w:rPr>
  </w:style>
  <w:style w:type="paragraph" w:styleId="15">
    <w:name w:val="Note Heading"/>
    <w:basedOn w:val="1"/>
    <w:next w:val="1"/>
    <w:link w:val="160"/>
    <w:qFormat/>
    <w:uiPriority w:val="0"/>
    <w:pPr>
      <w:widowControl w:val="0"/>
      <w:shd w:val="clear" w:color="auto" w:fill="auto"/>
      <w:tabs>
        <w:tab w:val="clear" w:pos="426"/>
      </w:tabs>
      <w:adjustRightInd/>
      <w:snapToGrid/>
      <w:spacing w:line="240" w:lineRule="auto"/>
      <w:jc w:val="center"/>
    </w:pPr>
    <w:rPr>
      <w:rFonts w:ascii="Times New Roman" w:hAnsi="Times New Roman" w:cs="Times New Roman"/>
      <w:kern w:val="2"/>
    </w:rPr>
  </w:style>
  <w:style w:type="paragraph" w:styleId="16">
    <w:name w:val="List Bullet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17">
    <w:name w:val="index 8"/>
    <w:basedOn w:val="1"/>
    <w:next w:val="1"/>
    <w:qFormat/>
    <w:uiPriority w:val="0"/>
    <w:pPr>
      <w:widowControl w:val="0"/>
      <w:shd w:val="clear" w:color="auto" w:fill="auto"/>
      <w:tabs>
        <w:tab w:val="clear" w:pos="426"/>
      </w:tabs>
      <w:adjustRightInd/>
      <w:snapToGrid/>
      <w:spacing w:line="240" w:lineRule="auto"/>
      <w:ind w:left="1680" w:hanging="210"/>
      <w:jc w:val="left"/>
    </w:pPr>
    <w:rPr>
      <w:rFonts w:ascii="Times New Roman" w:hAnsi="Times New Roman" w:cs="Times New Roman"/>
      <w:kern w:val="2"/>
      <w:sz w:val="20"/>
      <w:szCs w:val="20"/>
    </w:rPr>
  </w:style>
  <w:style w:type="paragraph" w:styleId="18">
    <w:name w:val="E-mail Signature"/>
    <w:basedOn w:val="1"/>
    <w:link w:val="16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19">
    <w:name w:val="List Number"/>
    <w:basedOn w:val="1"/>
    <w:qFormat/>
    <w:uiPriority w:val="0"/>
    <w:pPr>
      <w:widowControl w:val="0"/>
      <w:shd w:val="clear" w:color="auto" w:fill="auto"/>
      <w:tabs>
        <w:tab w:val="left" w:pos="360"/>
        <w:tab w:val="clear" w:pos="426"/>
      </w:tabs>
      <w:adjustRightInd/>
      <w:snapToGrid/>
      <w:spacing w:line="240" w:lineRule="auto"/>
      <w:ind w:left="360" w:hanging="360"/>
    </w:pPr>
    <w:rPr>
      <w:rFonts w:ascii="Times New Roman" w:hAnsi="Times New Roman" w:cs="Times New Roman"/>
      <w:kern w:val="2"/>
    </w:rPr>
  </w:style>
  <w:style w:type="paragraph" w:styleId="20">
    <w:name w:val="caption"/>
    <w:basedOn w:val="1"/>
    <w:next w:val="1"/>
    <w:qFormat/>
    <w:uiPriority w:val="0"/>
    <w:rPr>
      <w:rFonts w:ascii="Arial" w:hAnsi="Arial" w:eastAsia="黑体" w:cs="Arial"/>
      <w:sz w:val="20"/>
      <w:szCs w:val="20"/>
    </w:rPr>
  </w:style>
  <w:style w:type="paragraph" w:styleId="21">
    <w:name w:val="index 5"/>
    <w:basedOn w:val="1"/>
    <w:next w:val="1"/>
    <w:qFormat/>
    <w:uiPriority w:val="0"/>
    <w:pPr>
      <w:widowControl w:val="0"/>
      <w:shd w:val="clear" w:color="auto" w:fill="auto"/>
      <w:tabs>
        <w:tab w:val="clear" w:pos="426"/>
      </w:tabs>
      <w:adjustRightInd/>
      <w:snapToGrid/>
      <w:spacing w:line="240" w:lineRule="auto"/>
      <w:ind w:left="1050" w:hanging="210"/>
      <w:jc w:val="left"/>
    </w:pPr>
    <w:rPr>
      <w:rFonts w:ascii="Times New Roman" w:hAnsi="Times New Roman" w:cs="Times New Roman"/>
      <w:kern w:val="2"/>
      <w:sz w:val="20"/>
      <w:szCs w:val="20"/>
    </w:rPr>
  </w:style>
  <w:style w:type="paragraph" w:styleId="22">
    <w:name w:val="List Bullet"/>
    <w:basedOn w:val="1"/>
    <w:qFormat/>
    <w:uiPriority w:val="0"/>
    <w:pPr>
      <w:tabs>
        <w:tab w:val="left" w:pos="360"/>
      </w:tabs>
      <w:ind w:left="360" w:hanging="360" w:hangingChars="200"/>
    </w:pPr>
    <w:rPr>
      <w:szCs w:val="20"/>
    </w:rPr>
  </w:style>
  <w:style w:type="paragraph" w:styleId="23">
    <w:name w:val="envelope address"/>
    <w:basedOn w:val="1"/>
    <w:qFormat/>
    <w:uiPriority w:val="0"/>
    <w:pPr>
      <w:framePr w:w="7920" w:h="1980" w:hRule="exact" w:hSpace="180" w:wrap="around" w:vAnchor="margin" w:hAnchor="page" w:xAlign="center" w:yAlign="bottom"/>
      <w:widowControl w:val="0"/>
      <w:shd w:val="clear" w:color="auto" w:fill="auto"/>
      <w:tabs>
        <w:tab w:val="clear" w:pos="426"/>
      </w:tabs>
      <w:adjustRightInd/>
      <w:spacing w:line="240" w:lineRule="auto"/>
      <w:ind w:left="100" w:leftChars="1400"/>
    </w:pPr>
    <w:rPr>
      <w:rFonts w:ascii="Arial" w:hAnsi="Arial" w:cs="Arial"/>
      <w:kern w:val="2"/>
      <w:sz w:val="24"/>
    </w:rPr>
  </w:style>
  <w:style w:type="paragraph" w:styleId="24">
    <w:name w:val="Document Map"/>
    <w:basedOn w:val="1"/>
    <w:link w:val="162"/>
    <w:qFormat/>
    <w:uiPriority w:val="0"/>
    <w:pPr>
      <w:shd w:val="clear" w:color="auto" w:fill="000080"/>
    </w:pPr>
    <w:rPr>
      <w:rFonts w:ascii="Times New Roman" w:hAnsi="Times New Roman" w:cs="Times New Roman"/>
      <w:kern w:val="2"/>
    </w:rPr>
  </w:style>
  <w:style w:type="paragraph" w:styleId="25">
    <w:name w:val="toa heading"/>
    <w:basedOn w:val="1"/>
    <w:next w:val="1"/>
    <w:qFormat/>
    <w:uiPriority w:val="0"/>
    <w:pPr>
      <w:spacing w:before="120"/>
    </w:pPr>
    <w:rPr>
      <w:rFonts w:ascii="Arial" w:hAnsi="Arial"/>
      <w:sz w:val="24"/>
      <w:szCs w:val="20"/>
    </w:rPr>
  </w:style>
  <w:style w:type="paragraph" w:styleId="26">
    <w:name w:val="annotation text"/>
    <w:basedOn w:val="1"/>
    <w:link w:val="163"/>
    <w:qFormat/>
    <w:uiPriority w:val="99"/>
    <w:pPr>
      <w:autoSpaceDE w:val="0"/>
      <w:autoSpaceDN w:val="0"/>
      <w:jc w:val="left"/>
      <w:textAlignment w:val="baseline"/>
    </w:pPr>
    <w:rPr>
      <w:rFonts w:hAnsi="Times New Roman" w:cs="Times New Roman"/>
      <w:sz w:val="34"/>
      <w:szCs w:val="20"/>
    </w:rPr>
  </w:style>
  <w:style w:type="paragraph" w:styleId="27">
    <w:name w:val="index 6"/>
    <w:basedOn w:val="1"/>
    <w:next w:val="1"/>
    <w:qFormat/>
    <w:uiPriority w:val="0"/>
    <w:pPr>
      <w:widowControl w:val="0"/>
      <w:shd w:val="clear" w:color="auto" w:fill="auto"/>
      <w:tabs>
        <w:tab w:val="clear" w:pos="426"/>
      </w:tabs>
      <w:adjustRightInd/>
      <w:snapToGrid/>
      <w:spacing w:line="240" w:lineRule="auto"/>
      <w:ind w:left="1260" w:hanging="210"/>
      <w:jc w:val="left"/>
    </w:pPr>
    <w:rPr>
      <w:rFonts w:ascii="Times New Roman" w:hAnsi="Times New Roman" w:cs="Times New Roman"/>
      <w:kern w:val="2"/>
      <w:sz w:val="20"/>
      <w:szCs w:val="20"/>
    </w:rPr>
  </w:style>
  <w:style w:type="paragraph" w:styleId="28">
    <w:name w:val="Salutation"/>
    <w:basedOn w:val="1"/>
    <w:next w:val="1"/>
    <w:link w:val="164"/>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29">
    <w:name w:val="Body Text 3"/>
    <w:basedOn w:val="1"/>
    <w:link w:val="165"/>
    <w:qFormat/>
    <w:uiPriority w:val="0"/>
    <w:pPr>
      <w:spacing w:after="120"/>
    </w:pPr>
    <w:rPr>
      <w:rFonts w:ascii="Times New Roman" w:hAnsi="Times New Roman" w:cs="Times New Roman"/>
      <w:kern w:val="2"/>
      <w:sz w:val="16"/>
      <w:szCs w:val="16"/>
    </w:rPr>
  </w:style>
  <w:style w:type="paragraph" w:styleId="30">
    <w:name w:val="Closing"/>
    <w:basedOn w:val="1"/>
    <w:link w:val="16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31">
    <w:name w:val="List Bullet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2">
    <w:name w:val="Body Text"/>
    <w:basedOn w:val="1"/>
    <w:link w:val="167"/>
    <w:qFormat/>
    <w:uiPriority w:val="0"/>
    <w:rPr>
      <w:rFonts w:cs="Times New Roman"/>
      <w:b/>
      <w:bCs/>
      <w:sz w:val="24"/>
    </w:rPr>
  </w:style>
  <w:style w:type="paragraph" w:styleId="33">
    <w:name w:val="Body Text Indent"/>
    <w:basedOn w:val="1"/>
    <w:next w:val="34"/>
    <w:link w:val="148"/>
    <w:qFormat/>
    <w:uiPriority w:val="0"/>
    <w:pPr>
      <w:ind w:firstLine="420" w:firstLineChars="200"/>
    </w:pPr>
    <w:rPr>
      <w:rFonts w:ascii="Times New Roman" w:hAnsi="Times New Roman" w:cs="Times New Roman"/>
      <w:kern w:val="2"/>
    </w:rPr>
  </w:style>
  <w:style w:type="paragraph" w:styleId="34">
    <w:name w:val="envelope return"/>
    <w:basedOn w:val="1"/>
    <w:qFormat/>
    <w:uiPriority w:val="0"/>
    <w:pPr>
      <w:widowControl w:val="0"/>
      <w:shd w:val="clear" w:color="auto" w:fill="auto"/>
      <w:tabs>
        <w:tab w:val="clear" w:pos="426"/>
      </w:tabs>
      <w:adjustRightInd/>
      <w:spacing w:line="240" w:lineRule="auto"/>
    </w:pPr>
    <w:rPr>
      <w:rFonts w:ascii="Arial" w:hAnsi="Arial" w:cs="Arial"/>
      <w:kern w:val="2"/>
    </w:rPr>
  </w:style>
  <w:style w:type="paragraph" w:styleId="35">
    <w:name w:val="List Number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6">
    <w:name w:val="List 2"/>
    <w:basedOn w:val="1"/>
    <w:qFormat/>
    <w:uiPriority w:val="0"/>
    <w:pPr>
      <w:widowControl w:val="0"/>
      <w:shd w:val="clear" w:color="auto" w:fill="auto"/>
      <w:tabs>
        <w:tab w:val="clear" w:pos="426"/>
      </w:tabs>
      <w:adjustRightInd/>
      <w:snapToGrid/>
      <w:spacing w:line="240" w:lineRule="auto"/>
      <w:ind w:left="100" w:leftChars="200" w:hanging="200" w:hangingChars="200"/>
    </w:pPr>
    <w:rPr>
      <w:rFonts w:ascii="Times New Roman" w:hAnsi="Times New Roman" w:cs="Times New Roman"/>
      <w:kern w:val="2"/>
    </w:rPr>
  </w:style>
  <w:style w:type="paragraph" w:styleId="37">
    <w:name w:val="List Continue"/>
    <w:basedOn w:val="1"/>
    <w:qFormat/>
    <w:uiPriority w:val="0"/>
    <w:pPr>
      <w:widowControl w:val="0"/>
      <w:shd w:val="clear" w:color="auto" w:fill="auto"/>
      <w:tabs>
        <w:tab w:val="clear" w:pos="426"/>
      </w:tabs>
      <w:adjustRightInd/>
      <w:snapToGrid/>
      <w:spacing w:after="120" w:line="240" w:lineRule="auto"/>
      <w:ind w:left="420" w:leftChars="200"/>
    </w:pPr>
    <w:rPr>
      <w:rFonts w:ascii="Times New Roman" w:hAnsi="Times New Roman" w:cs="Times New Roman"/>
      <w:kern w:val="2"/>
    </w:rPr>
  </w:style>
  <w:style w:type="paragraph" w:styleId="38">
    <w:name w:val="Block Text"/>
    <w:basedOn w:val="1"/>
    <w:qFormat/>
    <w:uiPriority w:val="0"/>
    <w:pPr>
      <w:widowControl w:val="0"/>
      <w:shd w:val="clear" w:color="auto" w:fill="auto"/>
      <w:tabs>
        <w:tab w:val="clear" w:pos="426"/>
      </w:tabs>
      <w:adjustRightInd/>
      <w:snapToGrid/>
      <w:spacing w:after="120" w:line="240" w:lineRule="auto"/>
      <w:ind w:left="1440" w:leftChars="700" w:right="1440" w:rightChars="700"/>
    </w:pPr>
    <w:rPr>
      <w:rFonts w:ascii="Times New Roman" w:hAnsi="Times New Roman" w:cs="Times New Roman"/>
      <w:kern w:val="2"/>
    </w:rPr>
  </w:style>
  <w:style w:type="paragraph" w:styleId="39">
    <w:name w:val="List Bullet 2"/>
    <w:basedOn w:val="1"/>
    <w:qFormat/>
    <w:uiPriority w:val="0"/>
    <w:pPr>
      <w:widowControl w:val="0"/>
      <w:shd w:val="clear" w:color="auto" w:fill="auto"/>
      <w:tabs>
        <w:tab w:val="left" w:pos="780"/>
        <w:tab w:val="clear" w:pos="426"/>
      </w:tabs>
      <w:adjustRightInd/>
      <w:snapToGrid/>
      <w:spacing w:line="240" w:lineRule="auto"/>
      <w:ind w:left="780" w:hanging="360"/>
    </w:pPr>
    <w:rPr>
      <w:rFonts w:ascii="Times New Roman" w:hAnsi="Times New Roman" w:cs="Times New Roman"/>
      <w:kern w:val="2"/>
    </w:rPr>
  </w:style>
  <w:style w:type="paragraph" w:styleId="40">
    <w:name w:val="HTML Address"/>
    <w:basedOn w:val="1"/>
    <w:link w:val="168"/>
    <w:qFormat/>
    <w:uiPriority w:val="0"/>
    <w:pPr>
      <w:widowControl w:val="0"/>
      <w:shd w:val="clear" w:color="auto" w:fill="auto"/>
      <w:tabs>
        <w:tab w:val="clear" w:pos="426"/>
      </w:tabs>
      <w:adjustRightInd/>
      <w:snapToGrid/>
      <w:spacing w:line="240" w:lineRule="auto"/>
    </w:pPr>
    <w:rPr>
      <w:rFonts w:ascii="Times New Roman" w:hAnsi="Times New Roman" w:cs="Times New Roman"/>
      <w:i/>
      <w:iCs/>
      <w:kern w:val="2"/>
    </w:rPr>
  </w:style>
  <w:style w:type="paragraph" w:styleId="41">
    <w:name w:val="index 4"/>
    <w:basedOn w:val="1"/>
    <w:next w:val="1"/>
    <w:qFormat/>
    <w:uiPriority w:val="0"/>
    <w:pPr>
      <w:widowControl w:val="0"/>
      <w:shd w:val="clear" w:color="auto" w:fill="auto"/>
      <w:tabs>
        <w:tab w:val="clear" w:pos="426"/>
      </w:tabs>
      <w:adjustRightInd/>
      <w:snapToGrid/>
      <w:spacing w:line="240" w:lineRule="auto"/>
      <w:ind w:left="840" w:hanging="210"/>
      <w:jc w:val="left"/>
    </w:pPr>
    <w:rPr>
      <w:rFonts w:ascii="Times New Roman" w:hAnsi="Times New Roman" w:cs="Times New Roman"/>
      <w:kern w:val="2"/>
      <w:sz w:val="20"/>
      <w:szCs w:val="20"/>
    </w:rPr>
  </w:style>
  <w:style w:type="paragraph" w:styleId="42">
    <w:name w:val="toc 5"/>
    <w:basedOn w:val="1"/>
    <w:next w:val="1"/>
    <w:qFormat/>
    <w:uiPriority w:val="0"/>
    <w:pPr>
      <w:ind w:left="840"/>
      <w:jc w:val="left"/>
    </w:pPr>
    <w:rPr>
      <w:szCs w:val="21"/>
    </w:rPr>
  </w:style>
  <w:style w:type="paragraph" w:styleId="43">
    <w:name w:val="toc 3"/>
    <w:basedOn w:val="1"/>
    <w:next w:val="1"/>
    <w:qFormat/>
    <w:uiPriority w:val="39"/>
    <w:pPr>
      <w:ind w:left="420"/>
      <w:jc w:val="left"/>
    </w:pPr>
    <w:rPr>
      <w:i/>
      <w:iCs/>
    </w:rPr>
  </w:style>
  <w:style w:type="paragraph" w:styleId="44">
    <w:name w:val="Plain Text"/>
    <w:basedOn w:val="1"/>
    <w:link w:val="169"/>
    <w:qFormat/>
    <w:uiPriority w:val="0"/>
    <w:rPr>
      <w:rFonts w:hAnsi="Courier New" w:cs="Times New Roman"/>
      <w:kern w:val="2"/>
      <w:szCs w:val="20"/>
    </w:rPr>
  </w:style>
  <w:style w:type="paragraph" w:styleId="45">
    <w:name w:val="List Bullet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46">
    <w:name w:val="List Number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47">
    <w:name w:val="toc 8"/>
    <w:basedOn w:val="1"/>
    <w:next w:val="1"/>
    <w:qFormat/>
    <w:uiPriority w:val="0"/>
    <w:pPr>
      <w:ind w:left="1470"/>
      <w:jc w:val="left"/>
    </w:pPr>
    <w:rPr>
      <w:szCs w:val="21"/>
    </w:rPr>
  </w:style>
  <w:style w:type="paragraph" w:styleId="48">
    <w:name w:val="index 3"/>
    <w:basedOn w:val="1"/>
    <w:next w:val="1"/>
    <w:qFormat/>
    <w:uiPriority w:val="0"/>
    <w:pPr>
      <w:widowControl w:val="0"/>
      <w:shd w:val="clear" w:color="auto" w:fill="auto"/>
      <w:tabs>
        <w:tab w:val="clear" w:pos="426"/>
      </w:tabs>
      <w:adjustRightInd/>
      <w:snapToGrid/>
      <w:spacing w:line="240" w:lineRule="auto"/>
      <w:ind w:left="630" w:hanging="210"/>
      <w:jc w:val="left"/>
    </w:pPr>
    <w:rPr>
      <w:rFonts w:ascii="Times New Roman" w:hAnsi="Times New Roman" w:cs="Times New Roman"/>
      <w:kern w:val="2"/>
      <w:sz w:val="20"/>
      <w:szCs w:val="20"/>
    </w:rPr>
  </w:style>
  <w:style w:type="paragraph" w:styleId="49">
    <w:name w:val="Date"/>
    <w:basedOn w:val="1"/>
    <w:next w:val="1"/>
    <w:link w:val="170"/>
    <w:qFormat/>
    <w:uiPriority w:val="0"/>
    <w:rPr>
      <w:rFonts w:hAnsi="Courier New" w:cs="Times New Roman"/>
      <w:kern w:val="2"/>
      <w:sz w:val="32"/>
      <w:szCs w:val="20"/>
    </w:rPr>
  </w:style>
  <w:style w:type="paragraph" w:styleId="50">
    <w:name w:val="Body Text Indent 2"/>
    <w:basedOn w:val="1"/>
    <w:link w:val="171"/>
    <w:qFormat/>
    <w:uiPriority w:val="0"/>
    <w:pPr>
      <w:spacing w:beforeLines="50" w:afterLines="50" w:line="120" w:lineRule="auto"/>
      <w:ind w:firstLine="840" w:firstLineChars="400"/>
      <w:jc w:val="left"/>
    </w:pPr>
    <w:rPr>
      <w:rFonts w:cs="Times New Roman"/>
      <w:kern w:val="2"/>
    </w:rPr>
  </w:style>
  <w:style w:type="paragraph" w:styleId="51">
    <w:name w:val="endnote text"/>
    <w:basedOn w:val="1"/>
    <w:link w:val="172"/>
    <w:qFormat/>
    <w:uiPriority w:val="0"/>
    <w:pPr>
      <w:widowControl w:val="0"/>
      <w:shd w:val="clear" w:color="auto" w:fill="auto"/>
      <w:tabs>
        <w:tab w:val="clear" w:pos="426"/>
      </w:tabs>
      <w:adjustRightInd/>
      <w:spacing w:line="240" w:lineRule="auto"/>
      <w:jc w:val="left"/>
    </w:pPr>
    <w:rPr>
      <w:rFonts w:ascii="Times New Roman" w:hAnsi="Times New Roman" w:cs="Times New Roman"/>
      <w:kern w:val="2"/>
    </w:rPr>
  </w:style>
  <w:style w:type="paragraph" w:styleId="52">
    <w:name w:val="List Continue 5"/>
    <w:basedOn w:val="1"/>
    <w:qFormat/>
    <w:uiPriority w:val="0"/>
    <w:pPr>
      <w:widowControl w:val="0"/>
      <w:shd w:val="clear" w:color="auto" w:fill="auto"/>
      <w:tabs>
        <w:tab w:val="clear" w:pos="426"/>
      </w:tabs>
      <w:adjustRightInd/>
      <w:snapToGrid/>
      <w:spacing w:after="120" w:line="240" w:lineRule="auto"/>
      <w:ind w:left="2100" w:leftChars="1000"/>
    </w:pPr>
    <w:rPr>
      <w:rFonts w:ascii="Times New Roman" w:hAnsi="Times New Roman" w:cs="Times New Roman"/>
      <w:kern w:val="2"/>
    </w:rPr>
  </w:style>
  <w:style w:type="paragraph" w:styleId="53">
    <w:name w:val="Balloon Text"/>
    <w:basedOn w:val="1"/>
    <w:link w:val="173"/>
    <w:qFormat/>
    <w:uiPriority w:val="0"/>
    <w:rPr>
      <w:rFonts w:ascii="Times New Roman" w:hAnsi="Times New Roman" w:cs="Times New Roman"/>
      <w:kern w:val="2"/>
      <w:sz w:val="18"/>
      <w:szCs w:val="18"/>
    </w:rPr>
  </w:style>
  <w:style w:type="paragraph" w:styleId="54">
    <w:name w:val="footer"/>
    <w:basedOn w:val="1"/>
    <w:link w:val="174"/>
    <w:qFormat/>
    <w:uiPriority w:val="0"/>
    <w:pPr>
      <w:tabs>
        <w:tab w:val="center" w:pos="4153"/>
        <w:tab w:val="right" w:pos="8306"/>
      </w:tabs>
      <w:jc w:val="left"/>
    </w:pPr>
    <w:rPr>
      <w:rFonts w:ascii="Times New Roman" w:hAnsi="Times New Roman" w:cs="Times New Roman"/>
      <w:kern w:val="2"/>
      <w:sz w:val="18"/>
      <w:szCs w:val="18"/>
    </w:rPr>
  </w:style>
  <w:style w:type="paragraph" w:styleId="55">
    <w:name w:val="header"/>
    <w:basedOn w:val="1"/>
    <w:link w:val="175"/>
    <w:qFormat/>
    <w:uiPriority w:val="0"/>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56">
    <w:name w:val="Signature"/>
    <w:basedOn w:val="1"/>
    <w:link w:val="17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57">
    <w:name w:val="toc 1"/>
    <w:basedOn w:val="1"/>
    <w:next w:val="1"/>
    <w:qFormat/>
    <w:uiPriority w:val="39"/>
    <w:pPr>
      <w:tabs>
        <w:tab w:val="right" w:leader="dot" w:pos="8789"/>
      </w:tabs>
      <w:adjustRightInd/>
      <w:snapToGrid/>
      <w:spacing w:before="120" w:after="120"/>
      <w:jc w:val="left"/>
    </w:pPr>
    <w:rPr>
      <w:b/>
      <w:bCs/>
      <w:caps/>
      <w:sz w:val="28"/>
    </w:rPr>
  </w:style>
  <w:style w:type="paragraph" w:styleId="58">
    <w:name w:val="List Continue 4"/>
    <w:basedOn w:val="1"/>
    <w:qFormat/>
    <w:uiPriority w:val="0"/>
    <w:pPr>
      <w:widowControl w:val="0"/>
      <w:shd w:val="clear" w:color="auto" w:fill="auto"/>
      <w:tabs>
        <w:tab w:val="clear" w:pos="426"/>
      </w:tabs>
      <w:adjustRightInd/>
      <w:snapToGrid/>
      <w:spacing w:after="120" w:line="240" w:lineRule="auto"/>
      <w:ind w:left="1680" w:leftChars="800"/>
    </w:pPr>
    <w:rPr>
      <w:rFonts w:ascii="Times New Roman" w:hAnsi="Times New Roman" w:cs="Times New Roman"/>
      <w:kern w:val="2"/>
    </w:rPr>
  </w:style>
  <w:style w:type="paragraph" w:styleId="59">
    <w:name w:val="toc 4"/>
    <w:basedOn w:val="1"/>
    <w:next w:val="1"/>
    <w:qFormat/>
    <w:uiPriority w:val="0"/>
    <w:pPr>
      <w:ind w:left="630"/>
      <w:jc w:val="left"/>
    </w:pPr>
    <w:rPr>
      <w:szCs w:val="21"/>
    </w:rPr>
  </w:style>
  <w:style w:type="paragraph" w:styleId="60">
    <w:name w:val="index heading"/>
    <w:basedOn w:val="1"/>
    <w:next w:val="61"/>
    <w:qFormat/>
    <w:uiPriority w:val="0"/>
    <w:pPr>
      <w:widowControl w:val="0"/>
      <w:shd w:val="clear" w:color="auto" w:fill="auto"/>
      <w:tabs>
        <w:tab w:val="clear" w:pos="426"/>
      </w:tabs>
      <w:adjustRightInd/>
      <w:snapToGrid/>
      <w:spacing w:before="120" w:after="120" w:line="240" w:lineRule="auto"/>
      <w:jc w:val="left"/>
    </w:pPr>
    <w:rPr>
      <w:rFonts w:ascii="Times New Roman" w:hAnsi="Times New Roman" w:cs="Times New Roman"/>
      <w:b/>
      <w:bCs/>
      <w:i/>
      <w:iCs/>
      <w:kern w:val="2"/>
      <w:sz w:val="20"/>
      <w:szCs w:val="20"/>
    </w:rPr>
  </w:style>
  <w:style w:type="paragraph" w:styleId="61">
    <w:name w:val="index 1"/>
    <w:basedOn w:val="1"/>
    <w:next w:val="1"/>
    <w:qFormat/>
    <w:uiPriority w:val="99"/>
    <w:rPr>
      <w:b/>
      <w:color w:val="0000FF"/>
      <w:sz w:val="24"/>
    </w:rPr>
  </w:style>
  <w:style w:type="paragraph" w:styleId="62">
    <w:name w:val="Subtitle"/>
    <w:basedOn w:val="1"/>
    <w:next w:val="1"/>
    <w:link w:val="177"/>
    <w:qFormat/>
    <w:uiPriority w:val="0"/>
    <w:pPr>
      <w:tabs>
        <w:tab w:val="clear" w:pos="426"/>
      </w:tabs>
      <w:spacing w:before="240" w:after="60" w:line="312" w:lineRule="auto"/>
      <w:jc w:val="center"/>
      <w:outlineLvl w:val="1"/>
    </w:pPr>
    <w:rPr>
      <w:rFonts w:ascii="Cambria" w:hAnsi="Cambria" w:cs="Times New Roman"/>
      <w:b/>
      <w:bCs/>
      <w:kern w:val="28"/>
      <w:sz w:val="28"/>
      <w:szCs w:val="32"/>
    </w:rPr>
  </w:style>
  <w:style w:type="paragraph" w:styleId="63">
    <w:name w:val="List Number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64">
    <w:name w:val="List"/>
    <w:basedOn w:val="1"/>
    <w:qFormat/>
    <w:uiPriority w:val="0"/>
    <w:pPr>
      <w:widowControl w:val="0"/>
      <w:shd w:val="clear" w:color="auto" w:fill="auto"/>
      <w:tabs>
        <w:tab w:val="clear" w:pos="426"/>
      </w:tabs>
      <w:adjustRightInd/>
      <w:snapToGrid/>
      <w:spacing w:line="240" w:lineRule="auto"/>
      <w:ind w:left="200" w:hanging="200" w:hangingChars="200"/>
    </w:pPr>
    <w:rPr>
      <w:rFonts w:ascii="Times New Roman" w:hAnsi="Times New Roman" w:cs="Times New Roman"/>
      <w:kern w:val="2"/>
    </w:rPr>
  </w:style>
  <w:style w:type="paragraph" w:styleId="65">
    <w:name w:val="footnote text"/>
    <w:basedOn w:val="1"/>
    <w:link w:val="178"/>
    <w:qFormat/>
    <w:uiPriority w:val="0"/>
    <w:pPr>
      <w:widowControl w:val="0"/>
      <w:shd w:val="clear" w:color="auto" w:fill="auto"/>
      <w:tabs>
        <w:tab w:val="clear" w:pos="426"/>
      </w:tabs>
      <w:adjustRightInd/>
      <w:spacing w:line="240" w:lineRule="auto"/>
      <w:jc w:val="left"/>
    </w:pPr>
    <w:rPr>
      <w:rFonts w:ascii="Times New Roman" w:hAnsi="Times New Roman" w:cs="Times New Roman"/>
      <w:kern w:val="2"/>
      <w:sz w:val="18"/>
    </w:rPr>
  </w:style>
  <w:style w:type="paragraph" w:styleId="66">
    <w:name w:val="toc 6"/>
    <w:basedOn w:val="1"/>
    <w:next w:val="1"/>
    <w:qFormat/>
    <w:uiPriority w:val="0"/>
    <w:pPr>
      <w:ind w:left="1050"/>
      <w:jc w:val="left"/>
    </w:pPr>
    <w:rPr>
      <w:szCs w:val="21"/>
    </w:rPr>
  </w:style>
  <w:style w:type="paragraph" w:styleId="67">
    <w:name w:val="List 5"/>
    <w:basedOn w:val="1"/>
    <w:qFormat/>
    <w:uiPriority w:val="0"/>
    <w:pPr>
      <w:widowControl w:val="0"/>
      <w:shd w:val="clear" w:color="auto" w:fill="auto"/>
      <w:tabs>
        <w:tab w:val="clear" w:pos="426"/>
      </w:tabs>
      <w:adjustRightInd/>
      <w:snapToGrid/>
      <w:spacing w:line="240" w:lineRule="auto"/>
      <w:ind w:left="100" w:leftChars="800" w:hanging="200" w:hangingChars="200"/>
    </w:pPr>
    <w:rPr>
      <w:rFonts w:ascii="Times New Roman" w:hAnsi="Times New Roman" w:cs="Times New Roman"/>
      <w:kern w:val="2"/>
    </w:rPr>
  </w:style>
  <w:style w:type="paragraph" w:styleId="68">
    <w:name w:val="Body Text Indent 3"/>
    <w:basedOn w:val="1"/>
    <w:link w:val="179"/>
    <w:qFormat/>
    <w:uiPriority w:val="0"/>
    <w:pPr>
      <w:ind w:firstLine="482" w:firstLineChars="200"/>
    </w:pPr>
    <w:rPr>
      <w:rFonts w:hAnsi="Times New Roman" w:cs="Times New Roman"/>
      <w:b/>
      <w:bCs/>
      <w:kern w:val="2"/>
      <w:sz w:val="24"/>
    </w:rPr>
  </w:style>
  <w:style w:type="paragraph" w:styleId="69">
    <w:name w:val="index 7"/>
    <w:basedOn w:val="1"/>
    <w:next w:val="1"/>
    <w:qFormat/>
    <w:uiPriority w:val="0"/>
    <w:pPr>
      <w:widowControl w:val="0"/>
      <w:shd w:val="clear" w:color="auto" w:fill="auto"/>
      <w:tabs>
        <w:tab w:val="clear" w:pos="426"/>
      </w:tabs>
      <w:adjustRightInd/>
      <w:snapToGrid/>
      <w:spacing w:line="240" w:lineRule="auto"/>
      <w:ind w:left="1470" w:hanging="210"/>
      <w:jc w:val="left"/>
    </w:pPr>
    <w:rPr>
      <w:rFonts w:ascii="Times New Roman" w:hAnsi="Times New Roman" w:cs="Times New Roman"/>
      <w:kern w:val="2"/>
      <w:sz w:val="20"/>
      <w:szCs w:val="20"/>
    </w:rPr>
  </w:style>
  <w:style w:type="paragraph" w:styleId="70">
    <w:name w:val="index 9"/>
    <w:basedOn w:val="1"/>
    <w:next w:val="1"/>
    <w:qFormat/>
    <w:uiPriority w:val="0"/>
    <w:pPr>
      <w:widowControl w:val="0"/>
      <w:shd w:val="clear" w:color="auto" w:fill="auto"/>
      <w:tabs>
        <w:tab w:val="clear" w:pos="426"/>
      </w:tabs>
      <w:adjustRightInd/>
      <w:snapToGrid/>
      <w:spacing w:line="240" w:lineRule="auto"/>
      <w:ind w:left="1890" w:hanging="210"/>
      <w:jc w:val="left"/>
    </w:pPr>
    <w:rPr>
      <w:rFonts w:ascii="Times New Roman" w:hAnsi="Times New Roman" w:cs="Times New Roman"/>
      <w:kern w:val="2"/>
      <w:sz w:val="20"/>
      <w:szCs w:val="20"/>
    </w:rPr>
  </w:style>
  <w:style w:type="paragraph" w:styleId="71">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72">
    <w:name w:val="toc 9"/>
    <w:basedOn w:val="1"/>
    <w:next w:val="1"/>
    <w:qFormat/>
    <w:uiPriority w:val="0"/>
    <w:pPr>
      <w:ind w:left="1680"/>
      <w:jc w:val="left"/>
    </w:pPr>
    <w:rPr>
      <w:szCs w:val="21"/>
    </w:rPr>
  </w:style>
  <w:style w:type="paragraph" w:styleId="73">
    <w:name w:val="Body Text 2"/>
    <w:basedOn w:val="1"/>
    <w:link w:val="180"/>
    <w:qFormat/>
    <w:uiPriority w:val="0"/>
    <w:rPr>
      <w:rFonts w:ascii="Times New Roman" w:hAnsi="Times New Roman" w:cs="Times New Roman"/>
      <w:kern w:val="2"/>
      <w:sz w:val="24"/>
    </w:rPr>
  </w:style>
  <w:style w:type="paragraph" w:styleId="74">
    <w:name w:val="List 4"/>
    <w:basedOn w:val="1"/>
    <w:qFormat/>
    <w:uiPriority w:val="0"/>
    <w:pPr>
      <w:widowControl w:val="0"/>
      <w:shd w:val="clear" w:color="auto" w:fill="auto"/>
      <w:tabs>
        <w:tab w:val="clear" w:pos="426"/>
      </w:tabs>
      <w:adjustRightInd/>
      <w:snapToGrid/>
      <w:spacing w:line="240" w:lineRule="auto"/>
      <w:ind w:left="100" w:leftChars="600" w:hanging="200" w:hangingChars="200"/>
    </w:pPr>
    <w:rPr>
      <w:rFonts w:ascii="Times New Roman" w:hAnsi="Times New Roman" w:cs="Times New Roman"/>
      <w:kern w:val="2"/>
    </w:rPr>
  </w:style>
  <w:style w:type="paragraph" w:styleId="75">
    <w:name w:val="List Continue 2"/>
    <w:basedOn w:val="1"/>
    <w:qFormat/>
    <w:uiPriority w:val="0"/>
    <w:pPr>
      <w:widowControl w:val="0"/>
      <w:shd w:val="clear" w:color="auto" w:fill="auto"/>
      <w:tabs>
        <w:tab w:val="clear" w:pos="426"/>
      </w:tabs>
      <w:adjustRightInd/>
      <w:snapToGrid/>
      <w:spacing w:after="120" w:line="240" w:lineRule="auto"/>
      <w:ind w:left="840" w:leftChars="400"/>
    </w:pPr>
    <w:rPr>
      <w:rFonts w:ascii="Times New Roman" w:hAnsi="Times New Roman" w:cs="Times New Roman"/>
      <w:kern w:val="2"/>
    </w:rPr>
  </w:style>
  <w:style w:type="paragraph" w:styleId="76">
    <w:name w:val="Message Header"/>
    <w:basedOn w:val="1"/>
    <w:link w:val="18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clear" w:pos="426"/>
      </w:tabs>
      <w:adjustRightInd/>
      <w:snapToGrid/>
      <w:spacing w:line="240" w:lineRule="auto"/>
      <w:ind w:left="1080" w:leftChars="500" w:hanging="1080" w:hangingChars="500"/>
    </w:pPr>
    <w:rPr>
      <w:rFonts w:ascii="Arial" w:hAnsi="Arial" w:cs="Times New Roman"/>
      <w:kern w:val="2"/>
      <w:sz w:val="24"/>
    </w:rPr>
  </w:style>
  <w:style w:type="paragraph" w:styleId="77">
    <w:name w:val="HTML Preformatted"/>
    <w:basedOn w:val="1"/>
    <w:link w:val="18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78">
    <w:name w:val="Normal (Web)"/>
    <w:basedOn w:val="1"/>
    <w:qFormat/>
    <w:uiPriority w:val="0"/>
    <w:rPr>
      <w:sz w:val="24"/>
    </w:rPr>
  </w:style>
  <w:style w:type="paragraph" w:styleId="79">
    <w:name w:val="List Continue 3"/>
    <w:basedOn w:val="1"/>
    <w:qFormat/>
    <w:uiPriority w:val="0"/>
    <w:pPr>
      <w:widowControl w:val="0"/>
      <w:shd w:val="clear" w:color="auto" w:fill="auto"/>
      <w:tabs>
        <w:tab w:val="clear" w:pos="426"/>
      </w:tabs>
      <w:adjustRightInd/>
      <w:snapToGrid/>
      <w:spacing w:after="120" w:line="240" w:lineRule="auto"/>
      <w:ind w:left="1260" w:leftChars="600"/>
    </w:pPr>
    <w:rPr>
      <w:rFonts w:ascii="Times New Roman" w:hAnsi="Times New Roman" w:cs="Times New Roman"/>
      <w:kern w:val="2"/>
    </w:rPr>
  </w:style>
  <w:style w:type="paragraph" w:styleId="80">
    <w:name w:val="index 2"/>
    <w:basedOn w:val="1"/>
    <w:next w:val="1"/>
    <w:qFormat/>
    <w:uiPriority w:val="0"/>
    <w:pPr>
      <w:widowControl w:val="0"/>
      <w:shd w:val="clear" w:color="auto" w:fill="auto"/>
      <w:tabs>
        <w:tab w:val="clear" w:pos="426"/>
      </w:tabs>
      <w:adjustRightInd/>
      <w:snapToGrid/>
      <w:spacing w:line="240" w:lineRule="auto"/>
      <w:ind w:left="420" w:hanging="210"/>
      <w:jc w:val="left"/>
    </w:pPr>
    <w:rPr>
      <w:rFonts w:ascii="Times New Roman" w:hAnsi="Times New Roman" w:cs="Times New Roman"/>
      <w:kern w:val="2"/>
      <w:sz w:val="20"/>
      <w:szCs w:val="20"/>
    </w:rPr>
  </w:style>
  <w:style w:type="paragraph" w:styleId="81">
    <w:name w:val="Title"/>
    <w:basedOn w:val="1"/>
    <w:link w:val="183"/>
    <w:qFormat/>
    <w:uiPriority w:val="0"/>
    <w:pPr>
      <w:spacing w:before="240" w:after="60"/>
      <w:jc w:val="center"/>
      <w:outlineLvl w:val="0"/>
    </w:pPr>
    <w:rPr>
      <w:rFonts w:ascii="Arial" w:hAnsi="Arial" w:cs="Times New Roman"/>
      <w:b/>
      <w:bCs/>
      <w:kern w:val="2"/>
      <w:sz w:val="36"/>
      <w:szCs w:val="32"/>
    </w:rPr>
  </w:style>
  <w:style w:type="paragraph" w:styleId="82">
    <w:name w:val="annotation subject"/>
    <w:basedOn w:val="26"/>
    <w:next w:val="26"/>
    <w:link w:val="184"/>
    <w:qFormat/>
    <w:uiPriority w:val="0"/>
    <w:pPr>
      <w:autoSpaceDE/>
      <w:autoSpaceDN/>
      <w:adjustRightInd/>
      <w:textAlignment w:val="auto"/>
    </w:pPr>
    <w:rPr>
      <w:rFonts w:ascii="Times New Roman"/>
      <w:b/>
      <w:bCs/>
      <w:kern w:val="2"/>
      <w:sz w:val="21"/>
      <w:szCs w:val="24"/>
    </w:rPr>
  </w:style>
  <w:style w:type="paragraph" w:styleId="83">
    <w:name w:val="Body Text First Indent"/>
    <w:basedOn w:val="32"/>
    <w:link w:val="185"/>
    <w:qFormat/>
    <w:uiPriority w:val="0"/>
    <w:pPr>
      <w:widowControl w:val="0"/>
      <w:shd w:val="clear" w:color="auto" w:fill="auto"/>
      <w:adjustRightInd/>
      <w:snapToGrid/>
      <w:spacing w:after="120" w:line="240" w:lineRule="auto"/>
      <w:ind w:firstLine="420" w:firstLineChars="100"/>
    </w:pPr>
    <w:rPr>
      <w:kern w:val="2"/>
      <w:sz w:val="21"/>
    </w:rPr>
  </w:style>
  <w:style w:type="paragraph" w:styleId="84">
    <w:name w:val="Body Text First Indent 2"/>
    <w:basedOn w:val="33"/>
    <w:link w:val="149"/>
    <w:qFormat/>
    <w:uiPriority w:val="0"/>
    <w:pPr>
      <w:widowControl w:val="0"/>
      <w:shd w:val="clear" w:color="auto" w:fill="auto"/>
      <w:adjustRightInd/>
      <w:snapToGrid/>
      <w:spacing w:after="120" w:line="240" w:lineRule="auto"/>
      <w:ind w:left="420" w:leftChars="200"/>
    </w:pPr>
  </w:style>
  <w:style w:type="table" w:styleId="86">
    <w:name w:val="Table Grid"/>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7">
    <w:name w:val="Table Theme"/>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Colorful 1"/>
    <w:basedOn w:val="85"/>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9">
    <w:name w:val="Table Colorful 2"/>
    <w:basedOn w:val="85"/>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3"/>
    <w:basedOn w:val="85"/>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Elegant"/>
    <w:basedOn w:val="8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Classic 1"/>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Classic 2"/>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Classic 3"/>
    <w:basedOn w:val="85"/>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5">
    <w:name w:val="Table Classic 4"/>
    <w:basedOn w:val="85"/>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6">
    <w:name w:val="Table Simple 1"/>
    <w:basedOn w:val="85"/>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7">
    <w:name w:val="Table Simple 2"/>
    <w:basedOn w:val="85"/>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Simple 3"/>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9">
    <w:name w:val="Table Subtle 1"/>
    <w:basedOn w:val="85"/>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Subtle 2"/>
    <w:basedOn w:val="85"/>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3D effects 1"/>
    <w:basedOn w:val="85"/>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2">
    <w:name w:val="Table 3D effects 2"/>
    <w:basedOn w:val="85"/>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3D effects 3"/>
    <w:basedOn w:val="85"/>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5"/>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5"/>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5"/>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5"/>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5"/>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5"/>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5"/>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5"/>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5"/>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5"/>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5"/>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5"/>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5"/>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5"/>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1">
    <w:name w:val="Strong"/>
    <w:qFormat/>
    <w:uiPriority w:val="0"/>
    <w:rPr>
      <w:b/>
      <w:bCs/>
    </w:rPr>
  </w:style>
  <w:style w:type="character" w:styleId="132">
    <w:name w:val="endnote reference"/>
    <w:qFormat/>
    <w:uiPriority w:val="0"/>
    <w:rPr>
      <w:vertAlign w:val="superscript"/>
    </w:rPr>
  </w:style>
  <w:style w:type="character" w:styleId="133">
    <w:name w:val="page number"/>
    <w:qFormat/>
    <w:uiPriority w:val="0"/>
  </w:style>
  <w:style w:type="character" w:styleId="134">
    <w:name w:val="FollowedHyperlink"/>
    <w:qFormat/>
    <w:uiPriority w:val="0"/>
    <w:rPr>
      <w:color w:val="800080"/>
      <w:u w:val="single"/>
    </w:rPr>
  </w:style>
  <w:style w:type="character" w:styleId="135">
    <w:name w:val="Emphasis"/>
    <w:qFormat/>
    <w:uiPriority w:val="0"/>
    <w:rPr>
      <w:i/>
      <w:iCs/>
    </w:rPr>
  </w:style>
  <w:style w:type="character" w:styleId="136">
    <w:name w:val="line number"/>
    <w:qFormat/>
    <w:uiPriority w:val="0"/>
  </w:style>
  <w:style w:type="character" w:styleId="137">
    <w:name w:val="HTML Definition"/>
    <w:qFormat/>
    <w:uiPriority w:val="0"/>
    <w:rPr>
      <w:i/>
      <w:iCs/>
    </w:rPr>
  </w:style>
  <w:style w:type="character" w:styleId="138">
    <w:name w:val="HTML Typewriter"/>
    <w:qFormat/>
    <w:uiPriority w:val="0"/>
    <w:rPr>
      <w:rFonts w:ascii="Courier New" w:hAnsi="Courier New" w:cs="Courier New"/>
      <w:sz w:val="20"/>
      <w:szCs w:val="20"/>
    </w:rPr>
  </w:style>
  <w:style w:type="character" w:styleId="139">
    <w:name w:val="HTML Acronym"/>
    <w:qFormat/>
    <w:uiPriority w:val="0"/>
  </w:style>
  <w:style w:type="character" w:styleId="140">
    <w:name w:val="HTML Variable"/>
    <w:qFormat/>
    <w:uiPriority w:val="0"/>
    <w:rPr>
      <w:i/>
      <w:iCs/>
    </w:rPr>
  </w:style>
  <w:style w:type="character" w:styleId="141">
    <w:name w:val="Hyperlink"/>
    <w:qFormat/>
    <w:uiPriority w:val="99"/>
    <w:rPr>
      <w:color w:val="0000FF"/>
      <w:u w:val="single"/>
    </w:rPr>
  </w:style>
  <w:style w:type="character" w:styleId="142">
    <w:name w:val="HTML Code"/>
    <w:qFormat/>
    <w:uiPriority w:val="0"/>
    <w:rPr>
      <w:rFonts w:ascii="Courier New" w:hAnsi="Courier New" w:cs="Courier New"/>
      <w:sz w:val="20"/>
      <w:szCs w:val="20"/>
    </w:rPr>
  </w:style>
  <w:style w:type="character" w:styleId="143">
    <w:name w:val="annotation reference"/>
    <w:unhideWhenUsed/>
    <w:qFormat/>
    <w:uiPriority w:val="0"/>
    <w:rPr>
      <w:sz w:val="21"/>
      <w:szCs w:val="21"/>
    </w:rPr>
  </w:style>
  <w:style w:type="character" w:styleId="144">
    <w:name w:val="HTML Cite"/>
    <w:qFormat/>
    <w:uiPriority w:val="0"/>
    <w:rPr>
      <w:i/>
      <w:iCs/>
    </w:rPr>
  </w:style>
  <w:style w:type="character" w:styleId="145">
    <w:name w:val="footnote reference"/>
    <w:qFormat/>
    <w:uiPriority w:val="0"/>
    <w:rPr>
      <w:vertAlign w:val="superscript"/>
    </w:rPr>
  </w:style>
  <w:style w:type="character" w:styleId="146">
    <w:name w:val="HTML Keyboard"/>
    <w:qFormat/>
    <w:uiPriority w:val="0"/>
    <w:rPr>
      <w:rFonts w:ascii="Courier New" w:hAnsi="Courier New" w:cs="Courier New"/>
      <w:sz w:val="20"/>
      <w:szCs w:val="20"/>
    </w:rPr>
  </w:style>
  <w:style w:type="character" w:styleId="147">
    <w:name w:val="HTML Sample"/>
    <w:qFormat/>
    <w:uiPriority w:val="0"/>
    <w:rPr>
      <w:rFonts w:ascii="Courier New" w:hAnsi="Courier New" w:cs="Courier New"/>
    </w:rPr>
  </w:style>
  <w:style w:type="character" w:customStyle="1" w:styleId="148">
    <w:name w:val="正文文本缩进 字符"/>
    <w:link w:val="33"/>
    <w:qFormat/>
    <w:uiPriority w:val="0"/>
    <w:rPr>
      <w:kern w:val="2"/>
      <w:sz w:val="21"/>
      <w:szCs w:val="24"/>
    </w:rPr>
  </w:style>
  <w:style w:type="character" w:customStyle="1" w:styleId="149">
    <w:name w:val="正文文本首行缩进 2 字符"/>
    <w:link w:val="84"/>
    <w:qFormat/>
    <w:uiPriority w:val="0"/>
    <w:rPr>
      <w:kern w:val="2"/>
      <w:sz w:val="21"/>
      <w:szCs w:val="24"/>
    </w:rPr>
  </w:style>
  <w:style w:type="character" w:customStyle="1" w:styleId="150">
    <w:name w:val="标题 4 字符"/>
    <w:link w:val="4"/>
    <w:qFormat/>
    <w:uiPriority w:val="0"/>
    <w:rPr>
      <w:rFonts w:ascii="Arial" w:hAnsi="Arial" w:eastAsia="黑体"/>
      <w:b/>
      <w:bCs/>
      <w:kern w:val="2"/>
      <w:sz w:val="28"/>
      <w:szCs w:val="28"/>
      <w:lang w:val="en-US" w:eastAsia="zh-CN" w:bidi="ar-SA"/>
    </w:rPr>
  </w:style>
  <w:style w:type="character" w:customStyle="1" w:styleId="151">
    <w:name w:val="标题 3 字符"/>
    <w:link w:val="3"/>
    <w:qFormat/>
    <w:uiPriority w:val="0"/>
    <w:rPr>
      <w:rFonts w:ascii="宋体" w:hAnsi="宋体"/>
      <w:b/>
      <w:bCs/>
      <w:kern w:val="2"/>
      <w:sz w:val="24"/>
      <w:szCs w:val="32"/>
      <w:shd w:val="clear" w:color="auto" w:fill="FFFFFF"/>
    </w:rPr>
  </w:style>
  <w:style w:type="character" w:customStyle="1" w:styleId="152">
    <w:name w:val="标题 1 字符"/>
    <w:link w:val="2"/>
    <w:qFormat/>
    <w:uiPriority w:val="0"/>
    <w:rPr>
      <w:rFonts w:ascii="宋体" w:hAnsi="宋体" w:eastAsia="黑体"/>
      <w:b/>
      <w:bCs/>
      <w:kern w:val="44"/>
      <w:sz w:val="28"/>
      <w:szCs w:val="28"/>
      <w:lang w:val="en-US" w:eastAsia="zh-CN" w:bidi="ar-SA"/>
    </w:rPr>
  </w:style>
  <w:style w:type="character" w:customStyle="1" w:styleId="153">
    <w:name w:val="标题 2 字符"/>
    <w:link w:val="5"/>
    <w:qFormat/>
    <w:uiPriority w:val="0"/>
    <w:rPr>
      <w:rFonts w:ascii="宋体" w:hAnsi="宋体"/>
      <w:b/>
      <w:sz w:val="24"/>
      <w:shd w:val="clear" w:color="auto" w:fill="FFFFFF"/>
    </w:rPr>
  </w:style>
  <w:style w:type="character" w:customStyle="1" w:styleId="154">
    <w:name w:val="标题 5 字符"/>
    <w:link w:val="6"/>
    <w:qFormat/>
    <w:uiPriority w:val="0"/>
    <w:rPr>
      <w:b/>
      <w:kern w:val="2"/>
      <w:sz w:val="24"/>
    </w:rPr>
  </w:style>
  <w:style w:type="character" w:customStyle="1" w:styleId="155">
    <w:name w:val="正文缩进 字符"/>
    <w:link w:val="7"/>
    <w:qFormat/>
    <w:uiPriority w:val="0"/>
    <w:rPr>
      <w:rFonts w:eastAsia="宋体"/>
      <w:kern w:val="2"/>
      <w:sz w:val="21"/>
      <w:lang w:val="en-US" w:eastAsia="zh-CN" w:bidi="ar-SA"/>
    </w:rPr>
  </w:style>
  <w:style w:type="character" w:customStyle="1" w:styleId="156">
    <w:name w:val="标题 6 字符"/>
    <w:link w:val="8"/>
    <w:qFormat/>
    <w:uiPriority w:val="0"/>
    <w:rPr>
      <w:rFonts w:ascii="Arial" w:hAnsi="Arial" w:eastAsia="黑体"/>
      <w:b/>
      <w:kern w:val="2"/>
      <w:sz w:val="24"/>
    </w:rPr>
  </w:style>
  <w:style w:type="character" w:customStyle="1" w:styleId="157">
    <w:name w:val="标题 7 字符"/>
    <w:link w:val="9"/>
    <w:qFormat/>
    <w:uiPriority w:val="0"/>
    <w:rPr>
      <w:b/>
      <w:kern w:val="2"/>
      <w:sz w:val="24"/>
    </w:rPr>
  </w:style>
  <w:style w:type="character" w:customStyle="1" w:styleId="158">
    <w:name w:val="标题 8 字符"/>
    <w:link w:val="10"/>
    <w:qFormat/>
    <w:uiPriority w:val="0"/>
    <w:rPr>
      <w:rFonts w:ascii="Arial" w:hAnsi="Arial" w:eastAsia="黑体"/>
      <w:kern w:val="2"/>
      <w:sz w:val="24"/>
    </w:rPr>
  </w:style>
  <w:style w:type="character" w:customStyle="1" w:styleId="159">
    <w:name w:val="标题 9 字符"/>
    <w:link w:val="11"/>
    <w:qFormat/>
    <w:uiPriority w:val="0"/>
    <w:rPr>
      <w:rFonts w:ascii="Arial" w:hAnsi="Arial" w:eastAsia="黑体"/>
      <w:kern w:val="2"/>
      <w:sz w:val="21"/>
    </w:rPr>
  </w:style>
  <w:style w:type="character" w:customStyle="1" w:styleId="160">
    <w:name w:val="注释标题 字符"/>
    <w:link w:val="15"/>
    <w:qFormat/>
    <w:uiPriority w:val="0"/>
    <w:rPr>
      <w:kern w:val="2"/>
      <w:sz w:val="21"/>
      <w:szCs w:val="24"/>
    </w:rPr>
  </w:style>
  <w:style w:type="character" w:customStyle="1" w:styleId="161">
    <w:name w:val="电子邮件签名 字符"/>
    <w:link w:val="18"/>
    <w:qFormat/>
    <w:uiPriority w:val="0"/>
    <w:rPr>
      <w:kern w:val="2"/>
      <w:sz w:val="21"/>
      <w:szCs w:val="24"/>
    </w:rPr>
  </w:style>
  <w:style w:type="character" w:customStyle="1" w:styleId="162">
    <w:name w:val="文档结构图 字符"/>
    <w:link w:val="24"/>
    <w:qFormat/>
    <w:uiPriority w:val="0"/>
    <w:rPr>
      <w:kern w:val="2"/>
      <w:sz w:val="21"/>
      <w:szCs w:val="24"/>
      <w:shd w:val="clear" w:color="auto" w:fill="000080"/>
    </w:rPr>
  </w:style>
  <w:style w:type="character" w:customStyle="1" w:styleId="163">
    <w:name w:val="批注文字 字符"/>
    <w:link w:val="26"/>
    <w:qFormat/>
    <w:uiPriority w:val="99"/>
    <w:rPr>
      <w:rFonts w:ascii="宋体"/>
      <w:sz w:val="34"/>
      <w:shd w:val="clear" w:color="auto" w:fill="FFFFFF"/>
    </w:rPr>
  </w:style>
  <w:style w:type="character" w:customStyle="1" w:styleId="164">
    <w:name w:val="称呼 字符"/>
    <w:link w:val="28"/>
    <w:qFormat/>
    <w:uiPriority w:val="0"/>
    <w:rPr>
      <w:kern w:val="2"/>
      <w:sz w:val="21"/>
      <w:szCs w:val="24"/>
    </w:rPr>
  </w:style>
  <w:style w:type="character" w:customStyle="1" w:styleId="165">
    <w:name w:val="正文文本 3 字符"/>
    <w:link w:val="29"/>
    <w:qFormat/>
    <w:uiPriority w:val="0"/>
    <w:rPr>
      <w:kern w:val="2"/>
      <w:sz w:val="16"/>
      <w:szCs w:val="16"/>
    </w:rPr>
  </w:style>
  <w:style w:type="character" w:customStyle="1" w:styleId="166">
    <w:name w:val="结束语 字符"/>
    <w:link w:val="30"/>
    <w:qFormat/>
    <w:uiPriority w:val="0"/>
    <w:rPr>
      <w:kern w:val="2"/>
      <w:sz w:val="21"/>
      <w:szCs w:val="24"/>
    </w:rPr>
  </w:style>
  <w:style w:type="character" w:customStyle="1" w:styleId="167">
    <w:name w:val="正文文本 字符"/>
    <w:link w:val="32"/>
    <w:qFormat/>
    <w:uiPriority w:val="0"/>
    <w:rPr>
      <w:rFonts w:ascii="宋体" w:hAnsi="宋体" w:cs="宋体"/>
      <w:b/>
      <w:bCs/>
      <w:sz w:val="24"/>
      <w:szCs w:val="24"/>
      <w:shd w:val="clear" w:color="auto" w:fill="FFFFFF"/>
    </w:rPr>
  </w:style>
  <w:style w:type="character" w:customStyle="1" w:styleId="168">
    <w:name w:val="HTML 地址 字符"/>
    <w:link w:val="40"/>
    <w:qFormat/>
    <w:uiPriority w:val="0"/>
    <w:rPr>
      <w:i/>
      <w:iCs/>
      <w:kern w:val="2"/>
      <w:sz w:val="21"/>
      <w:szCs w:val="24"/>
    </w:rPr>
  </w:style>
  <w:style w:type="character" w:customStyle="1" w:styleId="169">
    <w:name w:val="纯文本 字符"/>
    <w:link w:val="44"/>
    <w:qFormat/>
    <w:uiPriority w:val="0"/>
    <w:rPr>
      <w:rFonts w:ascii="宋体" w:hAnsi="Courier New"/>
      <w:kern w:val="2"/>
      <w:sz w:val="21"/>
      <w:shd w:val="clear" w:color="auto" w:fill="FFFFFF"/>
    </w:rPr>
  </w:style>
  <w:style w:type="character" w:customStyle="1" w:styleId="170">
    <w:name w:val="日期 字符"/>
    <w:link w:val="49"/>
    <w:qFormat/>
    <w:uiPriority w:val="0"/>
    <w:rPr>
      <w:rFonts w:ascii="宋体" w:hAnsi="Courier New"/>
      <w:kern w:val="2"/>
      <w:sz w:val="32"/>
    </w:rPr>
  </w:style>
  <w:style w:type="character" w:customStyle="1" w:styleId="171">
    <w:name w:val="正文文本缩进 2 字符"/>
    <w:link w:val="50"/>
    <w:qFormat/>
    <w:uiPriority w:val="0"/>
    <w:rPr>
      <w:rFonts w:ascii="宋体" w:hAnsi="宋体"/>
      <w:kern w:val="2"/>
      <w:sz w:val="21"/>
      <w:szCs w:val="24"/>
    </w:rPr>
  </w:style>
  <w:style w:type="character" w:customStyle="1" w:styleId="172">
    <w:name w:val="尾注文本 字符"/>
    <w:link w:val="51"/>
    <w:qFormat/>
    <w:uiPriority w:val="0"/>
    <w:rPr>
      <w:kern w:val="2"/>
      <w:sz w:val="21"/>
      <w:szCs w:val="24"/>
    </w:rPr>
  </w:style>
  <w:style w:type="character" w:customStyle="1" w:styleId="173">
    <w:name w:val="批注框文本 字符"/>
    <w:link w:val="53"/>
    <w:qFormat/>
    <w:uiPriority w:val="0"/>
    <w:rPr>
      <w:kern w:val="2"/>
      <w:sz w:val="18"/>
      <w:szCs w:val="18"/>
    </w:rPr>
  </w:style>
  <w:style w:type="character" w:customStyle="1" w:styleId="174">
    <w:name w:val="页脚 字符"/>
    <w:link w:val="54"/>
    <w:qFormat/>
    <w:uiPriority w:val="0"/>
    <w:rPr>
      <w:kern w:val="2"/>
      <w:sz w:val="18"/>
      <w:szCs w:val="18"/>
    </w:rPr>
  </w:style>
  <w:style w:type="character" w:customStyle="1" w:styleId="175">
    <w:name w:val="页眉 字符"/>
    <w:link w:val="55"/>
    <w:qFormat/>
    <w:uiPriority w:val="0"/>
    <w:rPr>
      <w:kern w:val="2"/>
      <w:sz w:val="18"/>
      <w:szCs w:val="18"/>
    </w:rPr>
  </w:style>
  <w:style w:type="character" w:customStyle="1" w:styleId="176">
    <w:name w:val="签名 字符"/>
    <w:link w:val="56"/>
    <w:qFormat/>
    <w:uiPriority w:val="0"/>
    <w:rPr>
      <w:kern w:val="2"/>
      <w:sz w:val="21"/>
      <w:szCs w:val="24"/>
    </w:rPr>
  </w:style>
  <w:style w:type="character" w:customStyle="1" w:styleId="177">
    <w:name w:val="副标题 字符"/>
    <w:link w:val="62"/>
    <w:qFormat/>
    <w:uiPriority w:val="0"/>
    <w:rPr>
      <w:rFonts w:ascii="Cambria" w:hAnsi="Cambria"/>
      <w:b/>
      <w:bCs/>
      <w:kern w:val="28"/>
      <w:sz w:val="28"/>
      <w:szCs w:val="32"/>
      <w:shd w:val="clear" w:color="auto" w:fill="FFFFFF"/>
    </w:rPr>
  </w:style>
  <w:style w:type="character" w:customStyle="1" w:styleId="178">
    <w:name w:val="脚注文本 字符"/>
    <w:link w:val="65"/>
    <w:qFormat/>
    <w:uiPriority w:val="0"/>
    <w:rPr>
      <w:kern w:val="2"/>
      <w:sz w:val="18"/>
      <w:szCs w:val="24"/>
    </w:rPr>
  </w:style>
  <w:style w:type="character" w:customStyle="1" w:styleId="179">
    <w:name w:val="正文文本缩进 3 字符"/>
    <w:link w:val="68"/>
    <w:qFormat/>
    <w:uiPriority w:val="0"/>
    <w:rPr>
      <w:rFonts w:ascii="宋体"/>
      <w:b/>
      <w:bCs/>
      <w:kern w:val="2"/>
      <w:sz w:val="24"/>
      <w:szCs w:val="24"/>
    </w:rPr>
  </w:style>
  <w:style w:type="character" w:customStyle="1" w:styleId="180">
    <w:name w:val="正文文本 2 字符"/>
    <w:link w:val="73"/>
    <w:qFormat/>
    <w:uiPriority w:val="0"/>
    <w:rPr>
      <w:kern w:val="2"/>
      <w:sz w:val="24"/>
      <w:szCs w:val="24"/>
    </w:rPr>
  </w:style>
  <w:style w:type="character" w:customStyle="1" w:styleId="181">
    <w:name w:val="信息标题 字符"/>
    <w:link w:val="76"/>
    <w:qFormat/>
    <w:uiPriority w:val="0"/>
    <w:rPr>
      <w:rFonts w:ascii="Arial" w:hAnsi="Arial" w:cs="Arial"/>
      <w:kern w:val="2"/>
      <w:sz w:val="24"/>
      <w:szCs w:val="24"/>
      <w:shd w:val="pct20" w:color="auto" w:fill="auto"/>
    </w:rPr>
  </w:style>
  <w:style w:type="character" w:customStyle="1" w:styleId="182">
    <w:name w:val="HTML 预设格式 字符"/>
    <w:link w:val="77"/>
    <w:qFormat/>
    <w:uiPriority w:val="0"/>
    <w:rPr>
      <w:rFonts w:ascii="Arial Unicode MS" w:hAnsi="Arial Unicode MS" w:eastAsia="Arial Unicode MS"/>
      <w:color w:val="000000"/>
    </w:rPr>
  </w:style>
  <w:style w:type="character" w:customStyle="1" w:styleId="183">
    <w:name w:val="标题 字符"/>
    <w:link w:val="81"/>
    <w:qFormat/>
    <w:uiPriority w:val="0"/>
    <w:rPr>
      <w:rFonts w:ascii="Arial" w:hAnsi="Arial" w:cs="Arial"/>
      <w:b/>
      <w:bCs/>
      <w:kern w:val="2"/>
      <w:sz w:val="36"/>
      <w:szCs w:val="32"/>
    </w:rPr>
  </w:style>
  <w:style w:type="character" w:customStyle="1" w:styleId="184">
    <w:name w:val="批注主题 字符"/>
    <w:link w:val="82"/>
    <w:qFormat/>
    <w:uiPriority w:val="0"/>
    <w:rPr>
      <w:b/>
      <w:bCs/>
      <w:kern w:val="2"/>
      <w:sz w:val="21"/>
      <w:szCs w:val="24"/>
    </w:rPr>
  </w:style>
  <w:style w:type="character" w:customStyle="1" w:styleId="185">
    <w:name w:val="正文文本首行缩进 字符"/>
    <w:link w:val="83"/>
    <w:qFormat/>
    <w:uiPriority w:val="0"/>
    <w:rPr>
      <w:rFonts w:ascii="宋体" w:hAnsi="宋体" w:cs="宋体"/>
      <w:b/>
      <w:bCs/>
      <w:kern w:val="2"/>
      <w:sz w:val="21"/>
      <w:szCs w:val="24"/>
      <w:shd w:val="clear" w:color="auto" w:fill="FFFFFF"/>
    </w:rPr>
  </w:style>
  <w:style w:type="character" w:customStyle="1" w:styleId="186">
    <w:name w:val="pan Char"/>
    <w:link w:val="187"/>
    <w:qFormat/>
    <w:uiPriority w:val="0"/>
    <w:rPr>
      <w:rFonts w:ascii="黑体" w:hAnsi="黑体" w:eastAsia="黑体"/>
      <w:kern w:val="2"/>
      <w:sz w:val="32"/>
      <w:szCs w:val="32"/>
      <w:shd w:val="clear" w:color="auto" w:fill="FFFFFF"/>
    </w:rPr>
  </w:style>
  <w:style w:type="paragraph" w:customStyle="1" w:styleId="187">
    <w:name w:val="pan"/>
    <w:basedOn w:val="188"/>
    <w:link w:val="186"/>
    <w:qFormat/>
    <w:uiPriority w:val="0"/>
    <w:pPr>
      <w:tabs>
        <w:tab w:val="left" w:pos="426"/>
        <w:tab w:val="left" w:pos="840"/>
      </w:tabs>
      <w:ind w:left="840" w:hanging="420" w:firstLineChars="0"/>
      <w:outlineLvl w:val="0"/>
    </w:pPr>
    <w:rPr>
      <w:rFonts w:ascii="黑体" w:hAnsi="黑体" w:eastAsia="黑体"/>
      <w:sz w:val="32"/>
      <w:szCs w:val="32"/>
    </w:rPr>
  </w:style>
  <w:style w:type="paragraph" w:customStyle="1" w:styleId="188">
    <w:name w:val="列出段落1"/>
    <w:basedOn w:val="1"/>
    <w:link w:val="189"/>
    <w:qFormat/>
    <w:uiPriority w:val="0"/>
    <w:pPr>
      <w:ind w:firstLine="420" w:firstLineChars="200"/>
    </w:pPr>
    <w:rPr>
      <w:rFonts w:ascii="Times New Roman" w:hAnsi="Times New Roman" w:cs="Times New Roman"/>
      <w:kern w:val="2"/>
    </w:rPr>
  </w:style>
  <w:style w:type="character" w:customStyle="1" w:styleId="189">
    <w:name w:val="列出段落 Char"/>
    <w:link w:val="188"/>
    <w:qFormat/>
    <w:uiPriority w:val="0"/>
    <w:rPr>
      <w:kern w:val="2"/>
      <w:sz w:val="21"/>
      <w:szCs w:val="24"/>
    </w:rPr>
  </w:style>
  <w:style w:type="character" w:customStyle="1" w:styleId="190">
    <w:name w:val="图片注释 Char"/>
    <w:link w:val="191"/>
    <w:qFormat/>
    <w:uiPriority w:val="0"/>
    <w:rPr>
      <w:rFonts w:ascii="宋体" w:hAnsi="宋体"/>
      <w:kern w:val="2"/>
      <w:sz w:val="24"/>
      <w:szCs w:val="24"/>
      <w:u w:val="single"/>
    </w:rPr>
  </w:style>
  <w:style w:type="paragraph" w:customStyle="1" w:styleId="191">
    <w:name w:val="图片注释"/>
    <w:basedOn w:val="1"/>
    <w:link w:val="190"/>
    <w:qFormat/>
    <w:uiPriority w:val="0"/>
    <w:pPr>
      <w:spacing w:afterLines="25"/>
      <w:ind w:firstLine="200" w:firstLineChars="200"/>
      <w:jc w:val="center"/>
    </w:pPr>
    <w:rPr>
      <w:rFonts w:cs="Times New Roman"/>
      <w:kern w:val="2"/>
      <w:sz w:val="24"/>
      <w:u w:val="single"/>
    </w:rPr>
  </w:style>
  <w:style w:type="character" w:customStyle="1" w:styleId="192">
    <w:name w:val="段内层标 Char"/>
    <w:link w:val="193"/>
    <w:qFormat/>
    <w:uiPriority w:val="0"/>
    <w:rPr>
      <w:rFonts w:ascii="宋体" w:hAnsi="宋体"/>
      <w:b/>
      <w:kern w:val="2"/>
      <w:sz w:val="28"/>
      <w:szCs w:val="28"/>
      <w:shd w:val="clear" w:color="auto" w:fill="FFFFFF"/>
    </w:rPr>
  </w:style>
  <w:style w:type="paragraph" w:customStyle="1" w:styleId="193">
    <w:name w:val="段内层标"/>
    <w:basedOn w:val="194"/>
    <w:link w:val="192"/>
    <w:qFormat/>
    <w:uiPriority w:val="0"/>
    <w:pPr>
      <w:tabs>
        <w:tab w:val="left" w:pos="426"/>
      </w:tabs>
      <w:spacing w:beforeLines="25" w:afterLines="25"/>
      <w:ind w:left="620" w:firstLine="200" w:firstLineChars="200"/>
    </w:pPr>
    <w:rPr>
      <w:rFonts w:ascii="宋体" w:hAnsi="宋体"/>
      <w:b/>
      <w:kern w:val="2"/>
      <w:sz w:val="28"/>
      <w:szCs w:val="28"/>
    </w:rPr>
  </w:style>
  <w:style w:type="paragraph" w:customStyle="1" w:styleId="194">
    <w:name w:val="正文内容"/>
    <w:basedOn w:val="1"/>
    <w:next w:val="24"/>
    <w:link w:val="195"/>
    <w:qFormat/>
    <w:uiPriority w:val="0"/>
    <w:rPr>
      <w:rFonts w:ascii="Times New Roman" w:hAnsi="Times New Roman" w:cs="Times New Roman"/>
      <w:sz w:val="20"/>
    </w:rPr>
  </w:style>
  <w:style w:type="character" w:customStyle="1" w:styleId="195">
    <w:name w:val="正文内容 Char"/>
    <w:link w:val="194"/>
    <w:qFormat/>
    <w:uiPriority w:val="0"/>
    <w:rPr>
      <w:szCs w:val="24"/>
    </w:rPr>
  </w:style>
  <w:style w:type="character" w:customStyle="1" w:styleId="196">
    <w:name w:val="标题3 Char"/>
    <w:link w:val="197"/>
    <w:qFormat/>
    <w:uiPriority w:val="0"/>
    <w:rPr>
      <w:rFonts w:ascii="黑体" w:hAnsi="黑体" w:eastAsia="黑体"/>
      <w:kern w:val="2"/>
      <w:sz w:val="28"/>
      <w:szCs w:val="28"/>
      <w:shd w:val="clear" w:color="auto" w:fill="FFFFFF"/>
    </w:rPr>
  </w:style>
  <w:style w:type="paragraph" w:customStyle="1" w:styleId="197">
    <w:name w:val="标题3"/>
    <w:basedOn w:val="188"/>
    <w:link w:val="196"/>
    <w:qFormat/>
    <w:uiPriority w:val="0"/>
    <w:pPr>
      <w:ind w:left="1822" w:firstLine="0" w:firstLineChars="0"/>
      <w:outlineLvl w:val="2"/>
    </w:pPr>
    <w:rPr>
      <w:rFonts w:ascii="黑体" w:hAnsi="黑体" w:eastAsia="黑体"/>
      <w:sz w:val="28"/>
      <w:szCs w:val="28"/>
    </w:rPr>
  </w:style>
  <w:style w:type="character" w:customStyle="1" w:styleId="198">
    <w:name w:val="Char Char4"/>
    <w:qFormat/>
    <w:uiPriority w:val="0"/>
    <w:rPr>
      <w:rFonts w:eastAsia="宋体"/>
      <w:b/>
      <w:kern w:val="2"/>
      <w:sz w:val="24"/>
      <w:lang w:val="en-US" w:eastAsia="zh-CN" w:bidi="ar-SA"/>
    </w:rPr>
  </w:style>
  <w:style w:type="character" w:customStyle="1" w:styleId="199">
    <w:name w:val="书籍标题1"/>
    <w:qFormat/>
    <w:uiPriority w:val="33"/>
    <w:rPr>
      <w:b/>
      <w:bCs/>
      <w:smallCaps/>
      <w:spacing w:val="5"/>
    </w:rPr>
  </w:style>
  <w:style w:type="character" w:customStyle="1" w:styleId="200">
    <w:name w:val="正文文本缩进 2 Char"/>
    <w:qFormat/>
    <w:uiPriority w:val="0"/>
    <w:rPr>
      <w:rFonts w:ascii="宋体" w:hAnsi="宋体"/>
      <w:kern w:val="2"/>
      <w:sz w:val="21"/>
      <w:szCs w:val="24"/>
      <w:shd w:val="clear" w:color="auto" w:fill="FFFFFF"/>
    </w:rPr>
  </w:style>
  <w:style w:type="character" w:customStyle="1" w:styleId="201">
    <w:name w:val="正文文本 Char"/>
    <w:qFormat/>
    <w:uiPriority w:val="99"/>
    <w:rPr>
      <w:rFonts w:ascii="宋体"/>
      <w:kern w:val="10"/>
      <w:sz w:val="21"/>
    </w:rPr>
  </w:style>
  <w:style w:type="character" w:customStyle="1" w:styleId="202">
    <w:name w:val="批注主题 Char"/>
    <w:qFormat/>
    <w:uiPriority w:val="0"/>
    <w:rPr>
      <w:rFonts w:ascii="宋体" w:hAnsi="宋体" w:cs="宋体"/>
      <w:b/>
      <w:bCs/>
      <w:kern w:val="2"/>
      <w:sz w:val="21"/>
      <w:szCs w:val="24"/>
      <w:shd w:val="clear" w:color="auto" w:fill="FFFFFF"/>
    </w:rPr>
  </w:style>
  <w:style w:type="character" w:customStyle="1" w:styleId="203">
    <w:name w:val="style3"/>
    <w:qFormat/>
    <w:uiPriority w:val="0"/>
  </w:style>
  <w:style w:type="character" w:customStyle="1" w:styleId="204">
    <w:name w:val="font10pt"/>
    <w:qFormat/>
    <w:uiPriority w:val="0"/>
  </w:style>
  <w:style w:type="character" w:customStyle="1" w:styleId="205">
    <w:name w:val="文档结构图 Char"/>
    <w:semiHidden/>
    <w:qFormat/>
    <w:uiPriority w:val="0"/>
    <w:rPr>
      <w:kern w:val="2"/>
      <w:sz w:val="21"/>
      <w:szCs w:val="24"/>
      <w:shd w:val="clear" w:color="auto" w:fill="000080"/>
    </w:rPr>
  </w:style>
  <w:style w:type="character" w:customStyle="1" w:styleId="206">
    <w:name w:val="翟 正文 Char"/>
    <w:link w:val="207"/>
    <w:qFormat/>
    <w:uiPriority w:val="0"/>
    <w:rPr>
      <w:rFonts w:ascii="宋体" w:hAnsi="仿宋"/>
      <w:snapToGrid/>
      <w:color w:val="000000"/>
      <w:sz w:val="28"/>
      <w:szCs w:val="28"/>
      <w:u w:color="000000"/>
    </w:rPr>
  </w:style>
  <w:style w:type="paragraph" w:customStyle="1" w:styleId="207">
    <w:name w:val="翟 正文"/>
    <w:basedOn w:val="1"/>
    <w:link w:val="206"/>
    <w:qFormat/>
    <w:uiPriority w:val="0"/>
    <w:pPr>
      <w:widowControl w:val="0"/>
      <w:shd w:val="clear" w:color="auto" w:fill="auto"/>
      <w:tabs>
        <w:tab w:val="clear" w:pos="426"/>
      </w:tabs>
      <w:adjustRightInd/>
      <w:snapToGrid/>
      <w:spacing w:line="480" w:lineRule="exact"/>
      <w:ind w:firstLine="560" w:firstLineChars="200"/>
    </w:pPr>
    <w:rPr>
      <w:rFonts w:hAnsi="仿宋" w:cs="Times New Roman"/>
      <w:color w:val="000000"/>
      <w:sz w:val="28"/>
      <w:szCs w:val="28"/>
      <w:u w:color="000000"/>
    </w:rPr>
  </w:style>
  <w:style w:type="character" w:customStyle="1" w:styleId="208">
    <w:name w:val="日期 Char1"/>
    <w:semiHidden/>
    <w:qFormat/>
    <w:uiPriority w:val="99"/>
    <w:rPr>
      <w:kern w:val="2"/>
      <w:sz w:val="21"/>
      <w:szCs w:val="24"/>
    </w:rPr>
  </w:style>
  <w:style w:type="character" w:customStyle="1" w:styleId="209">
    <w:name w:val="段内主题 Char"/>
    <w:link w:val="210"/>
    <w:qFormat/>
    <w:uiPriority w:val="0"/>
    <w:rPr>
      <w:rFonts w:ascii="宋体" w:hAnsi="宋体"/>
      <w:b/>
      <w:kern w:val="2"/>
      <w:sz w:val="24"/>
      <w:szCs w:val="24"/>
      <w:shd w:val="clear" w:color="auto" w:fill="FFFFFF"/>
    </w:rPr>
  </w:style>
  <w:style w:type="paragraph" w:customStyle="1" w:styleId="210">
    <w:name w:val="段内主题"/>
    <w:basedOn w:val="1"/>
    <w:link w:val="209"/>
    <w:qFormat/>
    <w:uiPriority w:val="0"/>
    <w:pPr>
      <w:ind w:left="840"/>
    </w:pPr>
    <w:rPr>
      <w:rFonts w:cs="Times New Roman"/>
      <w:b/>
      <w:kern w:val="2"/>
      <w:sz w:val="24"/>
    </w:rPr>
  </w:style>
  <w:style w:type="character" w:customStyle="1" w:styleId="211">
    <w:name w:val="1 Char"/>
    <w:link w:val="212"/>
    <w:qFormat/>
    <w:uiPriority w:val="0"/>
    <w:rPr>
      <w:rFonts w:ascii="宋体" w:hAnsi="宋体" w:cs="宋体"/>
      <w:b/>
      <w:sz w:val="24"/>
      <w:szCs w:val="24"/>
      <w:shd w:val="clear" w:color="auto" w:fill="FFFFFF"/>
    </w:rPr>
  </w:style>
  <w:style w:type="paragraph" w:customStyle="1" w:styleId="212">
    <w:name w:val="1"/>
    <w:basedOn w:val="1"/>
    <w:link w:val="211"/>
    <w:qFormat/>
    <w:uiPriority w:val="0"/>
    <w:pPr>
      <w:tabs>
        <w:tab w:val="clear" w:pos="426"/>
      </w:tabs>
      <w:adjustRightInd/>
      <w:snapToGrid/>
      <w:spacing w:before="280" w:after="290" w:line="377" w:lineRule="auto"/>
      <w:ind w:left="420" w:hanging="420"/>
      <w:jc w:val="left"/>
      <w:outlineLvl w:val="2"/>
    </w:pPr>
    <w:rPr>
      <w:rFonts w:cs="Times New Roman"/>
      <w:b/>
      <w:sz w:val="24"/>
    </w:rPr>
  </w:style>
  <w:style w:type="character" w:customStyle="1" w:styleId="213">
    <w:name w:val="图片 Char"/>
    <w:link w:val="214"/>
    <w:qFormat/>
    <w:uiPriority w:val="0"/>
    <w:rPr>
      <w:rFonts w:ascii="宋体" w:hAnsi="宋体"/>
      <w:kern w:val="2"/>
      <w:sz w:val="24"/>
      <w:szCs w:val="24"/>
    </w:rPr>
  </w:style>
  <w:style w:type="paragraph" w:customStyle="1" w:styleId="214">
    <w:name w:val="图片"/>
    <w:basedOn w:val="1"/>
    <w:link w:val="213"/>
    <w:qFormat/>
    <w:uiPriority w:val="0"/>
    <w:pPr>
      <w:ind w:firstLine="200" w:firstLineChars="200"/>
      <w:jc w:val="center"/>
    </w:pPr>
    <w:rPr>
      <w:rFonts w:cs="Times New Roman"/>
      <w:kern w:val="2"/>
      <w:sz w:val="24"/>
    </w:rPr>
  </w:style>
  <w:style w:type="character" w:customStyle="1" w:styleId="215">
    <w:name w:val="页脚 Char1"/>
    <w:semiHidden/>
    <w:qFormat/>
    <w:uiPriority w:val="99"/>
    <w:rPr>
      <w:kern w:val="2"/>
      <w:sz w:val="18"/>
      <w:szCs w:val="18"/>
    </w:rPr>
  </w:style>
  <w:style w:type="character" w:customStyle="1" w:styleId="216">
    <w:name w:val="四级标题 Char"/>
    <w:link w:val="217"/>
    <w:qFormat/>
    <w:uiPriority w:val="0"/>
    <w:rPr>
      <w:rFonts w:ascii="黑体" w:hAnsi="黑体" w:eastAsia="黑体"/>
      <w:kern w:val="2"/>
      <w:sz w:val="30"/>
      <w:szCs w:val="30"/>
      <w:shd w:val="clear" w:color="auto" w:fill="FFFFFF"/>
    </w:rPr>
  </w:style>
  <w:style w:type="paragraph" w:customStyle="1" w:styleId="217">
    <w:name w:val="四级标题"/>
    <w:basedOn w:val="188"/>
    <w:link w:val="216"/>
    <w:qFormat/>
    <w:uiPriority w:val="0"/>
    <w:pPr>
      <w:spacing w:line="720" w:lineRule="auto"/>
      <w:ind w:firstLine="0" w:firstLineChars="0"/>
      <w:outlineLvl w:val="3"/>
    </w:pPr>
    <w:rPr>
      <w:rFonts w:ascii="黑体" w:hAnsi="黑体" w:eastAsia="黑体"/>
      <w:sz w:val="30"/>
      <w:szCs w:val="30"/>
    </w:rPr>
  </w:style>
  <w:style w:type="character" w:customStyle="1" w:styleId="218">
    <w:name w:val="标题 5 Char"/>
    <w:qFormat/>
    <w:uiPriority w:val="0"/>
    <w:rPr>
      <w:b/>
      <w:kern w:val="2"/>
      <w:sz w:val="24"/>
      <w:shd w:val="clear" w:color="auto" w:fill="FFFFFF"/>
    </w:rPr>
  </w:style>
  <w:style w:type="character" w:customStyle="1" w:styleId="219">
    <w:name w:val="标准正文 Char"/>
    <w:link w:val="220"/>
    <w:qFormat/>
    <w:uiPriority w:val="0"/>
    <w:rPr>
      <w:rFonts w:ascii="宋体" w:hAnsi="宋体" w:cs="宋体"/>
      <w:sz w:val="24"/>
    </w:rPr>
  </w:style>
  <w:style w:type="paragraph" w:customStyle="1" w:styleId="220">
    <w:name w:val="标准正文"/>
    <w:basedOn w:val="33"/>
    <w:link w:val="219"/>
    <w:qFormat/>
    <w:uiPriority w:val="0"/>
    <w:pPr>
      <w:spacing w:before="60" w:after="60"/>
      <w:ind w:firstLine="482" w:firstLineChars="0"/>
      <w:jc w:val="left"/>
    </w:pPr>
    <w:rPr>
      <w:rFonts w:ascii="宋体" w:hAnsi="宋体"/>
      <w:kern w:val="0"/>
      <w:sz w:val="24"/>
      <w:szCs w:val="20"/>
    </w:rPr>
  </w:style>
  <w:style w:type="character" w:customStyle="1" w:styleId="221">
    <w:name w:val="标题 2 Char"/>
    <w:qFormat/>
    <w:uiPriority w:val="0"/>
    <w:rPr>
      <w:rFonts w:ascii="宋体" w:hAnsi="宋体"/>
      <w:b/>
      <w:sz w:val="24"/>
      <w:shd w:val="clear" w:color="auto" w:fill="FFFFFF"/>
    </w:rPr>
  </w:style>
  <w:style w:type="character" w:customStyle="1" w:styleId="222">
    <w:name w:val="正文（缩进） Char"/>
    <w:link w:val="223"/>
    <w:qFormat/>
    <w:uiPriority w:val="0"/>
    <w:rPr>
      <w:sz w:val="24"/>
      <w:szCs w:val="24"/>
    </w:rPr>
  </w:style>
  <w:style w:type="paragraph" w:customStyle="1" w:styleId="223">
    <w:name w:val="正文（缩进）"/>
    <w:basedOn w:val="1"/>
    <w:link w:val="222"/>
    <w:qFormat/>
    <w:uiPriority w:val="0"/>
    <w:pPr>
      <w:spacing w:beforeLines="50" w:afterLines="50"/>
      <w:ind w:firstLine="480" w:firstLineChars="200"/>
    </w:pPr>
    <w:rPr>
      <w:rFonts w:ascii="Times New Roman" w:hAnsi="Times New Roman" w:cs="Times New Roman"/>
      <w:sz w:val="24"/>
    </w:rPr>
  </w:style>
  <w:style w:type="character" w:customStyle="1" w:styleId="224">
    <w:name w:val="ss1"/>
    <w:semiHidden/>
    <w:qFormat/>
    <w:uiPriority w:val="0"/>
    <w:rPr>
      <w:rFonts w:hint="default" w:ascii="ˎ̥" w:hAnsi="ˎ̥"/>
      <w:color w:val="000000"/>
      <w:sz w:val="18"/>
      <w:szCs w:val="18"/>
      <w:u w:val="none"/>
    </w:rPr>
  </w:style>
  <w:style w:type="character" w:customStyle="1" w:styleId="225">
    <w:name w:val="二级标题 Char"/>
    <w:link w:val="226"/>
    <w:qFormat/>
    <w:uiPriority w:val="0"/>
    <w:rPr>
      <w:rFonts w:ascii="黑体" w:hAnsi="黑体" w:eastAsia="黑体"/>
      <w:kern w:val="2"/>
      <w:sz w:val="36"/>
      <w:szCs w:val="36"/>
      <w:shd w:val="clear" w:color="auto" w:fill="FFFFFF"/>
    </w:rPr>
  </w:style>
  <w:style w:type="paragraph" w:customStyle="1" w:styleId="226">
    <w:name w:val="二级标题"/>
    <w:basedOn w:val="188"/>
    <w:link w:val="225"/>
    <w:qFormat/>
    <w:uiPriority w:val="0"/>
    <w:pPr>
      <w:spacing w:line="720" w:lineRule="auto"/>
      <w:ind w:firstLine="0" w:firstLineChars="0"/>
      <w:outlineLvl w:val="1"/>
    </w:pPr>
    <w:rPr>
      <w:rFonts w:ascii="黑体" w:hAnsi="黑体" w:eastAsia="黑体"/>
      <w:sz w:val="36"/>
      <w:szCs w:val="36"/>
    </w:rPr>
  </w:style>
  <w:style w:type="character" w:customStyle="1" w:styleId="227">
    <w:name w:val="标题 6 Char"/>
    <w:qFormat/>
    <w:uiPriority w:val="0"/>
    <w:rPr>
      <w:rFonts w:ascii="Arial" w:hAnsi="Arial" w:eastAsia="黑体"/>
      <w:b/>
      <w:kern w:val="2"/>
      <w:sz w:val="24"/>
      <w:shd w:val="clear" w:color="auto" w:fill="FFFFFF"/>
    </w:rPr>
  </w:style>
  <w:style w:type="character" w:customStyle="1" w:styleId="228">
    <w:name w:val="层标 Char"/>
    <w:link w:val="229"/>
    <w:qFormat/>
    <w:uiPriority w:val="0"/>
    <w:rPr>
      <w:rFonts w:ascii="宋体" w:hAnsi="宋体"/>
      <w:b/>
      <w:kern w:val="2"/>
      <w:sz w:val="28"/>
      <w:szCs w:val="28"/>
      <w:shd w:val="clear" w:color="auto" w:fill="FFFFFF"/>
    </w:rPr>
  </w:style>
  <w:style w:type="paragraph" w:customStyle="1" w:styleId="229">
    <w:name w:val="层标"/>
    <w:basedOn w:val="194"/>
    <w:link w:val="228"/>
    <w:qFormat/>
    <w:uiPriority w:val="0"/>
    <w:pPr>
      <w:spacing w:beforeLines="25" w:afterLines="25"/>
      <w:ind w:left="980"/>
    </w:pPr>
    <w:rPr>
      <w:rFonts w:ascii="宋体" w:hAnsi="宋体"/>
      <w:b/>
      <w:kern w:val="2"/>
      <w:sz w:val="28"/>
      <w:szCs w:val="28"/>
    </w:rPr>
  </w:style>
  <w:style w:type="character" w:customStyle="1" w:styleId="230">
    <w:name w:val="正文文本缩进 Char1"/>
    <w:semiHidden/>
    <w:qFormat/>
    <w:uiPriority w:val="99"/>
    <w:rPr>
      <w:kern w:val="2"/>
      <w:sz w:val="21"/>
      <w:szCs w:val="24"/>
    </w:rPr>
  </w:style>
  <w:style w:type="character" w:customStyle="1" w:styleId="231">
    <w:name w:val="五级标题 Char"/>
    <w:link w:val="232"/>
    <w:qFormat/>
    <w:uiPriority w:val="0"/>
    <w:rPr>
      <w:rFonts w:ascii="黑体" w:hAnsi="黑体" w:eastAsia="黑体"/>
      <w:kern w:val="2"/>
      <w:sz w:val="28"/>
      <w:szCs w:val="28"/>
      <w:shd w:val="clear" w:color="auto" w:fill="FFFFFF"/>
    </w:rPr>
  </w:style>
  <w:style w:type="paragraph" w:customStyle="1" w:styleId="232">
    <w:name w:val="五级标题"/>
    <w:basedOn w:val="188"/>
    <w:link w:val="231"/>
    <w:qFormat/>
    <w:uiPriority w:val="0"/>
    <w:pPr>
      <w:spacing w:line="720" w:lineRule="auto"/>
      <w:ind w:firstLine="0" w:firstLineChars="0"/>
      <w:outlineLvl w:val="4"/>
    </w:pPr>
    <w:rPr>
      <w:rFonts w:ascii="黑体" w:hAnsi="黑体" w:eastAsia="黑体"/>
      <w:sz w:val="28"/>
      <w:szCs w:val="28"/>
    </w:rPr>
  </w:style>
  <w:style w:type="character" w:customStyle="1" w:styleId="233">
    <w:name w:val="￥正文 Char"/>
    <w:link w:val="234"/>
    <w:qFormat/>
    <w:uiPriority w:val="0"/>
    <w:rPr>
      <w:rFonts w:ascii="Calibri" w:hAnsi="Calibri"/>
      <w:kern w:val="2"/>
      <w:sz w:val="24"/>
    </w:rPr>
  </w:style>
  <w:style w:type="paragraph" w:customStyle="1" w:styleId="234">
    <w:name w:val="￥正文"/>
    <w:basedOn w:val="1"/>
    <w:link w:val="233"/>
    <w:qFormat/>
    <w:uiPriority w:val="0"/>
    <w:pPr>
      <w:ind w:firstLine="200" w:firstLineChars="200"/>
    </w:pPr>
    <w:rPr>
      <w:rFonts w:ascii="Calibri" w:hAnsi="Calibri" w:cs="Times New Roman"/>
      <w:kern w:val="2"/>
      <w:sz w:val="24"/>
      <w:szCs w:val="20"/>
    </w:rPr>
  </w:style>
  <w:style w:type="character" w:customStyle="1" w:styleId="235">
    <w:name w:val="文档结构图 Char1"/>
    <w:semiHidden/>
    <w:qFormat/>
    <w:uiPriority w:val="99"/>
    <w:rPr>
      <w:rFonts w:ascii="宋体"/>
      <w:kern w:val="2"/>
      <w:sz w:val="18"/>
      <w:szCs w:val="18"/>
    </w:rPr>
  </w:style>
  <w:style w:type="character" w:customStyle="1" w:styleId="236">
    <w:name w:val="ggwenhao"/>
    <w:semiHidden/>
    <w:qFormat/>
    <w:uiPriority w:val="0"/>
  </w:style>
  <w:style w:type="character" w:customStyle="1" w:styleId="237">
    <w:name w:val="未处理的提及1"/>
    <w:unhideWhenUsed/>
    <w:qFormat/>
    <w:uiPriority w:val="99"/>
    <w:rPr>
      <w:color w:val="605E5C"/>
      <w:shd w:val="clear" w:color="auto" w:fill="E1DFDD"/>
    </w:rPr>
  </w:style>
  <w:style w:type="character" w:customStyle="1" w:styleId="238">
    <w:name w:val="一级标题 Char"/>
    <w:link w:val="239"/>
    <w:qFormat/>
    <w:uiPriority w:val="0"/>
    <w:rPr>
      <w:rFonts w:ascii="黑体" w:hAnsi="黑体" w:eastAsia="黑体"/>
      <w:kern w:val="2"/>
      <w:sz w:val="44"/>
      <w:szCs w:val="44"/>
      <w:shd w:val="clear" w:color="auto" w:fill="FFFFFF"/>
    </w:rPr>
  </w:style>
  <w:style w:type="paragraph" w:customStyle="1" w:styleId="239">
    <w:name w:val="一级标题"/>
    <w:basedOn w:val="188"/>
    <w:link w:val="238"/>
    <w:qFormat/>
    <w:uiPriority w:val="0"/>
    <w:pPr>
      <w:tabs>
        <w:tab w:val="left" w:pos="340"/>
      </w:tabs>
      <w:spacing w:line="720" w:lineRule="auto"/>
      <w:ind w:firstLine="0" w:firstLineChars="0"/>
      <w:jc w:val="center"/>
      <w:outlineLvl w:val="0"/>
    </w:pPr>
    <w:rPr>
      <w:rFonts w:ascii="黑体" w:hAnsi="黑体" w:eastAsia="黑体"/>
      <w:sz w:val="44"/>
      <w:szCs w:val="44"/>
    </w:rPr>
  </w:style>
  <w:style w:type="character" w:customStyle="1" w:styleId="240">
    <w:name w:val="标题 7 Char"/>
    <w:qFormat/>
    <w:uiPriority w:val="0"/>
    <w:rPr>
      <w:b/>
      <w:kern w:val="2"/>
      <w:sz w:val="24"/>
      <w:shd w:val="clear" w:color="auto" w:fill="FFFFFF"/>
    </w:rPr>
  </w:style>
  <w:style w:type="character" w:customStyle="1" w:styleId="241">
    <w:name w:val="段落强调 Char"/>
    <w:link w:val="242"/>
    <w:qFormat/>
    <w:uiPriority w:val="0"/>
    <w:rPr>
      <w:b/>
      <w:kern w:val="2"/>
      <w:sz w:val="24"/>
      <w:szCs w:val="24"/>
      <w:shd w:val="clear" w:color="auto" w:fill="FFFFFF"/>
    </w:rPr>
  </w:style>
  <w:style w:type="paragraph" w:customStyle="1" w:styleId="242">
    <w:name w:val="段落强调"/>
    <w:basedOn w:val="1"/>
    <w:link w:val="241"/>
    <w:qFormat/>
    <w:uiPriority w:val="0"/>
    <w:pPr>
      <w:ind w:firstLine="420"/>
    </w:pPr>
    <w:rPr>
      <w:rFonts w:ascii="Times New Roman" w:hAnsi="Times New Roman" w:cs="Times New Roman"/>
      <w:b/>
      <w:kern w:val="2"/>
      <w:sz w:val="24"/>
    </w:rPr>
  </w:style>
  <w:style w:type="character" w:customStyle="1" w:styleId="243">
    <w:name w:val="pan2 Char"/>
    <w:link w:val="244"/>
    <w:qFormat/>
    <w:uiPriority w:val="0"/>
    <w:rPr>
      <w:rFonts w:ascii="黑体" w:hAnsi="黑体" w:eastAsia="黑体"/>
      <w:kern w:val="2"/>
      <w:sz w:val="30"/>
      <w:szCs w:val="30"/>
      <w:shd w:val="clear" w:color="auto" w:fill="FFFFFF"/>
    </w:rPr>
  </w:style>
  <w:style w:type="paragraph" w:customStyle="1" w:styleId="244">
    <w:name w:val="pan2"/>
    <w:basedOn w:val="188"/>
    <w:link w:val="243"/>
    <w:qFormat/>
    <w:uiPriority w:val="0"/>
    <w:pPr>
      <w:tabs>
        <w:tab w:val="left" w:pos="840"/>
      </w:tabs>
      <w:ind w:left="840" w:hanging="420" w:firstLineChars="0"/>
      <w:outlineLvl w:val="1"/>
    </w:pPr>
    <w:rPr>
      <w:rFonts w:ascii="黑体" w:hAnsi="黑体" w:eastAsia="黑体"/>
      <w:sz w:val="30"/>
      <w:szCs w:val="30"/>
    </w:rPr>
  </w:style>
  <w:style w:type="character" w:customStyle="1" w:styleId="245">
    <w:name w:val="明显参考1"/>
    <w:qFormat/>
    <w:uiPriority w:val="32"/>
    <w:rPr>
      <w:rFonts w:eastAsia="宋体"/>
      <w:bCs/>
      <w:smallCaps/>
      <w:color w:val="000000"/>
      <w:spacing w:val="5"/>
      <w:sz w:val="24"/>
      <w:u w:val="single"/>
    </w:rPr>
  </w:style>
  <w:style w:type="character" w:customStyle="1" w:styleId="246">
    <w:name w:val="引用 字符"/>
    <w:link w:val="247"/>
    <w:qFormat/>
    <w:uiPriority w:val="29"/>
    <w:rPr>
      <w:iCs/>
      <w:color w:val="000000"/>
      <w:kern w:val="2"/>
      <w:sz w:val="24"/>
      <w:szCs w:val="24"/>
    </w:rPr>
  </w:style>
  <w:style w:type="paragraph" w:styleId="247">
    <w:name w:val="Quote"/>
    <w:basedOn w:val="1"/>
    <w:next w:val="1"/>
    <w:link w:val="246"/>
    <w:qFormat/>
    <w:uiPriority w:val="29"/>
    <w:pPr>
      <w:jc w:val="center"/>
    </w:pPr>
    <w:rPr>
      <w:rFonts w:ascii="Times New Roman" w:hAnsi="Times New Roman" w:cs="Times New Roman"/>
      <w:iCs/>
      <w:color w:val="000000"/>
      <w:kern w:val="2"/>
      <w:sz w:val="24"/>
    </w:rPr>
  </w:style>
  <w:style w:type="character" w:customStyle="1" w:styleId="248">
    <w:name w:val="模板正文 Char"/>
    <w:link w:val="249"/>
    <w:qFormat/>
    <w:locked/>
    <w:uiPriority w:val="0"/>
    <w:rPr>
      <w:rFonts w:eastAsia="仿宋_GB2312"/>
      <w:sz w:val="28"/>
      <w:szCs w:val="21"/>
    </w:rPr>
  </w:style>
  <w:style w:type="paragraph" w:customStyle="1" w:styleId="249">
    <w:name w:val="模板正文"/>
    <w:basedOn w:val="1"/>
    <w:link w:val="248"/>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50">
    <w:name w:val="三级标题 Char"/>
    <w:link w:val="251"/>
    <w:qFormat/>
    <w:uiPriority w:val="0"/>
    <w:rPr>
      <w:rFonts w:ascii="黑体" w:hAnsi="黑体" w:eastAsia="黑体"/>
      <w:kern w:val="2"/>
      <w:sz w:val="32"/>
      <w:szCs w:val="32"/>
      <w:shd w:val="clear" w:color="auto" w:fill="FFFFFF"/>
    </w:rPr>
  </w:style>
  <w:style w:type="paragraph" w:customStyle="1" w:styleId="251">
    <w:name w:val="三级标题"/>
    <w:basedOn w:val="188"/>
    <w:link w:val="250"/>
    <w:qFormat/>
    <w:uiPriority w:val="0"/>
    <w:pPr>
      <w:spacing w:line="720" w:lineRule="auto"/>
      <w:ind w:firstLine="0" w:firstLineChars="0"/>
      <w:outlineLvl w:val="2"/>
    </w:pPr>
    <w:rPr>
      <w:rFonts w:ascii="黑体" w:hAnsi="黑体" w:eastAsia="黑体"/>
      <w:sz w:val="32"/>
      <w:szCs w:val="32"/>
    </w:rPr>
  </w:style>
  <w:style w:type="character" w:customStyle="1" w:styleId="252">
    <w:name w:val="正文文本缩进 Char"/>
    <w:qFormat/>
    <w:uiPriority w:val="0"/>
    <w:rPr>
      <w:kern w:val="2"/>
      <w:sz w:val="21"/>
      <w:szCs w:val="24"/>
      <w:shd w:val="clear" w:color="auto" w:fill="FFFFFF"/>
    </w:rPr>
  </w:style>
  <w:style w:type="character" w:customStyle="1" w:styleId="253">
    <w:name w:val="页眉 Char"/>
    <w:qFormat/>
    <w:uiPriority w:val="99"/>
    <w:rPr>
      <w:kern w:val="2"/>
      <w:sz w:val="18"/>
      <w:szCs w:val="18"/>
      <w:shd w:val="clear" w:color="auto" w:fill="FFFFFF"/>
    </w:rPr>
  </w:style>
  <w:style w:type="character" w:customStyle="1" w:styleId="254">
    <w:name w:val="页脚 Char"/>
    <w:qFormat/>
    <w:uiPriority w:val="99"/>
    <w:rPr>
      <w:kern w:val="2"/>
      <w:sz w:val="18"/>
      <w:szCs w:val="18"/>
      <w:shd w:val="clear" w:color="auto" w:fill="FFFFFF"/>
    </w:rPr>
  </w:style>
  <w:style w:type="character" w:customStyle="1" w:styleId="255">
    <w:name w:val="批注文字 Char1"/>
    <w:qFormat/>
    <w:uiPriority w:val="0"/>
    <w:rPr>
      <w:rFonts w:ascii="宋体"/>
      <w:sz w:val="34"/>
      <w:shd w:val="clear" w:color="auto" w:fill="FFFFFF"/>
    </w:rPr>
  </w:style>
  <w:style w:type="character" w:customStyle="1" w:styleId="256">
    <w:name w:val="HTML 预设格式 Char"/>
    <w:qFormat/>
    <w:uiPriority w:val="0"/>
    <w:rPr>
      <w:rFonts w:ascii="Arial Unicode MS" w:hAnsi="Arial Unicode MS" w:eastAsia="Arial Unicode MS"/>
      <w:color w:val="000000"/>
      <w:shd w:val="clear" w:color="auto" w:fill="FFFFFF"/>
    </w:rPr>
  </w:style>
  <w:style w:type="character" w:customStyle="1" w:styleId="257">
    <w:name w:val="标题 1 字符1"/>
    <w:qFormat/>
    <w:uiPriority w:val="0"/>
    <w:rPr>
      <w:rFonts w:ascii="Times New Roman" w:hAnsi="Times New Roman" w:eastAsia="宋体" w:cs="Times New Roman"/>
      <w:b/>
      <w:kern w:val="44"/>
      <w:sz w:val="44"/>
      <w:szCs w:val="20"/>
    </w:rPr>
  </w:style>
  <w:style w:type="character" w:customStyle="1" w:styleId="258">
    <w:name w:val="正文标题 Char"/>
    <w:link w:val="259"/>
    <w:qFormat/>
    <w:uiPriority w:val="0"/>
    <w:rPr>
      <w:rFonts w:ascii="Calibri" w:hAnsi="Calibri"/>
      <w:b/>
      <w:kern w:val="2"/>
      <w:sz w:val="28"/>
      <w:szCs w:val="28"/>
      <w:shd w:val="clear" w:color="auto" w:fill="FFFFFF"/>
    </w:rPr>
  </w:style>
  <w:style w:type="paragraph" w:customStyle="1" w:styleId="259">
    <w:name w:val="正文标题"/>
    <w:basedOn w:val="1"/>
    <w:link w:val="258"/>
    <w:qFormat/>
    <w:uiPriority w:val="0"/>
    <w:pPr>
      <w:ind w:left="982" w:firstLine="200" w:firstLineChars="200"/>
    </w:pPr>
    <w:rPr>
      <w:rFonts w:ascii="Calibri" w:hAnsi="Calibri" w:cs="Times New Roman"/>
      <w:b/>
      <w:kern w:val="2"/>
      <w:sz w:val="28"/>
      <w:szCs w:val="28"/>
    </w:rPr>
  </w:style>
  <w:style w:type="character" w:customStyle="1" w:styleId="260">
    <w:name w:val="图片注释新 Char"/>
    <w:link w:val="261"/>
    <w:qFormat/>
    <w:uiPriority w:val="0"/>
    <w:rPr>
      <w:rFonts w:ascii="宋体" w:hAnsi="宋体"/>
      <w:kern w:val="2"/>
      <w:sz w:val="24"/>
      <w:szCs w:val="24"/>
      <w:u w:val="single"/>
    </w:rPr>
  </w:style>
  <w:style w:type="paragraph" w:customStyle="1" w:styleId="261">
    <w:name w:val="图片注释新"/>
    <w:basedOn w:val="191"/>
    <w:link w:val="260"/>
    <w:qFormat/>
    <w:uiPriority w:val="0"/>
    <w:pPr>
      <w:spacing w:after="81"/>
      <w:ind w:firstLine="0" w:firstLineChars="0"/>
    </w:pPr>
  </w:style>
  <w:style w:type="character" w:customStyle="1" w:styleId="262">
    <w:name w:val="副标题 Char"/>
    <w:qFormat/>
    <w:uiPriority w:val="0"/>
    <w:rPr>
      <w:rFonts w:ascii="Cambria" w:hAnsi="Cambria"/>
      <w:b/>
      <w:bCs/>
      <w:kern w:val="28"/>
      <w:sz w:val="28"/>
      <w:szCs w:val="32"/>
      <w:shd w:val="clear" w:color="auto" w:fill="FFFFFF"/>
    </w:rPr>
  </w:style>
  <w:style w:type="character" w:customStyle="1" w:styleId="263">
    <w:name w:val="正文文本缩进 3 Char1"/>
    <w:semiHidden/>
    <w:qFormat/>
    <w:uiPriority w:val="99"/>
    <w:rPr>
      <w:kern w:val="2"/>
      <w:sz w:val="16"/>
      <w:szCs w:val="16"/>
    </w:rPr>
  </w:style>
  <w:style w:type="character" w:customStyle="1" w:styleId="264">
    <w:name w:val="纯文本 Char"/>
    <w:qFormat/>
    <w:uiPriority w:val="0"/>
    <w:rPr>
      <w:rFonts w:ascii="宋体" w:hAnsi="Courier New"/>
      <w:kern w:val="2"/>
      <w:sz w:val="21"/>
      <w:shd w:val="clear" w:color="auto" w:fill="FFFFFF"/>
    </w:rPr>
  </w:style>
  <w:style w:type="character" w:customStyle="1" w:styleId="265">
    <w:name w:val="标题 4 Char"/>
    <w:qFormat/>
    <w:uiPriority w:val="0"/>
    <w:rPr>
      <w:rFonts w:ascii="Arial" w:hAnsi="Arial" w:eastAsia="黑体"/>
      <w:b/>
      <w:bCs/>
      <w:kern w:val="2"/>
      <w:sz w:val="28"/>
      <w:szCs w:val="28"/>
      <w:shd w:val="clear" w:color="auto" w:fill="FFFFFF"/>
    </w:rPr>
  </w:style>
  <w:style w:type="character" w:customStyle="1" w:styleId="266">
    <w:name w:val="标题 8 Char"/>
    <w:qFormat/>
    <w:uiPriority w:val="0"/>
    <w:rPr>
      <w:rFonts w:ascii="Arial" w:hAnsi="Arial" w:eastAsia="黑体"/>
      <w:kern w:val="2"/>
      <w:sz w:val="24"/>
      <w:shd w:val="clear" w:color="auto" w:fill="FFFFFF"/>
    </w:rPr>
  </w:style>
  <w:style w:type="character" w:customStyle="1" w:styleId="267">
    <w:name w:val="图标题 Char"/>
    <w:link w:val="268"/>
    <w:qFormat/>
    <w:uiPriority w:val="0"/>
    <w:rPr>
      <w:rFonts w:ascii="宋体" w:hAnsi="宋体"/>
      <w:kern w:val="2"/>
      <w:sz w:val="21"/>
      <w:szCs w:val="24"/>
    </w:rPr>
  </w:style>
  <w:style w:type="paragraph" w:customStyle="1" w:styleId="268">
    <w:name w:val="图标题"/>
    <w:basedOn w:val="1"/>
    <w:link w:val="267"/>
    <w:qFormat/>
    <w:uiPriority w:val="0"/>
    <w:pPr>
      <w:jc w:val="center"/>
    </w:pPr>
    <w:rPr>
      <w:rFonts w:cs="Times New Roman"/>
      <w:kern w:val="2"/>
    </w:rPr>
  </w:style>
  <w:style w:type="character" w:customStyle="1" w:styleId="269">
    <w:name w:val="批注文字 Char"/>
    <w:qFormat/>
    <w:uiPriority w:val="0"/>
    <w:rPr>
      <w:rFonts w:ascii="宋体" w:hAnsi="宋体" w:cs="宋体"/>
      <w:sz w:val="21"/>
      <w:szCs w:val="24"/>
      <w:shd w:val="clear" w:color="auto" w:fill="FFFFFF"/>
    </w:rPr>
  </w:style>
  <w:style w:type="character" w:customStyle="1" w:styleId="270">
    <w:name w:val="标题 3 Char1"/>
    <w:qFormat/>
    <w:uiPriority w:val="0"/>
    <w:rPr>
      <w:rFonts w:ascii="宋体" w:hAnsi="宋体"/>
      <w:b/>
      <w:bCs/>
      <w:kern w:val="2"/>
      <w:sz w:val="24"/>
      <w:szCs w:val="32"/>
      <w:shd w:val="clear" w:color="auto" w:fill="FFFFFF"/>
    </w:rPr>
  </w:style>
  <w:style w:type="character" w:customStyle="1" w:styleId="271">
    <w:name w:val="日期 Char"/>
    <w:qFormat/>
    <w:uiPriority w:val="0"/>
    <w:rPr>
      <w:rFonts w:ascii="宋体" w:hAnsi="Courier New"/>
      <w:kern w:val="2"/>
      <w:sz w:val="32"/>
      <w:shd w:val="clear" w:color="auto" w:fill="FFFFFF"/>
    </w:rPr>
  </w:style>
  <w:style w:type="character" w:customStyle="1" w:styleId="272">
    <w:name w:val="普通文字1 Char Char"/>
    <w:qFormat/>
    <w:uiPriority w:val="0"/>
    <w:rPr>
      <w:rFonts w:ascii="宋体" w:hAnsi="Courier New" w:eastAsia="宋体" w:cs="Courier New"/>
      <w:kern w:val="2"/>
      <w:sz w:val="21"/>
      <w:szCs w:val="21"/>
      <w:lang w:val="en-US" w:eastAsia="zh-CN" w:bidi="ar-SA"/>
    </w:rPr>
  </w:style>
  <w:style w:type="character" w:customStyle="1" w:styleId="273">
    <w:name w:val="正文文本缩进 3 Char"/>
    <w:qFormat/>
    <w:uiPriority w:val="0"/>
    <w:rPr>
      <w:rFonts w:ascii="宋体"/>
      <w:b/>
      <w:bCs/>
      <w:kern w:val="2"/>
      <w:sz w:val="24"/>
      <w:szCs w:val="24"/>
      <w:shd w:val="clear" w:color="auto" w:fill="FFFFFF"/>
    </w:rPr>
  </w:style>
  <w:style w:type="character" w:customStyle="1" w:styleId="274">
    <w:name w:val="副标题 Char1"/>
    <w:qFormat/>
    <w:uiPriority w:val="11"/>
    <w:rPr>
      <w:rFonts w:ascii="Cambria" w:hAnsi="Cambria" w:cs="Times New Roman"/>
      <w:b/>
      <w:bCs/>
      <w:kern w:val="28"/>
      <w:sz w:val="32"/>
      <w:szCs w:val="32"/>
    </w:rPr>
  </w:style>
  <w:style w:type="character" w:customStyle="1" w:styleId="275">
    <w:name w:val="标题 9 Char"/>
    <w:qFormat/>
    <w:uiPriority w:val="0"/>
    <w:rPr>
      <w:rFonts w:ascii="Arial" w:hAnsi="Arial" w:eastAsia="黑体"/>
      <w:kern w:val="2"/>
      <w:sz w:val="21"/>
      <w:shd w:val="clear" w:color="auto" w:fill="FFFFFF"/>
    </w:rPr>
  </w:style>
  <w:style w:type="character" w:customStyle="1" w:styleId="276">
    <w:name w:val="书籍标题11"/>
    <w:qFormat/>
    <w:uiPriority w:val="33"/>
    <w:rPr>
      <w:b/>
      <w:bCs/>
      <w:smallCaps/>
      <w:spacing w:val="5"/>
    </w:rPr>
  </w:style>
  <w:style w:type="character" w:customStyle="1" w:styleId="277">
    <w:name w:val="正文文本 2 Char"/>
    <w:qFormat/>
    <w:uiPriority w:val="0"/>
    <w:rPr>
      <w:kern w:val="2"/>
      <w:sz w:val="24"/>
      <w:szCs w:val="24"/>
      <w:shd w:val="clear" w:color="auto" w:fill="FFFFFF"/>
    </w:rPr>
  </w:style>
  <w:style w:type="character" w:customStyle="1" w:styleId="278">
    <w:name w:val="标题 Char"/>
    <w:qFormat/>
    <w:uiPriority w:val="0"/>
    <w:rPr>
      <w:rFonts w:ascii="Arial" w:hAnsi="Arial"/>
      <w:b/>
      <w:bCs/>
      <w:kern w:val="2"/>
      <w:sz w:val="36"/>
      <w:szCs w:val="32"/>
      <w:shd w:val="clear" w:color="auto" w:fill="FFFFFF"/>
    </w:rPr>
  </w:style>
  <w:style w:type="character" w:customStyle="1" w:styleId="279">
    <w:name w:val="apple-converted-space"/>
    <w:qFormat/>
    <w:uiPriority w:val="0"/>
  </w:style>
  <w:style w:type="character" w:customStyle="1" w:styleId="280">
    <w:name w:val="unnamed211"/>
    <w:semiHidden/>
    <w:qFormat/>
    <w:uiPriority w:val="0"/>
    <w:rPr>
      <w:sz w:val="23"/>
      <w:szCs w:val="23"/>
    </w:rPr>
  </w:style>
  <w:style w:type="character" w:customStyle="1" w:styleId="281">
    <w:name w:val="pan4 Char"/>
    <w:link w:val="282"/>
    <w:qFormat/>
    <w:uiPriority w:val="0"/>
    <w:rPr>
      <w:rFonts w:ascii="黑体" w:hAnsi="黑体" w:eastAsia="黑体"/>
      <w:kern w:val="2"/>
      <w:sz w:val="28"/>
      <w:szCs w:val="28"/>
      <w:shd w:val="clear" w:color="auto" w:fill="FFFFFF"/>
    </w:rPr>
  </w:style>
  <w:style w:type="paragraph" w:customStyle="1" w:styleId="282">
    <w:name w:val="pan4"/>
    <w:basedOn w:val="188"/>
    <w:link w:val="281"/>
    <w:qFormat/>
    <w:uiPriority w:val="0"/>
    <w:pPr>
      <w:tabs>
        <w:tab w:val="left" w:pos="1680"/>
      </w:tabs>
      <w:ind w:left="1680" w:hanging="420" w:firstLineChars="0"/>
      <w:outlineLvl w:val="3"/>
    </w:pPr>
    <w:rPr>
      <w:rFonts w:ascii="黑体" w:hAnsi="黑体" w:eastAsia="黑体"/>
      <w:sz w:val="28"/>
      <w:szCs w:val="28"/>
    </w:rPr>
  </w:style>
  <w:style w:type="character" w:customStyle="1" w:styleId="283">
    <w:name w:val="138v1"/>
    <w:qFormat/>
    <w:uiPriority w:val="0"/>
  </w:style>
  <w:style w:type="character" w:customStyle="1" w:styleId="284">
    <w:name w:val="批注框文本 Char"/>
    <w:semiHidden/>
    <w:qFormat/>
    <w:uiPriority w:val="0"/>
    <w:rPr>
      <w:kern w:val="2"/>
      <w:sz w:val="18"/>
      <w:szCs w:val="18"/>
      <w:shd w:val="clear" w:color="auto" w:fill="FFFFFF"/>
    </w:rPr>
  </w:style>
  <w:style w:type="character" w:customStyle="1" w:styleId="285">
    <w:name w:val="纯文本 Char1"/>
    <w:qFormat/>
    <w:uiPriority w:val="0"/>
    <w:rPr>
      <w:rFonts w:ascii="宋体" w:hAnsi="Courier New" w:cs="Courier New"/>
      <w:kern w:val="2"/>
      <w:sz w:val="21"/>
      <w:szCs w:val="21"/>
    </w:rPr>
  </w:style>
  <w:style w:type="character" w:customStyle="1" w:styleId="286">
    <w:name w:val="pan5 Char"/>
    <w:link w:val="287"/>
    <w:qFormat/>
    <w:uiPriority w:val="0"/>
    <w:rPr>
      <w:rFonts w:ascii="黑体" w:hAnsi="黑体" w:eastAsia="黑体"/>
      <w:kern w:val="2"/>
      <w:sz w:val="24"/>
      <w:szCs w:val="24"/>
      <w:shd w:val="clear" w:color="auto" w:fill="FFFFFF"/>
    </w:rPr>
  </w:style>
  <w:style w:type="paragraph" w:customStyle="1" w:styleId="287">
    <w:name w:val="pan5"/>
    <w:basedOn w:val="188"/>
    <w:link w:val="286"/>
    <w:qFormat/>
    <w:uiPriority w:val="0"/>
    <w:pPr>
      <w:tabs>
        <w:tab w:val="left" w:pos="1008"/>
      </w:tabs>
      <w:ind w:left="1008" w:hanging="1008" w:firstLineChars="0"/>
      <w:outlineLvl w:val="4"/>
    </w:pPr>
    <w:rPr>
      <w:rFonts w:ascii="黑体" w:hAnsi="黑体" w:eastAsia="黑体"/>
      <w:sz w:val="24"/>
    </w:rPr>
  </w:style>
  <w:style w:type="character" w:customStyle="1" w:styleId="288">
    <w:name w:val="正文文本 3 Char"/>
    <w:qFormat/>
    <w:uiPriority w:val="0"/>
    <w:rPr>
      <w:kern w:val="2"/>
      <w:sz w:val="16"/>
      <w:szCs w:val="16"/>
      <w:shd w:val="clear" w:color="auto" w:fill="FFFFFF"/>
    </w:rPr>
  </w:style>
  <w:style w:type="character" w:customStyle="1" w:styleId="289">
    <w:name w:val="引用 Char"/>
    <w:qFormat/>
    <w:uiPriority w:val="29"/>
    <w:rPr>
      <w:iCs/>
      <w:color w:val="000000"/>
      <w:kern w:val="2"/>
      <w:sz w:val="24"/>
      <w:szCs w:val="24"/>
      <w:shd w:val="clear" w:color="auto" w:fill="FFFFFF"/>
    </w:rPr>
  </w:style>
  <w:style w:type="character" w:customStyle="1" w:styleId="290">
    <w:name w:val="Default Char"/>
    <w:link w:val="291"/>
    <w:qFormat/>
    <w:uiPriority w:val="0"/>
    <w:rPr>
      <w:rFonts w:ascii="宋体" w:hAnsi="Calibri"/>
      <w:color w:val="000000"/>
      <w:sz w:val="24"/>
      <w:szCs w:val="24"/>
      <w:lang w:val="en-US" w:eastAsia="zh-CN" w:bidi="ar-SA"/>
    </w:rPr>
  </w:style>
  <w:style w:type="paragraph" w:customStyle="1" w:styleId="291">
    <w:name w:val="Default"/>
    <w:link w:val="290"/>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character" w:customStyle="1" w:styleId="292">
    <w:name w:val="tpc_content1"/>
    <w:qFormat/>
    <w:uiPriority w:val="0"/>
    <w:rPr>
      <w:sz w:val="20"/>
      <w:szCs w:val="20"/>
    </w:rPr>
  </w:style>
  <w:style w:type="character" w:customStyle="1" w:styleId="293">
    <w:name w:val="f14b1"/>
    <w:semiHidden/>
    <w:qFormat/>
    <w:uiPriority w:val="0"/>
    <w:rPr>
      <w:b/>
      <w:bCs/>
      <w:sz w:val="21"/>
      <w:szCs w:val="21"/>
    </w:rPr>
  </w:style>
  <w:style w:type="character" w:customStyle="1" w:styleId="294">
    <w:name w:val="f142"/>
    <w:semiHidden/>
    <w:qFormat/>
    <w:uiPriority w:val="0"/>
    <w:rPr>
      <w:sz w:val="21"/>
      <w:szCs w:val="21"/>
    </w:rPr>
  </w:style>
  <w:style w:type="character" w:customStyle="1" w:styleId="295">
    <w:name w:val="正文缩进 Char1"/>
    <w:qFormat/>
    <w:uiPriority w:val="0"/>
    <w:rPr>
      <w:kern w:val="2"/>
      <w:sz w:val="21"/>
    </w:rPr>
  </w:style>
  <w:style w:type="character" w:customStyle="1" w:styleId="296">
    <w:name w:val="明显参考2"/>
    <w:qFormat/>
    <w:uiPriority w:val="32"/>
    <w:rPr>
      <w:rFonts w:eastAsia="宋体"/>
      <w:bCs/>
      <w:smallCaps/>
      <w:color w:val="000000"/>
      <w:spacing w:val="5"/>
      <w:sz w:val="24"/>
      <w:u w:val="single"/>
    </w:rPr>
  </w:style>
  <w:style w:type="character" w:customStyle="1" w:styleId="297">
    <w:name w:val="pan3 Char"/>
    <w:link w:val="298"/>
    <w:qFormat/>
    <w:uiPriority w:val="0"/>
    <w:rPr>
      <w:rFonts w:ascii="黑体" w:hAnsi="黑体" w:eastAsia="黑体"/>
      <w:kern w:val="2"/>
      <w:sz w:val="28"/>
      <w:szCs w:val="28"/>
      <w:shd w:val="clear" w:color="auto" w:fill="FFFFFF"/>
    </w:rPr>
  </w:style>
  <w:style w:type="paragraph" w:customStyle="1" w:styleId="298">
    <w:name w:val="pan3"/>
    <w:basedOn w:val="188"/>
    <w:link w:val="297"/>
    <w:qFormat/>
    <w:uiPriority w:val="0"/>
    <w:pPr>
      <w:tabs>
        <w:tab w:val="left" w:pos="1260"/>
      </w:tabs>
      <w:ind w:left="1260" w:hanging="420" w:firstLineChars="0"/>
      <w:outlineLvl w:val="2"/>
    </w:pPr>
    <w:rPr>
      <w:rFonts w:ascii="黑体" w:hAnsi="黑体" w:eastAsia="黑体"/>
      <w:sz w:val="28"/>
      <w:szCs w:val="28"/>
    </w:rPr>
  </w:style>
  <w:style w:type="character" w:customStyle="1" w:styleId="299">
    <w:name w:val="标题 1 Char"/>
    <w:qFormat/>
    <w:uiPriority w:val="0"/>
    <w:rPr>
      <w:rFonts w:ascii="宋体" w:hAnsi="宋体" w:eastAsia="黑体" w:cs="Times New Roman"/>
      <w:b/>
      <w:bCs/>
      <w:kern w:val="44"/>
      <w:sz w:val="28"/>
      <w:szCs w:val="28"/>
      <w:shd w:val="clear" w:color="auto" w:fill="FFFFFF"/>
    </w:rPr>
  </w:style>
  <w:style w:type="character" w:customStyle="1" w:styleId="300">
    <w:name w:val="方案正文段落 Char"/>
    <w:link w:val="301"/>
    <w:qFormat/>
    <w:uiPriority w:val="0"/>
    <w:rPr>
      <w:kern w:val="2"/>
      <w:sz w:val="21"/>
    </w:rPr>
  </w:style>
  <w:style w:type="paragraph" w:customStyle="1" w:styleId="301">
    <w:name w:val="方案正文段落"/>
    <w:basedOn w:val="1"/>
    <w:link w:val="300"/>
    <w:qFormat/>
    <w:uiPriority w:val="0"/>
    <w:pPr>
      <w:ind w:firstLine="420" w:firstLineChars="200"/>
    </w:pPr>
    <w:rPr>
      <w:rFonts w:ascii="Times New Roman" w:hAnsi="Times New Roman" w:cs="Times New Roman"/>
      <w:kern w:val="2"/>
      <w:szCs w:val="20"/>
    </w:rPr>
  </w:style>
  <w:style w:type="character" w:customStyle="1" w:styleId="302">
    <w:name w:val="text1"/>
    <w:qFormat/>
    <w:uiPriority w:val="0"/>
  </w:style>
  <w:style w:type="character" w:customStyle="1" w:styleId="303">
    <w:name w:val="标题 3 Char"/>
    <w:qFormat/>
    <w:uiPriority w:val="0"/>
    <w:rPr>
      <w:rFonts w:ascii="黑体" w:eastAsia="黑体"/>
      <w:bCs/>
      <w:sz w:val="30"/>
    </w:rPr>
  </w:style>
  <w:style w:type="paragraph" w:customStyle="1" w:styleId="304">
    <w:name w:val="Char1 Char Char Char"/>
    <w:basedOn w:val="1"/>
    <w:qFormat/>
    <w:uiPriority w:val="0"/>
    <w:pPr>
      <w:widowControl w:val="0"/>
      <w:shd w:val="clear" w:color="auto" w:fill="auto"/>
      <w:tabs>
        <w:tab w:val="clear" w:pos="426"/>
      </w:tabs>
      <w:adjustRightInd/>
      <w:snapToGrid/>
      <w:spacing w:line="240" w:lineRule="auto"/>
    </w:pPr>
    <w:rPr>
      <w:rFonts w:ascii="Times New Roman" w:hAnsi="Times New Roman" w:eastAsia="仿宋_GB2312" w:cs="Times New Roman"/>
      <w:kern w:val="2"/>
      <w:sz w:val="28"/>
    </w:rPr>
  </w:style>
  <w:style w:type="paragraph" w:customStyle="1" w:styleId="30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306">
    <w:name w:val="_Style 38"/>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customStyle="1" w:styleId="307">
    <w:name w:val="xl2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0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09">
    <w:name w:val="方案标题2"/>
    <w:basedOn w:val="81"/>
    <w:qFormat/>
    <w:uiPriority w:val="0"/>
    <w:pPr>
      <w:tabs>
        <w:tab w:val="left" w:pos="720"/>
      </w:tabs>
      <w:spacing w:beforeLines="50" w:afterLines="50"/>
      <w:ind w:firstLine="200" w:firstLineChars="200"/>
      <w:jc w:val="left"/>
      <w:outlineLvl w:val="1"/>
    </w:pPr>
    <w:rPr>
      <w:rFonts w:eastAsia="仿宋_GB2312"/>
      <w:color w:val="000000"/>
      <w:sz w:val="30"/>
      <w:szCs w:val="30"/>
    </w:rPr>
  </w:style>
  <w:style w:type="paragraph" w:customStyle="1" w:styleId="310">
    <w:name w:val="Char"/>
    <w:basedOn w:val="1"/>
    <w:qFormat/>
    <w:uiPriority w:val="0"/>
    <w:pPr>
      <w:spacing w:after="160" w:line="240" w:lineRule="exact"/>
      <w:jc w:val="left"/>
    </w:pPr>
    <w:rPr>
      <w:rFonts w:ascii="Verdana" w:hAnsi="Verdana" w:eastAsia="仿宋_GB2312"/>
      <w:sz w:val="24"/>
      <w:szCs w:val="20"/>
      <w:lang w:eastAsia="en-US"/>
    </w:rPr>
  </w:style>
  <w:style w:type="paragraph" w:customStyle="1" w:styleId="311">
    <w:name w:val="xl22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2">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13">
    <w:name w:val="TOC 标题2"/>
    <w:basedOn w:val="2"/>
    <w:next w:val="1"/>
    <w:qFormat/>
    <w:uiPriority w:val="39"/>
    <w:pPr>
      <w:keepNext/>
      <w:keepLines/>
      <w:shd w:val="clear" w:color="auto" w:fill="auto"/>
      <w:adjustRightInd/>
      <w:snapToGrid/>
      <w:spacing w:before="480" w:after="0" w:line="276" w:lineRule="auto"/>
      <w:jc w:val="left"/>
      <w:outlineLvl w:val="9"/>
    </w:pPr>
    <w:rPr>
      <w:rFonts w:ascii="Cambria" w:hAnsi="Cambria" w:eastAsia="宋体"/>
      <w:color w:val="365F91"/>
      <w:kern w:val="0"/>
    </w:rPr>
  </w:style>
  <w:style w:type="paragraph" w:customStyle="1" w:styleId="314">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styleId="315">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316">
    <w:name w:val="xl103"/>
    <w:basedOn w:val="1"/>
    <w:qFormat/>
    <w:uiPriority w:val="0"/>
    <w:pPr>
      <w:spacing w:beforeAutospacing="1" w:afterAutospacing="1"/>
      <w:jc w:val="left"/>
      <w:textAlignment w:val="center"/>
    </w:pPr>
    <w:rPr>
      <w:color w:val="FF0000"/>
      <w:sz w:val="22"/>
      <w:szCs w:val="22"/>
    </w:rPr>
  </w:style>
  <w:style w:type="paragraph" w:customStyle="1" w:styleId="317">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18">
    <w:name w:val="xl25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9">
    <w:name w:val="xl26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0">
    <w:name w:val="pa-2"/>
    <w:basedOn w:val="1"/>
    <w:qFormat/>
    <w:uiPriority w:val="0"/>
    <w:pPr>
      <w:spacing w:before="100" w:beforeAutospacing="1" w:after="100" w:afterAutospacing="1"/>
      <w:jc w:val="left"/>
    </w:pPr>
    <w:rPr>
      <w:sz w:val="24"/>
    </w:rPr>
  </w:style>
  <w:style w:type="paragraph" w:customStyle="1" w:styleId="321">
    <w:name w:val="xl22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322">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323">
    <w:name w:val="正文样式"/>
    <w:basedOn w:val="33"/>
    <w:qFormat/>
    <w:uiPriority w:val="0"/>
    <w:pPr>
      <w:widowControl w:val="0"/>
      <w:shd w:val="clear" w:color="auto" w:fill="auto"/>
      <w:adjustRightInd/>
      <w:snapToGrid/>
      <w:jc w:val="left"/>
    </w:pPr>
    <w:rPr>
      <w:rFonts w:ascii="宋体" w:cs="宋体"/>
      <w:szCs w:val="20"/>
    </w:rPr>
  </w:style>
  <w:style w:type="paragraph" w:customStyle="1" w:styleId="324">
    <w:name w:val="xl24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325">
    <w:name w:val="xl24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327">
    <w:name w:val="正文Land"/>
    <w:basedOn w:val="1"/>
    <w:qFormat/>
    <w:uiPriority w:val="0"/>
    <w:pPr>
      <w:spacing w:beforeLines="20" w:afterLines="50"/>
      <w:ind w:firstLine="200" w:firstLineChars="200"/>
    </w:pPr>
    <w:rPr>
      <w:color w:val="000000"/>
      <w:sz w:val="24"/>
    </w:rPr>
  </w:style>
  <w:style w:type="paragraph" w:customStyle="1" w:styleId="328">
    <w:name w:val="xl24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9">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30">
    <w:name w:val="xl23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1">
    <w:name w:val="font9"/>
    <w:basedOn w:val="1"/>
    <w:qFormat/>
    <w:uiPriority w:val="0"/>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332">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333">
    <w:name w:val="xl25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34">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335">
    <w:name w:val="样式 (西文) 宋体 行距: 1.5 倍行距"/>
    <w:basedOn w:val="1"/>
    <w:qFormat/>
    <w:uiPriority w:val="0"/>
    <w:pPr>
      <w:widowControl w:val="0"/>
      <w:shd w:val="clear" w:color="auto" w:fill="auto"/>
      <w:tabs>
        <w:tab w:val="clear" w:pos="426"/>
      </w:tabs>
      <w:adjustRightInd/>
      <w:snapToGrid/>
    </w:pPr>
    <w:rPr>
      <w:kern w:val="2"/>
      <w:szCs w:val="20"/>
    </w:rPr>
  </w:style>
  <w:style w:type="paragraph" w:customStyle="1" w:styleId="336">
    <w:name w:val="样式1"/>
    <w:basedOn w:val="1"/>
    <w:qFormat/>
    <w:uiPriority w:val="0"/>
    <w:pPr>
      <w:keepNext/>
      <w:keepLines/>
      <w:spacing w:before="340" w:after="330"/>
      <w:ind w:left="420" w:hanging="420"/>
      <w:outlineLvl w:val="0"/>
    </w:pPr>
    <w:rPr>
      <w:b/>
      <w:kern w:val="44"/>
      <w:sz w:val="44"/>
      <w:szCs w:val="20"/>
    </w:rPr>
  </w:style>
  <w:style w:type="paragraph" w:customStyle="1" w:styleId="337">
    <w:name w:val="xl25"/>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338">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339">
    <w:name w:val="xl23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341">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342">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343">
    <w:name w:val="xl104"/>
    <w:basedOn w:val="1"/>
    <w:qFormat/>
    <w:uiPriority w:val="0"/>
    <w:pPr>
      <w:spacing w:beforeAutospacing="1" w:afterAutospacing="1"/>
      <w:jc w:val="center"/>
    </w:pPr>
    <w:rPr>
      <w:sz w:val="24"/>
    </w:rPr>
  </w:style>
  <w:style w:type="paragraph" w:customStyle="1" w:styleId="344">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45">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346">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347">
    <w:name w:val="xl228"/>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49">
    <w:name w:val="xl269"/>
    <w:basedOn w:val="1"/>
    <w:qFormat/>
    <w:uiPriority w:val="0"/>
    <w:pPr>
      <w:pBdr>
        <w:bottom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paragraph" w:customStyle="1" w:styleId="350">
    <w:name w:val="xl251"/>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51">
    <w:name w:val="附件标题"/>
    <w:basedOn w:val="1"/>
    <w:qFormat/>
    <w:uiPriority w:val="0"/>
    <w:pPr>
      <w:ind w:firstLine="200" w:firstLineChars="200"/>
      <w:jc w:val="center"/>
    </w:pPr>
    <w:rPr>
      <w:rFonts w:ascii="Arial" w:hAnsi="Arial" w:eastAsia="黑体"/>
      <w:sz w:val="24"/>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353">
    <w:name w:val="标题5"/>
    <w:basedOn w:val="18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354">
    <w:name w:val="xl26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5">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6">
    <w:name w:val="xl25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7">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358">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59">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360">
    <w:name w:val="--规划正文"/>
    <w:basedOn w:val="1"/>
    <w:qFormat/>
    <w:uiPriority w:val="0"/>
    <w:pPr>
      <w:widowControl w:val="0"/>
      <w:shd w:val="clear" w:color="auto" w:fill="auto"/>
      <w:tabs>
        <w:tab w:val="clear" w:pos="426"/>
      </w:tabs>
      <w:adjustRightInd/>
      <w:snapToGrid/>
      <w:ind w:firstLine="200" w:firstLineChars="200"/>
    </w:pPr>
    <w:rPr>
      <w:rFonts w:ascii="Times New Roman" w:hAnsi="Times New Roman" w:cs="Times New Roman"/>
      <w:kern w:val="2"/>
      <w:szCs w:val="20"/>
    </w:rPr>
  </w:style>
  <w:style w:type="paragraph" w:customStyle="1" w:styleId="361">
    <w:name w:val="xl24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62">
    <w:name w:val="TOC 标题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36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364">
    <w:name w:val="Char Char Char Char Char Char Char"/>
    <w:basedOn w:val="1"/>
    <w:qFormat/>
    <w:uiPriority w:val="0"/>
    <w:pPr>
      <w:widowControl w:val="0"/>
      <w:shd w:val="clear" w:color="auto" w:fill="auto"/>
      <w:tabs>
        <w:tab w:val="clear" w:pos="426"/>
      </w:tabs>
      <w:adjustRightInd/>
      <w:snapToGrid/>
      <w:spacing w:line="240" w:lineRule="auto"/>
    </w:pPr>
    <w:rPr>
      <w:rFonts w:ascii="仿宋_GB2312" w:hAnsi="Times New Roman" w:eastAsia="仿宋_GB2312" w:cs="Times New Roman"/>
      <w:b/>
      <w:kern w:val="2"/>
      <w:sz w:val="32"/>
      <w:szCs w:val="32"/>
    </w:rPr>
  </w:style>
  <w:style w:type="paragraph" w:customStyle="1" w:styleId="365">
    <w:name w:val="ggbody"/>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366">
    <w:name w:val="!项目ALT+P"/>
    <w:basedOn w:val="1"/>
    <w:qFormat/>
    <w:uiPriority w:val="0"/>
    <w:pPr>
      <w:tabs>
        <w:tab w:val="left" w:pos="420"/>
        <w:tab w:val="clear" w:pos="426"/>
      </w:tabs>
      <w:spacing w:line="320" w:lineRule="atLeast"/>
      <w:ind w:left="420"/>
      <w:textAlignment w:val="baseline"/>
    </w:pPr>
    <w:rPr>
      <w:szCs w:val="21"/>
    </w:rPr>
  </w:style>
  <w:style w:type="paragraph" w:customStyle="1" w:styleId="367">
    <w:name w:val="xl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rFonts w:ascii="Times New Roman" w:hAnsi="Times New Roman" w:eastAsia="Arial Unicode MS" w:cs="Times New Roman"/>
      <w:sz w:val="24"/>
    </w:rPr>
  </w:style>
  <w:style w:type="paragraph" w:customStyle="1" w:styleId="368">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369">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370">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371">
    <w:name w:val="正文-1级列表-(1)"/>
    <w:basedOn w:val="1"/>
    <w:qFormat/>
    <w:uiPriority w:val="0"/>
    <w:pPr>
      <w:tabs>
        <w:tab w:val="left" w:pos="420"/>
        <w:tab w:val="clear" w:pos="426"/>
      </w:tabs>
      <w:ind w:left="800"/>
    </w:pPr>
    <w:rPr>
      <w:sz w:val="24"/>
      <w:lang w:val="en-GB"/>
    </w:rPr>
  </w:style>
  <w:style w:type="paragraph" w:customStyle="1" w:styleId="372">
    <w:name w:val="xl23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3">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374">
    <w:name w:val="font7"/>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20"/>
      <w:szCs w:val="20"/>
    </w:rPr>
  </w:style>
  <w:style w:type="paragraph" w:customStyle="1" w:styleId="375">
    <w:name w:val="xl22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6">
    <w:name w:val="5"/>
    <w:basedOn w:val="1"/>
    <w:qFormat/>
    <w:uiPriority w:val="0"/>
    <w:pPr>
      <w:ind w:firstLine="200" w:firstLineChars="200"/>
      <w:jc w:val="left"/>
    </w:pPr>
    <w:rPr>
      <w:sz w:val="24"/>
    </w:rPr>
  </w:style>
  <w:style w:type="paragraph" w:customStyle="1" w:styleId="377">
    <w:name w:val="样式 标题 4h4heading 4h41heading 41h42heading 42h411heading ..."/>
    <w:basedOn w:val="4"/>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378">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379">
    <w:name w:val="缺省文本"/>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80">
    <w:name w:val="参数内容"/>
    <w:basedOn w:val="188"/>
    <w:qFormat/>
    <w:uiPriority w:val="0"/>
    <w:pPr>
      <w:ind w:left="780" w:firstLine="0" w:firstLineChars="0"/>
    </w:pPr>
    <w:rPr>
      <w:szCs w:val="18"/>
    </w:rPr>
  </w:style>
  <w:style w:type="paragraph" w:customStyle="1" w:styleId="381">
    <w:name w:val="默认段落字体 Para Char Char Char Char Char Char Char Char Char3 Char Char Char Char"/>
    <w:basedOn w:val="24"/>
    <w:qFormat/>
    <w:uiPriority w:val="0"/>
    <w:pPr>
      <w:spacing w:line="436" w:lineRule="exact"/>
      <w:ind w:left="357"/>
      <w:jc w:val="left"/>
      <w:outlineLvl w:val="3"/>
    </w:pPr>
    <w:rPr>
      <w:rFonts w:ascii="Tahoma" w:hAnsi="Tahoma"/>
      <w:b/>
      <w:sz w:val="24"/>
    </w:rPr>
  </w:style>
  <w:style w:type="paragraph" w:customStyle="1" w:styleId="382">
    <w:name w:val="样式5"/>
    <w:basedOn w:val="1"/>
    <w:qFormat/>
    <w:uiPriority w:val="0"/>
    <w:pPr>
      <w:tabs>
        <w:tab w:val="left" w:pos="900"/>
      </w:tabs>
      <w:spacing w:beforeLines="50" w:afterLines="50"/>
      <w:ind w:left="900"/>
    </w:pPr>
    <w:rPr>
      <w:rFonts w:eastAsia="仿宋_GB2312"/>
      <w:color w:val="000000"/>
      <w:sz w:val="24"/>
    </w:rPr>
  </w:style>
  <w:style w:type="paragraph" w:customStyle="1" w:styleId="383">
    <w:name w:val="Char Char10 Char Char"/>
    <w:basedOn w:val="24"/>
    <w:qFormat/>
    <w:uiPriority w:val="0"/>
    <w:rPr>
      <w:rFonts w:ascii="Tahoma" w:hAnsi="Tahoma"/>
      <w:sz w:val="24"/>
    </w:rPr>
  </w:style>
  <w:style w:type="paragraph" w:customStyle="1" w:styleId="384">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385">
    <w:name w:val="文档正文"/>
    <w:basedOn w:val="1"/>
    <w:qFormat/>
    <w:uiPriority w:val="0"/>
    <w:pPr>
      <w:spacing w:line="480" w:lineRule="atLeast"/>
      <w:ind w:firstLine="567" w:firstLineChars="200"/>
      <w:textAlignment w:val="baseline"/>
    </w:pPr>
    <w:rPr>
      <w:rFonts w:ascii="长城仿宋"/>
      <w:szCs w:val="20"/>
    </w:rPr>
  </w:style>
  <w:style w:type="paragraph" w:customStyle="1" w:styleId="386">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387">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388">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389">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390">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391">
    <w:name w:val="附件1."/>
    <w:basedOn w:val="2"/>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392">
    <w:name w:val="样式 首行缩进:  0 字符"/>
    <w:basedOn w:val="1"/>
    <w:qFormat/>
    <w:uiPriority w:val="0"/>
    <w:pPr>
      <w:ind w:firstLine="200" w:firstLineChars="200"/>
    </w:pPr>
    <w:rPr>
      <w:sz w:val="24"/>
      <w:szCs w:val="20"/>
    </w:rPr>
  </w:style>
  <w:style w:type="paragraph" w:customStyle="1" w:styleId="393">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39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395">
    <w:name w:val="Default Text"/>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96">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39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98">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99">
    <w:name w:val="cqq2"/>
    <w:basedOn w:val="1"/>
    <w:qFormat/>
    <w:uiPriority w:val="0"/>
    <w:pPr>
      <w:widowControl w:val="0"/>
      <w:shd w:val="clear" w:color="auto" w:fill="auto"/>
      <w:tabs>
        <w:tab w:val="clear" w:pos="426"/>
      </w:tabs>
      <w:adjustRightInd/>
      <w:snapToGrid/>
      <w:spacing w:line="520" w:lineRule="exact"/>
    </w:pPr>
    <w:rPr>
      <w:rFonts w:ascii="仿宋_GB2312" w:hAnsi="Times New Roman" w:eastAsia="仿宋_GB2312" w:cs="Times New Roman"/>
      <w:b/>
      <w:kern w:val="2"/>
      <w:sz w:val="28"/>
      <w:szCs w:val="20"/>
    </w:rPr>
  </w:style>
  <w:style w:type="paragraph" w:customStyle="1" w:styleId="400">
    <w:name w:val="MaoC2"/>
    <w:basedOn w:val="1"/>
    <w:qFormat/>
    <w:uiPriority w:val="0"/>
    <w:pPr>
      <w:tabs>
        <w:tab w:val="left" w:pos="510"/>
      </w:tabs>
      <w:spacing w:line="480" w:lineRule="auto"/>
      <w:ind w:left="420" w:hanging="420"/>
      <w:outlineLvl w:val="1"/>
    </w:pPr>
    <w:rPr>
      <w:rFonts w:ascii="黑体" w:eastAsia="黑体"/>
      <w:szCs w:val="20"/>
    </w:rPr>
  </w:style>
  <w:style w:type="paragraph" w:customStyle="1" w:styleId="401">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402">
    <w:name w:val="xl26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03">
    <w:name w:val="样式 标题 2H2Heading 2 HiddenHeading 2 CCBSheading 22nd levelh...1"/>
    <w:basedOn w:val="5"/>
    <w:qFormat/>
    <w:uiPriority w:val="0"/>
    <w:pPr>
      <w:adjustRightInd/>
      <w:spacing w:before="240" w:after="240"/>
      <w:ind w:left="576" w:hanging="576"/>
      <w:jc w:val="left"/>
      <w:textAlignment w:val="auto"/>
    </w:pPr>
    <w:rPr>
      <w:bCs/>
      <w:kern w:val="2"/>
      <w:sz w:val="28"/>
      <w:szCs w:val="28"/>
    </w:rPr>
  </w:style>
  <w:style w:type="paragraph" w:customStyle="1" w:styleId="404">
    <w:name w:val="样式 Verdana 四号 首行缩进:  2 字符"/>
    <w:basedOn w:val="1"/>
    <w:qFormat/>
    <w:uiPriority w:val="0"/>
    <w:pPr>
      <w:ind w:firstLine="560" w:firstLineChars="200"/>
      <w:jc w:val="left"/>
    </w:pPr>
    <w:rPr>
      <w:rFonts w:ascii="Verdana" w:hAnsi="Verdana"/>
      <w:sz w:val="24"/>
      <w:szCs w:val="20"/>
    </w:rPr>
  </w:style>
  <w:style w:type="paragraph" w:customStyle="1" w:styleId="405">
    <w:name w:val="主题"/>
    <w:basedOn w:val="1"/>
    <w:qFormat/>
    <w:uiPriority w:val="0"/>
  </w:style>
  <w:style w:type="paragraph" w:customStyle="1" w:styleId="406">
    <w:name w:val="ggtitle"/>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407">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408">
    <w:name w:val="修订1"/>
    <w:unhideWhenUsed/>
    <w:qFormat/>
    <w:uiPriority w:val="99"/>
    <w:rPr>
      <w:rFonts w:ascii="宋体" w:hAnsi="宋体" w:eastAsia="宋体" w:cs="宋体"/>
      <w:sz w:val="21"/>
      <w:szCs w:val="24"/>
      <w:lang w:val="en-US" w:eastAsia="zh-CN" w:bidi="ar-SA"/>
    </w:rPr>
  </w:style>
  <w:style w:type="paragraph" w:customStyle="1" w:styleId="409">
    <w:name w:val="样式 标题 4 + 段前: 0.5 行 段后: 0.5 行"/>
    <w:basedOn w:val="4"/>
    <w:qFormat/>
    <w:uiPriority w:val="0"/>
    <w:pPr>
      <w:spacing w:beforeLines="50" w:afterLines="50" w:line="377" w:lineRule="auto"/>
      <w:ind w:left="2240"/>
      <w:jc w:val="left"/>
    </w:pPr>
    <w:rPr>
      <w:rFonts w:ascii="Cambria" w:hAnsi="Cambria" w:eastAsia="宋体" w:cs="宋体"/>
      <w:sz w:val="24"/>
      <w:szCs w:val="20"/>
    </w:rPr>
  </w:style>
  <w:style w:type="paragraph" w:customStyle="1" w:styleId="410">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41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412">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413">
    <w:name w:val="样式 标题 2H2Heading 2 HiddenHeading 2 CCBSheading 22nd levelh..."/>
    <w:basedOn w:val="5"/>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414">
    <w:name w:val="自定义正文"/>
    <w:basedOn w:val="1"/>
    <w:qFormat/>
    <w:uiPriority w:val="0"/>
    <w:pPr>
      <w:spacing w:afterLines="50"/>
      <w:ind w:left="600" w:leftChars="600"/>
    </w:pPr>
  </w:style>
  <w:style w:type="paragraph" w:customStyle="1" w:styleId="415">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416">
    <w:name w:val="Char Char Char Char Char"/>
    <w:basedOn w:val="1"/>
    <w:qFormat/>
    <w:uiPriority w:val="0"/>
    <w:rPr>
      <w:rFonts w:ascii="Tahoma" w:hAnsi="Tahoma"/>
      <w:sz w:val="24"/>
      <w:szCs w:val="20"/>
    </w:rPr>
  </w:style>
  <w:style w:type="paragraph" w:customStyle="1" w:styleId="417">
    <w:name w:val="È±Ê¡ÎÄ±¾"/>
    <w:basedOn w:val="1"/>
    <w:qFormat/>
    <w:uiPriority w:val="0"/>
    <w:pPr>
      <w:overflowPunct w:val="0"/>
      <w:autoSpaceDE w:val="0"/>
      <w:autoSpaceDN w:val="0"/>
      <w:jc w:val="left"/>
      <w:textAlignment w:val="baseline"/>
    </w:pPr>
    <w:rPr>
      <w:sz w:val="24"/>
      <w:szCs w:val="20"/>
    </w:rPr>
  </w:style>
  <w:style w:type="paragraph" w:customStyle="1" w:styleId="418">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419">
    <w:name w:val="USE 4"/>
    <w:basedOn w:val="1"/>
    <w:qFormat/>
    <w:uiPriority w:val="0"/>
    <w:pPr>
      <w:widowControl w:val="0"/>
      <w:shd w:val="clear" w:color="auto" w:fill="auto"/>
      <w:tabs>
        <w:tab w:val="clear" w:pos="426"/>
      </w:tabs>
      <w:adjustRightInd/>
      <w:snapToGrid/>
      <w:ind w:left="284" w:hanging="227"/>
      <w:jc w:val="left"/>
    </w:pPr>
    <w:rPr>
      <w:rFonts w:cs="Times New Roman"/>
      <w:kern w:val="2"/>
      <w:sz w:val="24"/>
      <w:szCs w:val="20"/>
    </w:rPr>
  </w:style>
  <w:style w:type="paragraph" w:customStyle="1" w:styleId="420">
    <w:name w:val="表1"/>
    <w:basedOn w:val="1"/>
    <w:qFormat/>
    <w:uiPriority w:val="0"/>
    <w:pPr>
      <w:widowControl w:val="0"/>
      <w:shd w:val="clear" w:color="auto" w:fill="auto"/>
      <w:tabs>
        <w:tab w:val="clear" w:pos="426"/>
      </w:tabs>
      <w:adjustRightInd/>
      <w:snapToGrid/>
      <w:spacing w:line="240" w:lineRule="auto"/>
    </w:pPr>
    <w:rPr>
      <w:rFonts w:hint="eastAsia" w:ascii="Times New Roman" w:cs="Times New Roman"/>
      <w:kern w:val="2"/>
      <w:sz w:val="24"/>
      <w:szCs w:val="20"/>
    </w:rPr>
  </w:style>
  <w:style w:type="paragraph" w:customStyle="1" w:styleId="421">
    <w:name w:val="xl25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2">
    <w:name w:val="Char Char Char1 Char Char Char1 Char Char Char Char Char Char1 Char Char Char1 Char"/>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szCs w:val="20"/>
    </w:rPr>
  </w:style>
  <w:style w:type="paragraph" w:customStyle="1" w:styleId="423">
    <w:name w:val="附件圈"/>
    <w:basedOn w:val="424"/>
    <w:qFormat/>
    <w:uiPriority w:val="0"/>
    <w:pPr>
      <w:tabs>
        <w:tab w:val="left" w:pos="420"/>
        <w:tab w:val="left" w:pos="426"/>
      </w:tabs>
      <w:ind w:left="0" w:firstLine="420"/>
    </w:pPr>
  </w:style>
  <w:style w:type="paragraph" w:customStyle="1" w:styleId="424">
    <w:name w:val="附件(1)"/>
    <w:basedOn w:val="1"/>
    <w:qFormat/>
    <w:uiPriority w:val="0"/>
    <w:pPr>
      <w:ind w:left="900" w:firstLine="200" w:firstLineChars="200"/>
    </w:pPr>
    <w:rPr>
      <w:sz w:val="24"/>
    </w:rPr>
  </w:style>
  <w:style w:type="paragraph" w:customStyle="1" w:styleId="425">
    <w:name w:val="样式 10 磅"/>
    <w:qFormat/>
    <w:uiPriority w:val="0"/>
    <w:pPr>
      <w:shd w:val="clear" w:color="auto" w:fill="FFFFFF"/>
      <w:tabs>
        <w:tab w:val="left" w:pos="426"/>
      </w:tabs>
      <w:adjustRightInd w:val="0"/>
      <w:snapToGrid w:val="0"/>
      <w:jc w:val="center"/>
    </w:pPr>
    <w:rPr>
      <w:rFonts w:ascii="宋体" w:hAnsi="Times New Roman" w:eastAsia="宋体" w:cs="宋体"/>
      <w:sz w:val="21"/>
      <w:szCs w:val="24"/>
      <w:lang w:val="en-US" w:eastAsia="zh-CN" w:bidi="ar-SA"/>
    </w:rPr>
  </w:style>
  <w:style w:type="paragraph" w:customStyle="1" w:styleId="426">
    <w:name w:val="xl25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28">
    <w:name w:val="方案标题1"/>
    <w:basedOn w:val="81"/>
    <w:qFormat/>
    <w:uiPriority w:val="0"/>
    <w:pPr>
      <w:tabs>
        <w:tab w:val="left" w:pos="1440"/>
      </w:tabs>
      <w:spacing w:beforeLines="50" w:afterLines="50"/>
      <w:ind w:firstLine="200" w:firstLineChars="200"/>
      <w:jc w:val="both"/>
    </w:pPr>
    <w:rPr>
      <w:color w:val="000000"/>
    </w:rPr>
  </w:style>
  <w:style w:type="paragraph" w:customStyle="1" w:styleId="429">
    <w:name w:val="xl26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0">
    <w:name w:val="标题1"/>
    <w:basedOn w:val="2"/>
    <w:qFormat/>
    <w:uiPriority w:val="0"/>
    <w:pPr>
      <w:keepNext/>
      <w:keepLines/>
      <w:widowControl w:val="0"/>
      <w:shd w:val="clear" w:color="auto" w:fill="auto"/>
      <w:tabs>
        <w:tab w:val="clear" w:pos="426"/>
      </w:tabs>
      <w:adjustRightInd/>
      <w:snapToGrid/>
      <w:spacing w:before="400" w:after="400" w:line="240" w:lineRule="auto"/>
      <w:ind w:left="284" w:hanging="284"/>
      <w:jc w:val="both"/>
    </w:pPr>
    <w:rPr>
      <w:rFonts w:ascii="Times New Roman" w:hAnsi="Times New Roman" w:cs="宋体"/>
      <w:sz w:val="30"/>
      <w:szCs w:val="24"/>
    </w:rPr>
  </w:style>
  <w:style w:type="paragraph" w:customStyle="1" w:styleId="431">
    <w:name w:val="xl26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2">
    <w:name w:val="表格注释"/>
    <w:basedOn w:val="1"/>
    <w:qFormat/>
    <w:uiPriority w:val="0"/>
    <w:pPr>
      <w:widowControl w:val="0"/>
      <w:shd w:val="clear" w:color="auto" w:fill="auto"/>
      <w:tabs>
        <w:tab w:val="clear" w:pos="426"/>
      </w:tabs>
      <w:adjustRightInd/>
      <w:snapToGrid/>
      <w:spacing w:line="300" w:lineRule="exact"/>
      <w:ind w:firstLine="200" w:firstLineChars="200"/>
      <w:jc w:val="left"/>
    </w:pPr>
    <w:rPr>
      <w:rFonts w:ascii="Times New Roman" w:hAnsi="Times New Roman" w:eastAsia="楷体_GB2312"/>
      <w:szCs w:val="21"/>
    </w:rPr>
  </w:style>
  <w:style w:type="paragraph" w:customStyle="1" w:styleId="433">
    <w:name w:val="xl25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434">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435">
    <w:name w:val="2册标题2"/>
    <w:basedOn w:val="1"/>
    <w:next w:val="1"/>
    <w:qFormat/>
    <w:uiPriority w:val="0"/>
    <w:pPr>
      <w:shd w:val="clear" w:color="auto" w:fill="auto"/>
      <w:tabs>
        <w:tab w:val="clear" w:pos="426"/>
      </w:tabs>
      <w:adjustRightInd/>
      <w:snapToGrid/>
      <w:spacing w:beforeLines="50" w:afterLines="50" w:line="300" w:lineRule="auto"/>
      <w:jc w:val="left"/>
      <w:outlineLvl w:val="1"/>
    </w:pPr>
    <w:rPr>
      <w:rFonts w:ascii="Arial" w:hAnsi="Arial" w:eastAsia="黑体" w:cs="Times New Roman"/>
      <w:sz w:val="30"/>
      <w:szCs w:val="30"/>
      <w:lang w:eastAsia="en-US" w:bidi="en-US"/>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437">
    <w:name w:val="CM51"/>
    <w:basedOn w:val="291"/>
    <w:next w:val="291"/>
    <w:qFormat/>
    <w:uiPriority w:val="0"/>
    <w:pPr>
      <w:spacing w:after="103"/>
    </w:pPr>
    <w:rPr>
      <w:rFonts w:ascii="黑体" w:eastAsia="黑体"/>
      <w:color w:val="auto"/>
    </w:rPr>
  </w:style>
  <w:style w:type="paragraph" w:customStyle="1" w:styleId="438">
    <w:name w:val="xl25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9">
    <w:name w:val="样式3"/>
    <w:basedOn w:val="1"/>
    <w:qFormat/>
    <w:uiPriority w:val="0"/>
    <w:pPr>
      <w:ind w:left="1620" w:hanging="420"/>
      <w:outlineLvl w:val="2"/>
    </w:pPr>
    <w:rPr>
      <w:b/>
    </w:rPr>
  </w:style>
  <w:style w:type="paragraph" w:customStyle="1" w:styleId="440">
    <w:name w:val="目录"/>
    <w:basedOn w:val="1"/>
    <w:qFormat/>
    <w:uiPriority w:val="0"/>
    <w:pPr>
      <w:shd w:val="clear" w:color="auto" w:fill="auto"/>
      <w:tabs>
        <w:tab w:val="clear" w:pos="426"/>
      </w:tabs>
      <w:adjustRightInd/>
      <w:snapToGrid/>
      <w:spacing w:line="240" w:lineRule="auto"/>
      <w:jc w:val="center"/>
    </w:pPr>
    <w:rPr>
      <w:rFonts w:hAnsi="Times New Roman" w:cs="Times New Roman"/>
      <w:b/>
      <w:sz w:val="36"/>
      <w:szCs w:val="20"/>
    </w:rPr>
  </w:style>
  <w:style w:type="paragraph" w:customStyle="1" w:styleId="441">
    <w:name w:val="xl23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2">
    <w:name w:val="xl23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3">
    <w:name w:val="font0"/>
    <w:basedOn w:val="1"/>
    <w:qFormat/>
    <w:uiPriority w:val="0"/>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444">
    <w:name w:val="font5"/>
    <w:basedOn w:val="1"/>
    <w:qFormat/>
    <w:uiPriority w:val="0"/>
    <w:pPr>
      <w:spacing w:before="100" w:beforeAutospacing="1" w:after="100" w:afterAutospacing="1"/>
      <w:jc w:val="left"/>
    </w:pPr>
    <w:rPr>
      <w:sz w:val="18"/>
      <w:szCs w:val="18"/>
    </w:rPr>
  </w:style>
  <w:style w:type="paragraph" w:customStyle="1" w:styleId="445">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446">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447">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paragraph" w:customStyle="1" w:styleId="448">
    <w:name w:val="样式 USE 1 + 行距: 单倍行距"/>
    <w:basedOn w:val="1"/>
    <w:qFormat/>
    <w:uiPriority w:val="0"/>
    <w:pPr>
      <w:widowControl w:val="0"/>
      <w:shd w:val="clear" w:color="auto" w:fill="auto"/>
      <w:tabs>
        <w:tab w:val="clear" w:pos="426"/>
      </w:tabs>
      <w:adjustRightInd/>
      <w:snapToGrid/>
      <w:spacing w:line="180" w:lineRule="atLeast"/>
      <w:ind w:left="180"/>
      <w:jc w:val="left"/>
    </w:pPr>
    <w:rPr>
      <w:b/>
      <w:bCs/>
      <w:kern w:val="2"/>
      <w:sz w:val="24"/>
      <w:szCs w:val="20"/>
    </w:rPr>
  </w:style>
  <w:style w:type="paragraph" w:customStyle="1" w:styleId="449">
    <w:name w:val="font8"/>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18"/>
      <w:szCs w:val="18"/>
    </w:rPr>
  </w:style>
  <w:style w:type="paragraph" w:customStyle="1" w:styleId="45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51">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452">
    <w:name w:val="xl268"/>
    <w:basedOn w:val="1"/>
    <w:qFormat/>
    <w:uiPriority w:val="0"/>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53">
    <w:name w:val="正文-1级标题-1"/>
    <w:basedOn w:val="1"/>
    <w:next w:val="1"/>
    <w:qFormat/>
    <w:uiPriority w:val="0"/>
    <w:pPr>
      <w:keepNext/>
      <w:tabs>
        <w:tab w:val="left" w:pos="420"/>
        <w:tab w:val="clear" w:pos="426"/>
      </w:tabs>
      <w:spacing w:beforeLines="30" w:afterLines="30"/>
    </w:pPr>
    <w:rPr>
      <w:b/>
      <w:sz w:val="24"/>
      <w:szCs w:val="28"/>
      <w:lang w:val="en-GB"/>
    </w:rPr>
  </w:style>
  <w:style w:type="paragraph" w:customStyle="1" w:styleId="454">
    <w:name w:val="样式 标题 1 + 段前: 0.5 行 段后: 0.5 行"/>
    <w:basedOn w:val="2"/>
    <w:qFormat/>
    <w:uiPriority w:val="0"/>
    <w:pPr>
      <w:keepNext/>
      <w:keepLines/>
      <w:spacing w:beforeLines="50" w:afterLines="50" w:line="578" w:lineRule="auto"/>
      <w:jc w:val="both"/>
    </w:pPr>
    <w:rPr>
      <w:rFonts w:ascii="Times New Roman" w:hAnsi="Times New Roman" w:eastAsia="宋体" w:cs="宋体"/>
      <w:sz w:val="44"/>
      <w:szCs w:val="20"/>
    </w:rPr>
  </w:style>
  <w:style w:type="paragraph" w:customStyle="1" w:styleId="455">
    <w:name w:val="样式2"/>
    <w:basedOn w:val="2"/>
    <w:qFormat/>
    <w:uiPriority w:val="0"/>
    <w:pPr>
      <w:keepNext/>
      <w:keepLines/>
      <w:spacing w:before="0" w:after="0" w:line="578" w:lineRule="auto"/>
      <w:ind w:left="1200" w:hanging="420"/>
      <w:jc w:val="both"/>
    </w:pPr>
    <w:rPr>
      <w:rFonts w:eastAsia="宋体"/>
      <w:szCs w:val="44"/>
    </w:rPr>
  </w:style>
  <w:style w:type="paragraph" w:customStyle="1" w:styleId="456">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457">
    <w:name w:val="xl22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58">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459">
    <w:name w:val="p0"/>
    <w:basedOn w:val="1"/>
    <w:qFormat/>
    <w:uiPriority w:val="0"/>
    <w:rPr>
      <w:rFonts w:ascii="Calibri" w:hAnsi="Calibri"/>
      <w:szCs w:val="21"/>
    </w:rPr>
  </w:style>
  <w:style w:type="paragraph" w:customStyle="1" w:styleId="460">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461">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62">
    <w:name w:val="TOC 标题1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463">
    <w:name w:val="xl24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64">
    <w:name w:val="样式 题注 + 行距: 固定值 23 磅"/>
    <w:basedOn w:val="20"/>
    <w:qFormat/>
    <w:uiPriority w:val="0"/>
    <w:pPr>
      <w:widowControl w:val="0"/>
      <w:shd w:val="clear" w:color="auto" w:fill="auto"/>
      <w:adjustRightInd/>
      <w:snapToGrid/>
      <w:spacing w:after="300" w:line="460" w:lineRule="exact"/>
      <w:jc w:val="center"/>
    </w:pPr>
    <w:rPr>
      <w:rFonts w:eastAsia="宋体" w:cs="宋体"/>
      <w:kern w:val="2"/>
      <w:sz w:val="21"/>
      <w:szCs w:val="24"/>
    </w:rPr>
  </w:style>
  <w:style w:type="paragraph" w:customStyle="1" w:styleId="465">
    <w:name w:val="方案标题3"/>
    <w:basedOn w:val="81"/>
    <w:qFormat/>
    <w:uiPriority w:val="0"/>
    <w:pPr>
      <w:spacing w:beforeLines="50" w:afterLines="50" w:line="440" w:lineRule="exact"/>
      <w:ind w:firstLine="200" w:firstLineChars="200"/>
      <w:jc w:val="left"/>
      <w:outlineLvl w:val="2"/>
    </w:pPr>
    <w:rPr>
      <w:rFonts w:ascii="黑体" w:eastAsia="黑体"/>
      <w:color w:val="000000"/>
      <w:sz w:val="28"/>
      <w:szCs w:val="24"/>
    </w:rPr>
  </w:style>
  <w:style w:type="paragraph" w:customStyle="1" w:styleId="466">
    <w:name w:val="font6"/>
    <w:basedOn w:val="1"/>
    <w:qFormat/>
    <w:uiPriority w:val="0"/>
    <w:pPr>
      <w:spacing w:beforeAutospacing="1" w:afterAutospacing="1"/>
      <w:jc w:val="left"/>
    </w:pPr>
    <w:rPr>
      <w:sz w:val="18"/>
      <w:szCs w:val="18"/>
    </w:rPr>
  </w:style>
  <w:style w:type="paragraph" w:customStyle="1" w:styleId="467">
    <w:name w:val="样式 标题 4 + 段前: 0.5 行 段后: 0.5 行1"/>
    <w:basedOn w:val="4"/>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468">
    <w:name w:val="表标题"/>
    <w:basedOn w:val="1"/>
    <w:qFormat/>
    <w:uiPriority w:val="0"/>
    <w:pPr>
      <w:jc w:val="center"/>
    </w:pPr>
    <w:rPr>
      <w:rFonts w:eastAsia="黑体"/>
      <w:b/>
    </w:rPr>
  </w:style>
  <w:style w:type="paragraph" w:customStyle="1" w:styleId="469">
    <w:name w:val="图"/>
    <w:basedOn w:val="1"/>
    <w:qFormat/>
    <w:uiPriority w:val="0"/>
    <w:pPr>
      <w:keepNext/>
      <w:spacing w:before="60" w:after="60" w:line="300" w:lineRule="auto"/>
      <w:jc w:val="center"/>
    </w:pPr>
    <w:rPr>
      <w:spacing w:val="20"/>
      <w:sz w:val="24"/>
      <w:szCs w:val="20"/>
    </w:rPr>
  </w:style>
  <w:style w:type="paragraph" w:customStyle="1" w:styleId="470">
    <w:name w:val="xl24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71">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472">
    <w:name w:val="font10"/>
    <w:basedOn w:val="1"/>
    <w:qFormat/>
    <w:uiPriority w:val="0"/>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473">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474">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475">
    <w:name w:val="附录"/>
    <w:basedOn w:val="20"/>
    <w:next w:val="1"/>
    <w:qFormat/>
    <w:uiPriority w:val="0"/>
    <w:pPr>
      <w:widowControl w:val="0"/>
      <w:shd w:val="clear" w:color="auto" w:fill="auto"/>
      <w:adjustRightInd/>
      <w:snapToGrid/>
      <w:spacing w:before="152" w:after="160" w:line="240" w:lineRule="auto"/>
    </w:pPr>
    <w:rPr>
      <w:kern w:val="2"/>
    </w:rPr>
  </w:style>
  <w:style w:type="paragraph" w:customStyle="1" w:styleId="476">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477">
    <w:name w:val="xl26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78">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479">
    <w:name w:val="xl23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0">
    <w:name w:val="xl24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1">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482">
    <w:name w:val="Char Char Char1"/>
    <w:basedOn w:val="1"/>
    <w:qFormat/>
    <w:uiPriority w:val="0"/>
    <w:rPr>
      <w:rFonts w:ascii="Tahoma" w:hAnsi="Tahoma"/>
      <w:sz w:val="24"/>
      <w:szCs w:val="20"/>
    </w:rPr>
  </w:style>
  <w:style w:type="paragraph" w:customStyle="1" w:styleId="483">
    <w:name w:val="修订11"/>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4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485">
    <w:name w:val="xl25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486">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487">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488">
    <w:name w:val="方案设计2级标题"/>
    <w:basedOn w:val="188"/>
    <w:qFormat/>
    <w:uiPriority w:val="0"/>
    <w:pPr>
      <w:ind w:left="1402" w:firstLine="0" w:firstLineChars="0"/>
      <w:outlineLvl w:val="1"/>
    </w:pPr>
    <w:rPr>
      <w:rFonts w:ascii="黑体" w:hAnsi="黑体" w:eastAsia="黑体"/>
      <w:sz w:val="32"/>
      <w:szCs w:val="32"/>
    </w:rPr>
  </w:style>
  <w:style w:type="paragraph" w:customStyle="1" w:styleId="489">
    <w:name w:val="方案设计1级标题"/>
    <w:basedOn w:val="18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490">
    <w:name w:val="xl101"/>
    <w:basedOn w:val="1"/>
    <w:qFormat/>
    <w:uiPriority w:val="0"/>
    <w:pPr>
      <w:spacing w:beforeAutospacing="1" w:afterAutospacing="1"/>
      <w:jc w:val="left"/>
      <w:textAlignment w:val="center"/>
    </w:pPr>
    <w:rPr>
      <w:color w:val="FF0000"/>
      <w:sz w:val="20"/>
      <w:szCs w:val="20"/>
    </w:rPr>
  </w:style>
  <w:style w:type="paragraph" w:customStyle="1" w:styleId="491">
    <w:name w:val="样式4"/>
    <w:basedOn w:val="188"/>
    <w:qFormat/>
    <w:uiPriority w:val="0"/>
    <w:pPr>
      <w:ind w:left="2040" w:firstLine="0" w:firstLineChars="0"/>
      <w:jc w:val="left"/>
      <w:outlineLvl w:val="3"/>
    </w:pPr>
    <w:rPr>
      <w:rFonts w:ascii="宋体" w:hAnsi="宋体"/>
    </w:rPr>
  </w:style>
  <w:style w:type="paragraph" w:customStyle="1" w:styleId="492">
    <w:name w:val="xl23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93">
    <w:name w:val="xl26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94">
    <w:name w:val="xl87"/>
    <w:basedOn w:val="1"/>
    <w:qFormat/>
    <w:uiPriority w:val="0"/>
    <w:pPr>
      <w:spacing w:beforeAutospacing="1" w:afterAutospacing="1"/>
      <w:jc w:val="left"/>
    </w:pPr>
    <w:rPr>
      <w:sz w:val="24"/>
    </w:rPr>
  </w:style>
  <w:style w:type="paragraph" w:customStyle="1" w:styleId="495">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paragraph" w:customStyle="1" w:styleId="496">
    <w:name w:val="倪芳"/>
    <w:basedOn w:val="1"/>
    <w:qFormat/>
    <w:uiPriority w:val="0"/>
    <w:pPr>
      <w:widowControl w:val="0"/>
      <w:shd w:val="clear" w:color="auto" w:fill="auto"/>
      <w:tabs>
        <w:tab w:val="clear" w:pos="426"/>
      </w:tabs>
      <w:adjustRightInd/>
      <w:snapToGrid/>
      <w:spacing w:beforeLines="25" w:afterLines="15" w:line="400" w:lineRule="exact"/>
    </w:pPr>
    <w:rPr>
      <w:rFonts w:hAnsi="Courier New" w:cs="Courier New"/>
      <w:kern w:val="2"/>
      <w:sz w:val="24"/>
      <w:szCs w:val="21"/>
    </w:rPr>
  </w:style>
  <w:style w:type="paragraph" w:customStyle="1" w:styleId="497">
    <w:name w:val="Char Char Char Char Char Char Char1"/>
    <w:basedOn w:val="1"/>
    <w:qFormat/>
    <w:uiPriority w:val="0"/>
    <w:pPr>
      <w:widowControl w:val="0"/>
      <w:shd w:val="clear" w:color="auto" w:fill="auto"/>
      <w:tabs>
        <w:tab w:val="center" w:leader="middleDot" w:pos="9240"/>
        <w:tab w:val="center" w:pos="9520"/>
        <w:tab w:val="clear" w:pos="426"/>
      </w:tabs>
      <w:adjustRightInd/>
      <w:snapToGrid/>
      <w:spacing w:line="240" w:lineRule="auto"/>
    </w:pPr>
    <w:rPr>
      <w:rFonts w:ascii="Times New Roman" w:hAnsi="Times New Roman" w:eastAsia="仿宋_GB2312" w:cs="Times New Roman"/>
      <w:kern w:val="2"/>
      <w:sz w:val="24"/>
    </w:rPr>
  </w:style>
  <w:style w:type="paragraph" w:customStyle="1" w:styleId="49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499">
    <w:name w:val="xl24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0">
    <w:name w:val="xl229"/>
    <w:basedOn w:val="1"/>
    <w:qFormat/>
    <w:uiPriority w:val="0"/>
    <w:pPr>
      <w:pBdr>
        <w:left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1">
    <w:name w:val="USE 2"/>
    <w:basedOn w:val="1"/>
    <w:qFormat/>
    <w:uiPriority w:val="0"/>
    <w:pPr>
      <w:widowControl w:val="0"/>
      <w:shd w:val="clear" w:color="auto" w:fill="auto"/>
      <w:tabs>
        <w:tab w:val="clear" w:pos="426"/>
      </w:tabs>
      <w:adjustRightInd/>
      <w:snapToGrid/>
      <w:ind w:left="4736" w:hanging="3836"/>
      <w:jc w:val="left"/>
    </w:pPr>
    <w:rPr>
      <w:rFonts w:cs="Times New Roman"/>
      <w:kern w:val="2"/>
      <w:sz w:val="24"/>
      <w:szCs w:val="20"/>
    </w:rPr>
  </w:style>
  <w:style w:type="paragraph" w:customStyle="1" w:styleId="502">
    <w:name w:val="xl23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03">
    <w:name w:val="图目录4"/>
    <w:basedOn w:val="1"/>
    <w:next w:val="1"/>
    <w:qFormat/>
    <w:uiPriority w:val="0"/>
    <w:pPr>
      <w:tabs>
        <w:tab w:val="left" w:pos="737"/>
      </w:tabs>
      <w:ind w:left="737" w:hanging="448"/>
      <w:jc w:val="center"/>
      <w:textAlignment w:val="baseline"/>
    </w:pPr>
    <w:rPr>
      <w:szCs w:val="20"/>
    </w:rPr>
  </w:style>
  <w:style w:type="paragraph" w:customStyle="1" w:styleId="504">
    <w:name w:val="xl25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05">
    <w:name w:val="下级参数内容"/>
    <w:basedOn w:val="188"/>
    <w:qFormat/>
    <w:uiPriority w:val="0"/>
    <w:pPr>
      <w:ind w:left="1134" w:firstLine="0" w:firstLineChars="0"/>
    </w:pPr>
    <w:rPr>
      <w:rFonts w:ascii="仿宋" w:hAnsi="仿宋"/>
    </w:rPr>
  </w:style>
  <w:style w:type="paragraph" w:customStyle="1" w:styleId="506">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07">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508">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509">
    <w:name w:val="xl26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10">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511">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512">
    <w:name w:val="表1黑体居中"/>
    <w:basedOn w:val="1"/>
    <w:qFormat/>
    <w:uiPriority w:val="0"/>
    <w:pPr>
      <w:ind w:firstLine="435"/>
      <w:jc w:val="center"/>
      <w:textAlignment w:val="baseline"/>
    </w:pPr>
    <w:rPr>
      <w:rFonts w:ascii="黑体" w:eastAsia="黑体"/>
      <w:szCs w:val="21"/>
    </w:rPr>
  </w:style>
  <w:style w:type="paragraph" w:customStyle="1" w:styleId="513">
    <w:name w:val="Char Char"/>
    <w:basedOn w:val="1"/>
    <w:qFormat/>
    <w:uiPriority w:val="0"/>
    <w:rPr>
      <w:rFonts w:ascii="Tahoma" w:hAnsi="Tahoma"/>
      <w:sz w:val="24"/>
      <w:szCs w:val="20"/>
    </w:rPr>
  </w:style>
  <w:style w:type="paragraph" w:customStyle="1" w:styleId="514">
    <w:name w:val="Char Char Char"/>
    <w:basedOn w:val="1"/>
    <w:qFormat/>
    <w:uiPriority w:val="0"/>
    <w:rPr>
      <w:rFonts w:ascii="Tahoma" w:hAnsi="Tahoma"/>
      <w:sz w:val="24"/>
      <w:szCs w:val="20"/>
    </w:rPr>
  </w:style>
  <w:style w:type="paragraph" w:customStyle="1" w:styleId="515">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516">
    <w:name w:val="USE 5"/>
    <w:basedOn w:val="1"/>
    <w:qFormat/>
    <w:uiPriority w:val="0"/>
    <w:pPr>
      <w:widowControl w:val="0"/>
      <w:shd w:val="clear" w:color="auto" w:fill="auto"/>
      <w:tabs>
        <w:tab w:val="clear" w:pos="426"/>
      </w:tabs>
      <w:adjustRightInd/>
      <w:snapToGrid/>
      <w:ind w:left="397" w:hanging="340"/>
      <w:jc w:val="left"/>
    </w:pPr>
    <w:rPr>
      <w:rFonts w:cs="Times New Roman"/>
      <w:kern w:val="2"/>
      <w:sz w:val="24"/>
    </w:rPr>
  </w:style>
  <w:style w:type="paragraph" w:customStyle="1" w:styleId="517">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518">
    <w:name w:val="xl24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19">
    <w:name w:val="xl24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2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521">
    <w:name w:val="p9"/>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eastAsia="Arial Unicode MS" w:cs="Arial Unicode MS"/>
      <w:color w:val="000000"/>
      <w:sz w:val="18"/>
      <w:szCs w:val="18"/>
    </w:rPr>
  </w:style>
  <w:style w:type="paragraph" w:customStyle="1" w:styleId="522">
    <w:name w:val="xl23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2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524">
    <w:name w:val="Bulleted Items--Level 2"/>
    <w:basedOn w:val="1"/>
    <w:qFormat/>
    <w:uiPriority w:val="0"/>
    <w:pPr>
      <w:tabs>
        <w:tab w:val="left" w:pos="1771"/>
        <w:tab w:val="left" w:pos="2520"/>
      </w:tabs>
      <w:spacing w:line="280" w:lineRule="exact"/>
      <w:ind w:left="2520"/>
    </w:pPr>
    <w:rPr>
      <w:color w:val="000000"/>
      <w:sz w:val="22"/>
      <w:szCs w:val="20"/>
      <w:lang w:eastAsia="en-US"/>
    </w:rPr>
  </w:style>
  <w:style w:type="paragraph" w:customStyle="1" w:styleId="52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26">
    <w:name w:val="USE 3"/>
    <w:basedOn w:val="1"/>
    <w:qFormat/>
    <w:uiPriority w:val="0"/>
    <w:pPr>
      <w:widowControl w:val="0"/>
      <w:shd w:val="clear" w:color="auto" w:fill="auto"/>
      <w:tabs>
        <w:tab w:val="clear" w:pos="426"/>
      </w:tabs>
      <w:adjustRightInd/>
      <w:snapToGrid/>
      <w:ind w:left="890" w:hanging="170"/>
      <w:jc w:val="left"/>
    </w:pPr>
    <w:rPr>
      <w:rFonts w:cs="Times New Roman"/>
      <w:kern w:val="2"/>
      <w:sz w:val="24"/>
      <w:szCs w:val="20"/>
    </w:rPr>
  </w:style>
  <w:style w:type="paragraph" w:customStyle="1" w:styleId="527">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52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table" w:customStyle="1" w:styleId="529">
    <w:name w:val="Table Normal"/>
    <w:qFormat/>
    <w:uiPriority w:val="0"/>
    <w:pPr>
      <w:spacing w:line="360" w:lineRule="auto"/>
      <w:jc w:val="both"/>
    </w:pPr>
    <w:tblPr>
      <w:tblCellMar>
        <w:top w:w="0" w:type="dxa"/>
        <w:left w:w="0" w:type="dxa"/>
        <w:bottom w:w="0" w:type="dxa"/>
        <w:right w:w="0" w:type="dxa"/>
      </w:tblCellMar>
    </w:tblPr>
  </w:style>
  <w:style w:type="table" w:customStyle="1" w:styleId="530">
    <w:name w:val="网格型1"/>
    <w:basedOn w:val="8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Normal1"/>
    <w:qFormat/>
    <w:uiPriority w:val="0"/>
    <w:pPr>
      <w:spacing w:line="360" w:lineRule="auto"/>
      <w:jc w:val="both"/>
    </w:pPr>
    <w:tblPr>
      <w:tblCellMar>
        <w:top w:w="0" w:type="dxa"/>
        <w:left w:w="0" w:type="dxa"/>
        <w:bottom w:w="0" w:type="dxa"/>
        <w:right w:w="0" w:type="dxa"/>
      </w:tblCellMar>
    </w:tblPr>
  </w:style>
  <w:style w:type="table" w:customStyle="1" w:styleId="532">
    <w:name w:val="Table Normal11"/>
    <w:unhideWhenUsed/>
    <w:qFormat/>
    <w:uiPriority w:val="2"/>
    <w:pPr>
      <w:widowControl w:val="0"/>
    </w:pPr>
    <w:rPr>
      <w:rFonts w:ascii="Calibri" w:hAnsi="Calibri"/>
      <w:sz w:val="22"/>
      <w:szCs w:val="22"/>
    </w:rPr>
    <w:tblPr>
      <w:tblCellMar>
        <w:top w:w="0" w:type="dxa"/>
        <w:left w:w="0" w:type="dxa"/>
        <w:bottom w:w="0" w:type="dxa"/>
        <w:right w:w="0" w:type="dxa"/>
      </w:tblCellMar>
    </w:tblPr>
  </w:style>
  <w:style w:type="paragraph" w:customStyle="1" w:styleId="533">
    <w:name w:val="Other|1"/>
    <w:basedOn w:val="1"/>
    <w:qFormat/>
    <w:uiPriority w:val="0"/>
    <w:pPr>
      <w:spacing w:line="310" w:lineRule="auto"/>
    </w:pPr>
    <w:rPr>
      <w:sz w:val="18"/>
      <w:szCs w:val="18"/>
      <w:lang w:val="zh-TW" w:eastAsia="zh-TW" w:bidi="zh-TW"/>
    </w:rPr>
  </w:style>
  <w:style w:type="paragraph" w:customStyle="1" w:styleId="534">
    <w:name w:val="Body text|1"/>
    <w:basedOn w:val="1"/>
    <w:link w:val="535"/>
    <w:qFormat/>
    <w:uiPriority w:val="0"/>
    <w:pPr>
      <w:spacing w:line="310" w:lineRule="auto"/>
    </w:pPr>
    <w:rPr>
      <w:sz w:val="18"/>
      <w:szCs w:val="18"/>
      <w:lang w:val="zh-TW" w:eastAsia="zh-TW" w:bidi="zh-TW"/>
    </w:rPr>
  </w:style>
  <w:style w:type="character" w:customStyle="1" w:styleId="535">
    <w:name w:val="Body text|1_"/>
    <w:link w:val="534"/>
    <w:qFormat/>
    <w:uiPriority w:val="0"/>
    <w:rPr>
      <w:rFonts w:ascii="宋体" w:hAnsi="宋体" w:cs="宋体"/>
      <w:sz w:val="18"/>
      <w:szCs w:val="18"/>
      <w:shd w:val="clear" w:color="auto" w:fill="FFFFFF"/>
      <w:lang w:val="zh-TW" w:eastAsia="zh-TW" w:bidi="zh-TW"/>
    </w:rPr>
  </w:style>
  <w:style w:type="paragraph" w:customStyle="1" w:styleId="536">
    <w:name w:val="样式 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样式 312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8">
    <w:name w:val="样式 315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9">
    <w:name w:val="样式 316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0">
    <w:name w:val="样式 320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1">
    <w:name w:val="样式 36 11 磅"/>
    <w:qFormat/>
    <w:uiPriority w:val="0"/>
    <w:pPr>
      <w:spacing w:after="160" w:line="259" w:lineRule="auto"/>
    </w:pPr>
    <w:rPr>
      <w:rFonts w:ascii="Calibri" w:hAnsi="Calibri" w:eastAsia="Calibri" w:cs="Calibri"/>
      <w:color w:val="000000"/>
      <w:kern w:val="2"/>
      <w:sz w:val="22"/>
      <w:szCs w:val="22"/>
      <w:lang w:val="en-US" w:eastAsia="en-US" w:bidi="ar-SA"/>
    </w:rPr>
  </w:style>
  <w:style w:type="character" w:customStyle="1" w:styleId="542">
    <w:name w:val="批注文字 字符1"/>
    <w:qFormat/>
    <w:uiPriority w:val="0"/>
    <w:rPr>
      <w:rFonts w:ascii="宋体"/>
      <w:sz w:val="34"/>
      <w:shd w:val="clear" w:color="auto" w:fill="FFFFFF"/>
    </w:rPr>
  </w:style>
  <w:style w:type="paragraph" w:customStyle="1" w:styleId="543">
    <w:name w:val="修订2"/>
    <w:hidden/>
    <w:unhideWhenUsed/>
    <w:qFormat/>
    <w:uiPriority w:val="99"/>
    <w:rPr>
      <w:rFonts w:ascii="宋体" w:hAnsi="宋体" w:eastAsia="宋体" w:cs="宋体"/>
      <w:sz w:val="21"/>
      <w:szCs w:val="24"/>
      <w:lang w:val="en-US" w:eastAsia="zh-CN" w:bidi="ar-SA"/>
    </w:rPr>
  </w:style>
  <w:style w:type="paragraph" w:customStyle="1" w:styleId="544">
    <w:name w:val="修订3"/>
    <w:hidden/>
    <w:unhideWhenUsed/>
    <w:qFormat/>
    <w:uiPriority w:val="99"/>
    <w:rPr>
      <w:rFonts w:ascii="宋体" w:hAnsi="宋体" w:eastAsia="宋体" w:cs="宋体"/>
      <w:sz w:val="21"/>
      <w:szCs w:val="24"/>
      <w:lang w:val="en-US" w:eastAsia="zh-CN" w:bidi="ar-SA"/>
    </w:rPr>
  </w:style>
  <w:style w:type="character" w:customStyle="1" w:styleId="545">
    <w:name w:val="font41"/>
    <w:basedOn w:val="130"/>
    <w:qFormat/>
    <w:uiPriority w:val="0"/>
    <w:rPr>
      <w:rFonts w:hint="eastAsia" w:ascii="宋体" w:hAnsi="宋体" w:eastAsia="宋体" w:cs="宋体"/>
      <w:color w:val="000000"/>
      <w:sz w:val="20"/>
      <w:szCs w:val="20"/>
      <w:u w:val="none"/>
    </w:rPr>
  </w:style>
  <w:style w:type="table" w:customStyle="1" w:styleId="546">
    <w:name w:val="网格型2"/>
    <w:basedOn w:val="85"/>
    <w:qFormat/>
    <w:locked/>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7">
    <w:name w:val="表格备注"/>
    <w:basedOn w:val="1"/>
    <w:link w:val="548"/>
    <w:qFormat/>
    <w:uiPriority w:val="0"/>
    <w:pPr>
      <w:spacing w:line="240" w:lineRule="auto"/>
      <w:ind w:firstLine="422" w:firstLineChars="200"/>
    </w:pPr>
    <w:rPr>
      <w:b/>
    </w:rPr>
  </w:style>
  <w:style w:type="character" w:customStyle="1" w:styleId="548">
    <w:name w:val="表格备注 字符"/>
    <w:basedOn w:val="130"/>
    <w:link w:val="547"/>
    <w:qFormat/>
    <w:uiPriority w:val="0"/>
    <w:rPr>
      <w:rFonts w:ascii="宋体" w:hAnsi="宋体" w:cs="宋体"/>
      <w:b/>
      <w:sz w:val="21"/>
      <w:szCs w:val="24"/>
      <w:shd w:val="clear" w:color="auto" w:fill="FFFFFF"/>
    </w:rPr>
  </w:style>
  <w:style w:type="paragraph" w:customStyle="1" w:styleId="549">
    <w:name w:val="0编制指引"/>
    <w:basedOn w:val="1"/>
    <w:link w:val="550"/>
    <w:qFormat/>
    <w:uiPriority w:val="0"/>
    <w:pPr>
      <w:tabs>
        <w:tab w:val="clear" w:pos="426"/>
      </w:tabs>
      <w:spacing w:line="240" w:lineRule="auto"/>
      <w:jc w:val="left"/>
      <w:outlineLvl w:val="4"/>
    </w:pPr>
    <w:rPr>
      <w:i/>
      <w:iCs/>
      <w:color w:val="00B050"/>
    </w:rPr>
  </w:style>
  <w:style w:type="character" w:customStyle="1" w:styleId="550">
    <w:name w:val="0编制指引 字符"/>
    <w:basedOn w:val="130"/>
    <w:link w:val="549"/>
    <w:qFormat/>
    <w:uiPriority w:val="0"/>
    <w:rPr>
      <w:rFonts w:ascii="宋体" w:hAnsi="宋体" w:cs="宋体"/>
      <w:i/>
      <w:iCs/>
      <w:color w:val="00B050"/>
      <w:sz w:val="21"/>
      <w:szCs w:val="24"/>
      <w:shd w:val="clear" w:color="auto" w:fill="FFFFFF"/>
    </w:rPr>
  </w:style>
  <w:style w:type="paragraph" w:customStyle="1" w:styleId="551">
    <w:name w:val="0五号正文"/>
    <w:basedOn w:val="1"/>
    <w:link w:val="552"/>
    <w:qFormat/>
    <w:uiPriority w:val="0"/>
    <w:pPr>
      <w:widowControl w:val="0"/>
      <w:shd w:val="clear" w:color="auto" w:fill="auto"/>
      <w:tabs>
        <w:tab w:val="clear" w:pos="426"/>
      </w:tabs>
      <w:spacing w:line="300" w:lineRule="auto"/>
      <w:ind w:firstLine="420" w:firstLineChars="200"/>
    </w:pPr>
    <w:rPr>
      <w:rFonts w:cs="Times New Roman"/>
      <w:kern w:val="2"/>
      <w:szCs w:val="21"/>
    </w:rPr>
  </w:style>
  <w:style w:type="character" w:customStyle="1" w:styleId="552">
    <w:name w:val="0五号正文 字符"/>
    <w:basedOn w:val="130"/>
    <w:link w:val="551"/>
    <w:qFormat/>
    <w:uiPriority w:val="0"/>
    <w:rPr>
      <w:rFonts w:ascii="宋体" w:hAnsi="宋体"/>
      <w:kern w:val="2"/>
      <w:sz w:val="21"/>
      <w:szCs w:val="21"/>
    </w:rPr>
  </w:style>
  <w:style w:type="paragraph" w:customStyle="1" w:styleId="553">
    <w:name w:val="修订4"/>
    <w:hidden/>
    <w:unhideWhenUsed/>
    <w:qFormat/>
    <w:uiPriority w:val="99"/>
    <w:rPr>
      <w:rFonts w:ascii="宋体" w:hAnsi="宋体" w:eastAsia="宋体" w:cs="宋体"/>
      <w:sz w:val="21"/>
      <w:szCs w:val="24"/>
      <w:lang w:val="en-US" w:eastAsia="zh-CN" w:bidi="ar-SA"/>
    </w:rPr>
  </w:style>
  <w:style w:type="paragraph" w:customStyle="1" w:styleId="554">
    <w:name w:val="Z3级左对齐标题"/>
    <w:basedOn w:val="1"/>
    <w:qFormat/>
    <w:uiPriority w:val="0"/>
    <w:pPr>
      <w:numPr>
        <w:ilvl w:val="0"/>
        <w:numId w:val="1"/>
      </w:numPr>
      <w:spacing w:before="280" w:after="290" w:line="377" w:lineRule="auto"/>
      <w:outlineLvl w:val="2"/>
    </w:pPr>
    <w:rPr>
      <w:b/>
      <w:sz w:val="24"/>
    </w:rPr>
  </w:style>
  <w:style w:type="paragraph" w:customStyle="1" w:styleId="555">
    <w:name w:val="修订5"/>
    <w:hidden/>
    <w:unhideWhenUsed/>
    <w:qFormat/>
    <w:uiPriority w:val="99"/>
    <w:rPr>
      <w:rFonts w:ascii="宋体" w:hAnsi="宋体" w:eastAsia="宋体" w:cs="宋体"/>
      <w:sz w:val="21"/>
      <w:szCs w:val="24"/>
      <w:lang w:val="en-US" w:eastAsia="zh-CN" w:bidi="ar-SA"/>
    </w:rPr>
  </w:style>
  <w:style w:type="paragraph" w:customStyle="1" w:styleId="556">
    <w:name w:val="修订6"/>
    <w:hidden/>
    <w:unhideWhenUsed/>
    <w:qFormat/>
    <w:uiPriority w:val="99"/>
    <w:rPr>
      <w:rFonts w:ascii="宋体" w:hAnsi="宋体" w:eastAsia="宋体" w:cs="宋体"/>
      <w:sz w:val="21"/>
      <w:szCs w:val="24"/>
      <w:lang w:val="en-US" w:eastAsia="zh-CN" w:bidi="ar-SA"/>
    </w:rPr>
  </w:style>
  <w:style w:type="paragraph" w:customStyle="1" w:styleId="557">
    <w:name w:val="修订7"/>
    <w:hidden/>
    <w:unhideWhenUsed/>
    <w:qFormat/>
    <w:uiPriority w:val="99"/>
    <w:rPr>
      <w:rFonts w:ascii="宋体" w:hAnsi="宋体" w:eastAsia="宋体" w:cs="宋体"/>
      <w:sz w:val="21"/>
      <w:szCs w:val="24"/>
      <w:lang w:val="en-US" w:eastAsia="zh-CN" w:bidi="ar-SA"/>
    </w:rPr>
  </w:style>
  <w:style w:type="paragraph" w:customStyle="1" w:styleId="558">
    <w:name w:val="修订8"/>
    <w:hidden/>
    <w:unhideWhenUsed/>
    <w:qFormat/>
    <w:uiPriority w:val="99"/>
    <w:rPr>
      <w:rFonts w:ascii="宋体" w:hAnsi="宋体" w:eastAsia="宋体" w:cs="宋体"/>
      <w:sz w:val="21"/>
      <w:szCs w:val="24"/>
      <w:lang w:val="en-US" w:eastAsia="zh-CN" w:bidi="ar-SA"/>
    </w:rPr>
  </w:style>
  <w:style w:type="paragraph" w:styleId="55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0">
    <w:name w:val="修订9"/>
    <w:hidden/>
    <w:unhideWhenUsed/>
    <w:qFormat/>
    <w:uiPriority w:val="99"/>
    <w:rPr>
      <w:rFonts w:ascii="宋体" w:hAnsi="宋体" w:eastAsia="宋体" w:cs="宋体"/>
      <w:sz w:val="21"/>
      <w:szCs w:val="24"/>
      <w:lang w:val="en-US" w:eastAsia="zh-CN" w:bidi="ar-SA"/>
    </w:rPr>
  </w:style>
  <w:style w:type="character" w:customStyle="1" w:styleId="561">
    <w:name w:val="font21"/>
    <w:basedOn w:val="130"/>
    <w:qFormat/>
    <w:uiPriority w:val="0"/>
    <w:rPr>
      <w:rFonts w:hint="eastAsia" w:ascii="宋体" w:hAnsi="宋体" w:eastAsia="宋体" w:cs="宋体"/>
      <w:b/>
      <w:bCs/>
      <w:color w:val="000000"/>
      <w:sz w:val="22"/>
      <w:szCs w:val="22"/>
      <w:u w:val="none"/>
    </w:rPr>
  </w:style>
  <w:style w:type="paragraph" w:customStyle="1" w:styleId="562">
    <w:name w:val="_Style 1"/>
    <w:basedOn w:val="1"/>
    <w:next w:val="1"/>
    <w:qFormat/>
    <w:uiPriority w:val="99"/>
    <w:pPr>
      <w:ind w:firstLine="420" w:firstLineChars="200"/>
    </w:pPr>
  </w:style>
  <w:style w:type="paragraph" w:customStyle="1" w:styleId="563">
    <w:name w:val="0表格正文"/>
    <w:basedOn w:val="1"/>
    <w:qFormat/>
    <w:uiPriority w:val="0"/>
    <w:pPr>
      <w:tabs>
        <w:tab w:val="clear" w:pos="426"/>
      </w:tabs>
      <w:spacing w:line="240" w:lineRule="auto"/>
      <w:jc w:val="left"/>
    </w:pPr>
    <w:rPr>
      <w:szCs w:val="21"/>
    </w:rPr>
  </w:style>
  <w:style w:type="paragraph" w:customStyle="1" w:styleId="564">
    <w:name w:val="修订10"/>
    <w:hidden/>
    <w:unhideWhenUsed/>
    <w:qFormat/>
    <w:uiPriority w:val="99"/>
    <w:rPr>
      <w:rFonts w:ascii="宋体" w:hAnsi="宋体" w:eastAsia="宋体" w:cs="宋体"/>
      <w:sz w:val="21"/>
      <w:szCs w:val="24"/>
      <w:lang w:val="en-US" w:eastAsia="zh-CN" w:bidi="ar-SA"/>
    </w:rPr>
  </w:style>
  <w:style w:type="paragraph" w:customStyle="1" w:styleId="565">
    <w:name w:val="修订12"/>
    <w:hidden/>
    <w:unhideWhenUsed/>
    <w:qFormat/>
    <w:uiPriority w:val="99"/>
    <w:rPr>
      <w:rFonts w:ascii="宋体" w:hAnsi="宋体" w:eastAsia="宋体" w:cs="宋体"/>
      <w:sz w:val="21"/>
      <w:szCs w:val="24"/>
      <w:lang w:val="en-US" w:eastAsia="zh-CN" w:bidi="ar-SA"/>
    </w:rPr>
  </w:style>
  <w:style w:type="paragraph" w:customStyle="1" w:styleId="566">
    <w:name w:val="样式 112 10 磅"/>
    <w:next w:val="44"/>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7">
    <w:name w:val="样式 113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8">
    <w:name w:val="样式 114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9">
    <w:name w:val="样式 11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0">
    <w:name w:val="样式 116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1">
    <w:name w:val="样式 117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2">
    <w:name w:val="样式 118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3">
    <w:name w:val="样式 119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4">
    <w:name w:val="样式 120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5">
    <w:name w:val="样式 12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6">
    <w:name w:val="样式 122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7">
    <w:name w:val="样式 123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8">
    <w:name w:val="样式 124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9">
    <w:name w:val="样式 12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80">
    <w:name w:val="样式 4 10 磅2"/>
    <w:qFormat/>
    <w:uiPriority w:val="0"/>
    <w:pPr>
      <w:widowControl w:val="0"/>
      <w:jc w:val="both"/>
    </w:pPr>
    <w:rPr>
      <w:rFonts w:ascii="等线" w:hAnsi="Times New Roman" w:eastAsia="等线" w:cs="Times New Roman"/>
      <w:kern w:val="2"/>
      <w:sz w:val="21"/>
      <w:szCs w:val="22"/>
      <w:lang w:val="en-US" w:eastAsia="zh-CN" w:bidi="ar-SA"/>
    </w:rPr>
  </w:style>
  <w:style w:type="paragraph" w:customStyle="1" w:styleId="581">
    <w:name w:val="样式 182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2">
    <w:name w:val="样式 314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83">
    <w:name w:val="修订13"/>
    <w:hidden/>
    <w:unhideWhenUsed/>
    <w:qFormat/>
    <w:uiPriority w:val="99"/>
    <w:rPr>
      <w:rFonts w:ascii="宋体" w:hAnsi="宋体" w:eastAsia="宋体" w:cs="宋体"/>
      <w:sz w:val="21"/>
      <w:szCs w:val="24"/>
      <w:lang w:val="en-US" w:eastAsia="zh-CN" w:bidi="ar-SA"/>
    </w:rPr>
  </w:style>
  <w:style w:type="paragraph" w:customStyle="1" w:styleId="584">
    <w:name w:val="样式 26 10 磅"/>
    <w:basedOn w:val="1"/>
    <w:qFormat/>
    <w:uiPriority w:val="0"/>
    <w:rPr>
      <w:rFonts w:hAnsi="Times New Roman" w:cs="Times New Roman"/>
      <w:szCs w:val="21"/>
    </w:rPr>
  </w:style>
  <w:style w:type="paragraph" w:customStyle="1" w:styleId="585">
    <w:name w:val="样式 25 10 磅"/>
    <w:basedOn w:val="1"/>
    <w:qFormat/>
    <w:uiPriority w:val="0"/>
    <w:rPr>
      <w:rFonts w:hAnsi="Times New Roman" w:cs="Times New Roman"/>
      <w:szCs w:val="21"/>
    </w:rPr>
  </w:style>
  <w:style w:type="paragraph" w:customStyle="1" w:styleId="586">
    <w:name w:val="样式 24 10 磅"/>
    <w:basedOn w:val="1"/>
    <w:qFormat/>
    <w:uiPriority w:val="0"/>
    <w:rPr>
      <w:rFonts w:ascii="Calibri" w:hAnsi="Calibri" w:cs="Times New Roman"/>
      <w:szCs w:val="21"/>
    </w:rPr>
  </w:style>
  <w:style w:type="paragraph" w:customStyle="1" w:styleId="587">
    <w:name w:val="样式 23 10 磅"/>
    <w:basedOn w:val="1"/>
    <w:qFormat/>
    <w:uiPriority w:val="0"/>
    <w:rPr>
      <w:rFonts w:hAnsi="Times New Roman" w:cs="Times New Roman"/>
      <w:szCs w:val="21"/>
    </w:rPr>
  </w:style>
  <w:style w:type="paragraph" w:customStyle="1" w:styleId="588">
    <w:name w:val="样式 22 10 磅"/>
    <w:basedOn w:val="1"/>
    <w:qFormat/>
    <w:uiPriority w:val="0"/>
    <w:rPr>
      <w:rFonts w:hAnsi="Times New Roman" w:cs="Times New Roman"/>
      <w:szCs w:val="21"/>
    </w:rPr>
  </w:style>
  <w:style w:type="paragraph" w:customStyle="1" w:styleId="589">
    <w:name w:val="样式 21 10 磅"/>
    <w:basedOn w:val="1"/>
    <w:qFormat/>
    <w:uiPriority w:val="0"/>
    <w:rPr>
      <w:rFonts w:hAnsi="Times New Roman" w:cs="Times New Roman"/>
      <w:szCs w:val="21"/>
    </w:rPr>
  </w:style>
  <w:style w:type="paragraph" w:customStyle="1" w:styleId="590">
    <w:name w:val="样式 20 10 磅"/>
    <w:basedOn w:val="1"/>
    <w:qFormat/>
    <w:uiPriority w:val="0"/>
    <w:rPr>
      <w:rFonts w:hAnsi="Times New Roman" w:cs="Times New Roman"/>
      <w:szCs w:val="21"/>
    </w:rPr>
  </w:style>
  <w:style w:type="paragraph" w:customStyle="1" w:styleId="591">
    <w:name w:val="样式 19 10 磅"/>
    <w:basedOn w:val="1"/>
    <w:qFormat/>
    <w:uiPriority w:val="0"/>
    <w:rPr>
      <w:rFonts w:hAnsi="Times New Roman" w:cs="Times New Roman"/>
      <w:szCs w:val="21"/>
    </w:rPr>
  </w:style>
  <w:style w:type="paragraph" w:customStyle="1" w:styleId="592">
    <w:name w:val="样式 18 10 磅"/>
    <w:basedOn w:val="1"/>
    <w:qFormat/>
    <w:uiPriority w:val="0"/>
    <w:rPr>
      <w:rFonts w:hAnsi="Times New Roman" w:cs="Times New Roman"/>
      <w:szCs w:val="21"/>
    </w:rPr>
  </w:style>
  <w:style w:type="paragraph" w:customStyle="1" w:styleId="593">
    <w:name w:val="样式 17 10 磅"/>
    <w:basedOn w:val="1"/>
    <w:qFormat/>
    <w:uiPriority w:val="0"/>
    <w:rPr>
      <w:rFonts w:hAnsi="Times New Roman" w:cs="Times New Roman"/>
      <w:szCs w:val="21"/>
    </w:rPr>
  </w:style>
  <w:style w:type="paragraph" w:customStyle="1" w:styleId="594">
    <w:name w:val="样式 16 10 磅"/>
    <w:basedOn w:val="1"/>
    <w:qFormat/>
    <w:uiPriority w:val="0"/>
    <w:rPr>
      <w:rFonts w:hAnsi="Times New Roman" w:cs="Times New Roman"/>
      <w:szCs w:val="21"/>
    </w:rPr>
  </w:style>
  <w:style w:type="paragraph" w:customStyle="1" w:styleId="595">
    <w:name w:val="样式 15 10 磅"/>
    <w:basedOn w:val="1"/>
    <w:qFormat/>
    <w:uiPriority w:val="0"/>
    <w:rPr>
      <w:rFonts w:hAnsi="Times New Roman" w:cs="Times New Roman"/>
      <w:szCs w:val="21"/>
    </w:rPr>
  </w:style>
  <w:style w:type="paragraph" w:customStyle="1" w:styleId="596">
    <w:name w:val="样式 14 10 磅"/>
    <w:basedOn w:val="1"/>
    <w:qFormat/>
    <w:uiPriority w:val="0"/>
    <w:rPr>
      <w:rFonts w:hAnsi="Times New Roman" w:cs="Times New Roman"/>
      <w:szCs w:val="21"/>
    </w:rPr>
  </w:style>
  <w:style w:type="paragraph" w:customStyle="1" w:styleId="597">
    <w:name w:val="样式 13 10 磅"/>
    <w:basedOn w:val="1"/>
    <w:qFormat/>
    <w:uiPriority w:val="0"/>
    <w:rPr>
      <w:rFonts w:hAnsi="Times New Roman" w:cs="Times New Roman"/>
      <w:szCs w:val="21"/>
    </w:rPr>
  </w:style>
  <w:style w:type="paragraph" w:customStyle="1" w:styleId="598">
    <w:name w:val="样式 12 10 磅"/>
    <w:basedOn w:val="1"/>
    <w:qFormat/>
    <w:uiPriority w:val="0"/>
    <w:rPr>
      <w:rFonts w:hAnsi="Times New Roman" w:cs="Times New Roman"/>
      <w:szCs w:val="21"/>
    </w:rPr>
  </w:style>
  <w:style w:type="paragraph" w:customStyle="1" w:styleId="599">
    <w:name w:val="样式 11 10 磅"/>
    <w:basedOn w:val="1"/>
    <w:qFormat/>
    <w:uiPriority w:val="0"/>
    <w:rPr>
      <w:rFonts w:hAnsi="Times New Roman" w:cs="Times New Roman"/>
      <w:szCs w:val="21"/>
    </w:rPr>
  </w:style>
  <w:style w:type="paragraph" w:customStyle="1" w:styleId="600">
    <w:name w:val="样式 10 10 磅"/>
    <w:basedOn w:val="1"/>
    <w:qFormat/>
    <w:uiPriority w:val="0"/>
    <w:rPr>
      <w:rFonts w:hAnsi="Times New Roman" w:cs="Times New Roman"/>
      <w:szCs w:val="21"/>
    </w:rPr>
  </w:style>
  <w:style w:type="paragraph" w:customStyle="1" w:styleId="601">
    <w:name w:val="样式 9 10 磅"/>
    <w:basedOn w:val="1"/>
    <w:qFormat/>
    <w:uiPriority w:val="0"/>
    <w:rPr>
      <w:rFonts w:hAnsi="Times New Roman" w:cs="Times New Roman"/>
      <w:szCs w:val="21"/>
    </w:rPr>
  </w:style>
  <w:style w:type="paragraph" w:customStyle="1" w:styleId="602">
    <w:name w:val="样式 8 10 磅"/>
    <w:basedOn w:val="1"/>
    <w:qFormat/>
    <w:uiPriority w:val="0"/>
    <w:rPr>
      <w:rFonts w:hAnsi="Times New Roman" w:cs="Times New Roman"/>
      <w:szCs w:val="21"/>
    </w:rPr>
  </w:style>
  <w:style w:type="paragraph" w:customStyle="1" w:styleId="603">
    <w:name w:val="样式 47 10 磅"/>
    <w:basedOn w:val="1"/>
    <w:qFormat/>
    <w:uiPriority w:val="0"/>
    <w:rPr>
      <w:rFonts w:ascii="Times New Roman" w:hAnsi="Times New Roman" w:cs="Times New Roman"/>
      <w:szCs w:val="21"/>
    </w:rPr>
  </w:style>
  <w:style w:type="paragraph" w:customStyle="1" w:styleId="604">
    <w:name w:val="样式 40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5">
    <w:name w:val="样式 50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6">
    <w:name w:val="样式 42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7">
    <w:name w:val="样式 4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8">
    <w:name w:val="样式 39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9">
    <w:name w:val="样式 4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0">
    <w:name w:val="样式 36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1">
    <w:name w:val="样式 27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2">
    <w:name w:val="样式 46 10 磅"/>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3">
    <w:name w:val="样式 37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4">
    <w:name w:val="样式 3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5">
    <w:name w:val="样式 28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6">
    <w:name w:val="样式 38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7">
    <w:name w:val="样式 35 10 磅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8">
    <w:name w:val="修订14"/>
    <w:hidden/>
    <w:unhideWhenUsed/>
    <w:qFormat/>
    <w:uiPriority w:val="99"/>
    <w:rPr>
      <w:rFonts w:ascii="宋体" w:hAnsi="宋体" w:eastAsia="宋体" w:cs="宋体"/>
      <w:sz w:val="21"/>
      <w:szCs w:val="24"/>
      <w:lang w:val="en-US" w:eastAsia="zh-CN" w:bidi="ar-SA"/>
    </w:rPr>
  </w:style>
  <w:style w:type="paragraph" w:customStyle="1" w:styleId="619">
    <w:name w:val="样式 253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20">
    <w:name w:val="正文_10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1">
    <w:name w:val="样式 3 三号"/>
    <w:qFormat/>
    <w:uiPriority w:val="0"/>
    <w:pPr>
      <w:keepNext/>
      <w:keepLines/>
      <w:spacing w:before="340" w:line="259" w:lineRule="auto"/>
    </w:pPr>
    <w:rPr>
      <w:rFonts w:ascii="等线 Light" w:hAnsi="Times New Roman" w:eastAsia="等线 Light" w:cs="Times New Roman"/>
      <w:color w:val="2E74B5"/>
      <w:kern w:val="2"/>
      <w:sz w:val="32"/>
      <w:szCs w:val="32"/>
      <w:lang w:val="en-US" w:eastAsia="zh-CN" w:bidi="ar-SA"/>
    </w:rPr>
  </w:style>
  <w:style w:type="paragraph" w:customStyle="1" w:styleId="622">
    <w:name w:val="正文_2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3">
    <w:name w:val="样式 505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4">
    <w:name w:val="正文_9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5">
    <w:name w:val="正文_9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6">
    <w:name w:val="正文_9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7">
    <w:name w:val="正文_32"/>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8">
    <w:name w:val="正文_18"/>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0">
    <w:name w:val="正文_3"/>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631">
    <w:name w:val="正文_11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2">
    <w:name w:val="正文_109"/>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3">
    <w:name w:val="正文_13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4">
    <w:name w:val="正文_101"/>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5">
    <w:name w:val="样式 2 三号_17"/>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6">
    <w:name w:val="正文_6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7">
    <w:name w:val="正文_5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8">
    <w:name w:val="正文_66"/>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9">
    <w:name w:val="样式 30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0">
    <w:name w:val="修订15"/>
    <w:hidden/>
    <w:semiHidden/>
    <w:qFormat/>
    <w:uiPriority w:val="99"/>
    <w:rPr>
      <w:rFonts w:ascii="宋体" w:hAnsi="宋体" w:eastAsia="宋体" w:cs="宋体"/>
      <w:sz w:val="21"/>
      <w:szCs w:val="24"/>
      <w:lang w:val="en-US" w:eastAsia="zh-CN" w:bidi="ar-SA"/>
    </w:rPr>
  </w:style>
  <w:style w:type="paragraph" w:customStyle="1" w:styleId="641">
    <w:name w:val="修订16"/>
    <w:hidden/>
    <w:unhideWhenUsed/>
    <w:qFormat/>
    <w:uiPriority w:val="99"/>
    <w:rPr>
      <w:rFonts w:ascii="宋体" w:hAnsi="宋体" w:eastAsia="宋体" w:cs="宋体"/>
      <w:sz w:val="21"/>
      <w:szCs w:val="24"/>
      <w:lang w:val="en-US" w:eastAsia="zh-CN" w:bidi="ar-SA"/>
    </w:rPr>
  </w:style>
  <w:style w:type="paragraph" w:customStyle="1" w:styleId="642">
    <w:name w:val="修订17"/>
    <w:hidden/>
    <w:unhideWhenUsed/>
    <w:qFormat/>
    <w:uiPriority w:val="99"/>
    <w:rPr>
      <w:rFonts w:ascii="宋体" w:hAnsi="宋体" w:eastAsia="宋体" w:cs="宋体"/>
      <w:sz w:val="21"/>
      <w:szCs w:val="24"/>
      <w:lang w:val="en-US" w:eastAsia="zh-CN" w:bidi="ar-SA"/>
    </w:rPr>
  </w:style>
  <w:style w:type="paragraph" w:customStyle="1" w:styleId="643">
    <w:name w:val="Revision"/>
    <w:hidden/>
    <w:unhideWhenUsed/>
    <w:qFormat/>
    <w:uiPriority w:val="99"/>
    <w:rPr>
      <w:rFonts w:ascii="宋体" w:hAnsi="宋体" w:eastAsia="宋体" w:cs="宋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A915-20E8-4D6F-BC75-594C55C27C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54232</Words>
  <Characters>59733</Characters>
  <Lines>469</Lines>
  <Paragraphs>132</Paragraphs>
  <TotalTime>0</TotalTime>
  <ScaleCrop>false</ScaleCrop>
  <LinksUpToDate>false</LinksUpToDate>
  <CharactersWithSpaces>60626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2024-07-19T02:48:00Z</dcterms:created>
  <dc:creator>thsware</dc:creator>
  <cp:lastModifiedBy>微信用户</cp:lastModifiedBy>
  <cp:lastPrinted>2024-11-11T07:30:26Z</cp:lastPrinted>
  <dcterms:modified xsi:type="dcterms:W3CDTF">2024-11-11T07:30:32Z</dcterms:modified>
  <dc:title>招  标　文　件</dc:title>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97B4CD2E01304ADCAA0C874D33A6FC2C_13</vt:lpwstr>
  </property>
</Properties>
</file>