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lear" w:pos="426"/>
        </w:tabs>
        <w:rPr>
          <w:rFonts w:hint="eastAsia"/>
          <w:highlight w:val="none"/>
        </w:rPr>
      </w:pPr>
    </w:p>
    <w:p>
      <w:pPr>
        <w:tabs>
          <w:tab w:val="clear" w:pos="426"/>
        </w:tabs>
        <w:rPr>
          <w:rFonts w:hint="eastAsia"/>
          <w:highlight w:val="none"/>
        </w:rPr>
      </w:pPr>
    </w:p>
    <w:p>
      <w:pPr>
        <w:tabs>
          <w:tab w:val="clear" w:pos="426"/>
        </w:tabs>
        <w:jc w:val="right"/>
        <w:rPr>
          <w:rFonts w:hint="eastAsia"/>
          <w:b/>
          <w:highlight w:val="none"/>
          <w:u w:val="single"/>
        </w:rPr>
      </w:pPr>
      <w:r>
        <w:rPr>
          <w:rFonts w:hint="eastAsia"/>
          <w:highlight w:val="none"/>
        </w:rPr>
        <w:t xml:space="preserve">                                                     项目编号：</w:t>
      </w:r>
      <w:r>
        <w:rPr>
          <w:rFonts w:hint="eastAsia"/>
          <w:b/>
          <w:highlight w:val="none"/>
          <w:u w:val="single"/>
        </w:rPr>
        <w:t>SSZX2024-374</w:t>
      </w:r>
    </w:p>
    <w:p>
      <w:pPr>
        <w:tabs>
          <w:tab w:val="clear" w:pos="426"/>
        </w:tabs>
        <w:rPr>
          <w:rFonts w:hint="eastAsia"/>
          <w:highlight w:val="none"/>
        </w:rPr>
      </w:pPr>
    </w:p>
    <w:p>
      <w:pPr>
        <w:tabs>
          <w:tab w:val="clear" w:pos="426"/>
        </w:tabs>
        <w:rPr>
          <w:rFonts w:hint="eastAsia"/>
          <w:highlight w:val="none"/>
        </w:rPr>
      </w:pPr>
    </w:p>
    <w:p>
      <w:pPr>
        <w:tabs>
          <w:tab w:val="clear" w:pos="426"/>
        </w:tabs>
        <w:rPr>
          <w:rFonts w:hint="eastAsia"/>
          <w:highlight w:val="none"/>
        </w:rPr>
      </w:pPr>
    </w:p>
    <w:p>
      <w:pPr>
        <w:widowControl w:val="0"/>
        <w:shd w:val="clear" w:color="auto" w:fill="auto"/>
        <w:tabs>
          <w:tab w:val="clear" w:pos="426"/>
        </w:tabs>
        <w:adjustRightInd/>
        <w:snapToGrid/>
        <w:spacing w:line="300" w:lineRule="auto"/>
        <w:jc w:val="center"/>
        <w:rPr>
          <w:rFonts w:hint="eastAsia" w:cs="Times New Roman"/>
          <w:spacing w:val="26"/>
          <w:kern w:val="2"/>
          <w:sz w:val="72"/>
          <w:szCs w:val="20"/>
          <w:highlight w:val="none"/>
        </w:rPr>
      </w:pPr>
    </w:p>
    <w:p>
      <w:pPr>
        <w:widowControl w:val="0"/>
        <w:shd w:val="clear" w:color="auto" w:fill="auto"/>
        <w:tabs>
          <w:tab w:val="clear" w:pos="426"/>
        </w:tabs>
        <w:adjustRightInd/>
        <w:snapToGrid/>
        <w:spacing w:line="300" w:lineRule="auto"/>
        <w:jc w:val="center"/>
        <w:rPr>
          <w:rFonts w:hint="eastAsia" w:cs="Times New Roman"/>
          <w:spacing w:val="26"/>
          <w:kern w:val="2"/>
          <w:sz w:val="72"/>
          <w:szCs w:val="20"/>
          <w:highlight w:val="none"/>
        </w:rPr>
      </w:pPr>
      <w:r>
        <w:rPr>
          <w:rFonts w:hint="eastAsia" w:cs="Times New Roman"/>
          <w:spacing w:val="26"/>
          <w:kern w:val="2"/>
          <w:sz w:val="72"/>
          <w:szCs w:val="20"/>
          <w:highlight w:val="none"/>
        </w:rPr>
        <w:t>招标文件</w:t>
      </w:r>
    </w:p>
    <w:p>
      <w:pPr>
        <w:tabs>
          <w:tab w:val="clear" w:pos="426"/>
        </w:tabs>
        <w:rPr>
          <w:rFonts w:hint="eastAsia"/>
          <w:highlight w:val="none"/>
        </w:rPr>
      </w:pPr>
    </w:p>
    <w:p>
      <w:pPr>
        <w:tabs>
          <w:tab w:val="clear" w:pos="426"/>
        </w:tabs>
        <w:rPr>
          <w:rFonts w:hint="eastAsia"/>
          <w:highlight w:val="none"/>
        </w:rPr>
      </w:pPr>
    </w:p>
    <w:p>
      <w:pPr>
        <w:tabs>
          <w:tab w:val="clear" w:pos="426"/>
        </w:tabs>
        <w:rPr>
          <w:rFonts w:hint="eastAsia"/>
          <w:highlight w:val="none"/>
        </w:rPr>
      </w:pPr>
    </w:p>
    <w:p>
      <w:pPr>
        <w:tabs>
          <w:tab w:val="clear" w:pos="426"/>
        </w:tabs>
        <w:jc w:val="center"/>
        <w:rPr>
          <w:rFonts w:ascii="黑体" w:hAnsi="Arial" w:eastAsia="黑体" w:cs="Arial"/>
          <w:sz w:val="52"/>
          <w:szCs w:val="52"/>
          <w:highlight w:val="none"/>
        </w:rPr>
      </w:pPr>
      <w:r>
        <w:rPr>
          <w:rFonts w:hint="eastAsia" w:ascii="黑体" w:hAnsi="Arial" w:eastAsia="黑体" w:cs="Arial"/>
          <w:sz w:val="52"/>
          <w:szCs w:val="52"/>
          <w:highlight w:val="none"/>
        </w:rPr>
        <w:t>【货物类】</w:t>
      </w:r>
    </w:p>
    <w:p>
      <w:pPr>
        <w:tabs>
          <w:tab w:val="clear" w:pos="426"/>
        </w:tabs>
        <w:rPr>
          <w:rFonts w:hint="eastAsia"/>
          <w:highlight w:val="none"/>
        </w:rPr>
      </w:pPr>
    </w:p>
    <w:p>
      <w:pPr>
        <w:tabs>
          <w:tab w:val="clear" w:pos="426"/>
        </w:tabs>
        <w:rPr>
          <w:rFonts w:hint="eastAsia"/>
          <w:highlight w:val="none"/>
        </w:rPr>
      </w:pPr>
    </w:p>
    <w:p>
      <w:pPr>
        <w:tabs>
          <w:tab w:val="clear" w:pos="426"/>
        </w:tabs>
        <w:rPr>
          <w:rFonts w:hint="eastAsia"/>
          <w:highlight w:val="none"/>
        </w:rPr>
      </w:pPr>
    </w:p>
    <w:p>
      <w:pPr>
        <w:tabs>
          <w:tab w:val="clear" w:pos="426"/>
        </w:tabs>
        <w:rPr>
          <w:rFonts w:hint="eastAsia"/>
          <w:highlight w:val="none"/>
        </w:rPr>
      </w:pPr>
    </w:p>
    <w:p>
      <w:pPr>
        <w:tabs>
          <w:tab w:val="clear" w:pos="426"/>
        </w:tabs>
        <w:rPr>
          <w:rFonts w:hint="eastAsia"/>
          <w:highlight w:val="none"/>
        </w:rPr>
      </w:pPr>
    </w:p>
    <w:p>
      <w:pPr>
        <w:tabs>
          <w:tab w:val="clear" w:pos="426"/>
        </w:tabs>
        <w:rPr>
          <w:rFonts w:hint="eastAsia"/>
          <w:highlight w:val="none"/>
        </w:rPr>
      </w:pPr>
    </w:p>
    <w:p>
      <w:pPr>
        <w:widowControl w:val="0"/>
        <w:shd w:val="clear" w:color="auto" w:fill="auto"/>
        <w:tabs>
          <w:tab w:val="clear" w:pos="426"/>
        </w:tabs>
        <w:adjustRightInd/>
        <w:snapToGrid/>
        <w:spacing w:line="300" w:lineRule="auto"/>
        <w:ind w:left="1798" w:leftChars="142" w:hanging="1500" w:hangingChars="500"/>
        <w:rPr>
          <w:rFonts w:hint="eastAsia" w:cs="Times New Roman"/>
          <w:kern w:val="2"/>
          <w:sz w:val="30"/>
          <w:szCs w:val="20"/>
          <w:highlight w:val="none"/>
          <w:u w:val="single"/>
        </w:rPr>
      </w:pPr>
      <w:r>
        <w:rPr>
          <w:rFonts w:hint="eastAsia" w:cs="Times New Roman"/>
          <w:kern w:val="2"/>
          <w:sz w:val="30"/>
          <w:szCs w:val="20"/>
          <w:highlight w:val="none"/>
        </w:rPr>
        <w:t>项目名称：</w:t>
      </w:r>
      <w:r>
        <w:rPr>
          <w:rFonts w:hint="eastAsia" w:cs="Times New Roman"/>
          <w:kern w:val="2"/>
          <w:sz w:val="30"/>
          <w:szCs w:val="20"/>
          <w:highlight w:val="none"/>
          <w:u w:val="single"/>
        </w:rPr>
        <w:t>农兽残检测全流程全自动样品前处理系统设备采购项目</w:t>
      </w:r>
    </w:p>
    <w:p>
      <w:pPr>
        <w:widowControl w:val="0"/>
        <w:shd w:val="clear" w:color="auto" w:fill="auto"/>
        <w:tabs>
          <w:tab w:val="clear" w:pos="426"/>
        </w:tabs>
        <w:adjustRightInd/>
        <w:snapToGrid/>
        <w:spacing w:line="300" w:lineRule="auto"/>
        <w:ind w:left="1798" w:leftChars="142" w:hanging="1500" w:hangingChars="500"/>
        <w:rPr>
          <w:rFonts w:hint="eastAsia" w:cs="Times New Roman"/>
          <w:kern w:val="2"/>
          <w:sz w:val="30"/>
          <w:szCs w:val="20"/>
          <w:highlight w:val="none"/>
        </w:rPr>
      </w:pPr>
    </w:p>
    <w:p>
      <w:pPr>
        <w:widowControl w:val="0"/>
        <w:shd w:val="clear" w:color="auto" w:fill="auto"/>
        <w:tabs>
          <w:tab w:val="clear" w:pos="426"/>
        </w:tabs>
        <w:adjustRightInd/>
        <w:snapToGrid/>
        <w:spacing w:line="300" w:lineRule="auto"/>
        <w:ind w:left="1498" w:leftChars="142" w:hanging="1200" w:hangingChars="400"/>
        <w:rPr>
          <w:rFonts w:hint="eastAsia" w:cs="Times New Roman"/>
          <w:kern w:val="2"/>
          <w:sz w:val="30"/>
          <w:szCs w:val="20"/>
          <w:highlight w:val="none"/>
        </w:rPr>
      </w:pPr>
      <w:r>
        <w:rPr>
          <w:rFonts w:hint="eastAsia" w:cs="Times New Roman"/>
          <w:kern w:val="2"/>
          <w:sz w:val="30"/>
          <w:szCs w:val="20"/>
          <w:highlight w:val="none"/>
        </w:rPr>
        <w:t>采购人名称：</w:t>
      </w:r>
      <w:r>
        <w:rPr>
          <w:rFonts w:hint="eastAsia" w:cs="Times New Roman"/>
          <w:kern w:val="2"/>
          <w:sz w:val="30"/>
          <w:szCs w:val="20"/>
          <w:highlight w:val="none"/>
          <w:u w:val="single"/>
        </w:rPr>
        <w:t>深圳海关食品检验检疫技术中心</w:t>
      </w:r>
    </w:p>
    <w:p>
      <w:pPr>
        <w:widowControl w:val="0"/>
        <w:shd w:val="clear" w:color="auto" w:fill="auto"/>
        <w:tabs>
          <w:tab w:val="clear" w:pos="426"/>
        </w:tabs>
        <w:adjustRightInd/>
        <w:snapToGrid/>
        <w:spacing w:line="300" w:lineRule="auto"/>
        <w:ind w:left="1500" w:hanging="1500" w:hangingChars="500"/>
        <w:rPr>
          <w:rFonts w:hint="eastAsia" w:cs="Times New Roman"/>
          <w:kern w:val="2"/>
          <w:sz w:val="30"/>
          <w:szCs w:val="20"/>
          <w:highlight w:val="none"/>
        </w:rPr>
      </w:pPr>
    </w:p>
    <w:p>
      <w:pPr>
        <w:widowControl w:val="0"/>
        <w:shd w:val="clear" w:color="auto" w:fill="auto"/>
        <w:tabs>
          <w:tab w:val="clear" w:pos="426"/>
        </w:tabs>
        <w:adjustRightInd/>
        <w:snapToGrid/>
        <w:spacing w:line="300" w:lineRule="auto"/>
        <w:ind w:left="1498" w:leftChars="142" w:hanging="1200" w:hangingChars="400"/>
        <w:rPr>
          <w:rFonts w:hint="eastAsia"/>
          <w:highlight w:val="none"/>
        </w:rPr>
      </w:pPr>
      <w:r>
        <w:rPr>
          <w:rFonts w:hint="eastAsia" w:cs="Times New Roman"/>
          <w:kern w:val="2"/>
          <w:sz w:val="30"/>
          <w:szCs w:val="20"/>
          <w:highlight w:val="none"/>
        </w:rPr>
        <w:t>采购代理机构名称：</w:t>
      </w:r>
      <w:r>
        <w:rPr>
          <w:rFonts w:hint="eastAsia" w:cs="Times New Roman"/>
          <w:kern w:val="2"/>
          <w:sz w:val="30"/>
          <w:szCs w:val="20"/>
          <w:highlight w:val="none"/>
          <w:u w:val="single"/>
        </w:rPr>
        <w:t>深圳市深水水务咨询有限公司</w:t>
      </w:r>
    </w:p>
    <w:p>
      <w:pPr>
        <w:tabs>
          <w:tab w:val="clear" w:pos="426"/>
        </w:tabs>
        <w:jc w:val="center"/>
        <w:rPr>
          <w:rFonts w:hint="eastAsia"/>
          <w:sz w:val="32"/>
          <w:szCs w:val="32"/>
          <w:highlight w:val="none"/>
        </w:rPr>
      </w:pPr>
      <w:r>
        <w:rPr>
          <w:highlight w:val="none"/>
        </w:rPr>
        <w:br w:type="page"/>
      </w:r>
      <w:r>
        <w:rPr>
          <w:rFonts w:hint="eastAsia"/>
          <w:b/>
          <w:sz w:val="32"/>
          <w:szCs w:val="32"/>
          <w:highlight w:val="none"/>
        </w:rPr>
        <w:t>目      录</w:t>
      </w:r>
    </w:p>
    <w:p>
      <w:pPr>
        <w:pStyle w:val="71"/>
        <w:tabs>
          <w:tab w:val="right" w:leader="dot" w:pos="8788"/>
          <w:tab w:val="clear" w:pos="8789"/>
        </w:tabs>
        <w:spacing w:line="240" w:lineRule="auto"/>
        <w:ind w:left="105"/>
        <w:rPr>
          <w:rFonts w:hint="eastAsia" w:ascii="黑体" w:hAnsi="黑体" w:eastAsia="黑体" w:cs="黑体"/>
          <w:b/>
          <w:bCs/>
          <w:sz w:val="20"/>
          <w:szCs w:val="20"/>
          <w:highlight w:val="none"/>
        </w:rPr>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"_Toc1594" </w:instrText>
      </w:r>
      <w:r>
        <w:rPr>
          <w:highlight w:val="none"/>
        </w:rPr>
        <w:fldChar w:fldCharType="separate"/>
      </w:r>
      <w:r>
        <w:rPr>
          <w:rFonts w:hint="eastAsia" w:ascii="黑体" w:hAnsi="黑体" w:eastAsia="黑体" w:cs="黑体"/>
          <w:b/>
          <w:bCs/>
          <w:sz w:val="20"/>
          <w:szCs w:val="20"/>
          <w:highlight w:val="none"/>
        </w:rPr>
        <w:t>项目关键信息</w:t>
      </w:r>
      <w:r>
        <w:rPr>
          <w:rFonts w:hint="eastAsia" w:ascii="黑体" w:hAnsi="黑体" w:eastAsia="黑体" w:cs="黑体"/>
          <w:b/>
          <w:bCs/>
          <w:sz w:val="20"/>
          <w:szCs w:val="20"/>
          <w:highlight w:val="none"/>
        </w:rPr>
        <w:tab/>
      </w:r>
      <w:r>
        <w:rPr>
          <w:rFonts w:hint="eastAsia" w:ascii="黑体" w:hAnsi="黑体" w:eastAsia="黑体" w:cs="黑体"/>
          <w:b/>
          <w:bCs/>
          <w:sz w:val="20"/>
          <w:szCs w:val="20"/>
          <w:highlight w:val="none"/>
        </w:rPr>
        <w:fldChar w:fldCharType="begin"/>
      </w:r>
      <w:r>
        <w:rPr>
          <w:rFonts w:hint="eastAsia" w:ascii="黑体" w:hAnsi="黑体" w:eastAsia="黑体" w:cs="黑体"/>
          <w:b/>
          <w:bCs/>
          <w:sz w:val="20"/>
          <w:szCs w:val="20"/>
          <w:highlight w:val="none"/>
        </w:rPr>
        <w:instrText xml:space="preserve"> PAGEREF _Toc1594 \h </w:instrText>
      </w:r>
      <w:r>
        <w:rPr>
          <w:rFonts w:hint="eastAsia" w:ascii="黑体" w:hAnsi="黑体" w:eastAsia="黑体" w:cs="黑体"/>
          <w:b/>
          <w:bCs/>
          <w:sz w:val="20"/>
          <w:szCs w:val="20"/>
          <w:highlight w:val="none"/>
        </w:rPr>
        <w:fldChar w:fldCharType="separate"/>
      </w:r>
      <w:r>
        <w:rPr>
          <w:rFonts w:hint="eastAsia" w:ascii="黑体" w:hAnsi="黑体" w:eastAsia="黑体" w:cs="黑体"/>
          <w:b/>
          <w:bCs/>
          <w:sz w:val="20"/>
          <w:szCs w:val="20"/>
          <w:highlight w:val="none"/>
        </w:rPr>
        <w:t>1</w:t>
      </w:r>
      <w:r>
        <w:rPr>
          <w:rFonts w:hint="eastAsia" w:ascii="黑体" w:hAnsi="黑体" w:eastAsia="黑体" w:cs="黑体"/>
          <w:b/>
          <w:bCs/>
          <w:sz w:val="20"/>
          <w:szCs w:val="20"/>
          <w:highlight w:val="none"/>
        </w:rPr>
        <w:fldChar w:fldCharType="end"/>
      </w:r>
      <w:r>
        <w:rPr>
          <w:rFonts w:hint="eastAsia" w:ascii="黑体" w:hAnsi="黑体" w:eastAsia="黑体" w:cs="黑体"/>
          <w:b/>
          <w:bCs/>
          <w:sz w:val="20"/>
          <w:szCs w:val="20"/>
          <w:highlight w:val="none"/>
        </w:rPr>
        <w:fldChar w:fldCharType="end"/>
      </w:r>
    </w:p>
    <w:p>
      <w:pPr>
        <w:pStyle w:val="71"/>
        <w:tabs>
          <w:tab w:val="right" w:leader="dot" w:pos="8788"/>
          <w:tab w:val="clear" w:pos="8789"/>
        </w:tabs>
        <w:spacing w:line="240" w:lineRule="auto"/>
        <w:ind w:left="105"/>
        <w:rPr>
          <w:rFonts w:hint="eastAsia" w:ascii="黑体" w:hAnsi="黑体" w:eastAsia="黑体" w:cs="黑体"/>
          <w:b/>
          <w:bCs/>
          <w:sz w:val="20"/>
          <w:szCs w:val="20"/>
          <w:highlight w:val="none"/>
        </w:rPr>
      </w:pPr>
      <w:r>
        <w:rPr>
          <w:highlight w:val="none"/>
        </w:rPr>
        <w:fldChar w:fldCharType="begin"/>
      </w:r>
      <w:r>
        <w:rPr>
          <w:highlight w:val="none"/>
        </w:rPr>
        <w:instrText xml:space="preserve"> HYPERLINK \l "_Toc16410" </w:instrText>
      </w:r>
      <w:r>
        <w:rPr>
          <w:highlight w:val="none"/>
        </w:rPr>
        <w:fldChar w:fldCharType="separate"/>
      </w:r>
      <w:r>
        <w:rPr>
          <w:rFonts w:hint="eastAsia" w:ascii="黑体" w:hAnsi="黑体" w:eastAsia="黑体" w:cs="黑体"/>
          <w:b/>
          <w:bCs/>
          <w:sz w:val="20"/>
          <w:szCs w:val="20"/>
          <w:highlight w:val="none"/>
        </w:rPr>
        <w:t>招标文件第一册（专用部分）</w:t>
      </w:r>
      <w:r>
        <w:rPr>
          <w:rFonts w:hint="eastAsia" w:ascii="黑体" w:hAnsi="黑体" w:eastAsia="黑体" w:cs="黑体"/>
          <w:b/>
          <w:bCs/>
          <w:sz w:val="20"/>
          <w:szCs w:val="20"/>
          <w:highlight w:val="none"/>
        </w:rPr>
        <w:tab/>
      </w:r>
      <w:r>
        <w:rPr>
          <w:rFonts w:hint="eastAsia" w:ascii="黑体" w:hAnsi="黑体" w:eastAsia="黑体" w:cs="黑体"/>
          <w:b/>
          <w:bCs/>
          <w:sz w:val="20"/>
          <w:szCs w:val="20"/>
          <w:highlight w:val="none"/>
        </w:rPr>
        <w:fldChar w:fldCharType="begin"/>
      </w:r>
      <w:r>
        <w:rPr>
          <w:rFonts w:hint="eastAsia" w:ascii="黑体" w:hAnsi="黑体" w:eastAsia="黑体" w:cs="黑体"/>
          <w:b/>
          <w:bCs/>
          <w:sz w:val="20"/>
          <w:szCs w:val="20"/>
          <w:highlight w:val="none"/>
        </w:rPr>
        <w:instrText xml:space="preserve"> PAGEREF _Toc16410 \h </w:instrText>
      </w:r>
      <w:r>
        <w:rPr>
          <w:rFonts w:hint="eastAsia" w:ascii="黑体" w:hAnsi="黑体" w:eastAsia="黑体" w:cs="黑体"/>
          <w:b/>
          <w:bCs/>
          <w:sz w:val="20"/>
          <w:szCs w:val="20"/>
          <w:highlight w:val="none"/>
        </w:rPr>
        <w:fldChar w:fldCharType="separate"/>
      </w:r>
      <w:r>
        <w:rPr>
          <w:rFonts w:hint="eastAsia" w:ascii="黑体" w:hAnsi="黑体" w:eastAsia="黑体" w:cs="黑体"/>
          <w:b/>
          <w:bCs/>
          <w:sz w:val="20"/>
          <w:szCs w:val="20"/>
          <w:highlight w:val="none"/>
        </w:rPr>
        <w:t>3</w:t>
      </w:r>
      <w:r>
        <w:rPr>
          <w:rFonts w:hint="eastAsia" w:ascii="黑体" w:hAnsi="黑体" w:eastAsia="黑体" w:cs="黑体"/>
          <w:b/>
          <w:bCs/>
          <w:sz w:val="20"/>
          <w:szCs w:val="20"/>
          <w:highlight w:val="none"/>
        </w:rPr>
        <w:fldChar w:fldCharType="end"/>
      </w:r>
      <w:r>
        <w:rPr>
          <w:rFonts w:hint="eastAsia" w:ascii="黑体" w:hAnsi="黑体" w:eastAsia="黑体" w:cs="黑体"/>
          <w:b/>
          <w:bCs/>
          <w:sz w:val="20"/>
          <w:szCs w:val="20"/>
          <w:highlight w:val="none"/>
        </w:rPr>
        <w:fldChar w:fldCharType="end"/>
      </w:r>
    </w:p>
    <w:p>
      <w:pPr>
        <w:pStyle w:val="71"/>
        <w:tabs>
          <w:tab w:val="right" w:leader="dot" w:pos="8788"/>
          <w:tab w:val="clear" w:pos="8789"/>
        </w:tabs>
        <w:spacing w:line="240" w:lineRule="auto"/>
        <w:ind w:left="105"/>
        <w:rPr>
          <w:rFonts w:hint="eastAsia"/>
          <w:b/>
          <w:bCs/>
          <w:sz w:val="20"/>
          <w:szCs w:val="20"/>
          <w:highlight w:val="none"/>
        </w:rPr>
      </w:pPr>
      <w:r>
        <w:rPr>
          <w:highlight w:val="none"/>
        </w:rPr>
        <w:fldChar w:fldCharType="begin"/>
      </w:r>
      <w:r>
        <w:rPr>
          <w:highlight w:val="none"/>
        </w:rPr>
        <w:instrText xml:space="preserve"> HYPERLINK \l "_Toc20258" </w:instrText>
      </w:r>
      <w:r>
        <w:rPr>
          <w:highlight w:val="none"/>
        </w:rPr>
        <w:fldChar w:fldCharType="separate"/>
      </w:r>
      <w:r>
        <w:rPr>
          <w:rFonts w:hint="eastAsia"/>
          <w:b/>
          <w:bCs/>
          <w:sz w:val="20"/>
          <w:szCs w:val="20"/>
          <w:highlight w:val="none"/>
        </w:rPr>
        <w:t>第一章 投标邀请</w:t>
      </w:r>
      <w:r>
        <w:rPr>
          <w:rFonts w:hint="eastAsia"/>
          <w:b/>
          <w:bCs/>
          <w:sz w:val="20"/>
          <w:szCs w:val="20"/>
          <w:highlight w:val="none"/>
        </w:rPr>
        <w:tab/>
      </w:r>
      <w:r>
        <w:rPr>
          <w:rFonts w:hint="eastAsia"/>
          <w:b/>
          <w:bCs/>
          <w:sz w:val="20"/>
          <w:szCs w:val="20"/>
          <w:highlight w:val="none"/>
        </w:rPr>
        <w:fldChar w:fldCharType="begin"/>
      </w:r>
      <w:r>
        <w:rPr>
          <w:rFonts w:hint="eastAsia"/>
          <w:b/>
          <w:bCs/>
          <w:sz w:val="20"/>
          <w:szCs w:val="20"/>
          <w:highlight w:val="none"/>
        </w:rPr>
        <w:instrText xml:space="preserve"> PAGEREF _Toc20258 \h </w:instrText>
      </w:r>
      <w:r>
        <w:rPr>
          <w:rFonts w:hint="eastAsia"/>
          <w:b/>
          <w:bCs/>
          <w:sz w:val="20"/>
          <w:szCs w:val="20"/>
          <w:highlight w:val="none"/>
        </w:rPr>
        <w:fldChar w:fldCharType="separate"/>
      </w:r>
      <w:r>
        <w:rPr>
          <w:rFonts w:hint="eastAsia"/>
          <w:b/>
          <w:bCs/>
          <w:sz w:val="20"/>
          <w:szCs w:val="20"/>
          <w:highlight w:val="none"/>
        </w:rPr>
        <w:t>3</w:t>
      </w:r>
      <w:r>
        <w:rPr>
          <w:rFonts w:hint="eastAsia"/>
          <w:b/>
          <w:bCs/>
          <w:sz w:val="20"/>
          <w:szCs w:val="20"/>
          <w:highlight w:val="none"/>
        </w:rPr>
        <w:fldChar w:fldCharType="end"/>
      </w:r>
      <w:r>
        <w:rPr>
          <w:rFonts w:hint="eastAsia"/>
          <w:b/>
          <w:bCs/>
          <w:sz w:val="20"/>
          <w:szCs w:val="20"/>
          <w:highlight w:val="none"/>
        </w:rPr>
        <w:fldChar w:fldCharType="end"/>
      </w:r>
    </w:p>
    <w:p>
      <w:pPr>
        <w:pStyle w:val="71"/>
        <w:tabs>
          <w:tab w:val="right" w:leader="dot" w:pos="8788"/>
          <w:tab w:val="clear" w:pos="8789"/>
        </w:tabs>
        <w:spacing w:line="240" w:lineRule="auto"/>
        <w:ind w:left="105"/>
        <w:rPr>
          <w:rFonts w:hint="eastAsia"/>
          <w:b/>
          <w:bCs/>
          <w:sz w:val="20"/>
          <w:szCs w:val="20"/>
          <w:highlight w:val="none"/>
        </w:rPr>
      </w:pPr>
      <w:r>
        <w:rPr>
          <w:highlight w:val="none"/>
        </w:rPr>
        <w:fldChar w:fldCharType="begin"/>
      </w:r>
      <w:r>
        <w:rPr>
          <w:highlight w:val="none"/>
        </w:rPr>
        <w:instrText xml:space="preserve"> HYPERLINK \l "_Toc13122" </w:instrText>
      </w:r>
      <w:r>
        <w:rPr>
          <w:highlight w:val="none"/>
        </w:rPr>
        <w:fldChar w:fldCharType="separate"/>
      </w:r>
      <w:r>
        <w:rPr>
          <w:rFonts w:hint="eastAsia"/>
          <w:b/>
          <w:bCs/>
          <w:sz w:val="20"/>
          <w:szCs w:val="20"/>
          <w:highlight w:val="none"/>
        </w:rPr>
        <w:t>第二章 项目需求</w:t>
      </w:r>
      <w:r>
        <w:rPr>
          <w:rFonts w:hint="eastAsia"/>
          <w:b/>
          <w:bCs/>
          <w:sz w:val="20"/>
          <w:szCs w:val="20"/>
          <w:highlight w:val="none"/>
        </w:rPr>
        <w:tab/>
      </w:r>
      <w:r>
        <w:rPr>
          <w:rFonts w:hint="eastAsia"/>
          <w:b/>
          <w:bCs/>
          <w:sz w:val="20"/>
          <w:szCs w:val="20"/>
          <w:highlight w:val="none"/>
        </w:rPr>
        <w:fldChar w:fldCharType="begin"/>
      </w:r>
      <w:r>
        <w:rPr>
          <w:rFonts w:hint="eastAsia"/>
          <w:b/>
          <w:bCs/>
          <w:sz w:val="20"/>
          <w:szCs w:val="20"/>
          <w:highlight w:val="none"/>
        </w:rPr>
        <w:instrText xml:space="preserve"> PAGEREF _Toc13122 \h </w:instrText>
      </w:r>
      <w:r>
        <w:rPr>
          <w:rFonts w:hint="eastAsia"/>
          <w:b/>
          <w:bCs/>
          <w:sz w:val="20"/>
          <w:szCs w:val="20"/>
          <w:highlight w:val="none"/>
        </w:rPr>
        <w:fldChar w:fldCharType="separate"/>
      </w:r>
      <w:r>
        <w:rPr>
          <w:rFonts w:hint="eastAsia"/>
          <w:b/>
          <w:bCs/>
          <w:sz w:val="20"/>
          <w:szCs w:val="20"/>
          <w:highlight w:val="none"/>
        </w:rPr>
        <w:t>7</w:t>
      </w:r>
      <w:r>
        <w:rPr>
          <w:rFonts w:hint="eastAsia"/>
          <w:b/>
          <w:bCs/>
          <w:sz w:val="20"/>
          <w:szCs w:val="20"/>
          <w:highlight w:val="none"/>
        </w:rPr>
        <w:fldChar w:fldCharType="end"/>
      </w:r>
      <w:r>
        <w:rPr>
          <w:rFonts w:hint="eastAsia"/>
          <w:b/>
          <w:bCs/>
          <w:sz w:val="20"/>
          <w:szCs w:val="20"/>
          <w:highlight w:val="none"/>
        </w:rPr>
        <w:fldChar w:fldCharType="end"/>
      </w:r>
    </w:p>
    <w:p>
      <w:pPr>
        <w:pStyle w:val="43"/>
        <w:tabs>
          <w:tab w:val="right" w:leader="dot" w:pos="8788"/>
          <w:tab w:val="clear" w:pos="426"/>
        </w:tabs>
        <w:spacing w:line="240" w:lineRule="auto"/>
        <w:rPr>
          <w:rFonts w:hint="eastAsia"/>
          <w:i w:val="0"/>
          <w:iCs w:val="0"/>
          <w:sz w:val="20"/>
          <w:szCs w:val="20"/>
          <w:highlight w:val="none"/>
        </w:rPr>
      </w:pPr>
      <w:r>
        <w:rPr>
          <w:highlight w:val="none"/>
        </w:rPr>
        <w:fldChar w:fldCharType="begin"/>
      </w:r>
      <w:r>
        <w:rPr>
          <w:highlight w:val="none"/>
        </w:rPr>
        <w:instrText xml:space="preserve"> HYPERLINK \l "_Toc15786" </w:instrText>
      </w:r>
      <w:r>
        <w:rPr>
          <w:highlight w:val="none"/>
        </w:rPr>
        <w:fldChar w:fldCharType="separate"/>
      </w:r>
      <w:r>
        <w:rPr>
          <w:rFonts w:hint="eastAsia"/>
          <w:i w:val="0"/>
          <w:iCs w:val="0"/>
          <w:sz w:val="20"/>
          <w:szCs w:val="20"/>
          <w:highlight w:val="none"/>
        </w:rPr>
        <w:t xml:space="preserve">一、 </w:t>
      </w:r>
      <w:r>
        <w:rPr>
          <w:i w:val="0"/>
          <w:iCs w:val="0"/>
          <w:sz w:val="20"/>
          <w:szCs w:val="20"/>
          <w:highlight w:val="none"/>
        </w:rPr>
        <w:t>货物清单</w:t>
      </w:r>
      <w:r>
        <w:rPr>
          <w:rFonts w:hint="eastAsia"/>
          <w:i w:val="0"/>
          <w:iCs w:val="0"/>
          <w:sz w:val="20"/>
          <w:szCs w:val="20"/>
          <w:highlight w:val="none"/>
        </w:rPr>
        <w:t>一览表</w:t>
      </w:r>
      <w:r>
        <w:rPr>
          <w:i w:val="0"/>
          <w:iCs w:val="0"/>
          <w:sz w:val="20"/>
          <w:szCs w:val="20"/>
          <w:highlight w:val="none"/>
        </w:rPr>
        <w:tab/>
      </w:r>
      <w:r>
        <w:rPr>
          <w:i w:val="0"/>
          <w:iCs w:val="0"/>
          <w:sz w:val="20"/>
          <w:szCs w:val="20"/>
          <w:highlight w:val="none"/>
        </w:rPr>
        <w:fldChar w:fldCharType="begin"/>
      </w:r>
      <w:r>
        <w:rPr>
          <w:i w:val="0"/>
          <w:iCs w:val="0"/>
          <w:sz w:val="20"/>
          <w:szCs w:val="20"/>
          <w:highlight w:val="none"/>
        </w:rPr>
        <w:instrText xml:space="preserve"> PAGEREF _Toc15786 \h </w:instrText>
      </w:r>
      <w:r>
        <w:rPr>
          <w:i w:val="0"/>
          <w:iCs w:val="0"/>
          <w:sz w:val="20"/>
          <w:szCs w:val="20"/>
          <w:highlight w:val="none"/>
        </w:rPr>
        <w:fldChar w:fldCharType="separate"/>
      </w:r>
      <w:r>
        <w:rPr>
          <w:i w:val="0"/>
          <w:iCs w:val="0"/>
          <w:sz w:val="20"/>
          <w:szCs w:val="20"/>
          <w:highlight w:val="none"/>
        </w:rPr>
        <w:t>7</w:t>
      </w:r>
      <w:r>
        <w:rPr>
          <w:i w:val="0"/>
          <w:iCs w:val="0"/>
          <w:sz w:val="20"/>
          <w:szCs w:val="20"/>
          <w:highlight w:val="none"/>
        </w:rPr>
        <w:fldChar w:fldCharType="end"/>
      </w:r>
      <w:r>
        <w:rPr>
          <w:i w:val="0"/>
          <w:iCs w:val="0"/>
          <w:sz w:val="20"/>
          <w:szCs w:val="20"/>
          <w:highlight w:val="none"/>
        </w:rPr>
        <w:fldChar w:fldCharType="end"/>
      </w:r>
    </w:p>
    <w:p>
      <w:pPr>
        <w:pStyle w:val="43"/>
        <w:tabs>
          <w:tab w:val="right" w:leader="dot" w:pos="8788"/>
          <w:tab w:val="clear" w:pos="426"/>
        </w:tabs>
        <w:spacing w:line="240" w:lineRule="auto"/>
        <w:rPr>
          <w:rFonts w:hint="eastAsia"/>
          <w:i w:val="0"/>
          <w:iCs w:val="0"/>
          <w:sz w:val="20"/>
          <w:szCs w:val="20"/>
          <w:highlight w:val="none"/>
        </w:rPr>
      </w:pPr>
      <w:r>
        <w:rPr>
          <w:highlight w:val="none"/>
        </w:rPr>
        <w:fldChar w:fldCharType="begin"/>
      </w:r>
      <w:r>
        <w:rPr>
          <w:highlight w:val="none"/>
        </w:rPr>
        <w:instrText xml:space="preserve"> HYPERLINK \l "_Toc31434" </w:instrText>
      </w:r>
      <w:r>
        <w:rPr>
          <w:highlight w:val="none"/>
        </w:rPr>
        <w:fldChar w:fldCharType="separate"/>
      </w:r>
      <w:r>
        <w:rPr>
          <w:rFonts w:hint="eastAsia"/>
          <w:i w:val="0"/>
          <w:iCs w:val="0"/>
          <w:sz w:val="20"/>
          <w:szCs w:val="20"/>
          <w:highlight w:val="none"/>
        </w:rPr>
        <w:t>二、 实质性响应条款</w:t>
      </w:r>
      <w:r>
        <w:rPr>
          <w:i w:val="0"/>
          <w:iCs w:val="0"/>
          <w:sz w:val="20"/>
          <w:szCs w:val="20"/>
          <w:highlight w:val="none"/>
        </w:rPr>
        <w:tab/>
      </w:r>
      <w:r>
        <w:rPr>
          <w:i w:val="0"/>
          <w:iCs w:val="0"/>
          <w:sz w:val="20"/>
          <w:szCs w:val="20"/>
          <w:highlight w:val="none"/>
        </w:rPr>
        <w:fldChar w:fldCharType="begin"/>
      </w:r>
      <w:r>
        <w:rPr>
          <w:i w:val="0"/>
          <w:iCs w:val="0"/>
          <w:sz w:val="20"/>
          <w:szCs w:val="20"/>
          <w:highlight w:val="none"/>
        </w:rPr>
        <w:instrText xml:space="preserve"> PAGEREF _Toc31434 \h </w:instrText>
      </w:r>
      <w:r>
        <w:rPr>
          <w:i w:val="0"/>
          <w:iCs w:val="0"/>
          <w:sz w:val="20"/>
          <w:szCs w:val="20"/>
          <w:highlight w:val="none"/>
        </w:rPr>
        <w:fldChar w:fldCharType="separate"/>
      </w:r>
      <w:r>
        <w:rPr>
          <w:i w:val="0"/>
          <w:iCs w:val="0"/>
          <w:sz w:val="20"/>
          <w:szCs w:val="20"/>
          <w:highlight w:val="none"/>
        </w:rPr>
        <w:t>7</w:t>
      </w:r>
      <w:r>
        <w:rPr>
          <w:i w:val="0"/>
          <w:iCs w:val="0"/>
          <w:sz w:val="20"/>
          <w:szCs w:val="20"/>
          <w:highlight w:val="none"/>
        </w:rPr>
        <w:fldChar w:fldCharType="end"/>
      </w:r>
      <w:r>
        <w:rPr>
          <w:i w:val="0"/>
          <w:iCs w:val="0"/>
          <w:sz w:val="20"/>
          <w:szCs w:val="20"/>
          <w:highlight w:val="none"/>
        </w:rPr>
        <w:fldChar w:fldCharType="end"/>
      </w:r>
    </w:p>
    <w:p>
      <w:pPr>
        <w:pStyle w:val="43"/>
        <w:tabs>
          <w:tab w:val="right" w:leader="dot" w:pos="8788"/>
          <w:tab w:val="clear" w:pos="426"/>
        </w:tabs>
        <w:spacing w:line="240" w:lineRule="auto"/>
        <w:rPr>
          <w:rFonts w:hint="eastAsia"/>
          <w:i w:val="0"/>
          <w:iCs w:val="0"/>
          <w:sz w:val="20"/>
          <w:szCs w:val="20"/>
          <w:highlight w:val="none"/>
        </w:rPr>
      </w:pPr>
      <w:r>
        <w:rPr>
          <w:highlight w:val="none"/>
        </w:rPr>
        <w:fldChar w:fldCharType="begin"/>
      </w:r>
      <w:r>
        <w:rPr>
          <w:highlight w:val="none"/>
        </w:rPr>
        <w:instrText xml:space="preserve"> HYPERLINK \l "_Toc27732" </w:instrText>
      </w:r>
      <w:r>
        <w:rPr>
          <w:highlight w:val="none"/>
        </w:rPr>
        <w:fldChar w:fldCharType="separate"/>
      </w:r>
      <w:r>
        <w:rPr>
          <w:rFonts w:hint="eastAsia"/>
          <w:i w:val="0"/>
          <w:iCs w:val="0"/>
          <w:sz w:val="20"/>
          <w:szCs w:val="20"/>
          <w:highlight w:val="none"/>
        </w:rPr>
        <w:t>三、 技术要求</w:t>
      </w:r>
      <w:r>
        <w:rPr>
          <w:i w:val="0"/>
          <w:iCs w:val="0"/>
          <w:sz w:val="20"/>
          <w:szCs w:val="20"/>
          <w:highlight w:val="none"/>
        </w:rPr>
        <w:tab/>
      </w:r>
      <w:r>
        <w:rPr>
          <w:i w:val="0"/>
          <w:iCs w:val="0"/>
          <w:sz w:val="20"/>
          <w:szCs w:val="20"/>
          <w:highlight w:val="none"/>
        </w:rPr>
        <w:fldChar w:fldCharType="begin"/>
      </w:r>
      <w:r>
        <w:rPr>
          <w:i w:val="0"/>
          <w:iCs w:val="0"/>
          <w:sz w:val="20"/>
          <w:szCs w:val="20"/>
          <w:highlight w:val="none"/>
        </w:rPr>
        <w:instrText xml:space="preserve"> PAGEREF _Toc27732 \h </w:instrText>
      </w:r>
      <w:r>
        <w:rPr>
          <w:i w:val="0"/>
          <w:iCs w:val="0"/>
          <w:sz w:val="20"/>
          <w:szCs w:val="20"/>
          <w:highlight w:val="none"/>
        </w:rPr>
        <w:fldChar w:fldCharType="separate"/>
      </w:r>
      <w:r>
        <w:rPr>
          <w:i w:val="0"/>
          <w:iCs w:val="0"/>
          <w:sz w:val="20"/>
          <w:szCs w:val="20"/>
          <w:highlight w:val="none"/>
        </w:rPr>
        <w:t>7</w:t>
      </w:r>
      <w:r>
        <w:rPr>
          <w:i w:val="0"/>
          <w:iCs w:val="0"/>
          <w:sz w:val="20"/>
          <w:szCs w:val="20"/>
          <w:highlight w:val="none"/>
        </w:rPr>
        <w:fldChar w:fldCharType="end"/>
      </w:r>
      <w:r>
        <w:rPr>
          <w:i w:val="0"/>
          <w:iCs w:val="0"/>
          <w:sz w:val="20"/>
          <w:szCs w:val="20"/>
          <w:highlight w:val="none"/>
        </w:rPr>
        <w:fldChar w:fldCharType="end"/>
      </w:r>
    </w:p>
    <w:p>
      <w:pPr>
        <w:pStyle w:val="43"/>
        <w:tabs>
          <w:tab w:val="right" w:leader="dot" w:pos="8788"/>
          <w:tab w:val="clear" w:pos="426"/>
        </w:tabs>
        <w:spacing w:line="240" w:lineRule="auto"/>
        <w:rPr>
          <w:rFonts w:hint="eastAsia"/>
          <w:i w:val="0"/>
          <w:iCs w:val="0"/>
          <w:sz w:val="20"/>
          <w:szCs w:val="20"/>
          <w:highlight w:val="none"/>
        </w:rPr>
      </w:pPr>
      <w:r>
        <w:rPr>
          <w:highlight w:val="none"/>
        </w:rPr>
        <w:fldChar w:fldCharType="begin"/>
      </w:r>
      <w:r>
        <w:rPr>
          <w:highlight w:val="none"/>
        </w:rPr>
        <w:instrText xml:space="preserve"> HYPERLINK \l "_Toc8996" </w:instrText>
      </w:r>
      <w:r>
        <w:rPr>
          <w:highlight w:val="none"/>
        </w:rPr>
        <w:fldChar w:fldCharType="separate"/>
      </w:r>
      <w:r>
        <w:rPr>
          <w:rFonts w:hint="eastAsia"/>
          <w:i w:val="0"/>
          <w:iCs w:val="0"/>
          <w:sz w:val="20"/>
          <w:szCs w:val="20"/>
          <w:highlight w:val="none"/>
        </w:rPr>
        <w:t>四、 商务要求</w:t>
      </w:r>
      <w:r>
        <w:rPr>
          <w:i w:val="0"/>
          <w:iCs w:val="0"/>
          <w:sz w:val="20"/>
          <w:szCs w:val="20"/>
          <w:highlight w:val="none"/>
        </w:rPr>
        <w:tab/>
      </w:r>
      <w:r>
        <w:rPr>
          <w:i w:val="0"/>
          <w:iCs w:val="0"/>
          <w:sz w:val="20"/>
          <w:szCs w:val="20"/>
          <w:highlight w:val="none"/>
        </w:rPr>
        <w:fldChar w:fldCharType="begin"/>
      </w:r>
      <w:r>
        <w:rPr>
          <w:i w:val="0"/>
          <w:iCs w:val="0"/>
          <w:sz w:val="20"/>
          <w:szCs w:val="20"/>
          <w:highlight w:val="none"/>
        </w:rPr>
        <w:instrText xml:space="preserve"> PAGEREF _Toc8996 \h </w:instrText>
      </w:r>
      <w:r>
        <w:rPr>
          <w:i w:val="0"/>
          <w:iCs w:val="0"/>
          <w:sz w:val="20"/>
          <w:szCs w:val="20"/>
          <w:highlight w:val="none"/>
        </w:rPr>
        <w:fldChar w:fldCharType="separate"/>
      </w:r>
      <w:r>
        <w:rPr>
          <w:i w:val="0"/>
          <w:iCs w:val="0"/>
          <w:sz w:val="20"/>
          <w:szCs w:val="20"/>
          <w:highlight w:val="none"/>
        </w:rPr>
        <w:t>10</w:t>
      </w:r>
      <w:r>
        <w:rPr>
          <w:i w:val="0"/>
          <w:iCs w:val="0"/>
          <w:sz w:val="20"/>
          <w:szCs w:val="20"/>
          <w:highlight w:val="none"/>
        </w:rPr>
        <w:fldChar w:fldCharType="end"/>
      </w:r>
      <w:r>
        <w:rPr>
          <w:i w:val="0"/>
          <w:iCs w:val="0"/>
          <w:sz w:val="20"/>
          <w:szCs w:val="20"/>
          <w:highlight w:val="none"/>
        </w:rPr>
        <w:fldChar w:fldCharType="end"/>
      </w:r>
    </w:p>
    <w:p>
      <w:pPr>
        <w:pStyle w:val="71"/>
        <w:tabs>
          <w:tab w:val="right" w:leader="dot" w:pos="8788"/>
          <w:tab w:val="clear" w:pos="8789"/>
        </w:tabs>
        <w:spacing w:line="240" w:lineRule="auto"/>
        <w:ind w:left="105"/>
        <w:rPr>
          <w:rFonts w:hint="eastAsia"/>
          <w:b/>
          <w:bCs/>
          <w:sz w:val="20"/>
          <w:szCs w:val="20"/>
          <w:highlight w:val="none"/>
        </w:rPr>
      </w:pPr>
      <w:r>
        <w:rPr>
          <w:rFonts w:hint="eastAsia"/>
          <w:highlight w:val="none"/>
        </w:rPr>
        <w:fldChar w:fldCharType="begin"/>
      </w:r>
      <w:r>
        <w:rPr>
          <w:highlight w:val="none"/>
        </w:rPr>
        <w:instrText xml:space="preserve"> HYPERLINK \l "_Toc2525" </w:instrText>
      </w:r>
      <w:r>
        <w:rPr>
          <w:rFonts w:hint="eastAsia"/>
          <w:highlight w:val="none"/>
        </w:rPr>
        <w:fldChar w:fldCharType="separate"/>
      </w:r>
      <w:r>
        <w:rPr>
          <w:rFonts w:hint="eastAsia"/>
          <w:b/>
          <w:bCs/>
          <w:sz w:val="20"/>
          <w:szCs w:val="20"/>
          <w:highlight w:val="none"/>
        </w:rPr>
        <w:t>第三章 特别说明</w:t>
      </w:r>
      <w:r>
        <w:rPr>
          <w:rFonts w:hint="eastAsia"/>
          <w:b/>
          <w:bCs/>
          <w:sz w:val="20"/>
          <w:szCs w:val="20"/>
          <w:highlight w:val="none"/>
        </w:rPr>
        <w:tab/>
      </w:r>
      <w:r>
        <w:rPr>
          <w:rFonts w:hint="eastAsia"/>
          <w:b/>
          <w:bCs/>
          <w:sz w:val="20"/>
          <w:szCs w:val="20"/>
          <w:highlight w:val="none"/>
        </w:rPr>
        <w:fldChar w:fldCharType="begin"/>
      </w:r>
      <w:r>
        <w:rPr>
          <w:rFonts w:hint="eastAsia"/>
          <w:b/>
          <w:bCs/>
          <w:sz w:val="20"/>
          <w:szCs w:val="20"/>
          <w:highlight w:val="none"/>
        </w:rPr>
        <w:instrText xml:space="preserve"> PAGEREF _Toc2525 \h </w:instrText>
      </w:r>
      <w:r>
        <w:rPr>
          <w:rFonts w:hint="eastAsia"/>
          <w:b/>
          <w:bCs/>
          <w:sz w:val="20"/>
          <w:szCs w:val="20"/>
          <w:highlight w:val="none"/>
        </w:rPr>
        <w:fldChar w:fldCharType="separate"/>
      </w:r>
      <w:r>
        <w:rPr>
          <w:rFonts w:hint="eastAsia"/>
          <w:b/>
          <w:bCs/>
          <w:sz w:val="20"/>
          <w:szCs w:val="20"/>
          <w:highlight w:val="none"/>
        </w:rPr>
        <w:t>12</w:t>
      </w:r>
      <w:r>
        <w:rPr>
          <w:rFonts w:hint="eastAsia"/>
          <w:b/>
          <w:bCs/>
          <w:sz w:val="20"/>
          <w:szCs w:val="20"/>
          <w:highlight w:val="none"/>
        </w:rPr>
        <w:fldChar w:fldCharType="end"/>
      </w:r>
      <w:r>
        <w:rPr>
          <w:rFonts w:hint="eastAsia"/>
          <w:b/>
          <w:bCs/>
          <w:sz w:val="20"/>
          <w:szCs w:val="20"/>
          <w:highlight w:val="none"/>
        </w:rPr>
        <w:fldChar w:fldCharType="end"/>
      </w:r>
    </w:p>
    <w:p>
      <w:pPr>
        <w:pStyle w:val="71"/>
        <w:tabs>
          <w:tab w:val="right" w:leader="dot" w:pos="8788"/>
          <w:tab w:val="clear" w:pos="8789"/>
        </w:tabs>
        <w:spacing w:line="240" w:lineRule="auto"/>
        <w:ind w:left="105"/>
        <w:rPr>
          <w:rFonts w:hint="eastAsia"/>
          <w:b/>
          <w:bCs/>
          <w:sz w:val="20"/>
          <w:szCs w:val="20"/>
          <w:highlight w:val="none"/>
        </w:rPr>
      </w:pPr>
      <w:r>
        <w:rPr>
          <w:highlight w:val="none"/>
        </w:rPr>
        <w:fldChar w:fldCharType="begin"/>
      </w:r>
      <w:r>
        <w:rPr>
          <w:highlight w:val="none"/>
        </w:rPr>
        <w:instrText xml:space="preserve"> HYPERLINK \l "_Toc25501" </w:instrText>
      </w:r>
      <w:r>
        <w:rPr>
          <w:highlight w:val="none"/>
        </w:rPr>
        <w:fldChar w:fldCharType="separate"/>
      </w:r>
      <w:r>
        <w:rPr>
          <w:rFonts w:hint="eastAsia"/>
          <w:b/>
          <w:bCs/>
          <w:sz w:val="20"/>
          <w:szCs w:val="20"/>
          <w:highlight w:val="none"/>
        </w:rPr>
        <w:t>第四章 资格审查和评标方法</w:t>
      </w:r>
      <w:r>
        <w:rPr>
          <w:rFonts w:hint="eastAsia"/>
          <w:b/>
          <w:bCs/>
          <w:sz w:val="20"/>
          <w:szCs w:val="20"/>
          <w:highlight w:val="none"/>
        </w:rPr>
        <w:tab/>
      </w:r>
      <w:r>
        <w:rPr>
          <w:rFonts w:hint="eastAsia"/>
          <w:b/>
          <w:bCs/>
          <w:sz w:val="20"/>
          <w:szCs w:val="20"/>
          <w:highlight w:val="none"/>
        </w:rPr>
        <w:fldChar w:fldCharType="begin"/>
      </w:r>
      <w:r>
        <w:rPr>
          <w:rFonts w:hint="eastAsia"/>
          <w:b/>
          <w:bCs/>
          <w:sz w:val="20"/>
          <w:szCs w:val="20"/>
          <w:highlight w:val="none"/>
        </w:rPr>
        <w:instrText xml:space="preserve"> PAGEREF _Toc25501 \h </w:instrText>
      </w:r>
      <w:r>
        <w:rPr>
          <w:rFonts w:hint="eastAsia"/>
          <w:b/>
          <w:bCs/>
          <w:sz w:val="20"/>
          <w:szCs w:val="20"/>
          <w:highlight w:val="none"/>
        </w:rPr>
        <w:fldChar w:fldCharType="separate"/>
      </w:r>
      <w:r>
        <w:rPr>
          <w:rFonts w:hint="eastAsia"/>
          <w:b/>
          <w:bCs/>
          <w:sz w:val="20"/>
          <w:szCs w:val="20"/>
          <w:highlight w:val="none"/>
        </w:rPr>
        <w:t>13</w:t>
      </w:r>
      <w:r>
        <w:rPr>
          <w:rFonts w:hint="eastAsia"/>
          <w:b/>
          <w:bCs/>
          <w:sz w:val="20"/>
          <w:szCs w:val="20"/>
          <w:highlight w:val="none"/>
        </w:rPr>
        <w:fldChar w:fldCharType="end"/>
      </w:r>
      <w:r>
        <w:rPr>
          <w:rFonts w:hint="eastAsia"/>
          <w:b/>
          <w:bCs/>
          <w:sz w:val="20"/>
          <w:szCs w:val="20"/>
          <w:highlight w:val="none"/>
        </w:rPr>
        <w:fldChar w:fldCharType="end"/>
      </w:r>
    </w:p>
    <w:p>
      <w:pPr>
        <w:pStyle w:val="43"/>
        <w:tabs>
          <w:tab w:val="right" w:leader="dot" w:pos="8788"/>
          <w:tab w:val="clear" w:pos="426"/>
        </w:tabs>
        <w:spacing w:line="240" w:lineRule="auto"/>
        <w:rPr>
          <w:rFonts w:hint="eastAsia"/>
          <w:i w:val="0"/>
          <w:iCs w:val="0"/>
          <w:smallCaps/>
          <w:sz w:val="20"/>
          <w:szCs w:val="20"/>
          <w:highlight w:val="none"/>
        </w:rPr>
      </w:pPr>
      <w:r>
        <w:rPr>
          <w:highlight w:val="none"/>
        </w:rPr>
        <w:fldChar w:fldCharType="begin"/>
      </w:r>
      <w:r>
        <w:rPr>
          <w:highlight w:val="none"/>
        </w:rPr>
        <w:instrText xml:space="preserve"> HYPERLINK \l "_Toc12702" </w:instrText>
      </w:r>
      <w:r>
        <w:rPr>
          <w:highlight w:val="none"/>
        </w:rPr>
        <w:fldChar w:fldCharType="separate"/>
      </w:r>
      <w:r>
        <w:rPr>
          <w:rFonts w:hint="eastAsia"/>
          <w:i w:val="0"/>
          <w:iCs w:val="0"/>
          <w:smallCaps/>
          <w:sz w:val="20"/>
          <w:szCs w:val="20"/>
          <w:highlight w:val="none"/>
        </w:rPr>
        <w:t>前附表（一）</w:t>
      </w:r>
      <w:r>
        <w:rPr>
          <w:i w:val="0"/>
          <w:iCs w:val="0"/>
          <w:smallCaps/>
          <w:sz w:val="20"/>
          <w:szCs w:val="20"/>
          <w:highlight w:val="none"/>
        </w:rPr>
        <w:t>资格审查表</w:t>
      </w:r>
      <w:r>
        <w:rPr>
          <w:i w:val="0"/>
          <w:iCs w:val="0"/>
          <w:smallCaps/>
          <w:sz w:val="20"/>
          <w:szCs w:val="20"/>
          <w:highlight w:val="none"/>
        </w:rPr>
        <w:tab/>
      </w:r>
      <w:r>
        <w:rPr>
          <w:i w:val="0"/>
          <w:iCs w:val="0"/>
          <w:smallCaps/>
          <w:sz w:val="20"/>
          <w:szCs w:val="20"/>
          <w:highlight w:val="none"/>
        </w:rPr>
        <w:fldChar w:fldCharType="begin"/>
      </w:r>
      <w:r>
        <w:rPr>
          <w:i w:val="0"/>
          <w:iCs w:val="0"/>
          <w:smallCaps/>
          <w:sz w:val="20"/>
          <w:szCs w:val="20"/>
          <w:highlight w:val="none"/>
        </w:rPr>
        <w:instrText xml:space="preserve"> PAGEREF _Toc12702 \h </w:instrText>
      </w:r>
      <w:r>
        <w:rPr>
          <w:i w:val="0"/>
          <w:iCs w:val="0"/>
          <w:smallCaps/>
          <w:sz w:val="20"/>
          <w:szCs w:val="20"/>
          <w:highlight w:val="none"/>
        </w:rPr>
        <w:fldChar w:fldCharType="separate"/>
      </w:r>
      <w:r>
        <w:rPr>
          <w:i w:val="0"/>
          <w:iCs w:val="0"/>
          <w:smallCaps/>
          <w:sz w:val="20"/>
          <w:szCs w:val="20"/>
          <w:highlight w:val="none"/>
        </w:rPr>
        <w:t>13</w:t>
      </w:r>
      <w:r>
        <w:rPr>
          <w:i w:val="0"/>
          <w:iCs w:val="0"/>
          <w:smallCaps/>
          <w:sz w:val="20"/>
          <w:szCs w:val="20"/>
          <w:highlight w:val="none"/>
        </w:rPr>
        <w:fldChar w:fldCharType="end"/>
      </w:r>
      <w:r>
        <w:rPr>
          <w:i w:val="0"/>
          <w:iCs w:val="0"/>
          <w:smallCaps/>
          <w:sz w:val="20"/>
          <w:szCs w:val="20"/>
          <w:highlight w:val="none"/>
        </w:rPr>
        <w:fldChar w:fldCharType="end"/>
      </w:r>
    </w:p>
    <w:p>
      <w:pPr>
        <w:pStyle w:val="43"/>
        <w:tabs>
          <w:tab w:val="right" w:leader="dot" w:pos="8788"/>
          <w:tab w:val="clear" w:pos="426"/>
        </w:tabs>
        <w:spacing w:line="240" w:lineRule="auto"/>
        <w:rPr>
          <w:rFonts w:hint="eastAsia"/>
          <w:i w:val="0"/>
          <w:iCs w:val="0"/>
          <w:smallCaps/>
          <w:sz w:val="20"/>
          <w:szCs w:val="20"/>
          <w:highlight w:val="none"/>
        </w:rPr>
      </w:pPr>
      <w:r>
        <w:rPr>
          <w:highlight w:val="none"/>
        </w:rPr>
        <w:fldChar w:fldCharType="begin"/>
      </w:r>
      <w:r>
        <w:rPr>
          <w:highlight w:val="none"/>
        </w:rPr>
        <w:instrText xml:space="preserve"> HYPERLINK \l "_Toc10832" </w:instrText>
      </w:r>
      <w:r>
        <w:rPr>
          <w:highlight w:val="none"/>
        </w:rPr>
        <w:fldChar w:fldCharType="separate"/>
      </w:r>
      <w:r>
        <w:rPr>
          <w:rFonts w:hint="eastAsia"/>
          <w:i w:val="0"/>
          <w:iCs w:val="0"/>
          <w:smallCaps/>
          <w:sz w:val="20"/>
          <w:szCs w:val="20"/>
          <w:highlight w:val="none"/>
        </w:rPr>
        <w:t>前附表（二）符合性审查表</w:t>
      </w:r>
      <w:r>
        <w:rPr>
          <w:i w:val="0"/>
          <w:iCs w:val="0"/>
          <w:smallCaps/>
          <w:sz w:val="20"/>
          <w:szCs w:val="20"/>
          <w:highlight w:val="none"/>
        </w:rPr>
        <w:tab/>
      </w:r>
      <w:r>
        <w:rPr>
          <w:i w:val="0"/>
          <w:iCs w:val="0"/>
          <w:smallCaps/>
          <w:sz w:val="20"/>
          <w:szCs w:val="20"/>
          <w:highlight w:val="none"/>
        </w:rPr>
        <w:fldChar w:fldCharType="begin"/>
      </w:r>
      <w:r>
        <w:rPr>
          <w:i w:val="0"/>
          <w:iCs w:val="0"/>
          <w:smallCaps/>
          <w:sz w:val="20"/>
          <w:szCs w:val="20"/>
          <w:highlight w:val="none"/>
        </w:rPr>
        <w:instrText xml:space="preserve"> PAGEREF _Toc10832 \h </w:instrText>
      </w:r>
      <w:r>
        <w:rPr>
          <w:i w:val="0"/>
          <w:iCs w:val="0"/>
          <w:smallCaps/>
          <w:sz w:val="20"/>
          <w:szCs w:val="20"/>
          <w:highlight w:val="none"/>
        </w:rPr>
        <w:fldChar w:fldCharType="separate"/>
      </w:r>
      <w:r>
        <w:rPr>
          <w:i w:val="0"/>
          <w:iCs w:val="0"/>
          <w:smallCaps/>
          <w:sz w:val="20"/>
          <w:szCs w:val="20"/>
          <w:highlight w:val="none"/>
        </w:rPr>
        <w:t>14</w:t>
      </w:r>
      <w:r>
        <w:rPr>
          <w:i w:val="0"/>
          <w:iCs w:val="0"/>
          <w:smallCaps/>
          <w:sz w:val="20"/>
          <w:szCs w:val="20"/>
          <w:highlight w:val="none"/>
        </w:rPr>
        <w:fldChar w:fldCharType="end"/>
      </w:r>
      <w:r>
        <w:rPr>
          <w:i w:val="0"/>
          <w:iCs w:val="0"/>
          <w:smallCaps/>
          <w:sz w:val="20"/>
          <w:szCs w:val="20"/>
          <w:highlight w:val="none"/>
        </w:rPr>
        <w:fldChar w:fldCharType="end"/>
      </w:r>
    </w:p>
    <w:p>
      <w:pPr>
        <w:pStyle w:val="43"/>
        <w:tabs>
          <w:tab w:val="right" w:leader="dot" w:pos="8788"/>
          <w:tab w:val="clear" w:pos="426"/>
        </w:tabs>
        <w:spacing w:line="240" w:lineRule="auto"/>
        <w:rPr>
          <w:rFonts w:hint="eastAsia"/>
          <w:i w:val="0"/>
          <w:iCs w:val="0"/>
          <w:smallCaps/>
          <w:sz w:val="20"/>
          <w:szCs w:val="20"/>
          <w:highlight w:val="none"/>
        </w:rPr>
      </w:pPr>
      <w:r>
        <w:rPr>
          <w:highlight w:val="none"/>
        </w:rPr>
        <w:fldChar w:fldCharType="begin"/>
      </w:r>
      <w:r>
        <w:rPr>
          <w:highlight w:val="none"/>
        </w:rPr>
        <w:instrText xml:space="preserve"> HYPERLINK \l "_Toc11333" </w:instrText>
      </w:r>
      <w:r>
        <w:rPr>
          <w:highlight w:val="none"/>
        </w:rPr>
        <w:fldChar w:fldCharType="separate"/>
      </w:r>
      <w:r>
        <w:rPr>
          <w:rFonts w:hint="eastAsia"/>
          <w:i w:val="0"/>
          <w:iCs w:val="0"/>
          <w:smallCaps/>
          <w:sz w:val="20"/>
          <w:szCs w:val="20"/>
          <w:highlight w:val="none"/>
        </w:rPr>
        <w:t>前附表（三）综合评分法评分因素和权重分值表</w:t>
      </w:r>
      <w:r>
        <w:rPr>
          <w:i w:val="0"/>
          <w:iCs w:val="0"/>
          <w:smallCaps/>
          <w:sz w:val="20"/>
          <w:szCs w:val="20"/>
          <w:highlight w:val="none"/>
        </w:rPr>
        <w:tab/>
      </w:r>
      <w:r>
        <w:rPr>
          <w:i w:val="0"/>
          <w:iCs w:val="0"/>
          <w:smallCaps/>
          <w:sz w:val="20"/>
          <w:szCs w:val="20"/>
          <w:highlight w:val="none"/>
        </w:rPr>
        <w:fldChar w:fldCharType="begin"/>
      </w:r>
      <w:r>
        <w:rPr>
          <w:i w:val="0"/>
          <w:iCs w:val="0"/>
          <w:smallCaps/>
          <w:sz w:val="20"/>
          <w:szCs w:val="20"/>
          <w:highlight w:val="none"/>
        </w:rPr>
        <w:instrText xml:space="preserve"> PAGEREF _Toc11333 \h </w:instrText>
      </w:r>
      <w:r>
        <w:rPr>
          <w:i w:val="0"/>
          <w:iCs w:val="0"/>
          <w:smallCaps/>
          <w:sz w:val="20"/>
          <w:szCs w:val="20"/>
          <w:highlight w:val="none"/>
        </w:rPr>
        <w:fldChar w:fldCharType="separate"/>
      </w:r>
      <w:r>
        <w:rPr>
          <w:i w:val="0"/>
          <w:iCs w:val="0"/>
          <w:smallCaps/>
          <w:sz w:val="20"/>
          <w:szCs w:val="20"/>
          <w:highlight w:val="none"/>
        </w:rPr>
        <w:t>15</w:t>
      </w:r>
      <w:r>
        <w:rPr>
          <w:i w:val="0"/>
          <w:iCs w:val="0"/>
          <w:smallCaps/>
          <w:sz w:val="20"/>
          <w:szCs w:val="20"/>
          <w:highlight w:val="none"/>
        </w:rPr>
        <w:fldChar w:fldCharType="end"/>
      </w:r>
      <w:r>
        <w:rPr>
          <w:i w:val="0"/>
          <w:iCs w:val="0"/>
          <w:smallCaps/>
          <w:sz w:val="20"/>
          <w:szCs w:val="20"/>
          <w:highlight w:val="none"/>
        </w:rPr>
        <w:fldChar w:fldCharType="end"/>
      </w:r>
    </w:p>
    <w:p>
      <w:pPr>
        <w:pStyle w:val="43"/>
        <w:tabs>
          <w:tab w:val="right" w:leader="dot" w:pos="8788"/>
          <w:tab w:val="clear" w:pos="426"/>
        </w:tabs>
        <w:spacing w:line="240" w:lineRule="auto"/>
        <w:rPr>
          <w:rFonts w:hint="eastAsia"/>
          <w:i w:val="0"/>
          <w:iCs w:val="0"/>
          <w:smallCaps/>
          <w:sz w:val="20"/>
          <w:szCs w:val="20"/>
          <w:highlight w:val="none"/>
        </w:rPr>
      </w:pPr>
      <w:r>
        <w:rPr>
          <w:highlight w:val="none"/>
        </w:rPr>
        <w:fldChar w:fldCharType="begin"/>
      </w:r>
      <w:r>
        <w:rPr>
          <w:highlight w:val="none"/>
        </w:rPr>
        <w:instrText xml:space="preserve"> HYPERLINK \l "_Toc26041" </w:instrText>
      </w:r>
      <w:r>
        <w:rPr>
          <w:highlight w:val="none"/>
        </w:rPr>
        <w:fldChar w:fldCharType="separate"/>
      </w:r>
      <w:r>
        <w:rPr>
          <w:rFonts w:hint="eastAsia"/>
          <w:i w:val="0"/>
          <w:iCs w:val="0"/>
          <w:smallCaps/>
          <w:sz w:val="20"/>
          <w:szCs w:val="20"/>
          <w:highlight w:val="none"/>
        </w:rPr>
        <w:t>前附表（四）</w:t>
      </w:r>
      <w:r>
        <w:rPr>
          <w:i w:val="0"/>
          <w:iCs w:val="0"/>
          <w:smallCaps/>
          <w:sz w:val="20"/>
          <w:szCs w:val="20"/>
          <w:highlight w:val="none"/>
        </w:rPr>
        <w:tab/>
      </w:r>
      <w:r>
        <w:rPr>
          <w:i w:val="0"/>
          <w:iCs w:val="0"/>
          <w:smallCaps/>
          <w:sz w:val="20"/>
          <w:szCs w:val="20"/>
          <w:highlight w:val="none"/>
        </w:rPr>
        <w:fldChar w:fldCharType="begin"/>
      </w:r>
      <w:r>
        <w:rPr>
          <w:i w:val="0"/>
          <w:iCs w:val="0"/>
          <w:smallCaps/>
          <w:sz w:val="20"/>
          <w:szCs w:val="20"/>
          <w:highlight w:val="none"/>
        </w:rPr>
        <w:instrText xml:space="preserve"> PAGEREF _Toc26041 \h </w:instrText>
      </w:r>
      <w:r>
        <w:rPr>
          <w:i w:val="0"/>
          <w:iCs w:val="0"/>
          <w:smallCaps/>
          <w:sz w:val="20"/>
          <w:szCs w:val="20"/>
          <w:highlight w:val="none"/>
        </w:rPr>
        <w:fldChar w:fldCharType="separate"/>
      </w:r>
      <w:r>
        <w:rPr>
          <w:i w:val="0"/>
          <w:iCs w:val="0"/>
          <w:smallCaps/>
          <w:sz w:val="20"/>
          <w:szCs w:val="20"/>
          <w:highlight w:val="none"/>
        </w:rPr>
        <w:t>18</w:t>
      </w:r>
      <w:r>
        <w:rPr>
          <w:i w:val="0"/>
          <w:iCs w:val="0"/>
          <w:smallCaps/>
          <w:sz w:val="20"/>
          <w:szCs w:val="20"/>
          <w:highlight w:val="none"/>
        </w:rPr>
        <w:fldChar w:fldCharType="end"/>
      </w:r>
      <w:r>
        <w:rPr>
          <w:i w:val="0"/>
          <w:iCs w:val="0"/>
          <w:smallCaps/>
          <w:sz w:val="20"/>
          <w:szCs w:val="20"/>
          <w:highlight w:val="none"/>
        </w:rPr>
        <w:fldChar w:fldCharType="end"/>
      </w:r>
    </w:p>
    <w:p>
      <w:pPr>
        <w:pStyle w:val="43"/>
        <w:tabs>
          <w:tab w:val="right" w:leader="dot" w:pos="8788"/>
          <w:tab w:val="clear" w:pos="426"/>
        </w:tabs>
        <w:spacing w:line="240" w:lineRule="auto"/>
        <w:rPr>
          <w:rFonts w:hint="eastAsia"/>
          <w:i w:val="0"/>
          <w:iCs w:val="0"/>
          <w:smallCaps/>
          <w:sz w:val="20"/>
          <w:szCs w:val="20"/>
          <w:highlight w:val="none"/>
        </w:rPr>
      </w:pPr>
      <w:r>
        <w:rPr>
          <w:highlight w:val="none"/>
        </w:rPr>
        <w:fldChar w:fldCharType="begin"/>
      </w:r>
      <w:r>
        <w:rPr>
          <w:highlight w:val="none"/>
        </w:rPr>
        <w:instrText xml:space="preserve"> HYPERLINK \l "_Toc12567" </w:instrText>
      </w:r>
      <w:r>
        <w:rPr>
          <w:highlight w:val="none"/>
        </w:rPr>
        <w:fldChar w:fldCharType="separate"/>
      </w:r>
      <w:r>
        <w:rPr>
          <w:rFonts w:hint="eastAsia"/>
          <w:i w:val="0"/>
          <w:iCs w:val="0"/>
          <w:smallCaps/>
          <w:sz w:val="20"/>
          <w:szCs w:val="20"/>
          <w:highlight w:val="none"/>
        </w:rPr>
        <w:t>1.资格审查</w:t>
      </w:r>
      <w:r>
        <w:rPr>
          <w:i w:val="0"/>
          <w:iCs w:val="0"/>
          <w:smallCaps/>
          <w:sz w:val="20"/>
          <w:szCs w:val="20"/>
          <w:highlight w:val="none"/>
        </w:rPr>
        <w:tab/>
      </w:r>
      <w:r>
        <w:rPr>
          <w:i w:val="0"/>
          <w:iCs w:val="0"/>
          <w:smallCaps/>
          <w:sz w:val="20"/>
          <w:szCs w:val="20"/>
          <w:highlight w:val="none"/>
        </w:rPr>
        <w:fldChar w:fldCharType="begin"/>
      </w:r>
      <w:r>
        <w:rPr>
          <w:i w:val="0"/>
          <w:iCs w:val="0"/>
          <w:smallCaps/>
          <w:sz w:val="20"/>
          <w:szCs w:val="20"/>
          <w:highlight w:val="none"/>
        </w:rPr>
        <w:instrText xml:space="preserve"> PAGEREF _Toc12567 \h </w:instrText>
      </w:r>
      <w:r>
        <w:rPr>
          <w:i w:val="0"/>
          <w:iCs w:val="0"/>
          <w:smallCaps/>
          <w:sz w:val="20"/>
          <w:szCs w:val="20"/>
          <w:highlight w:val="none"/>
        </w:rPr>
        <w:fldChar w:fldCharType="separate"/>
      </w:r>
      <w:r>
        <w:rPr>
          <w:i w:val="0"/>
          <w:iCs w:val="0"/>
          <w:smallCaps/>
          <w:sz w:val="20"/>
          <w:szCs w:val="20"/>
          <w:highlight w:val="none"/>
        </w:rPr>
        <w:t>18</w:t>
      </w:r>
      <w:r>
        <w:rPr>
          <w:i w:val="0"/>
          <w:iCs w:val="0"/>
          <w:smallCaps/>
          <w:sz w:val="20"/>
          <w:szCs w:val="20"/>
          <w:highlight w:val="none"/>
        </w:rPr>
        <w:fldChar w:fldCharType="end"/>
      </w:r>
      <w:r>
        <w:rPr>
          <w:i w:val="0"/>
          <w:iCs w:val="0"/>
          <w:smallCaps/>
          <w:sz w:val="20"/>
          <w:szCs w:val="20"/>
          <w:highlight w:val="none"/>
        </w:rPr>
        <w:fldChar w:fldCharType="end"/>
      </w:r>
    </w:p>
    <w:p>
      <w:pPr>
        <w:pStyle w:val="43"/>
        <w:tabs>
          <w:tab w:val="right" w:leader="dot" w:pos="8788"/>
          <w:tab w:val="clear" w:pos="426"/>
        </w:tabs>
        <w:spacing w:line="240" w:lineRule="auto"/>
        <w:rPr>
          <w:rFonts w:hint="eastAsia"/>
          <w:i w:val="0"/>
          <w:iCs w:val="0"/>
          <w:smallCaps/>
          <w:sz w:val="20"/>
          <w:szCs w:val="20"/>
          <w:highlight w:val="none"/>
        </w:rPr>
      </w:pPr>
      <w:r>
        <w:rPr>
          <w:highlight w:val="none"/>
        </w:rPr>
        <w:fldChar w:fldCharType="begin"/>
      </w:r>
      <w:r>
        <w:rPr>
          <w:highlight w:val="none"/>
        </w:rPr>
        <w:instrText xml:space="preserve"> HYPERLINK \l "_Toc1724" </w:instrText>
      </w:r>
      <w:r>
        <w:rPr>
          <w:highlight w:val="none"/>
        </w:rPr>
        <w:fldChar w:fldCharType="separate"/>
      </w:r>
      <w:r>
        <w:rPr>
          <w:rFonts w:hint="eastAsia"/>
          <w:i w:val="0"/>
          <w:iCs w:val="0"/>
          <w:smallCaps/>
          <w:sz w:val="20"/>
          <w:szCs w:val="20"/>
          <w:highlight w:val="none"/>
        </w:rPr>
        <w:t>2.评标方法</w:t>
      </w:r>
      <w:r>
        <w:rPr>
          <w:i w:val="0"/>
          <w:iCs w:val="0"/>
          <w:smallCaps/>
          <w:sz w:val="20"/>
          <w:szCs w:val="20"/>
          <w:highlight w:val="none"/>
        </w:rPr>
        <w:tab/>
      </w:r>
      <w:r>
        <w:rPr>
          <w:i w:val="0"/>
          <w:iCs w:val="0"/>
          <w:smallCaps/>
          <w:sz w:val="20"/>
          <w:szCs w:val="20"/>
          <w:highlight w:val="none"/>
        </w:rPr>
        <w:fldChar w:fldCharType="begin"/>
      </w:r>
      <w:r>
        <w:rPr>
          <w:i w:val="0"/>
          <w:iCs w:val="0"/>
          <w:smallCaps/>
          <w:sz w:val="20"/>
          <w:szCs w:val="20"/>
          <w:highlight w:val="none"/>
        </w:rPr>
        <w:instrText xml:space="preserve"> PAGEREF _Toc1724 \h </w:instrText>
      </w:r>
      <w:r>
        <w:rPr>
          <w:i w:val="0"/>
          <w:iCs w:val="0"/>
          <w:smallCaps/>
          <w:sz w:val="20"/>
          <w:szCs w:val="20"/>
          <w:highlight w:val="none"/>
        </w:rPr>
        <w:fldChar w:fldCharType="separate"/>
      </w:r>
      <w:r>
        <w:rPr>
          <w:i w:val="0"/>
          <w:iCs w:val="0"/>
          <w:smallCaps/>
          <w:sz w:val="20"/>
          <w:szCs w:val="20"/>
          <w:highlight w:val="none"/>
        </w:rPr>
        <w:t>18</w:t>
      </w:r>
      <w:r>
        <w:rPr>
          <w:i w:val="0"/>
          <w:iCs w:val="0"/>
          <w:smallCaps/>
          <w:sz w:val="20"/>
          <w:szCs w:val="20"/>
          <w:highlight w:val="none"/>
        </w:rPr>
        <w:fldChar w:fldCharType="end"/>
      </w:r>
      <w:r>
        <w:rPr>
          <w:i w:val="0"/>
          <w:iCs w:val="0"/>
          <w:smallCaps/>
          <w:sz w:val="20"/>
          <w:szCs w:val="20"/>
          <w:highlight w:val="none"/>
        </w:rPr>
        <w:fldChar w:fldCharType="end"/>
      </w:r>
    </w:p>
    <w:p>
      <w:pPr>
        <w:pStyle w:val="43"/>
        <w:tabs>
          <w:tab w:val="right" w:leader="dot" w:pos="8788"/>
          <w:tab w:val="clear" w:pos="426"/>
        </w:tabs>
        <w:spacing w:line="240" w:lineRule="auto"/>
        <w:rPr>
          <w:rFonts w:hint="eastAsia"/>
          <w:i w:val="0"/>
          <w:iCs w:val="0"/>
          <w:smallCaps/>
          <w:sz w:val="20"/>
          <w:szCs w:val="20"/>
          <w:highlight w:val="none"/>
        </w:rPr>
      </w:pPr>
      <w:r>
        <w:rPr>
          <w:highlight w:val="none"/>
        </w:rPr>
        <w:fldChar w:fldCharType="begin"/>
      </w:r>
      <w:r>
        <w:rPr>
          <w:highlight w:val="none"/>
        </w:rPr>
        <w:instrText xml:space="preserve"> HYPERLINK \l "_Toc16831" </w:instrText>
      </w:r>
      <w:r>
        <w:rPr>
          <w:highlight w:val="none"/>
        </w:rPr>
        <w:fldChar w:fldCharType="separate"/>
      </w:r>
      <w:r>
        <w:rPr>
          <w:rFonts w:hint="eastAsia"/>
          <w:i w:val="0"/>
          <w:iCs w:val="0"/>
          <w:smallCaps/>
          <w:sz w:val="20"/>
          <w:szCs w:val="20"/>
          <w:highlight w:val="none"/>
        </w:rPr>
        <w:t>3.符合性审查</w:t>
      </w:r>
      <w:r>
        <w:rPr>
          <w:i w:val="0"/>
          <w:iCs w:val="0"/>
          <w:smallCaps/>
          <w:sz w:val="20"/>
          <w:szCs w:val="20"/>
          <w:highlight w:val="none"/>
        </w:rPr>
        <w:tab/>
      </w:r>
      <w:r>
        <w:rPr>
          <w:i w:val="0"/>
          <w:iCs w:val="0"/>
          <w:smallCaps/>
          <w:sz w:val="20"/>
          <w:szCs w:val="20"/>
          <w:highlight w:val="none"/>
        </w:rPr>
        <w:fldChar w:fldCharType="begin"/>
      </w:r>
      <w:r>
        <w:rPr>
          <w:i w:val="0"/>
          <w:iCs w:val="0"/>
          <w:smallCaps/>
          <w:sz w:val="20"/>
          <w:szCs w:val="20"/>
          <w:highlight w:val="none"/>
        </w:rPr>
        <w:instrText xml:space="preserve"> PAGEREF _Toc16831 \h </w:instrText>
      </w:r>
      <w:r>
        <w:rPr>
          <w:i w:val="0"/>
          <w:iCs w:val="0"/>
          <w:smallCaps/>
          <w:sz w:val="20"/>
          <w:szCs w:val="20"/>
          <w:highlight w:val="none"/>
        </w:rPr>
        <w:fldChar w:fldCharType="separate"/>
      </w:r>
      <w:r>
        <w:rPr>
          <w:i w:val="0"/>
          <w:iCs w:val="0"/>
          <w:smallCaps/>
          <w:sz w:val="20"/>
          <w:szCs w:val="20"/>
          <w:highlight w:val="none"/>
        </w:rPr>
        <w:t>19</w:t>
      </w:r>
      <w:r>
        <w:rPr>
          <w:i w:val="0"/>
          <w:iCs w:val="0"/>
          <w:smallCaps/>
          <w:sz w:val="20"/>
          <w:szCs w:val="20"/>
          <w:highlight w:val="none"/>
        </w:rPr>
        <w:fldChar w:fldCharType="end"/>
      </w:r>
      <w:r>
        <w:rPr>
          <w:i w:val="0"/>
          <w:iCs w:val="0"/>
          <w:smallCaps/>
          <w:sz w:val="20"/>
          <w:szCs w:val="20"/>
          <w:highlight w:val="none"/>
        </w:rPr>
        <w:fldChar w:fldCharType="end"/>
      </w:r>
    </w:p>
    <w:p>
      <w:pPr>
        <w:pStyle w:val="43"/>
        <w:tabs>
          <w:tab w:val="right" w:leader="dot" w:pos="8788"/>
          <w:tab w:val="clear" w:pos="426"/>
        </w:tabs>
        <w:spacing w:line="240" w:lineRule="auto"/>
        <w:rPr>
          <w:rFonts w:hint="eastAsia"/>
          <w:i w:val="0"/>
          <w:iCs w:val="0"/>
          <w:smallCaps/>
          <w:sz w:val="20"/>
          <w:szCs w:val="20"/>
          <w:highlight w:val="none"/>
        </w:rPr>
      </w:pPr>
      <w:r>
        <w:rPr>
          <w:highlight w:val="none"/>
        </w:rPr>
        <w:fldChar w:fldCharType="begin"/>
      </w:r>
      <w:r>
        <w:rPr>
          <w:highlight w:val="none"/>
        </w:rPr>
        <w:instrText xml:space="preserve"> HYPERLINK \l "_Toc29518" </w:instrText>
      </w:r>
      <w:r>
        <w:rPr>
          <w:highlight w:val="none"/>
        </w:rPr>
        <w:fldChar w:fldCharType="separate"/>
      </w:r>
      <w:r>
        <w:rPr>
          <w:rFonts w:hint="eastAsia"/>
          <w:i w:val="0"/>
          <w:iCs w:val="0"/>
          <w:smallCaps/>
          <w:sz w:val="20"/>
          <w:szCs w:val="20"/>
          <w:highlight w:val="none"/>
        </w:rPr>
        <w:t>4.比较与评价</w:t>
      </w:r>
      <w:r>
        <w:rPr>
          <w:i w:val="0"/>
          <w:iCs w:val="0"/>
          <w:smallCaps/>
          <w:sz w:val="20"/>
          <w:szCs w:val="20"/>
          <w:highlight w:val="none"/>
        </w:rPr>
        <w:tab/>
      </w:r>
      <w:r>
        <w:rPr>
          <w:i w:val="0"/>
          <w:iCs w:val="0"/>
          <w:smallCaps/>
          <w:sz w:val="20"/>
          <w:szCs w:val="20"/>
          <w:highlight w:val="none"/>
        </w:rPr>
        <w:fldChar w:fldCharType="begin"/>
      </w:r>
      <w:r>
        <w:rPr>
          <w:i w:val="0"/>
          <w:iCs w:val="0"/>
          <w:smallCaps/>
          <w:sz w:val="20"/>
          <w:szCs w:val="20"/>
          <w:highlight w:val="none"/>
        </w:rPr>
        <w:instrText xml:space="preserve"> PAGEREF _Toc29518 \h </w:instrText>
      </w:r>
      <w:r>
        <w:rPr>
          <w:i w:val="0"/>
          <w:iCs w:val="0"/>
          <w:smallCaps/>
          <w:sz w:val="20"/>
          <w:szCs w:val="20"/>
          <w:highlight w:val="none"/>
        </w:rPr>
        <w:fldChar w:fldCharType="separate"/>
      </w:r>
      <w:r>
        <w:rPr>
          <w:i w:val="0"/>
          <w:iCs w:val="0"/>
          <w:smallCaps/>
          <w:sz w:val="20"/>
          <w:szCs w:val="20"/>
          <w:highlight w:val="none"/>
        </w:rPr>
        <w:t>19</w:t>
      </w:r>
      <w:r>
        <w:rPr>
          <w:i w:val="0"/>
          <w:iCs w:val="0"/>
          <w:smallCaps/>
          <w:sz w:val="20"/>
          <w:szCs w:val="20"/>
          <w:highlight w:val="none"/>
        </w:rPr>
        <w:fldChar w:fldCharType="end"/>
      </w:r>
      <w:r>
        <w:rPr>
          <w:i w:val="0"/>
          <w:iCs w:val="0"/>
          <w:smallCaps/>
          <w:sz w:val="20"/>
          <w:szCs w:val="20"/>
          <w:highlight w:val="none"/>
        </w:rPr>
        <w:fldChar w:fldCharType="end"/>
      </w:r>
    </w:p>
    <w:p>
      <w:pPr>
        <w:pStyle w:val="43"/>
        <w:tabs>
          <w:tab w:val="right" w:leader="dot" w:pos="8788"/>
          <w:tab w:val="clear" w:pos="426"/>
        </w:tabs>
        <w:spacing w:line="240" w:lineRule="auto"/>
        <w:rPr>
          <w:rFonts w:hint="eastAsia"/>
          <w:i w:val="0"/>
          <w:iCs w:val="0"/>
          <w:smallCaps/>
          <w:sz w:val="20"/>
          <w:szCs w:val="20"/>
          <w:highlight w:val="none"/>
        </w:rPr>
      </w:pPr>
      <w:r>
        <w:rPr>
          <w:highlight w:val="none"/>
        </w:rPr>
        <w:fldChar w:fldCharType="begin"/>
      </w:r>
      <w:r>
        <w:rPr>
          <w:highlight w:val="none"/>
        </w:rPr>
        <w:instrText xml:space="preserve"> HYPERLINK \l "_Toc13196" </w:instrText>
      </w:r>
      <w:r>
        <w:rPr>
          <w:highlight w:val="none"/>
        </w:rPr>
        <w:fldChar w:fldCharType="separate"/>
      </w:r>
      <w:r>
        <w:rPr>
          <w:rFonts w:hint="eastAsia"/>
          <w:i w:val="0"/>
          <w:iCs w:val="0"/>
          <w:smallCaps/>
          <w:sz w:val="20"/>
          <w:szCs w:val="20"/>
          <w:highlight w:val="none"/>
        </w:rPr>
        <w:t>5.编写评标报告</w:t>
      </w:r>
      <w:r>
        <w:rPr>
          <w:i w:val="0"/>
          <w:iCs w:val="0"/>
          <w:smallCaps/>
          <w:sz w:val="20"/>
          <w:szCs w:val="20"/>
          <w:highlight w:val="none"/>
        </w:rPr>
        <w:tab/>
      </w:r>
      <w:r>
        <w:rPr>
          <w:i w:val="0"/>
          <w:iCs w:val="0"/>
          <w:smallCaps/>
          <w:sz w:val="20"/>
          <w:szCs w:val="20"/>
          <w:highlight w:val="none"/>
        </w:rPr>
        <w:fldChar w:fldCharType="begin"/>
      </w:r>
      <w:r>
        <w:rPr>
          <w:i w:val="0"/>
          <w:iCs w:val="0"/>
          <w:smallCaps/>
          <w:sz w:val="20"/>
          <w:szCs w:val="20"/>
          <w:highlight w:val="none"/>
        </w:rPr>
        <w:instrText xml:space="preserve"> PAGEREF _Toc13196 \h </w:instrText>
      </w:r>
      <w:r>
        <w:rPr>
          <w:i w:val="0"/>
          <w:iCs w:val="0"/>
          <w:smallCaps/>
          <w:sz w:val="20"/>
          <w:szCs w:val="20"/>
          <w:highlight w:val="none"/>
        </w:rPr>
        <w:fldChar w:fldCharType="separate"/>
      </w:r>
      <w:r>
        <w:rPr>
          <w:i w:val="0"/>
          <w:iCs w:val="0"/>
          <w:smallCaps/>
          <w:sz w:val="20"/>
          <w:szCs w:val="20"/>
          <w:highlight w:val="none"/>
        </w:rPr>
        <w:t>19</w:t>
      </w:r>
      <w:r>
        <w:rPr>
          <w:i w:val="0"/>
          <w:iCs w:val="0"/>
          <w:smallCaps/>
          <w:sz w:val="20"/>
          <w:szCs w:val="20"/>
          <w:highlight w:val="none"/>
        </w:rPr>
        <w:fldChar w:fldCharType="end"/>
      </w:r>
      <w:r>
        <w:rPr>
          <w:i w:val="0"/>
          <w:iCs w:val="0"/>
          <w:smallCaps/>
          <w:sz w:val="20"/>
          <w:szCs w:val="20"/>
          <w:highlight w:val="none"/>
        </w:rPr>
        <w:fldChar w:fldCharType="end"/>
      </w:r>
    </w:p>
    <w:p>
      <w:pPr>
        <w:pStyle w:val="43"/>
        <w:tabs>
          <w:tab w:val="right" w:leader="dot" w:pos="8788"/>
          <w:tab w:val="clear" w:pos="426"/>
        </w:tabs>
        <w:spacing w:line="240" w:lineRule="auto"/>
        <w:rPr>
          <w:rFonts w:hint="eastAsia"/>
          <w:i w:val="0"/>
          <w:iCs w:val="0"/>
          <w:smallCaps/>
          <w:sz w:val="20"/>
          <w:szCs w:val="20"/>
          <w:highlight w:val="none"/>
        </w:rPr>
      </w:pPr>
      <w:r>
        <w:rPr>
          <w:highlight w:val="none"/>
        </w:rPr>
        <w:fldChar w:fldCharType="begin"/>
      </w:r>
      <w:r>
        <w:rPr>
          <w:highlight w:val="none"/>
        </w:rPr>
        <w:instrText xml:space="preserve"> HYPERLINK \l "_Toc15875" </w:instrText>
      </w:r>
      <w:r>
        <w:rPr>
          <w:highlight w:val="none"/>
        </w:rPr>
        <w:fldChar w:fldCharType="separate"/>
      </w:r>
      <w:r>
        <w:rPr>
          <w:rFonts w:hint="eastAsia"/>
          <w:i w:val="0"/>
          <w:iCs w:val="0"/>
          <w:smallCaps/>
          <w:sz w:val="20"/>
          <w:szCs w:val="20"/>
          <w:highlight w:val="none"/>
        </w:rPr>
        <w:t>6.评标委员会对招标失败的论证意见</w:t>
      </w:r>
      <w:r>
        <w:rPr>
          <w:i w:val="0"/>
          <w:iCs w:val="0"/>
          <w:smallCaps/>
          <w:sz w:val="20"/>
          <w:szCs w:val="20"/>
          <w:highlight w:val="none"/>
        </w:rPr>
        <w:tab/>
      </w:r>
      <w:r>
        <w:rPr>
          <w:i w:val="0"/>
          <w:iCs w:val="0"/>
          <w:smallCaps/>
          <w:sz w:val="20"/>
          <w:szCs w:val="20"/>
          <w:highlight w:val="none"/>
        </w:rPr>
        <w:fldChar w:fldCharType="begin"/>
      </w:r>
      <w:r>
        <w:rPr>
          <w:i w:val="0"/>
          <w:iCs w:val="0"/>
          <w:smallCaps/>
          <w:sz w:val="20"/>
          <w:szCs w:val="20"/>
          <w:highlight w:val="none"/>
        </w:rPr>
        <w:instrText xml:space="preserve"> PAGEREF _Toc15875 \h </w:instrText>
      </w:r>
      <w:r>
        <w:rPr>
          <w:i w:val="0"/>
          <w:iCs w:val="0"/>
          <w:smallCaps/>
          <w:sz w:val="20"/>
          <w:szCs w:val="20"/>
          <w:highlight w:val="none"/>
        </w:rPr>
        <w:fldChar w:fldCharType="separate"/>
      </w:r>
      <w:r>
        <w:rPr>
          <w:i w:val="0"/>
          <w:iCs w:val="0"/>
          <w:smallCaps/>
          <w:sz w:val="20"/>
          <w:szCs w:val="20"/>
          <w:highlight w:val="none"/>
        </w:rPr>
        <w:t>20</w:t>
      </w:r>
      <w:r>
        <w:rPr>
          <w:i w:val="0"/>
          <w:iCs w:val="0"/>
          <w:smallCaps/>
          <w:sz w:val="20"/>
          <w:szCs w:val="20"/>
          <w:highlight w:val="none"/>
        </w:rPr>
        <w:fldChar w:fldCharType="end"/>
      </w:r>
      <w:r>
        <w:rPr>
          <w:i w:val="0"/>
          <w:iCs w:val="0"/>
          <w:smallCaps/>
          <w:sz w:val="20"/>
          <w:szCs w:val="20"/>
          <w:highlight w:val="none"/>
        </w:rPr>
        <w:fldChar w:fldCharType="end"/>
      </w:r>
    </w:p>
    <w:p>
      <w:pPr>
        <w:pStyle w:val="71"/>
        <w:tabs>
          <w:tab w:val="right" w:leader="dot" w:pos="8788"/>
          <w:tab w:val="clear" w:pos="8789"/>
        </w:tabs>
        <w:spacing w:line="240" w:lineRule="auto"/>
        <w:ind w:left="105"/>
        <w:rPr>
          <w:rFonts w:hint="eastAsia"/>
          <w:b/>
          <w:bCs/>
          <w:sz w:val="20"/>
          <w:szCs w:val="20"/>
          <w:highlight w:val="none"/>
        </w:rPr>
      </w:pPr>
      <w:r>
        <w:rPr>
          <w:highlight w:val="none"/>
        </w:rPr>
        <w:fldChar w:fldCharType="begin"/>
      </w:r>
      <w:r>
        <w:rPr>
          <w:highlight w:val="none"/>
        </w:rPr>
        <w:instrText xml:space="preserve"> HYPERLINK \l "_Toc7991" </w:instrText>
      </w:r>
      <w:r>
        <w:rPr>
          <w:highlight w:val="none"/>
        </w:rPr>
        <w:fldChar w:fldCharType="separate"/>
      </w:r>
      <w:r>
        <w:rPr>
          <w:rFonts w:hint="eastAsia"/>
          <w:b/>
          <w:bCs/>
          <w:sz w:val="20"/>
          <w:szCs w:val="20"/>
          <w:highlight w:val="none"/>
        </w:rPr>
        <w:t>第五章 合同文本</w:t>
      </w:r>
      <w:r>
        <w:rPr>
          <w:rFonts w:hint="eastAsia"/>
          <w:b/>
          <w:bCs/>
          <w:sz w:val="20"/>
          <w:szCs w:val="20"/>
          <w:highlight w:val="none"/>
        </w:rPr>
        <w:tab/>
      </w:r>
      <w:r>
        <w:rPr>
          <w:rFonts w:hint="eastAsia"/>
          <w:b/>
          <w:bCs/>
          <w:sz w:val="20"/>
          <w:szCs w:val="20"/>
          <w:highlight w:val="none"/>
        </w:rPr>
        <w:fldChar w:fldCharType="begin"/>
      </w:r>
      <w:r>
        <w:rPr>
          <w:rFonts w:hint="eastAsia"/>
          <w:b/>
          <w:bCs/>
          <w:sz w:val="20"/>
          <w:szCs w:val="20"/>
          <w:highlight w:val="none"/>
        </w:rPr>
        <w:instrText xml:space="preserve"> PAGEREF _Toc7991 \h </w:instrText>
      </w:r>
      <w:r>
        <w:rPr>
          <w:rFonts w:hint="eastAsia"/>
          <w:b/>
          <w:bCs/>
          <w:sz w:val="20"/>
          <w:szCs w:val="20"/>
          <w:highlight w:val="none"/>
        </w:rPr>
        <w:fldChar w:fldCharType="separate"/>
      </w:r>
      <w:r>
        <w:rPr>
          <w:rFonts w:hint="eastAsia"/>
          <w:b/>
          <w:bCs/>
          <w:sz w:val="20"/>
          <w:szCs w:val="20"/>
          <w:highlight w:val="none"/>
        </w:rPr>
        <w:t>21</w:t>
      </w:r>
      <w:r>
        <w:rPr>
          <w:rFonts w:hint="eastAsia"/>
          <w:b/>
          <w:bCs/>
          <w:sz w:val="20"/>
          <w:szCs w:val="20"/>
          <w:highlight w:val="none"/>
        </w:rPr>
        <w:fldChar w:fldCharType="end"/>
      </w:r>
      <w:r>
        <w:rPr>
          <w:rFonts w:hint="eastAsia"/>
          <w:b/>
          <w:bCs/>
          <w:sz w:val="20"/>
          <w:szCs w:val="20"/>
          <w:highlight w:val="none"/>
        </w:rPr>
        <w:fldChar w:fldCharType="end"/>
      </w:r>
    </w:p>
    <w:p>
      <w:pPr>
        <w:pStyle w:val="71"/>
        <w:tabs>
          <w:tab w:val="right" w:leader="dot" w:pos="8788"/>
          <w:tab w:val="clear" w:pos="8789"/>
        </w:tabs>
        <w:spacing w:line="240" w:lineRule="auto"/>
        <w:ind w:left="105"/>
        <w:rPr>
          <w:rFonts w:hint="eastAsia"/>
          <w:b/>
          <w:bCs/>
          <w:sz w:val="20"/>
          <w:szCs w:val="20"/>
          <w:highlight w:val="none"/>
        </w:rPr>
      </w:pPr>
      <w:r>
        <w:rPr>
          <w:highlight w:val="none"/>
        </w:rPr>
        <w:fldChar w:fldCharType="begin"/>
      </w:r>
      <w:r>
        <w:rPr>
          <w:highlight w:val="none"/>
        </w:rPr>
        <w:instrText xml:space="preserve"> HYPERLINK \l "_Toc4933" </w:instrText>
      </w:r>
      <w:r>
        <w:rPr>
          <w:highlight w:val="none"/>
        </w:rPr>
        <w:fldChar w:fldCharType="separate"/>
      </w:r>
      <w:r>
        <w:rPr>
          <w:rFonts w:hint="eastAsia"/>
          <w:b/>
          <w:bCs/>
          <w:sz w:val="20"/>
          <w:szCs w:val="20"/>
          <w:highlight w:val="none"/>
        </w:rPr>
        <w:t>第六章 投标资料表</w:t>
      </w:r>
      <w:r>
        <w:rPr>
          <w:rFonts w:hint="eastAsia"/>
          <w:b/>
          <w:bCs/>
          <w:sz w:val="20"/>
          <w:szCs w:val="20"/>
          <w:highlight w:val="none"/>
        </w:rPr>
        <w:tab/>
      </w:r>
      <w:r>
        <w:rPr>
          <w:rFonts w:hint="eastAsia"/>
          <w:b/>
          <w:bCs/>
          <w:sz w:val="20"/>
          <w:szCs w:val="20"/>
          <w:highlight w:val="none"/>
        </w:rPr>
        <w:fldChar w:fldCharType="begin"/>
      </w:r>
      <w:r>
        <w:rPr>
          <w:rFonts w:hint="eastAsia"/>
          <w:b/>
          <w:bCs/>
          <w:sz w:val="20"/>
          <w:szCs w:val="20"/>
          <w:highlight w:val="none"/>
        </w:rPr>
        <w:instrText xml:space="preserve"> PAGEREF _Toc4933 \h </w:instrText>
      </w:r>
      <w:r>
        <w:rPr>
          <w:rFonts w:hint="eastAsia"/>
          <w:b/>
          <w:bCs/>
          <w:sz w:val="20"/>
          <w:szCs w:val="20"/>
          <w:highlight w:val="none"/>
        </w:rPr>
        <w:fldChar w:fldCharType="separate"/>
      </w:r>
      <w:r>
        <w:rPr>
          <w:rFonts w:hint="eastAsia"/>
          <w:b/>
          <w:bCs/>
          <w:sz w:val="20"/>
          <w:szCs w:val="20"/>
          <w:highlight w:val="none"/>
        </w:rPr>
        <w:t>35</w:t>
      </w:r>
      <w:r>
        <w:rPr>
          <w:rFonts w:hint="eastAsia"/>
          <w:b/>
          <w:bCs/>
          <w:sz w:val="20"/>
          <w:szCs w:val="20"/>
          <w:highlight w:val="none"/>
        </w:rPr>
        <w:fldChar w:fldCharType="end"/>
      </w:r>
      <w:r>
        <w:rPr>
          <w:rFonts w:hint="eastAsia"/>
          <w:b/>
          <w:bCs/>
          <w:sz w:val="20"/>
          <w:szCs w:val="20"/>
          <w:highlight w:val="none"/>
        </w:rPr>
        <w:fldChar w:fldCharType="end"/>
      </w:r>
    </w:p>
    <w:p>
      <w:pPr>
        <w:pStyle w:val="71"/>
        <w:tabs>
          <w:tab w:val="right" w:leader="dot" w:pos="8788"/>
          <w:tab w:val="clear" w:pos="8789"/>
        </w:tabs>
        <w:spacing w:line="240" w:lineRule="auto"/>
        <w:ind w:left="105"/>
        <w:rPr>
          <w:rFonts w:hint="eastAsia"/>
          <w:b/>
          <w:bCs/>
          <w:sz w:val="20"/>
          <w:szCs w:val="20"/>
          <w:highlight w:val="none"/>
        </w:rPr>
      </w:pPr>
      <w:r>
        <w:rPr>
          <w:highlight w:val="none"/>
        </w:rPr>
        <w:fldChar w:fldCharType="begin"/>
      </w:r>
      <w:r>
        <w:rPr>
          <w:highlight w:val="none"/>
        </w:rPr>
        <w:instrText xml:space="preserve"> HYPERLINK \l "_Toc25551" </w:instrText>
      </w:r>
      <w:r>
        <w:rPr>
          <w:highlight w:val="none"/>
        </w:rPr>
        <w:fldChar w:fldCharType="separate"/>
      </w:r>
      <w:r>
        <w:rPr>
          <w:rFonts w:hint="eastAsia"/>
          <w:b/>
          <w:bCs/>
          <w:sz w:val="20"/>
          <w:szCs w:val="20"/>
          <w:highlight w:val="none"/>
        </w:rPr>
        <w:t>第七章 投标文件格式</w:t>
      </w:r>
      <w:r>
        <w:rPr>
          <w:rFonts w:hint="eastAsia"/>
          <w:b/>
          <w:bCs/>
          <w:sz w:val="20"/>
          <w:szCs w:val="20"/>
          <w:highlight w:val="none"/>
        </w:rPr>
        <w:tab/>
      </w:r>
      <w:r>
        <w:rPr>
          <w:rFonts w:hint="eastAsia"/>
          <w:b/>
          <w:bCs/>
          <w:sz w:val="20"/>
          <w:szCs w:val="20"/>
          <w:highlight w:val="none"/>
        </w:rPr>
        <w:fldChar w:fldCharType="begin"/>
      </w:r>
      <w:r>
        <w:rPr>
          <w:rFonts w:hint="eastAsia"/>
          <w:b/>
          <w:bCs/>
          <w:sz w:val="20"/>
          <w:szCs w:val="20"/>
          <w:highlight w:val="none"/>
        </w:rPr>
        <w:instrText xml:space="preserve"> PAGEREF _Toc25551 \h </w:instrText>
      </w:r>
      <w:r>
        <w:rPr>
          <w:rFonts w:hint="eastAsia"/>
          <w:b/>
          <w:bCs/>
          <w:sz w:val="20"/>
          <w:szCs w:val="20"/>
          <w:highlight w:val="none"/>
        </w:rPr>
        <w:fldChar w:fldCharType="separate"/>
      </w:r>
      <w:r>
        <w:rPr>
          <w:rFonts w:hint="eastAsia"/>
          <w:b/>
          <w:bCs/>
          <w:sz w:val="20"/>
          <w:szCs w:val="20"/>
          <w:highlight w:val="none"/>
        </w:rPr>
        <w:t>36</w:t>
      </w:r>
      <w:r>
        <w:rPr>
          <w:rFonts w:hint="eastAsia"/>
          <w:b/>
          <w:bCs/>
          <w:sz w:val="20"/>
          <w:szCs w:val="20"/>
          <w:highlight w:val="none"/>
        </w:rPr>
        <w:fldChar w:fldCharType="end"/>
      </w:r>
      <w:r>
        <w:rPr>
          <w:rFonts w:hint="eastAsia"/>
          <w:b/>
          <w:bCs/>
          <w:sz w:val="20"/>
          <w:szCs w:val="20"/>
          <w:highlight w:val="none"/>
        </w:rPr>
        <w:fldChar w:fldCharType="end"/>
      </w:r>
    </w:p>
    <w:p>
      <w:pPr>
        <w:pStyle w:val="43"/>
        <w:tabs>
          <w:tab w:val="right" w:leader="dot" w:pos="8788"/>
          <w:tab w:val="clear" w:pos="426"/>
        </w:tabs>
        <w:spacing w:line="240" w:lineRule="auto"/>
        <w:rPr>
          <w:rFonts w:hint="eastAsia"/>
          <w:i w:val="0"/>
          <w:iCs w:val="0"/>
          <w:smallCaps/>
          <w:sz w:val="20"/>
          <w:szCs w:val="20"/>
          <w:highlight w:val="none"/>
        </w:rPr>
      </w:pPr>
      <w:r>
        <w:rPr>
          <w:highlight w:val="none"/>
        </w:rPr>
        <w:fldChar w:fldCharType="begin"/>
      </w:r>
      <w:r>
        <w:rPr>
          <w:highlight w:val="none"/>
        </w:rPr>
        <w:instrText xml:space="preserve"> HYPERLINK \l "_Toc20740" </w:instrText>
      </w:r>
      <w:r>
        <w:rPr>
          <w:highlight w:val="none"/>
        </w:rPr>
        <w:fldChar w:fldCharType="separate"/>
      </w:r>
      <w:r>
        <w:rPr>
          <w:rFonts w:hint="eastAsia"/>
          <w:i w:val="0"/>
          <w:iCs w:val="0"/>
          <w:smallCaps/>
          <w:sz w:val="20"/>
          <w:szCs w:val="20"/>
          <w:highlight w:val="none"/>
        </w:rPr>
        <w:t>投标文件编制说明</w:t>
      </w:r>
      <w:r>
        <w:rPr>
          <w:i w:val="0"/>
          <w:iCs w:val="0"/>
          <w:smallCaps/>
          <w:sz w:val="20"/>
          <w:szCs w:val="20"/>
          <w:highlight w:val="none"/>
        </w:rPr>
        <w:tab/>
      </w:r>
      <w:r>
        <w:rPr>
          <w:i w:val="0"/>
          <w:iCs w:val="0"/>
          <w:smallCaps/>
          <w:sz w:val="20"/>
          <w:szCs w:val="20"/>
          <w:highlight w:val="none"/>
        </w:rPr>
        <w:fldChar w:fldCharType="begin"/>
      </w:r>
      <w:r>
        <w:rPr>
          <w:i w:val="0"/>
          <w:iCs w:val="0"/>
          <w:smallCaps/>
          <w:sz w:val="20"/>
          <w:szCs w:val="20"/>
          <w:highlight w:val="none"/>
        </w:rPr>
        <w:instrText xml:space="preserve"> PAGEREF _Toc20740 \h </w:instrText>
      </w:r>
      <w:r>
        <w:rPr>
          <w:i w:val="0"/>
          <w:iCs w:val="0"/>
          <w:smallCaps/>
          <w:sz w:val="20"/>
          <w:szCs w:val="20"/>
          <w:highlight w:val="none"/>
        </w:rPr>
        <w:fldChar w:fldCharType="separate"/>
      </w:r>
      <w:r>
        <w:rPr>
          <w:i w:val="0"/>
          <w:iCs w:val="0"/>
          <w:smallCaps/>
          <w:sz w:val="20"/>
          <w:szCs w:val="20"/>
          <w:highlight w:val="none"/>
        </w:rPr>
        <w:t>36</w:t>
      </w:r>
      <w:r>
        <w:rPr>
          <w:i w:val="0"/>
          <w:iCs w:val="0"/>
          <w:smallCaps/>
          <w:sz w:val="20"/>
          <w:szCs w:val="20"/>
          <w:highlight w:val="none"/>
        </w:rPr>
        <w:fldChar w:fldCharType="end"/>
      </w:r>
      <w:r>
        <w:rPr>
          <w:i w:val="0"/>
          <w:iCs w:val="0"/>
          <w:smallCaps/>
          <w:sz w:val="20"/>
          <w:szCs w:val="20"/>
          <w:highlight w:val="none"/>
        </w:rPr>
        <w:fldChar w:fldCharType="end"/>
      </w:r>
    </w:p>
    <w:p>
      <w:pPr>
        <w:pStyle w:val="43"/>
        <w:tabs>
          <w:tab w:val="right" w:leader="dot" w:pos="8788"/>
          <w:tab w:val="clear" w:pos="426"/>
        </w:tabs>
        <w:spacing w:line="240" w:lineRule="auto"/>
        <w:rPr>
          <w:rFonts w:hint="eastAsia"/>
          <w:i w:val="0"/>
          <w:iCs w:val="0"/>
          <w:smallCaps/>
          <w:sz w:val="20"/>
          <w:szCs w:val="20"/>
          <w:highlight w:val="none"/>
        </w:rPr>
      </w:pPr>
      <w:r>
        <w:rPr>
          <w:highlight w:val="none"/>
        </w:rPr>
        <w:fldChar w:fldCharType="begin"/>
      </w:r>
      <w:r>
        <w:rPr>
          <w:highlight w:val="none"/>
        </w:rPr>
        <w:instrText xml:space="preserve"> HYPERLINK \l "_Toc32283" </w:instrText>
      </w:r>
      <w:r>
        <w:rPr>
          <w:highlight w:val="none"/>
        </w:rPr>
        <w:fldChar w:fldCharType="separate"/>
      </w:r>
      <w:r>
        <w:rPr>
          <w:rFonts w:hint="eastAsia"/>
          <w:i w:val="0"/>
          <w:iCs w:val="0"/>
          <w:smallCaps/>
          <w:sz w:val="20"/>
          <w:szCs w:val="20"/>
          <w:highlight w:val="none"/>
        </w:rPr>
        <w:t>格式1：投标函</w:t>
      </w:r>
      <w:r>
        <w:rPr>
          <w:i w:val="0"/>
          <w:iCs w:val="0"/>
          <w:smallCaps/>
          <w:sz w:val="20"/>
          <w:szCs w:val="20"/>
          <w:highlight w:val="none"/>
        </w:rPr>
        <w:tab/>
      </w:r>
      <w:r>
        <w:rPr>
          <w:i w:val="0"/>
          <w:iCs w:val="0"/>
          <w:smallCaps/>
          <w:sz w:val="20"/>
          <w:szCs w:val="20"/>
          <w:highlight w:val="none"/>
        </w:rPr>
        <w:fldChar w:fldCharType="begin"/>
      </w:r>
      <w:r>
        <w:rPr>
          <w:i w:val="0"/>
          <w:iCs w:val="0"/>
          <w:smallCaps/>
          <w:sz w:val="20"/>
          <w:szCs w:val="20"/>
          <w:highlight w:val="none"/>
        </w:rPr>
        <w:instrText xml:space="preserve"> PAGEREF _Toc32283 \h </w:instrText>
      </w:r>
      <w:r>
        <w:rPr>
          <w:i w:val="0"/>
          <w:iCs w:val="0"/>
          <w:smallCaps/>
          <w:sz w:val="20"/>
          <w:szCs w:val="20"/>
          <w:highlight w:val="none"/>
        </w:rPr>
        <w:fldChar w:fldCharType="separate"/>
      </w:r>
      <w:r>
        <w:rPr>
          <w:i w:val="0"/>
          <w:iCs w:val="0"/>
          <w:smallCaps/>
          <w:sz w:val="20"/>
          <w:szCs w:val="20"/>
          <w:highlight w:val="none"/>
        </w:rPr>
        <w:t>42</w:t>
      </w:r>
      <w:r>
        <w:rPr>
          <w:i w:val="0"/>
          <w:iCs w:val="0"/>
          <w:smallCaps/>
          <w:sz w:val="20"/>
          <w:szCs w:val="20"/>
          <w:highlight w:val="none"/>
        </w:rPr>
        <w:fldChar w:fldCharType="end"/>
      </w:r>
      <w:r>
        <w:rPr>
          <w:i w:val="0"/>
          <w:iCs w:val="0"/>
          <w:smallCaps/>
          <w:sz w:val="20"/>
          <w:szCs w:val="20"/>
          <w:highlight w:val="none"/>
        </w:rPr>
        <w:fldChar w:fldCharType="end"/>
      </w:r>
    </w:p>
    <w:p>
      <w:pPr>
        <w:pStyle w:val="43"/>
        <w:tabs>
          <w:tab w:val="right" w:leader="dot" w:pos="8788"/>
          <w:tab w:val="clear" w:pos="426"/>
        </w:tabs>
        <w:spacing w:line="240" w:lineRule="auto"/>
        <w:rPr>
          <w:rFonts w:hint="eastAsia"/>
          <w:i w:val="0"/>
          <w:iCs w:val="0"/>
          <w:smallCaps/>
          <w:sz w:val="20"/>
          <w:szCs w:val="20"/>
          <w:highlight w:val="none"/>
        </w:rPr>
      </w:pPr>
      <w:r>
        <w:rPr>
          <w:highlight w:val="none"/>
        </w:rPr>
        <w:fldChar w:fldCharType="begin"/>
      </w:r>
      <w:r>
        <w:rPr>
          <w:highlight w:val="none"/>
        </w:rPr>
        <w:instrText xml:space="preserve"> HYPERLINK \l "_Toc9501" </w:instrText>
      </w:r>
      <w:r>
        <w:rPr>
          <w:highlight w:val="none"/>
        </w:rPr>
        <w:fldChar w:fldCharType="separate"/>
      </w:r>
      <w:r>
        <w:rPr>
          <w:rFonts w:hint="eastAsia"/>
          <w:i w:val="0"/>
          <w:iCs w:val="0"/>
          <w:smallCaps/>
          <w:sz w:val="20"/>
          <w:szCs w:val="20"/>
          <w:highlight w:val="none"/>
        </w:rPr>
        <w:t>格式2：法定代表人（单位负责人）证明书</w:t>
      </w:r>
      <w:r>
        <w:rPr>
          <w:i w:val="0"/>
          <w:iCs w:val="0"/>
          <w:smallCaps/>
          <w:sz w:val="20"/>
          <w:szCs w:val="20"/>
          <w:highlight w:val="none"/>
        </w:rPr>
        <w:tab/>
      </w:r>
      <w:r>
        <w:rPr>
          <w:i w:val="0"/>
          <w:iCs w:val="0"/>
          <w:smallCaps/>
          <w:sz w:val="20"/>
          <w:szCs w:val="20"/>
          <w:highlight w:val="none"/>
        </w:rPr>
        <w:fldChar w:fldCharType="begin"/>
      </w:r>
      <w:r>
        <w:rPr>
          <w:i w:val="0"/>
          <w:iCs w:val="0"/>
          <w:smallCaps/>
          <w:sz w:val="20"/>
          <w:szCs w:val="20"/>
          <w:highlight w:val="none"/>
        </w:rPr>
        <w:instrText xml:space="preserve"> PAGEREF _Toc9501 \h </w:instrText>
      </w:r>
      <w:r>
        <w:rPr>
          <w:i w:val="0"/>
          <w:iCs w:val="0"/>
          <w:smallCaps/>
          <w:sz w:val="20"/>
          <w:szCs w:val="20"/>
          <w:highlight w:val="none"/>
        </w:rPr>
        <w:fldChar w:fldCharType="separate"/>
      </w:r>
      <w:r>
        <w:rPr>
          <w:i w:val="0"/>
          <w:iCs w:val="0"/>
          <w:smallCaps/>
          <w:sz w:val="20"/>
          <w:szCs w:val="20"/>
          <w:highlight w:val="none"/>
        </w:rPr>
        <w:t>43</w:t>
      </w:r>
      <w:r>
        <w:rPr>
          <w:i w:val="0"/>
          <w:iCs w:val="0"/>
          <w:smallCaps/>
          <w:sz w:val="20"/>
          <w:szCs w:val="20"/>
          <w:highlight w:val="none"/>
        </w:rPr>
        <w:fldChar w:fldCharType="end"/>
      </w:r>
      <w:r>
        <w:rPr>
          <w:i w:val="0"/>
          <w:iCs w:val="0"/>
          <w:smallCaps/>
          <w:sz w:val="20"/>
          <w:szCs w:val="20"/>
          <w:highlight w:val="none"/>
        </w:rPr>
        <w:fldChar w:fldCharType="end"/>
      </w:r>
    </w:p>
    <w:p>
      <w:pPr>
        <w:pStyle w:val="43"/>
        <w:tabs>
          <w:tab w:val="right" w:leader="dot" w:pos="8788"/>
          <w:tab w:val="clear" w:pos="426"/>
        </w:tabs>
        <w:spacing w:line="240" w:lineRule="auto"/>
        <w:rPr>
          <w:rFonts w:hint="eastAsia"/>
          <w:i w:val="0"/>
          <w:iCs w:val="0"/>
          <w:smallCaps/>
          <w:sz w:val="20"/>
          <w:szCs w:val="20"/>
          <w:highlight w:val="none"/>
        </w:rPr>
      </w:pPr>
      <w:r>
        <w:rPr>
          <w:highlight w:val="none"/>
        </w:rPr>
        <w:fldChar w:fldCharType="begin"/>
      </w:r>
      <w:r>
        <w:rPr>
          <w:highlight w:val="none"/>
        </w:rPr>
        <w:instrText xml:space="preserve"> HYPERLINK \l "_Toc16372" </w:instrText>
      </w:r>
      <w:r>
        <w:rPr>
          <w:highlight w:val="none"/>
        </w:rPr>
        <w:fldChar w:fldCharType="separate"/>
      </w:r>
      <w:r>
        <w:rPr>
          <w:rFonts w:hint="eastAsia"/>
          <w:i w:val="0"/>
          <w:iCs w:val="0"/>
          <w:smallCaps/>
          <w:sz w:val="20"/>
          <w:szCs w:val="20"/>
          <w:highlight w:val="none"/>
        </w:rPr>
        <w:t>格式3：授权委托书</w:t>
      </w:r>
      <w:r>
        <w:rPr>
          <w:i w:val="0"/>
          <w:iCs w:val="0"/>
          <w:smallCaps/>
          <w:sz w:val="20"/>
          <w:szCs w:val="20"/>
          <w:highlight w:val="none"/>
        </w:rPr>
        <w:tab/>
      </w:r>
      <w:r>
        <w:rPr>
          <w:i w:val="0"/>
          <w:iCs w:val="0"/>
          <w:smallCaps/>
          <w:sz w:val="20"/>
          <w:szCs w:val="20"/>
          <w:highlight w:val="none"/>
        </w:rPr>
        <w:fldChar w:fldCharType="begin"/>
      </w:r>
      <w:r>
        <w:rPr>
          <w:i w:val="0"/>
          <w:iCs w:val="0"/>
          <w:smallCaps/>
          <w:sz w:val="20"/>
          <w:szCs w:val="20"/>
          <w:highlight w:val="none"/>
        </w:rPr>
        <w:instrText xml:space="preserve"> PAGEREF _Toc16372 \h </w:instrText>
      </w:r>
      <w:r>
        <w:rPr>
          <w:i w:val="0"/>
          <w:iCs w:val="0"/>
          <w:smallCaps/>
          <w:sz w:val="20"/>
          <w:szCs w:val="20"/>
          <w:highlight w:val="none"/>
        </w:rPr>
        <w:fldChar w:fldCharType="separate"/>
      </w:r>
      <w:r>
        <w:rPr>
          <w:i w:val="0"/>
          <w:iCs w:val="0"/>
          <w:smallCaps/>
          <w:sz w:val="20"/>
          <w:szCs w:val="20"/>
          <w:highlight w:val="none"/>
        </w:rPr>
        <w:t>44</w:t>
      </w:r>
      <w:r>
        <w:rPr>
          <w:i w:val="0"/>
          <w:iCs w:val="0"/>
          <w:smallCaps/>
          <w:sz w:val="20"/>
          <w:szCs w:val="20"/>
          <w:highlight w:val="none"/>
        </w:rPr>
        <w:fldChar w:fldCharType="end"/>
      </w:r>
      <w:r>
        <w:rPr>
          <w:i w:val="0"/>
          <w:iCs w:val="0"/>
          <w:smallCaps/>
          <w:sz w:val="20"/>
          <w:szCs w:val="20"/>
          <w:highlight w:val="none"/>
        </w:rPr>
        <w:fldChar w:fldCharType="end"/>
      </w:r>
    </w:p>
    <w:p>
      <w:pPr>
        <w:pStyle w:val="43"/>
        <w:tabs>
          <w:tab w:val="right" w:leader="dot" w:pos="8788"/>
          <w:tab w:val="clear" w:pos="426"/>
        </w:tabs>
        <w:spacing w:line="240" w:lineRule="auto"/>
        <w:rPr>
          <w:rFonts w:hint="eastAsia"/>
          <w:i w:val="0"/>
          <w:iCs w:val="0"/>
          <w:smallCaps/>
          <w:sz w:val="20"/>
          <w:szCs w:val="20"/>
          <w:highlight w:val="none"/>
        </w:rPr>
      </w:pPr>
      <w:r>
        <w:rPr>
          <w:highlight w:val="none"/>
        </w:rPr>
        <w:fldChar w:fldCharType="begin"/>
      </w:r>
      <w:r>
        <w:rPr>
          <w:highlight w:val="none"/>
        </w:rPr>
        <w:instrText xml:space="preserve"> HYPERLINK \l "_Toc12237" </w:instrText>
      </w:r>
      <w:r>
        <w:rPr>
          <w:highlight w:val="none"/>
        </w:rPr>
        <w:fldChar w:fldCharType="separate"/>
      </w:r>
      <w:r>
        <w:rPr>
          <w:rFonts w:hint="eastAsia"/>
          <w:i w:val="0"/>
          <w:iCs w:val="0"/>
          <w:smallCaps/>
          <w:sz w:val="20"/>
          <w:szCs w:val="20"/>
          <w:highlight w:val="none"/>
        </w:rPr>
        <w:t>格式4：资格条款偏离表</w:t>
      </w:r>
      <w:r>
        <w:rPr>
          <w:i w:val="0"/>
          <w:iCs w:val="0"/>
          <w:smallCaps/>
          <w:sz w:val="20"/>
          <w:szCs w:val="20"/>
          <w:highlight w:val="none"/>
        </w:rPr>
        <w:tab/>
      </w:r>
      <w:r>
        <w:rPr>
          <w:i w:val="0"/>
          <w:iCs w:val="0"/>
          <w:smallCaps/>
          <w:sz w:val="20"/>
          <w:szCs w:val="20"/>
          <w:highlight w:val="none"/>
        </w:rPr>
        <w:fldChar w:fldCharType="begin"/>
      </w:r>
      <w:r>
        <w:rPr>
          <w:i w:val="0"/>
          <w:iCs w:val="0"/>
          <w:smallCaps/>
          <w:sz w:val="20"/>
          <w:szCs w:val="20"/>
          <w:highlight w:val="none"/>
        </w:rPr>
        <w:instrText xml:space="preserve"> PAGEREF _Toc12237 \h </w:instrText>
      </w:r>
      <w:r>
        <w:rPr>
          <w:i w:val="0"/>
          <w:iCs w:val="0"/>
          <w:smallCaps/>
          <w:sz w:val="20"/>
          <w:szCs w:val="20"/>
          <w:highlight w:val="none"/>
        </w:rPr>
        <w:fldChar w:fldCharType="separate"/>
      </w:r>
      <w:r>
        <w:rPr>
          <w:i w:val="0"/>
          <w:iCs w:val="0"/>
          <w:smallCaps/>
          <w:sz w:val="20"/>
          <w:szCs w:val="20"/>
          <w:highlight w:val="none"/>
        </w:rPr>
        <w:t>45</w:t>
      </w:r>
      <w:r>
        <w:rPr>
          <w:i w:val="0"/>
          <w:iCs w:val="0"/>
          <w:smallCaps/>
          <w:sz w:val="20"/>
          <w:szCs w:val="20"/>
          <w:highlight w:val="none"/>
        </w:rPr>
        <w:fldChar w:fldCharType="end"/>
      </w:r>
      <w:r>
        <w:rPr>
          <w:i w:val="0"/>
          <w:iCs w:val="0"/>
          <w:smallCaps/>
          <w:sz w:val="20"/>
          <w:szCs w:val="20"/>
          <w:highlight w:val="none"/>
        </w:rPr>
        <w:fldChar w:fldCharType="end"/>
      </w:r>
    </w:p>
    <w:p>
      <w:pPr>
        <w:pStyle w:val="43"/>
        <w:tabs>
          <w:tab w:val="right" w:leader="dot" w:pos="8788"/>
          <w:tab w:val="clear" w:pos="426"/>
        </w:tabs>
        <w:spacing w:line="240" w:lineRule="auto"/>
        <w:rPr>
          <w:rFonts w:hint="eastAsia"/>
          <w:i w:val="0"/>
          <w:iCs w:val="0"/>
          <w:smallCaps/>
          <w:sz w:val="20"/>
          <w:szCs w:val="20"/>
          <w:highlight w:val="none"/>
        </w:rPr>
      </w:pPr>
      <w:r>
        <w:rPr>
          <w:highlight w:val="none"/>
        </w:rPr>
        <w:fldChar w:fldCharType="begin"/>
      </w:r>
      <w:r>
        <w:rPr>
          <w:highlight w:val="none"/>
        </w:rPr>
        <w:instrText xml:space="preserve"> HYPERLINK \l "_Toc3927" </w:instrText>
      </w:r>
      <w:r>
        <w:rPr>
          <w:highlight w:val="none"/>
        </w:rPr>
        <w:fldChar w:fldCharType="separate"/>
      </w:r>
      <w:r>
        <w:rPr>
          <w:rFonts w:hint="eastAsia"/>
          <w:i w:val="0"/>
          <w:iCs w:val="0"/>
          <w:smallCaps/>
          <w:sz w:val="20"/>
          <w:szCs w:val="20"/>
          <w:highlight w:val="none"/>
        </w:rPr>
        <w:t>格式5：法人或者其他组织的营业执照等证明文件</w:t>
      </w:r>
      <w:r>
        <w:rPr>
          <w:i w:val="0"/>
          <w:iCs w:val="0"/>
          <w:smallCaps/>
          <w:sz w:val="20"/>
          <w:szCs w:val="20"/>
          <w:highlight w:val="none"/>
        </w:rPr>
        <w:tab/>
      </w:r>
      <w:r>
        <w:rPr>
          <w:i w:val="0"/>
          <w:iCs w:val="0"/>
          <w:smallCaps/>
          <w:sz w:val="20"/>
          <w:szCs w:val="20"/>
          <w:highlight w:val="none"/>
        </w:rPr>
        <w:fldChar w:fldCharType="begin"/>
      </w:r>
      <w:r>
        <w:rPr>
          <w:i w:val="0"/>
          <w:iCs w:val="0"/>
          <w:smallCaps/>
          <w:sz w:val="20"/>
          <w:szCs w:val="20"/>
          <w:highlight w:val="none"/>
        </w:rPr>
        <w:instrText xml:space="preserve"> PAGEREF _Toc3927 \h </w:instrText>
      </w:r>
      <w:r>
        <w:rPr>
          <w:i w:val="0"/>
          <w:iCs w:val="0"/>
          <w:smallCaps/>
          <w:sz w:val="20"/>
          <w:szCs w:val="20"/>
          <w:highlight w:val="none"/>
        </w:rPr>
        <w:fldChar w:fldCharType="separate"/>
      </w:r>
      <w:r>
        <w:rPr>
          <w:i w:val="0"/>
          <w:iCs w:val="0"/>
          <w:smallCaps/>
          <w:sz w:val="20"/>
          <w:szCs w:val="20"/>
          <w:highlight w:val="none"/>
        </w:rPr>
        <w:t>47</w:t>
      </w:r>
      <w:r>
        <w:rPr>
          <w:i w:val="0"/>
          <w:iCs w:val="0"/>
          <w:smallCaps/>
          <w:sz w:val="20"/>
          <w:szCs w:val="20"/>
          <w:highlight w:val="none"/>
        </w:rPr>
        <w:fldChar w:fldCharType="end"/>
      </w:r>
      <w:r>
        <w:rPr>
          <w:i w:val="0"/>
          <w:iCs w:val="0"/>
          <w:smallCaps/>
          <w:sz w:val="20"/>
          <w:szCs w:val="20"/>
          <w:highlight w:val="none"/>
        </w:rPr>
        <w:fldChar w:fldCharType="end"/>
      </w:r>
    </w:p>
    <w:p>
      <w:pPr>
        <w:pStyle w:val="43"/>
        <w:tabs>
          <w:tab w:val="right" w:leader="dot" w:pos="8788"/>
          <w:tab w:val="clear" w:pos="426"/>
        </w:tabs>
        <w:spacing w:line="240" w:lineRule="auto"/>
        <w:rPr>
          <w:rFonts w:hint="eastAsia"/>
          <w:i w:val="0"/>
          <w:iCs w:val="0"/>
          <w:smallCaps/>
          <w:sz w:val="20"/>
          <w:szCs w:val="20"/>
          <w:highlight w:val="none"/>
        </w:rPr>
      </w:pPr>
      <w:r>
        <w:rPr>
          <w:highlight w:val="none"/>
        </w:rPr>
        <w:fldChar w:fldCharType="begin"/>
      </w:r>
      <w:r>
        <w:rPr>
          <w:highlight w:val="none"/>
        </w:rPr>
        <w:instrText xml:space="preserve"> HYPERLINK \l "_Toc21226" </w:instrText>
      </w:r>
      <w:r>
        <w:rPr>
          <w:highlight w:val="none"/>
        </w:rPr>
        <w:fldChar w:fldCharType="separate"/>
      </w:r>
      <w:r>
        <w:rPr>
          <w:rFonts w:hint="eastAsia"/>
          <w:i w:val="0"/>
          <w:iCs w:val="0"/>
          <w:smallCaps/>
          <w:sz w:val="20"/>
          <w:szCs w:val="20"/>
          <w:highlight w:val="none"/>
        </w:rPr>
        <w:t>格式6：投标人资格声明函</w:t>
      </w:r>
      <w:r>
        <w:rPr>
          <w:i w:val="0"/>
          <w:iCs w:val="0"/>
          <w:smallCaps/>
          <w:sz w:val="20"/>
          <w:szCs w:val="20"/>
          <w:highlight w:val="none"/>
        </w:rPr>
        <w:tab/>
      </w:r>
      <w:r>
        <w:rPr>
          <w:i w:val="0"/>
          <w:iCs w:val="0"/>
          <w:smallCaps/>
          <w:sz w:val="20"/>
          <w:szCs w:val="20"/>
          <w:highlight w:val="none"/>
        </w:rPr>
        <w:fldChar w:fldCharType="begin"/>
      </w:r>
      <w:r>
        <w:rPr>
          <w:i w:val="0"/>
          <w:iCs w:val="0"/>
          <w:smallCaps/>
          <w:sz w:val="20"/>
          <w:szCs w:val="20"/>
          <w:highlight w:val="none"/>
        </w:rPr>
        <w:instrText xml:space="preserve"> PAGEREF _Toc21226 \h </w:instrText>
      </w:r>
      <w:r>
        <w:rPr>
          <w:i w:val="0"/>
          <w:iCs w:val="0"/>
          <w:smallCaps/>
          <w:sz w:val="20"/>
          <w:szCs w:val="20"/>
          <w:highlight w:val="none"/>
        </w:rPr>
        <w:fldChar w:fldCharType="separate"/>
      </w:r>
      <w:r>
        <w:rPr>
          <w:i w:val="0"/>
          <w:iCs w:val="0"/>
          <w:smallCaps/>
          <w:sz w:val="20"/>
          <w:szCs w:val="20"/>
          <w:highlight w:val="none"/>
        </w:rPr>
        <w:t>48</w:t>
      </w:r>
      <w:r>
        <w:rPr>
          <w:i w:val="0"/>
          <w:iCs w:val="0"/>
          <w:smallCaps/>
          <w:sz w:val="20"/>
          <w:szCs w:val="20"/>
          <w:highlight w:val="none"/>
        </w:rPr>
        <w:fldChar w:fldCharType="end"/>
      </w:r>
      <w:r>
        <w:rPr>
          <w:i w:val="0"/>
          <w:iCs w:val="0"/>
          <w:smallCaps/>
          <w:sz w:val="20"/>
          <w:szCs w:val="20"/>
          <w:highlight w:val="none"/>
        </w:rPr>
        <w:fldChar w:fldCharType="end"/>
      </w:r>
    </w:p>
    <w:p>
      <w:pPr>
        <w:pStyle w:val="43"/>
        <w:tabs>
          <w:tab w:val="right" w:leader="dot" w:pos="8788"/>
          <w:tab w:val="clear" w:pos="426"/>
        </w:tabs>
        <w:spacing w:line="240" w:lineRule="auto"/>
        <w:rPr>
          <w:rFonts w:hint="eastAsia"/>
          <w:i w:val="0"/>
          <w:iCs w:val="0"/>
          <w:smallCaps/>
          <w:sz w:val="20"/>
          <w:szCs w:val="20"/>
          <w:highlight w:val="none"/>
        </w:rPr>
      </w:pPr>
      <w:r>
        <w:rPr>
          <w:highlight w:val="none"/>
        </w:rPr>
        <w:fldChar w:fldCharType="begin"/>
      </w:r>
      <w:r>
        <w:rPr>
          <w:highlight w:val="none"/>
        </w:rPr>
        <w:instrText xml:space="preserve"> HYPERLINK \l "_Toc21325" </w:instrText>
      </w:r>
      <w:r>
        <w:rPr>
          <w:highlight w:val="none"/>
        </w:rPr>
        <w:fldChar w:fldCharType="separate"/>
      </w:r>
      <w:r>
        <w:rPr>
          <w:rFonts w:hint="eastAsia"/>
          <w:i w:val="0"/>
          <w:iCs w:val="0"/>
          <w:smallCaps/>
          <w:sz w:val="20"/>
          <w:szCs w:val="20"/>
          <w:highlight w:val="none"/>
        </w:rPr>
        <w:t>格式7：开标一览表</w:t>
      </w:r>
      <w:r>
        <w:rPr>
          <w:i w:val="0"/>
          <w:iCs w:val="0"/>
          <w:smallCaps/>
          <w:sz w:val="20"/>
          <w:szCs w:val="20"/>
          <w:highlight w:val="none"/>
        </w:rPr>
        <w:tab/>
      </w:r>
      <w:r>
        <w:rPr>
          <w:i w:val="0"/>
          <w:iCs w:val="0"/>
          <w:smallCaps/>
          <w:sz w:val="20"/>
          <w:szCs w:val="20"/>
          <w:highlight w:val="none"/>
        </w:rPr>
        <w:fldChar w:fldCharType="begin"/>
      </w:r>
      <w:r>
        <w:rPr>
          <w:i w:val="0"/>
          <w:iCs w:val="0"/>
          <w:smallCaps/>
          <w:sz w:val="20"/>
          <w:szCs w:val="20"/>
          <w:highlight w:val="none"/>
        </w:rPr>
        <w:instrText xml:space="preserve"> PAGEREF _Toc21325 \h </w:instrText>
      </w:r>
      <w:r>
        <w:rPr>
          <w:i w:val="0"/>
          <w:iCs w:val="0"/>
          <w:smallCaps/>
          <w:sz w:val="20"/>
          <w:szCs w:val="20"/>
          <w:highlight w:val="none"/>
        </w:rPr>
        <w:fldChar w:fldCharType="separate"/>
      </w:r>
      <w:r>
        <w:rPr>
          <w:i w:val="0"/>
          <w:iCs w:val="0"/>
          <w:smallCaps/>
          <w:sz w:val="20"/>
          <w:szCs w:val="20"/>
          <w:highlight w:val="none"/>
        </w:rPr>
        <w:t>50</w:t>
      </w:r>
      <w:r>
        <w:rPr>
          <w:i w:val="0"/>
          <w:iCs w:val="0"/>
          <w:smallCaps/>
          <w:sz w:val="20"/>
          <w:szCs w:val="20"/>
          <w:highlight w:val="none"/>
        </w:rPr>
        <w:fldChar w:fldCharType="end"/>
      </w:r>
      <w:r>
        <w:rPr>
          <w:i w:val="0"/>
          <w:iCs w:val="0"/>
          <w:smallCaps/>
          <w:sz w:val="20"/>
          <w:szCs w:val="20"/>
          <w:highlight w:val="none"/>
        </w:rPr>
        <w:fldChar w:fldCharType="end"/>
      </w:r>
    </w:p>
    <w:p>
      <w:pPr>
        <w:pStyle w:val="43"/>
        <w:tabs>
          <w:tab w:val="right" w:leader="dot" w:pos="8788"/>
          <w:tab w:val="clear" w:pos="426"/>
        </w:tabs>
        <w:spacing w:line="240" w:lineRule="auto"/>
        <w:rPr>
          <w:rFonts w:hint="eastAsia"/>
          <w:i w:val="0"/>
          <w:iCs w:val="0"/>
          <w:smallCaps/>
          <w:sz w:val="20"/>
          <w:szCs w:val="20"/>
          <w:highlight w:val="none"/>
        </w:rPr>
      </w:pPr>
      <w:r>
        <w:rPr>
          <w:highlight w:val="none"/>
        </w:rPr>
        <w:fldChar w:fldCharType="begin"/>
      </w:r>
      <w:r>
        <w:rPr>
          <w:highlight w:val="none"/>
        </w:rPr>
        <w:instrText xml:space="preserve"> HYPERLINK \l "_Toc23484" </w:instrText>
      </w:r>
      <w:r>
        <w:rPr>
          <w:highlight w:val="none"/>
        </w:rPr>
        <w:fldChar w:fldCharType="separate"/>
      </w:r>
      <w:r>
        <w:rPr>
          <w:rFonts w:hint="eastAsia"/>
          <w:i w:val="0"/>
          <w:iCs w:val="0"/>
          <w:smallCaps/>
          <w:sz w:val="20"/>
          <w:szCs w:val="20"/>
          <w:highlight w:val="none"/>
        </w:rPr>
        <w:t>格式8：投标分项报价表</w:t>
      </w:r>
      <w:r>
        <w:rPr>
          <w:i w:val="0"/>
          <w:iCs w:val="0"/>
          <w:smallCaps/>
          <w:sz w:val="20"/>
          <w:szCs w:val="20"/>
          <w:highlight w:val="none"/>
        </w:rPr>
        <w:tab/>
      </w:r>
      <w:r>
        <w:rPr>
          <w:i w:val="0"/>
          <w:iCs w:val="0"/>
          <w:smallCaps/>
          <w:sz w:val="20"/>
          <w:szCs w:val="20"/>
          <w:highlight w:val="none"/>
        </w:rPr>
        <w:fldChar w:fldCharType="begin"/>
      </w:r>
      <w:r>
        <w:rPr>
          <w:i w:val="0"/>
          <w:iCs w:val="0"/>
          <w:smallCaps/>
          <w:sz w:val="20"/>
          <w:szCs w:val="20"/>
          <w:highlight w:val="none"/>
        </w:rPr>
        <w:instrText xml:space="preserve"> PAGEREF _Toc23484 \h </w:instrText>
      </w:r>
      <w:r>
        <w:rPr>
          <w:i w:val="0"/>
          <w:iCs w:val="0"/>
          <w:smallCaps/>
          <w:sz w:val="20"/>
          <w:szCs w:val="20"/>
          <w:highlight w:val="none"/>
        </w:rPr>
        <w:fldChar w:fldCharType="separate"/>
      </w:r>
      <w:r>
        <w:rPr>
          <w:i w:val="0"/>
          <w:iCs w:val="0"/>
          <w:smallCaps/>
          <w:sz w:val="20"/>
          <w:szCs w:val="20"/>
          <w:highlight w:val="none"/>
        </w:rPr>
        <w:t>51</w:t>
      </w:r>
      <w:r>
        <w:rPr>
          <w:i w:val="0"/>
          <w:iCs w:val="0"/>
          <w:smallCaps/>
          <w:sz w:val="20"/>
          <w:szCs w:val="20"/>
          <w:highlight w:val="none"/>
        </w:rPr>
        <w:fldChar w:fldCharType="end"/>
      </w:r>
      <w:r>
        <w:rPr>
          <w:i w:val="0"/>
          <w:iCs w:val="0"/>
          <w:smallCaps/>
          <w:sz w:val="20"/>
          <w:szCs w:val="20"/>
          <w:highlight w:val="none"/>
        </w:rPr>
        <w:fldChar w:fldCharType="end"/>
      </w:r>
    </w:p>
    <w:p>
      <w:pPr>
        <w:pStyle w:val="43"/>
        <w:tabs>
          <w:tab w:val="right" w:leader="dot" w:pos="8788"/>
          <w:tab w:val="clear" w:pos="426"/>
        </w:tabs>
        <w:spacing w:line="240" w:lineRule="auto"/>
        <w:rPr>
          <w:rFonts w:hint="eastAsia"/>
          <w:i w:val="0"/>
          <w:iCs w:val="0"/>
          <w:smallCaps/>
          <w:sz w:val="20"/>
          <w:szCs w:val="20"/>
          <w:highlight w:val="none"/>
        </w:rPr>
      </w:pPr>
      <w:r>
        <w:rPr>
          <w:highlight w:val="none"/>
        </w:rPr>
        <w:fldChar w:fldCharType="begin"/>
      </w:r>
      <w:r>
        <w:rPr>
          <w:highlight w:val="none"/>
        </w:rPr>
        <w:instrText xml:space="preserve">HYPERLINK \l "_Toc9437"</w:instrText>
      </w:r>
      <w:r>
        <w:rPr>
          <w:highlight w:val="none"/>
        </w:rPr>
        <w:fldChar w:fldCharType="separate"/>
      </w:r>
      <w:r>
        <w:rPr>
          <w:rFonts w:hint="eastAsia"/>
          <w:i w:val="0"/>
          <w:iCs w:val="0"/>
          <w:smallCaps/>
          <w:sz w:val="20"/>
          <w:szCs w:val="20"/>
          <w:highlight w:val="none"/>
        </w:rPr>
        <w:t>格式9：技术规格偏离表</w:t>
      </w:r>
      <w:r>
        <w:rPr>
          <w:i w:val="0"/>
          <w:iCs w:val="0"/>
          <w:smallCaps/>
          <w:sz w:val="20"/>
          <w:szCs w:val="20"/>
          <w:highlight w:val="none"/>
        </w:rPr>
        <w:tab/>
      </w:r>
      <w:r>
        <w:rPr>
          <w:i w:val="0"/>
          <w:iCs w:val="0"/>
          <w:smallCaps/>
          <w:sz w:val="20"/>
          <w:szCs w:val="20"/>
          <w:highlight w:val="none"/>
        </w:rPr>
        <w:fldChar w:fldCharType="begin"/>
      </w:r>
      <w:r>
        <w:rPr>
          <w:i w:val="0"/>
          <w:iCs w:val="0"/>
          <w:smallCaps/>
          <w:sz w:val="20"/>
          <w:szCs w:val="20"/>
          <w:highlight w:val="none"/>
        </w:rPr>
        <w:instrText xml:space="preserve"> PAGEREF _Toc9437 \h </w:instrText>
      </w:r>
      <w:r>
        <w:rPr>
          <w:i w:val="0"/>
          <w:iCs w:val="0"/>
          <w:smallCaps/>
          <w:sz w:val="20"/>
          <w:szCs w:val="20"/>
          <w:highlight w:val="none"/>
        </w:rPr>
        <w:fldChar w:fldCharType="separate"/>
      </w:r>
      <w:r>
        <w:rPr>
          <w:i w:val="0"/>
          <w:iCs w:val="0"/>
          <w:smallCaps/>
          <w:sz w:val="20"/>
          <w:szCs w:val="20"/>
          <w:highlight w:val="none"/>
        </w:rPr>
        <w:t>52</w:t>
      </w:r>
      <w:r>
        <w:rPr>
          <w:i w:val="0"/>
          <w:iCs w:val="0"/>
          <w:smallCaps/>
          <w:sz w:val="20"/>
          <w:szCs w:val="20"/>
          <w:highlight w:val="none"/>
        </w:rPr>
        <w:fldChar w:fldCharType="end"/>
      </w:r>
      <w:r>
        <w:rPr>
          <w:i w:val="0"/>
          <w:iCs w:val="0"/>
          <w:smallCaps/>
          <w:sz w:val="20"/>
          <w:szCs w:val="20"/>
          <w:highlight w:val="none"/>
        </w:rPr>
        <w:fldChar w:fldCharType="end"/>
      </w:r>
    </w:p>
    <w:p>
      <w:pPr>
        <w:pStyle w:val="43"/>
        <w:tabs>
          <w:tab w:val="right" w:leader="dot" w:pos="8788"/>
          <w:tab w:val="clear" w:pos="426"/>
        </w:tabs>
        <w:spacing w:line="240" w:lineRule="auto"/>
        <w:rPr>
          <w:rFonts w:hint="eastAsia"/>
          <w:i w:val="0"/>
          <w:iCs w:val="0"/>
          <w:smallCaps/>
          <w:sz w:val="20"/>
          <w:szCs w:val="20"/>
          <w:highlight w:val="none"/>
        </w:rPr>
      </w:pPr>
      <w:r>
        <w:rPr>
          <w:highlight w:val="none"/>
        </w:rPr>
        <w:fldChar w:fldCharType="begin"/>
      </w:r>
      <w:r>
        <w:rPr>
          <w:highlight w:val="none"/>
        </w:rPr>
        <w:instrText xml:space="preserve">HYPERLINK \l "_Toc25758"</w:instrText>
      </w:r>
      <w:r>
        <w:rPr>
          <w:highlight w:val="none"/>
        </w:rPr>
        <w:fldChar w:fldCharType="separate"/>
      </w:r>
      <w:r>
        <w:rPr>
          <w:rFonts w:hint="eastAsia"/>
          <w:i w:val="0"/>
          <w:iCs w:val="0"/>
          <w:smallCaps/>
          <w:sz w:val="20"/>
          <w:szCs w:val="20"/>
          <w:highlight w:val="none"/>
        </w:rPr>
        <w:t>格式10：技术保障措施</w:t>
      </w:r>
      <w:r>
        <w:rPr>
          <w:i w:val="0"/>
          <w:iCs w:val="0"/>
          <w:smallCaps/>
          <w:sz w:val="20"/>
          <w:szCs w:val="20"/>
          <w:highlight w:val="none"/>
        </w:rPr>
        <w:tab/>
      </w:r>
      <w:r>
        <w:rPr>
          <w:i w:val="0"/>
          <w:iCs w:val="0"/>
          <w:smallCaps/>
          <w:sz w:val="20"/>
          <w:szCs w:val="20"/>
          <w:highlight w:val="none"/>
        </w:rPr>
        <w:fldChar w:fldCharType="begin"/>
      </w:r>
      <w:r>
        <w:rPr>
          <w:i w:val="0"/>
          <w:iCs w:val="0"/>
          <w:smallCaps/>
          <w:sz w:val="20"/>
          <w:szCs w:val="20"/>
          <w:highlight w:val="none"/>
        </w:rPr>
        <w:instrText xml:space="preserve"> PAGEREF _Toc25758 \h </w:instrText>
      </w:r>
      <w:r>
        <w:rPr>
          <w:i w:val="0"/>
          <w:iCs w:val="0"/>
          <w:smallCaps/>
          <w:sz w:val="20"/>
          <w:szCs w:val="20"/>
          <w:highlight w:val="none"/>
        </w:rPr>
        <w:fldChar w:fldCharType="separate"/>
      </w:r>
      <w:r>
        <w:rPr>
          <w:i w:val="0"/>
          <w:iCs w:val="0"/>
          <w:smallCaps/>
          <w:sz w:val="20"/>
          <w:szCs w:val="20"/>
          <w:highlight w:val="none"/>
        </w:rPr>
        <w:t>53</w:t>
      </w:r>
      <w:r>
        <w:rPr>
          <w:i w:val="0"/>
          <w:iCs w:val="0"/>
          <w:smallCaps/>
          <w:sz w:val="20"/>
          <w:szCs w:val="20"/>
          <w:highlight w:val="none"/>
        </w:rPr>
        <w:fldChar w:fldCharType="end"/>
      </w:r>
      <w:r>
        <w:rPr>
          <w:i w:val="0"/>
          <w:iCs w:val="0"/>
          <w:smallCaps/>
          <w:sz w:val="20"/>
          <w:szCs w:val="20"/>
          <w:highlight w:val="none"/>
        </w:rPr>
        <w:fldChar w:fldCharType="end"/>
      </w:r>
    </w:p>
    <w:p>
      <w:pPr>
        <w:pStyle w:val="43"/>
        <w:tabs>
          <w:tab w:val="right" w:leader="dot" w:pos="8788"/>
          <w:tab w:val="clear" w:pos="426"/>
        </w:tabs>
        <w:spacing w:line="240" w:lineRule="auto"/>
        <w:rPr>
          <w:rFonts w:hint="eastAsia"/>
          <w:i w:val="0"/>
          <w:iCs w:val="0"/>
          <w:smallCaps/>
          <w:sz w:val="20"/>
          <w:szCs w:val="20"/>
          <w:highlight w:val="none"/>
        </w:rPr>
      </w:pPr>
      <w:r>
        <w:rPr>
          <w:highlight w:val="none"/>
        </w:rPr>
        <w:fldChar w:fldCharType="begin"/>
      </w:r>
      <w:r>
        <w:rPr>
          <w:highlight w:val="none"/>
        </w:rPr>
        <w:instrText xml:space="preserve">HYPERLINK \l "_Toc19609"</w:instrText>
      </w:r>
      <w:r>
        <w:rPr>
          <w:highlight w:val="none"/>
        </w:rPr>
        <w:fldChar w:fldCharType="separate"/>
      </w:r>
      <w:r>
        <w:rPr>
          <w:rFonts w:hint="eastAsia"/>
          <w:i w:val="0"/>
          <w:iCs w:val="0"/>
          <w:smallCaps/>
          <w:sz w:val="20"/>
          <w:szCs w:val="20"/>
          <w:highlight w:val="none"/>
        </w:rPr>
        <w:t>格式11：售后服务方案</w:t>
      </w:r>
      <w:r>
        <w:rPr>
          <w:i w:val="0"/>
          <w:iCs w:val="0"/>
          <w:smallCaps/>
          <w:sz w:val="20"/>
          <w:szCs w:val="20"/>
          <w:highlight w:val="none"/>
        </w:rPr>
        <w:tab/>
      </w:r>
      <w:r>
        <w:rPr>
          <w:i w:val="0"/>
          <w:iCs w:val="0"/>
          <w:smallCaps/>
          <w:sz w:val="20"/>
          <w:szCs w:val="20"/>
          <w:highlight w:val="none"/>
        </w:rPr>
        <w:fldChar w:fldCharType="begin"/>
      </w:r>
      <w:r>
        <w:rPr>
          <w:i w:val="0"/>
          <w:iCs w:val="0"/>
          <w:smallCaps/>
          <w:sz w:val="20"/>
          <w:szCs w:val="20"/>
          <w:highlight w:val="none"/>
        </w:rPr>
        <w:instrText xml:space="preserve"> PAGEREF _Toc19609 \h </w:instrText>
      </w:r>
      <w:r>
        <w:rPr>
          <w:i w:val="0"/>
          <w:iCs w:val="0"/>
          <w:smallCaps/>
          <w:sz w:val="20"/>
          <w:szCs w:val="20"/>
          <w:highlight w:val="none"/>
        </w:rPr>
        <w:fldChar w:fldCharType="separate"/>
      </w:r>
      <w:r>
        <w:rPr>
          <w:i w:val="0"/>
          <w:iCs w:val="0"/>
          <w:smallCaps/>
          <w:sz w:val="20"/>
          <w:szCs w:val="20"/>
          <w:highlight w:val="none"/>
        </w:rPr>
        <w:t>53</w:t>
      </w:r>
      <w:r>
        <w:rPr>
          <w:i w:val="0"/>
          <w:iCs w:val="0"/>
          <w:smallCaps/>
          <w:sz w:val="20"/>
          <w:szCs w:val="20"/>
          <w:highlight w:val="none"/>
        </w:rPr>
        <w:fldChar w:fldCharType="end"/>
      </w:r>
      <w:r>
        <w:rPr>
          <w:i w:val="0"/>
          <w:iCs w:val="0"/>
          <w:smallCaps/>
          <w:sz w:val="20"/>
          <w:szCs w:val="20"/>
          <w:highlight w:val="none"/>
        </w:rPr>
        <w:fldChar w:fldCharType="end"/>
      </w:r>
    </w:p>
    <w:p>
      <w:pPr>
        <w:pStyle w:val="43"/>
        <w:tabs>
          <w:tab w:val="right" w:leader="dot" w:pos="8788"/>
          <w:tab w:val="clear" w:pos="426"/>
        </w:tabs>
        <w:spacing w:line="240" w:lineRule="auto"/>
        <w:rPr>
          <w:rFonts w:hint="eastAsia"/>
          <w:i w:val="0"/>
          <w:iCs w:val="0"/>
          <w:smallCaps/>
          <w:sz w:val="20"/>
          <w:szCs w:val="20"/>
          <w:highlight w:val="none"/>
        </w:rPr>
      </w:pPr>
      <w:r>
        <w:rPr>
          <w:highlight w:val="none"/>
        </w:rPr>
        <w:fldChar w:fldCharType="begin"/>
      </w:r>
      <w:r>
        <w:rPr>
          <w:highlight w:val="none"/>
        </w:rPr>
        <w:instrText xml:space="preserve"> HYPERLINK \l "_Toc29923" </w:instrText>
      </w:r>
      <w:r>
        <w:rPr>
          <w:highlight w:val="none"/>
        </w:rPr>
        <w:fldChar w:fldCharType="separate"/>
      </w:r>
      <w:r>
        <w:rPr>
          <w:rFonts w:hint="eastAsia"/>
          <w:i w:val="0"/>
          <w:iCs w:val="0"/>
          <w:smallCaps/>
          <w:sz w:val="20"/>
          <w:szCs w:val="20"/>
          <w:highlight w:val="none"/>
        </w:rPr>
        <w:t>格式12：商务条款偏离表</w:t>
      </w:r>
      <w:r>
        <w:rPr>
          <w:i w:val="0"/>
          <w:iCs w:val="0"/>
          <w:smallCaps/>
          <w:sz w:val="20"/>
          <w:szCs w:val="20"/>
          <w:highlight w:val="none"/>
        </w:rPr>
        <w:tab/>
      </w:r>
      <w:r>
        <w:rPr>
          <w:i w:val="0"/>
          <w:iCs w:val="0"/>
          <w:smallCaps/>
          <w:sz w:val="20"/>
          <w:szCs w:val="20"/>
          <w:highlight w:val="none"/>
        </w:rPr>
        <w:fldChar w:fldCharType="begin"/>
      </w:r>
      <w:r>
        <w:rPr>
          <w:i w:val="0"/>
          <w:iCs w:val="0"/>
          <w:smallCaps/>
          <w:sz w:val="20"/>
          <w:szCs w:val="20"/>
          <w:highlight w:val="none"/>
        </w:rPr>
        <w:instrText xml:space="preserve"> PAGEREF _Toc29923 \h </w:instrText>
      </w:r>
      <w:r>
        <w:rPr>
          <w:i w:val="0"/>
          <w:iCs w:val="0"/>
          <w:smallCaps/>
          <w:sz w:val="20"/>
          <w:szCs w:val="20"/>
          <w:highlight w:val="none"/>
        </w:rPr>
        <w:fldChar w:fldCharType="separate"/>
      </w:r>
      <w:r>
        <w:rPr>
          <w:i w:val="0"/>
          <w:iCs w:val="0"/>
          <w:smallCaps/>
          <w:sz w:val="20"/>
          <w:szCs w:val="20"/>
          <w:highlight w:val="none"/>
        </w:rPr>
        <w:t>54</w:t>
      </w:r>
      <w:r>
        <w:rPr>
          <w:i w:val="0"/>
          <w:iCs w:val="0"/>
          <w:smallCaps/>
          <w:sz w:val="20"/>
          <w:szCs w:val="20"/>
          <w:highlight w:val="none"/>
        </w:rPr>
        <w:fldChar w:fldCharType="end"/>
      </w:r>
      <w:r>
        <w:rPr>
          <w:i w:val="0"/>
          <w:iCs w:val="0"/>
          <w:smallCaps/>
          <w:sz w:val="20"/>
          <w:szCs w:val="20"/>
          <w:highlight w:val="none"/>
        </w:rPr>
        <w:fldChar w:fldCharType="end"/>
      </w:r>
    </w:p>
    <w:p>
      <w:pPr>
        <w:pStyle w:val="43"/>
        <w:tabs>
          <w:tab w:val="right" w:leader="dot" w:pos="8788"/>
          <w:tab w:val="clear" w:pos="426"/>
        </w:tabs>
        <w:spacing w:line="240" w:lineRule="auto"/>
        <w:rPr>
          <w:rFonts w:hint="eastAsia"/>
          <w:i w:val="0"/>
          <w:iCs w:val="0"/>
          <w:smallCaps/>
          <w:sz w:val="20"/>
          <w:szCs w:val="20"/>
          <w:highlight w:val="none"/>
        </w:rPr>
      </w:pPr>
      <w:r>
        <w:rPr>
          <w:highlight w:val="none"/>
        </w:rPr>
        <w:fldChar w:fldCharType="begin"/>
      </w:r>
      <w:r>
        <w:rPr>
          <w:highlight w:val="none"/>
        </w:rPr>
        <w:instrText xml:space="preserve"> HYPERLINK \l "_Toc6533" </w:instrText>
      </w:r>
      <w:r>
        <w:rPr>
          <w:highlight w:val="none"/>
        </w:rPr>
        <w:fldChar w:fldCharType="separate"/>
      </w:r>
      <w:r>
        <w:rPr>
          <w:rFonts w:hint="eastAsia"/>
          <w:i w:val="0"/>
          <w:iCs w:val="0"/>
          <w:smallCaps/>
          <w:sz w:val="20"/>
          <w:szCs w:val="20"/>
          <w:highlight w:val="none"/>
        </w:rPr>
        <w:t>格式13：投标人综合概况简表</w:t>
      </w:r>
      <w:r>
        <w:rPr>
          <w:i w:val="0"/>
          <w:iCs w:val="0"/>
          <w:smallCaps/>
          <w:sz w:val="20"/>
          <w:szCs w:val="20"/>
          <w:highlight w:val="none"/>
        </w:rPr>
        <w:tab/>
      </w:r>
      <w:r>
        <w:rPr>
          <w:i w:val="0"/>
          <w:iCs w:val="0"/>
          <w:smallCaps/>
          <w:sz w:val="20"/>
          <w:szCs w:val="20"/>
          <w:highlight w:val="none"/>
        </w:rPr>
        <w:fldChar w:fldCharType="begin"/>
      </w:r>
      <w:r>
        <w:rPr>
          <w:i w:val="0"/>
          <w:iCs w:val="0"/>
          <w:smallCaps/>
          <w:sz w:val="20"/>
          <w:szCs w:val="20"/>
          <w:highlight w:val="none"/>
        </w:rPr>
        <w:instrText xml:space="preserve"> PAGEREF _Toc6533 \h </w:instrText>
      </w:r>
      <w:r>
        <w:rPr>
          <w:i w:val="0"/>
          <w:iCs w:val="0"/>
          <w:smallCaps/>
          <w:sz w:val="20"/>
          <w:szCs w:val="20"/>
          <w:highlight w:val="none"/>
        </w:rPr>
        <w:fldChar w:fldCharType="separate"/>
      </w:r>
      <w:r>
        <w:rPr>
          <w:i w:val="0"/>
          <w:iCs w:val="0"/>
          <w:smallCaps/>
          <w:sz w:val="20"/>
          <w:szCs w:val="20"/>
          <w:highlight w:val="none"/>
        </w:rPr>
        <w:t>55</w:t>
      </w:r>
      <w:r>
        <w:rPr>
          <w:i w:val="0"/>
          <w:iCs w:val="0"/>
          <w:smallCaps/>
          <w:sz w:val="20"/>
          <w:szCs w:val="20"/>
          <w:highlight w:val="none"/>
        </w:rPr>
        <w:fldChar w:fldCharType="end"/>
      </w:r>
      <w:r>
        <w:rPr>
          <w:i w:val="0"/>
          <w:iCs w:val="0"/>
          <w:smallCaps/>
          <w:sz w:val="20"/>
          <w:szCs w:val="20"/>
          <w:highlight w:val="none"/>
        </w:rPr>
        <w:fldChar w:fldCharType="end"/>
      </w:r>
    </w:p>
    <w:p>
      <w:pPr>
        <w:pStyle w:val="43"/>
        <w:tabs>
          <w:tab w:val="right" w:leader="dot" w:pos="8788"/>
          <w:tab w:val="clear" w:pos="426"/>
        </w:tabs>
        <w:spacing w:line="240" w:lineRule="auto"/>
        <w:rPr>
          <w:rFonts w:hint="eastAsia"/>
          <w:i w:val="0"/>
          <w:iCs w:val="0"/>
          <w:smallCaps/>
          <w:sz w:val="20"/>
          <w:szCs w:val="20"/>
          <w:highlight w:val="none"/>
        </w:rPr>
      </w:pPr>
      <w:r>
        <w:rPr>
          <w:highlight w:val="none"/>
        </w:rPr>
        <w:fldChar w:fldCharType="begin"/>
      </w:r>
      <w:r>
        <w:rPr>
          <w:highlight w:val="none"/>
        </w:rPr>
        <w:instrText xml:space="preserve">HYPERLINK \l "_Toc22664"</w:instrText>
      </w:r>
      <w:r>
        <w:rPr>
          <w:highlight w:val="none"/>
        </w:rPr>
        <w:fldChar w:fldCharType="separate"/>
      </w:r>
      <w:r>
        <w:rPr>
          <w:rFonts w:hint="eastAsia"/>
          <w:i w:val="0"/>
          <w:iCs w:val="0"/>
          <w:smallCaps/>
          <w:sz w:val="20"/>
          <w:szCs w:val="20"/>
          <w:highlight w:val="none"/>
        </w:rPr>
        <w:t>格式14：企业类型声明函（可选）</w:t>
      </w:r>
      <w:r>
        <w:rPr>
          <w:i w:val="0"/>
          <w:iCs w:val="0"/>
          <w:smallCaps/>
          <w:sz w:val="20"/>
          <w:szCs w:val="20"/>
          <w:highlight w:val="none"/>
        </w:rPr>
        <w:tab/>
      </w:r>
      <w:r>
        <w:rPr>
          <w:i w:val="0"/>
          <w:iCs w:val="0"/>
          <w:smallCaps/>
          <w:sz w:val="20"/>
          <w:szCs w:val="20"/>
          <w:highlight w:val="none"/>
        </w:rPr>
        <w:fldChar w:fldCharType="begin"/>
      </w:r>
      <w:r>
        <w:rPr>
          <w:i w:val="0"/>
          <w:iCs w:val="0"/>
          <w:smallCaps/>
          <w:sz w:val="20"/>
          <w:szCs w:val="20"/>
          <w:highlight w:val="none"/>
        </w:rPr>
        <w:instrText xml:space="preserve"> PAGEREF _Toc22664 \h </w:instrText>
      </w:r>
      <w:r>
        <w:rPr>
          <w:i w:val="0"/>
          <w:iCs w:val="0"/>
          <w:smallCaps/>
          <w:sz w:val="20"/>
          <w:szCs w:val="20"/>
          <w:highlight w:val="none"/>
        </w:rPr>
        <w:fldChar w:fldCharType="separate"/>
      </w:r>
      <w:r>
        <w:rPr>
          <w:i w:val="0"/>
          <w:iCs w:val="0"/>
          <w:smallCaps/>
          <w:sz w:val="20"/>
          <w:szCs w:val="20"/>
          <w:highlight w:val="none"/>
        </w:rPr>
        <w:t>56</w:t>
      </w:r>
      <w:r>
        <w:rPr>
          <w:i w:val="0"/>
          <w:iCs w:val="0"/>
          <w:smallCaps/>
          <w:sz w:val="20"/>
          <w:szCs w:val="20"/>
          <w:highlight w:val="none"/>
        </w:rPr>
        <w:fldChar w:fldCharType="end"/>
      </w:r>
      <w:r>
        <w:rPr>
          <w:i w:val="0"/>
          <w:iCs w:val="0"/>
          <w:smallCaps/>
          <w:sz w:val="20"/>
          <w:szCs w:val="20"/>
          <w:highlight w:val="none"/>
        </w:rPr>
        <w:fldChar w:fldCharType="end"/>
      </w:r>
    </w:p>
    <w:p>
      <w:pPr>
        <w:pStyle w:val="43"/>
        <w:tabs>
          <w:tab w:val="right" w:leader="dot" w:pos="8788"/>
          <w:tab w:val="clear" w:pos="426"/>
        </w:tabs>
        <w:spacing w:line="240" w:lineRule="auto"/>
        <w:rPr>
          <w:rFonts w:hint="eastAsia"/>
          <w:i w:val="0"/>
          <w:iCs w:val="0"/>
          <w:smallCaps/>
          <w:sz w:val="20"/>
          <w:szCs w:val="20"/>
          <w:highlight w:val="none"/>
        </w:rPr>
      </w:pPr>
      <w:r>
        <w:rPr>
          <w:highlight w:val="none"/>
        </w:rPr>
        <w:fldChar w:fldCharType="begin"/>
      </w:r>
      <w:r>
        <w:rPr>
          <w:highlight w:val="none"/>
        </w:rPr>
        <w:instrText xml:space="preserve">HYPERLINK \l "_Toc17528"</w:instrText>
      </w:r>
      <w:r>
        <w:rPr>
          <w:highlight w:val="none"/>
        </w:rPr>
        <w:fldChar w:fldCharType="separate"/>
      </w:r>
      <w:r>
        <w:rPr>
          <w:rFonts w:hint="eastAsia"/>
          <w:i w:val="0"/>
          <w:iCs w:val="0"/>
          <w:smallCaps/>
          <w:sz w:val="20"/>
          <w:szCs w:val="20"/>
          <w:highlight w:val="none"/>
        </w:rPr>
        <w:t>格式15：残疾人福利性单位声明函（可选）</w:t>
      </w:r>
      <w:r>
        <w:rPr>
          <w:i w:val="0"/>
          <w:iCs w:val="0"/>
          <w:smallCaps/>
          <w:sz w:val="20"/>
          <w:szCs w:val="20"/>
          <w:highlight w:val="none"/>
        </w:rPr>
        <w:tab/>
      </w:r>
      <w:r>
        <w:rPr>
          <w:i w:val="0"/>
          <w:iCs w:val="0"/>
          <w:smallCaps/>
          <w:sz w:val="20"/>
          <w:szCs w:val="20"/>
          <w:highlight w:val="none"/>
        </w:rPr>
        <w:fldChar w:fldCharType="begin"/>
      </w:r>
      <w:r>
        <w:rPr>
          <w:i w:val="0"/>
          <w:iCs w:val="0"/>
          <w:smallCaps/>
          <w:sz w:val="20"/>
          <w:szCs w:val="20"/>
          <w:highlight w:val="none"/>
        </w:rPr>
        <w:instrText xml:space="preserve"> PAGEREF _Toc17528 \h </w:instrText>
      </w:r>
      <w:r>
        <w:rPr>
          <w:i w:val="0"/>
          <w:iCs w:val="0"/>
          <w:smallCaps/>
          <w:sz w:val="20"/>
          <w:szCs w:val="20"/>
          <w:highlight w:val="none"/>
        </w:rPr>
        <w:fldChar w:fldCharType="separate"/>
      </w:r>
      <w:r>
        <w:rPr>
          <w:i w:val="0"/>
          <w:iCs w:val="0"/>
          <w:smallCaps/>
          <w:sz w:val="20"/>
          <w:szCs w:val="20"/>
          <w:highlight w:val="none"/>
        </w:rPr>
        <w:t>59</w:t>
      </w:r>
      <w:r>
        <w:rPr>
          <w:i w:val="0"/>
          <w:iCs w:val="0"/>
          <w:smallCaps/>
          <w:sz w:val="20"/>
          <w:szCs w:val="20"/>
          <w:highlight w:val="none"/>
        </w:rPr>
        <w:fldChar w:fldCharType="end"/>
      </w:r>
      <w:r>
        <w:rPr>
          <w:i w:val="0"/>
          <w:iCs w:val="0"/>
          <w:smallCaps/>
          <w:sz w:val="20"/>
          <w:szCs w:val="20"/>
          <w:highlight w:val="none"/>
        </w:rPr>
        <w:fldChar w:fldCharType="end"/>
      </w:r>
    </w:p>
    <w:p>
      <w:pPr>
        <w:pStyle w:val="43"/>
        <w:tabs>
          <w:tab w:val="right" w:leader="dot" w:pos="8788"/>
          <w:tab w:val="clear" w:pos="426"/>
        </w:tabs>
        <w:spacing w:line="240" w:lineRule="auto"/>
        <w:rPr>
          <w:rFonts w:hint="eastAsia"/>
          <w:i w:val="0"/>
          <w:iCs w:val="0"/>
          <w:smallCaps/>
          <w:sz w:val="20"/>
          <w:szCs w:val="20"/>
          <w:highlight w:val="none"/>
        </w:rPr>
      </w:pPr>
      <w:r>
        <w:rPr>
          <w:highlight w:val="none"/>
        </w:rPr>
        <w:fldChar w:fldCharType="begin"/>
      </w:r>
      <w:r>
        <w:rPr>
          <w:highlight w:val="none"/>
        </w:rPr>
        <w:instrText xml:space="preserve">HYPERLINK \l "_Toc14001"</w:instrText>
      </w:r>
      <w:r>
        <w:rPr>
          <w:highlight w:val="none"/>
        </w:rPr>
        <w:fldChar w:fldCharType="separate"/>
      </w:r>
      <w:r>
        <w:rPr>
          <w:rFonts w:hint="eastAsia"/>
          <w:i w:val="0"/>
          <w:iCs w:val="0"/>
          <w:smallCaps/>
          <w:sz w:val="20"/>
          <w:szCs w:val="20"/>
          <w:highlight w:val="none"/>
        </w:rPr>
        <w:t>格式16：同类项目业绩情况</w:t>
      </w:r>
      <w:r>
        <w:rPr>
          <w:i w:val="0"/>
          <w:iCs w:val="0"/>
          <w:smallCaps/>
          <w:sz w:val="20"/>
          <w:szCs w:val="20"/>
          <w:highlight w:val="none"/>
        </w:rPr>
        <w:tab/>
      </w:r>
      <w:r>
        <w:rPr>
          <w:i w:val="0"/>
          <w:iCs w:val="0"/>
          <w:smallCaps/>
          <w:sz w:val="20"/>
          <w:szCs w:val="20"/>
          <w:highlight w:val="none"/>
        </w:rPr>
        <w:fldChar w:fldCharType="begin"/>
      </w:r>
      <w:r>
        <w:rPr>
          <w:i w:val="0"/>
          <w:iCs w:val="0"/>
          <w:smallCaps/>
          <w:sz w:val="20"/>
          <w:szCs w:val="20"/>
          <w:highlight w:val="none"/>
        </w:rPr>
        <w:instrText xml:space="preserve"> PAGEREF _Toc14001 \h </w:instrText>
      </w:r>
      <w:r>
        <w:rPr>
          <w:i w:val="0"/>
          <w:iCs w:val="0"/>
          <w:smallCaps/>
          <w:sz w:val="20"/>
          <w:szCs w:val="20"/>
          <w:highlight w:val="none"/>
        </w:rPr>
        <w:fldChar w:fldCharType="separate"/>
      </w:r>
      <w:r>
        <w:rPr>
          <w:i w:val="0"/>
          <w:iCs w:val="0"/>
          <w:smallCaps/>
          <w:sz w:val="20"/>
          <w:szCs w:val="20"/>
          <w:highlight w:val="none"/>
        </w:rPr>
        <w:t>60</w:t>
      </w:r>
      <w:r>
        <w:rPr>
          <w:i w:val="0"/>
          <w:iCs w:val="0"/>
          <w:smallCaps/>
          <w:sz w:val="20"/>
          <w:szCs w:val="20"/>
          <w:highlight w:val="none"/>
        </w:rPr>
        <w:fldChar w:fldCharType="end"/>
      </w:r>
      <w:r>
        <w:rPr>
          <w:i w:val="0"/>
          <w:iCs w:val="0"/>
          <w:smallCaps/>
          <w:sz w:val="20"/>
          <w:szCs w:val="20"/>
          <w:highlight w:val="none"/>
        </w:rPr>
        <w:fldChar w:fldCharType="end"/>
      </w:r>
    </w:p>
    <w:p>
      <w:pPr>
        <w:pStyle w:val="43"/>
        <w:tabs>
          <w:tab w:val="right" w:leader="dot" w:pos="8788"/>
          <w:tab w:val="clear" w:pos="426"/>
        </w:tabs>
        <w:spacing w:line="240" w:lineRule="auto"/>
        <w:rPr>
          <w:rFonts w:hint="eastAsia"/>
          <w:i w:val="0"/>
          <w:iCs w:val="0"/>
          <w:smallCaps/>
          <w:sz w:val="20"/>
          <w:szCs w:val="20"/>
          <w:highlight w:val="none"/>
        </w:rPr>
      </w:pPr>
      <w:r>
        <w:rPr>
          <w:highlight w:val="none"/>
        </w:rPr>
        <w:fldChar w:fldCharType="begin"/>
      </w:r>
      <w:r>
        <w:rPr>
          <w:highlight w:val="none"/>
        </w:rPr>
        <w:instrText xml:space="preserve">HYPERLINK \l "_Toc27416"</w:instrText>
      </w:r>
      <w:r>
        <w:rPr>
          <w:highlight w:val="none"/>
        </w:rPr>
        <w:fldChar w:fldCharType="separate"/>
      </w:r>
      <w:r>
        <w:rPr>
          <w:rFonts w:hint="eastAsia"/>
          <w:i w:val="0"/>
          <w:iCs w:val="0"/>
          <w:smallCaps/>
          <w:sz w:val="20"/>
          <w:szCs w:val="20"/>
          <w:highlight w:val="none"/>
        </w:rPr>
        <w:t>格式17：相关认证情况</w:t>
      </w:r>
      <w:r>
        <w:rPr>
          <w:i w:val="0"/>
          <w:iCs w:val="0"/>
          <w:smallCaps/>
          <w:sz w:val="20"/>
          <w:szCs w:val="20"/>
          <w:highlight w:val="none"/>
        </w:rPr>
        <w:tab/>
      </w:r>
      <w:r>
        <w:rPr>
          <w:i w:val="0"/>
          <w:iCs w:val="0"/>
          <w:smallCaps/>
          <w:sz w:val="20"/>
          <w:szCs w:val="20"/>
          <w:highlight w:val="none"/>
        </w:rPr>
        <w:fldChar w:fldCharType="begin"/>
      </w:r>
      <w:r>
        <w:rPr>
          <w:i w:val="0"/>
          <w:iCs w:val="0"/>
          <w:smallCaps/>
          <w:sz w:val="20"/>
          <w:szCs w:val="20"/>
          <w:highlight w:val="none"/>
        </w:rPr>
        <w:instrText xml:space="preserve"> PAGEREF _Toc27416 \h </w:instrText>
      </w:r>
      <w:r>
        <w:rPr>
          <w:i w:val="0"/>
          <w:iCs w:val="0"/>
          <w:smallCaps/>
          <w:sz w:val="20"/>
          <w:szCs w:val="20"/>
          <w:highlight w:val="none"/>
        </w:rPr>
        <w:fldChar w:fldCharType="separate"/>
      </w:r>
      <w:r>
        <w:rPr>
          <w:i w:val="0"/>
          <w:iCs w:val="0"/>
          <w:smallCaps/>
          <w:sz w:val="20"/>
          <w:szCs w:val="20"/>
          <w:highlight w:val="none"/>
        </w:rPr>
        <w:t>61</w:t>
      </w:r>
      <w:r>
        <w:rPr>
          <w:i w:val="0"/>
          <w:iCs w:val="0"/>
          <w:smallCaps/>
          <w:sz w:val="20"/>
          <w:szCs w:val="20"/>
          <w:highlight w:val="none"/>
        </w:rPr>
        <w:fldChar w:fldCharType="end"/>
      </w:r>
      <w:r>
        <w:rPr>
          <w:i w:val="0"/>
          <w:iCs w:val="0"/>
          <w:smallCaps/>
          <w:sz w:val="20"/>
          <w:szCs w:val="20"/>
          <w:highlight w:val="none"/>
        </w:rPr>
        <w:fldChar w:fldCharType="end"/>
      </w:r>
    </w:p>
    <w:p>
      <w:pPr>
        <w:pStyle w:val="71"/>
        <w:tabs>
          <w:tab w:val="right" w:leader="dot" w:pos="8788"/>
          <w:tab w:val="clear" w:pos="8789"/>
        </w:tabs>
        <w:spacing w:line="240" w:lineRule="auto"/>
        <w:ind w:left="105"/>
        <w:rPr>
          <w:rFonts w:hint="eastAsia" w:ascii="黑体" w:hAnsi="黑体" w:eastAsia="黑体" w:cs="黑体"/>
          <w:b/>
          <w:bCs/>
          <w:sz w:val="20"/>
          <w:szCs w:val="20"/>
          <w:highlight w:val="none"/>
        </w:rPr>
      </w:pPr>
      <w:r>
        <w:rPr>
          <w:highlight w:val="none"/>
        </w:rPr>
        <w:fldChar w:fldCharType="begin"/>
      </w:r>
      <w:r>
        <w:rPr>
          <w:highlight w:val="none"/>
        </w:rPr>
        <w:instrText xml:space="preserve"> HYPERLINK \l "_Toc25882" </w:instrText>
      </w:r>
      <w:r>
        <w:rPr>
          <w:highlight w:val="none"/>
        </w:rPr>
        <w:fldChar w:fldCharType="separate"/>
      </w:r>
      <w:r>
        <w:rPr>
          <w:rFonts w:hint="eastAsia" w:ascii="黑体" w:hAnsi="黑体" w:eastAsia="黑体" w:cs="黑体"/>
          <w:b/>
          <w:bCs/>
          <w:sz w:val="20"/>
          <w:szCs w:val="20"/>
          <w:highlight w:val="none"/>
        </w:rPr>
        <w:t>招标文件第二册（通用部分）</w:t>
      </w:r>
      <w:r>
        <w:rPr>
          <w:rFonts w:hint="eastAsia" w:ascii="黑体" w:hAnsi="黑体" w:eastAsia="黑体" w:cs="黑体"/>
          <w:b/>
          <w:bCs/>
          <w:sz w:val="20"/>
          <w:szCs w:val="20"/>
          <w:highlight w:val="none"/>
        </w:rPr>
        <w:tab/>
      </w:r>
      <w:r>
        <w:rPr>
          <w:rFonts w:hint="eastAsia" w:ascii="黑体" w:hAnsi="黑体" w:eastAsia="黑体" w:cs="黑体"/>
          <w:b/>
          <w:bCs/>
          <w:sz w:val="20"/>
          <w:szCs w:val="20"/>
          <w:highlight w:val="none"/>
        </w:rPr>
        <w:fldChar w:fldCharType="begin"/>
      </w:r>
      <w:r>
        <w:rPr>
          <w:rFonts w:hint="eastAsia" w:ascii="黑体" w:hAnsi="黑体" w:eastAsia="黑体" w:cs="黑体"/>
          <w:b/>
          <w:bCs/>
          <w:sz w:val="20"/>
          <w:szCs w:val="20"/>
          <w:highlight w:val="none"/>
        </w:rPr>
        <w:instrText xml:space="preserve"> PAGEREF _Toc25882 \h </w:instrText>
      </w:r>
      <w:r>
        <w:rPr>
          <w:rFonts w:hint="eastAsia" w:ascii="黑体" w:hAnsi="黑体" w:eastAsia="黑体" w:cs="黑体"/>
          <w:b/>
          <w:bCs/>
          <w:sz w:val="20"/>
          <w:szCs w:val="20"/>
          <w:highlight w:val="none"/>
        </w:rPr>
        <w:fldChar w:fldCharType="separate"/>
      </w:r>
      <w:r>
        <w:rPr>
          <w:rFonts w:hint="eastAsia" w:ascii="黑体" w:hAnsi="黑体" w:eastAsia="黑体" w:cs="黑体"/>
          <w:b/>
          <w:bCs/>
          <w:sz w:val="20"/>
          <w:szCs w:val="20"/>
          <w:highlight w:val="none"/>
        </w:rPr>
        <w:t>62</w:t>
      </w:r>
      <w:r>
        <w:rPr>
          <w:rFonts w:hint="eastAsia" w:ascii="黑体" w:hAnsi="黑体" w:eastAsia="黑体" w:cs="黑体"/>
          <w:b/>
          <w:bCs/>
          <w:sz w:val="20"/>
          <w:szCs w:val="20"/>
          <w:highlight w:val="none"/>
        </w:rPr>
        <w:fldChar w:fldCharType="end"/>
      </w:r>
      <w:r>
        <w:rPr>
          <w:rFonts w:hint="eastAsia" w:ascii="黑体" w:hAnsi="黑体" w:eastAsia="黑体" w:cs="黑体"/>
          <w:b/>
          <w:bCs/>
          <w:sz w:val="20"/>
          <w:szCs w:val="20"/>
          <w:highlight w:val="none"/>
        </w:rPr>
        <w:fldChar w:fldCharType="end"/>
      </w:r>
    </w:p>
    <w:p>
      <w:pPr>
        <w:pStyle w:val="71"/>
        <w:tabs>
          <w:tab w:val="right" w:leader="dot" w:pos="8788"/>
          <w:tab w:val="clear" w:pos="8789"/>
        </w:tabs>
        <w:spacing w:line="240" w:lineRule="auto"/>
        <w:ind w:left="105"/>
        <w:rPr>
          <w:rFonts w:hint="eastAsia"/>
          <w:b/>
          <w:bCs/>
          <w:sz w:val="20"/>
          <w:szCs w:val="20"/>
          <w:highlight w:val="none"/>
        </w:rPr>
      </w:pPr>
      <w:r>
        <w:rPr>
          <w:highlight w:val="none"/>
        </w:rPr>
        <w:fldChar w:fldCharType="begin"/>
      </w:r>
      <w:r>
        <w:rPr>
          <w:highlight w:val="none"/>
        </w:rPr>
        <w:instrText xml:space="preserve"> HYPERLINK \l "_Toc18466" </w:instrText>
      </w:r>
      <w:r>
        <w:rPr>
          <w:highlight w:val="none"/>
        </w:rPr>
        <w:fldChar w:fldCharType="separate"/>
      </w:r>
      <w:r>
        <w:rPr>
          <w:rFonts w:hint="eastAsia"/>
          <w:b/>
          <w:bCs/>
          <w:sz w:val="20"/>
          <w:szCs w:val="20"/>
          <w:highlight w:val="none"/>
        </w:rPr>
        <w:t>第一章 总则</w:t>
      </w:r>
      <w:r>
        <w:rPr>
          <w:rFonts w:hint="eastAsia"/>
          <w:b/>
          <w:bCs/>
          <w:sz w:val="20"/>
          <w:szCs w:val="20"/>
          <w:highlight w:val="none"/>
        </w:rPr>
        <w:tab/>
      </w:r>
      <w:r>
        <w:rPr>
          <w:rFonts w:hint="eastAsia"/>
          <w:b/>
          <w:bCs/>
          <w:sz w:val="20"/>
          <w:szCs w:val="20"/>
          <w:highlight w:val="none"/>
        </w:rPr>
        <w:fldChar w:fldCharType="begin"/>
      </w:r>
      <w:r>
        <w:rPr>
          <w:rFonts w:hint="eastAsia"/>
          <w:b/>
          <w:bCs/>
          <w:sz w:val="20"/>
          <w:szCs w:val="20"/>
          <w:highlight w:val="none"/>
        </w:rPr>
        <w:instrText xml:space="preserve"> PAGEREF _Toc18466 \h </w:instrText>
      </w:r>
      <w:r>
        <w:rPr>
          <w:rFonts w:hint="eastAsia"/>
          <w:b/>
          <w:bCs/>
          <w:sz w:val="20"/>
          <w:szCs w:val="20"/>
          <w:highlight w:val="none"/>
        </w:rPr>
        <w:fldChar w:fldCharType="separate"/>
      </w:r>
      <w:r>
        <w:rPr>
          <w:rFonts w:hint="eastAsia"/>
          <w:b/>
          <w:bCs/>
          <w:sz w:val="20"/>
          <w:szCs w:val="20"/>
          <w:highlight w:val="none"/>
        </w:rPr>
        <w:t>62</w:t>
      </w:r>
      <w:r>
        <w:rPr>
          <w:rFonts w:hint="eastAsia"/>
          <w:b/>
          <w:bCs/>
          <w:sz w:val="20"/>
          <w:szCs w:val="20"/>
          <w:highlight w:val="none"/>
        </w:rPr>
        <w:fldChar w:fldCharType="end"/>
      </w:r>
      <w:r>
        <w:rPr>
          <w:rFonts w:hint="eastAsia"/>
          <w:b/>
          <w:bCs/>
          <w:sz w:val="20"/>
          <w:szCs w:val="20"/>
          <w:highlight w:val="none"/>
        </w:rPr>
        <w:fldChar w:fldCharType="end"/>
      </w:r>
    </w:p>
    <w:p>
      <w:pPr>
        <w:pStyle w:val="71"/>
        <w:tabs>
          <w:tab w:val="right" w:leader="dot" w:pos="8788"/>
          <w:tab w:val="clear" w:pos="8789"/>
        </w:tabs>
        <w:spacing w:line="240" w:lineRule="auto"/>
        <w:ind w:left="105"/>
        <w:rPr>
          <w:rFonts w:hint="eastAsia"/>
          <w:b/>
          <w:bCs/>
          <w:sz w:val="20"/>
          <w:szCs w:val="20"/>
          <w:highlight w:val="none"/>
        </w:rPr>
      </w:pPr>
      <w:r>
        <w:rPr>
          <w:highlight w:val="none"/>
        </w:rPr>
        <w:fldChar w:fldCharType="begin"/>
      </w:r>
      <w:r>
        <w:rPr>
          <w:highlight w:val="none"/>
        </w:rPr>
        <w:instrText xml:space="preserve"> HYPERLINK \l "_Toc10191" </w:instrText>
      </w:r>
      <w:r>
        <w:rPr>
          <w:highlight w:val="none"/>
        </w:rPr>
        <w:fldChar w:fldCharType="separate"/>
      </w:r>
      <w:r>
        <w:rPr>
          <w:rFonts w:hint="eastAsia"/>
          <w:b/>
          <w:bCs/>
          <w:sz w:val="20"/>
          <w:szCs w:val="20"/>
          <w:highlight w:val="none"/>
        </w:rPr>
        <w:t>第二章 招标文件</w:t>
      </w:r>
      <w:r>
        <w:rPr>
          <w:rFonts w:hint="eastAsia"/>
          <w:b/>
          <w:bCs/>
          <w:sz w:val="20"/>
          <w:szCs w:val="20"/>
          <w:highlight w:val="none"/>
        </w:rPr>
        <w:tab/>
      </w:r>
      <w:r>
        <w:rPr>
          <w:rFonts w:hint="eastAsia"/>
          <w:b/>
          <w:bCs/>
          <w:sz w:val="20"/>
          <w:szCs w:val="20"/>
          <w:highlight w:val="none"/>
        </w:rPr>
        <w:fldChar w:fldCharType="begin"/>
      </w:r>
      <w:r>
        <w:rPr>
          <w:rFonts w:hint="eastAsia"/>
          <w:b/>
          <w:bCs/>
          <w:sz w:val="20"/>
          <w:szCs w:val="20"/>
          <w:highlight w:val="none"/>
        </w:rPr>
        <w:instrText xml:space="preserve"> PAGEREF _Toc10191 \h </w:instrText>
      </w:r>
      <w:r>
        <w:rPr>
          <w:rFonts w:hint="eastAsia"/>
          <w:b/>
          <w:bCs/>
          <w:sz w:val="20"/>
          <w:szCs w:val="20"/>
          <w:highlight w:val="none"/>
        </w:rPr>
        <w:fldChar w:fldCharType="separate"/>
      </w:r>
      <w:r>
        <w:rPr>
          <w:rFonts w:hint="eastAsia"/>
          <w:b/>
          <w:bCs/>
          <w:sz w:val="20"/>
          <w:szCs w:val="20"/>
          <w:highlight w:val="none"/>
        </w:rPr>
        <w:t>64</w:t>
      </w:r>
      <w:r>
        <w:rPr>
          <w:rFonts w:hint="eastAsia"/>
          <w:b/>
          <w:bCs/>
          <w:sz w:val="20"/>
          <w:szCs w:val="20"/>
          <w:highlight w:val="none"/>
        </w:rPr>
        <w:fldChar w:fldCharType="end"/>
      </w:r>
      <w:r>
        <w:rPr>
          <w:rFonts w:hint="eastAsia"/>
          <w:b/>
          <w:bCs/>
          <w:sz w:val="20"/>
          <w:szCs w:val="20"/>
          <w:highlight w:val="none"/>
        </w:rPr>
        <w:fldChar w:fldCharType="end"/>
      </w:r>
    </w:p>
    <w:p>
      <w:pPr>
        <w:pStyle w:val="71"/>
        <w:tabs>
          <w:tab w:val="right" w:leader="dot" w:pos="8788"/>
          <w:tab w:val="clear" w:pos="8789"/>
        </w:tabs>
        <w:spacing w:line="240" w:lineRule="auto"/>
        <w:ind w:left="105"/>
        <w:rPr>
          <w:rFonts w:hint="eastAsia"/>
          <w:b/>
          <w:bCs/>
          <w:sz w:val="20"/>
          <w:szCs w:val="20"/>
          <w:highlight w:val="none"/>
        </w:rPr>
      </w:pPr>
      <w:r>
        <w:rPr>
          <w:highlight w:val="none"/>
        </w:rPr>
        <w:fldChar w:fldCharType="begin"/>
      </w:r>
      <w:r>
        <w:rPr>
          <w:highlight w:val="none"/>
        </w:rPr>
        <w:instrText xml:space="preserve"> HYPERLINK \l "_Toc15015" </w:instrText>
      </w:r>
      <w:r>
        <w:rPr>
          <w:highlight w:val="none"/>
        </w:rPr>
        <w:fldChar w:fldCharType="separate"/>
      </w:r>
      <w:r>
        <w:rPr>
          <w:rFonts w:hint="eastAsia"/>
          <w:b/>
          <w:bCs/>
          <w:sz w:val="20"/>
          <w:szCs w:val="20"/>
          <w:highlight w:val="none"/>
        </w:rPr>
        <w:t>第三章 投标文件的编制与递交</w:t>
      </w:r>
      <w:r>
        <w:rPr>
          <w:rFonts w:hint="eastAsia"/>
          <w:b/>
          <w:bCs/>
          <w:sz w:val="20"/>
          <w:szCs w:val="20"/>
          <w:highlight w:val="none"/>
        </w:rPr>
        <w:tab/>
      </w:r>
      <w:r>
        <w:rPr>
          <w:rFonts w:hint="eastAsia"/>
          <w:b/>
          <w:bCs/>
          <w:sz w:val="20"/>
          <w:szCs w:val="20"/>
          <w:highlight w:val="none"/>
        </w:rPr>
        <w:fldChar w:fldCharType="begin"/>
      </w:r>
      <w:r>
        <w:rPr>
          <w:rFonts w:hint="eastAsia"/>
          <w:b/>
          <w:bCs/>
          <w:sz w:val="20"/>
          <w:szCs w:val="20"/>
          <w:highlight w:val="none"/>
        </w:rPr>
        <w:instrText xml:space="preserve"> PAGEREF _Toc15015 \h </w:instrText>
      </w:r>
      <w:r>
        <w:rPr>
          <w:rFonts w:hint="eastAsia"/>
          <w:b/>
          <w:bCs/>
          <w:sz w:val="20"/>
          <w:szCs w:val="20"/>
          <w:highlight w:val="none"/>
        </w:rPr>
        <w:fldChar w:fldCharType="separate"/>
      </w:r>
      <w:r>
        <w:rPr>
          <w:rFonts w:hint="eastAsia"/>
          <w:b/>
          <w:bCs/>
          <w:sz w:val="20"/>
          <w:szCs w:val="20"/>
          <w:highlight w:val="none"/>
        </w:rPr>
        <w:t>66</w:t>
      </w:r>
      <w:r>
        <w:rPr>
          <w:rFonts w:hint="eastAsia"/>
          <w:b/>
          <w:bCs/>
          <w:sz w:val="20"/>
          <w:szCs w:val="20"/>
          <w:highlight w:val="none"/>
        </w:rPr>
        <w:fldChar w:fldCharType="end"/>
      </w:r>
      <w:r>
        <w:rPr>
          <w:rFonts w:hint="eastAsia"/>
          <w:b/>
          <w:bCs/>
          <w:sz w:val="20"/>
          <w:szCs w:val="20"/>
          <w:highlight w:val="none"/>
        </w:rPr>
        <w:fldChar w:fldCharType="end"/>
      </w:r>
    </w:p>
    <w:p>
      <w:pPr>
        <w:pStyle w:val="71"/>
        <w:tabs>
          <w:tab w:val="right" w:leader="dot" w:pos="8788"/>
          <w:tab w:val="clear" w:pos="8789"/>
        </w:tabs>
        <w:spacing w:line="240" w:lineRule="auto"/>
        <w:ind w:left="105"/>
        <w:rPr>
          <w:rFonts w:hint="eastAsia"/>
          <w:b/>
          <w:bCs/>
          <w:sz w:val="20"/>
          <w:szCs w:val="20"/>
          <w:highlight w:val="none"/>
        </w:rPr>
      </w:pPr>
      <w:r>
        <w:rPr>
          <w:highlight w:val="none"/>
        </w:rPr>
        <w:fldChar w:fldCharType="begin"/>
      </w:r>
      <w:r>
        <w:rPr>
          <w:highlight w:val="none"/>
        </w:rPr>
        <w:instrText xml:space="preserve"> HYPERLINK \l "_Toc18415" </w:instrText>
      </w:r>
      <w:r>
        <w:rPr>
          <w:highlight w:val="none"/>
        </w:rPr>
        <w:fldChar w:fldCharType="separate"/>
      </w:r>
      <w:r>
        <w:rPr>
          <w:rFonts w:hint="eastAsia"/>
          <w:b/>
          <w:bCs/>
          <w:sz w:val="20"/>
          <w:szCs w:val="20"/>
          <w:highlight w:val="none"/>
        </w:rPr>
        <w:t>第四章 开标</w:t>
      </w:r>
      <w:r>
        <w:rPr>
          <w:rFonts w:hint="eastAsia"/>
          <w:b/>
          <w:bCs/>
          <w:sz w:val="20"/>
          <w:szCs w:val="20"/>
          <w:highlight w:val="none"/>
        </w:rPr>
        <w:tab/>
      </w:r>
      <w:r>
        <w:rPr>
          <w:rFonts w:hint="eastAsia"/>
          <w:b/>
          <w:bCs/>
          <w:sz w:val="20"/>
          <w:szCs w:val="20"/>
          <w:highlight w:val="none"/>
        </w:rPr>
        <w:fldChar w:fldCharType="begin"/>
      </w:r>
      <w:r>
        <w:rPr>
          <w:rFonts w:hint="eastAsia"/>
          <w:b/>
          <w:bCs/>
          <w:sz w:val="20"/>
          <w:szCs w:val="20"/>
          <w:highlight w:val="none"/>
        </w:rPr>
        <w:instrText xml:space="preserve"> PAGEREF _Toc18415 \h </w:instrText>
      </w:r>
      <w:r>
        <w:rPr>
          <w:rFonts w:hint="eastAsia"/>
          <w:b/>
          <w:bCs/>
          <w:sz w:val="20"/>
          <w:szCs w:val="20"/>
          <w:highlight w:val="none"/>
        </w:rPr>
        <w:fldChar w:fldCharType="separate"/>
      </w:r>
      <w:r>
        <w:rPr>
          <w:rFonts w:hint="eastAsia"/>
          <w:b/>
          <w:bCs/>
          <w:sz w:val="20"/>
          <w:szCs w:val="20"/>
          <w:highlight w:val="none"/>
        </w:rPr>
        <w:t>70</w:t>
      </w:r>
      <w:r>
        <w:rPr>
          <w:rFonts w:hint="eastAsia"/>
          <w:b/>
          <w:bCs/>
          <w:sz w:val="20"/>
          <w:szCs w:val="20"/>
          <w:highlight w:val="none"/>
        </w:rPr>
        <w:fldChar w:fldCharType="end"/>
      </w:r>
      <w:r>
        <w:rPr>
          <w:rFonts w:hint="eastAsia"/>
          <w:b/>
          <w:bCs/>
          <w:sz w:val="20"/>
          <w:szCs w:val="20"/>
          <w:highlight w:val="none"/>
        </w:rPr>
        <w:fldChar w:fldCharType="end"/>
      </w:r>
    </w:p>
    <w:p>
      <w:pPr>
        <w:pStyle w:val="71"/>
        <w:tabs>
          <w:tab w:val="right" w:leader="dot" w:pos="8788"/>
          <w:tab w:val="clear" w:pos="8789"/>
        </w:tabs>
        <w:spacing w:line="240" w:lineRule="auto"/>
        <w:ind w:left="105"/>
        <w:rPr>
          <w:rFonts w:hint="eastAsia"/>
          <w:b/>
          <w:bCs/>
          <w:sz w:val="20"/>
          <w:szCs w:val="20"/>
          <w:highlight w:val="none"/>
        </w:rPr>
      </w:pPr>
      <w:r>
        <w:rPr>
          <w:highlight w:val="none"/>
        </w:rPr>
        <w:fldChar w:fldCharType="begin"/>
      </w:r>
      <w:r>
        <w:rPr>
          <w:highlight w:val="none"/>
        </w:rPr>
        <w:instrText xml:space="preserve"> HYPERLINK \l "_Toc31833" </w:instrText>
      </w:r>
      <w:r>
        <w:rPr>
          <w:highlight w:val="none"/>
        </w:rPr>
        <w:fldChar w:fldCharType="separate"/>
      </w:r>
      <w:r>
        <w:rPr>
          <w:rFonts w:hint="eastAsia"/>
          <w:b/>
          <w:bCs/>
          <w:sz w:val="20"/>
          <w:szCs w:val="20"/>
          <w:highlight w:val="none"/>
        </w:rPr>
        <w:t>第五章 评标要求</w:t>
      </w:r>
      <w:r>
        <w:rPr>
          <w:rFonts w:hint="eastAsia"/>
          <w:b/>
          <w:bCs/>
          <w:sz w:val="20"/>
          <w:szCs w:val="20"/>
          <w:highlight w:val="none"/>
        </w:rPr>
        <w:tab/>
      </w:r>
      <w:r>
        <w:rPr>
          <w:rFonts w:hint="eastAsia"/>
          <w:b/>
          <w:bCs/>
          <w:sz w:val="20"/>
          <w:szCs w:val="20"/>
          <w:highlight w:val="none"/>
        </w:rPr>
        <w:fldChar w:fldCharType="begin"/>
      </w:r>
      <w:r>
        <w:rPr>
          <w:rFonts w:hint="eastAsia"/>
          <w:b/>
          <w:bCs/>
          <w:sz w:val="20"/>
          <w:szCs w:val="20"/>
          <w:highlight w:val="none"/>
        </w:rPr>
        <w:instrText xml:space="preserve"> PAGEREF _Toc31833 \h </w:instrText>
      </w:r>
      <w:r>
        <w:rPr>
          <w:rFonts w:hint="eastAsia"/>
          <w:b/>
          <w:bCs/>
          <w:sz w:val="20"/>
          <w:szCs w:val="20"/>
          <w:highlight w:val="none"/>
        </w:rPr>
        <w:fldChar w:fldCharType="separate"/>
      </w:r>
      <w:r>
        <w:rPr>
          <w:rFonts w:hint="eastAsia"/>
          <w:b/>
          <w:bCs/>
          <w:sz w:val="20"/>
          <w:szCs w:val="20"/>
          <w:highlight w:val="none"/>
        </w:rPr>
        <w:t>71</w:t>
      </w:r>
      <w:r>
        <w:rPr>
          <w:rFonts w:hint="eastAsia"/>
          <w:b/>
          <w:bCs/>
          <w:sz w:val="20"/>
          <w:szCs w:val="20"/>
          <w:highlight w:val="none"/>
        </w:rPr>
        <w:fldChar w:fldCharType="end"/>
      </w:r>
      <w:r>
        <w:rPr>
          <w:rFonts w:hint="eastAsia"/>
          <w:b/>
          <w:bCs/>
          <w:sz w:val="20"/>
          <w:szCs w:val="20"/>
          <w:highlight w:val="none"/>
        </w:rPr>
        <w:fldChar w:fldCharType="end"/>
      </w:r>
    </w:p>
    <w:p>
      <w:pPr>
        <w:pStyle w:val="71"/>
        <w:tabs>
          <w:tab w:val="right" w:leader="dot" w:pos="8788"/>
          <w:tab w:val="clear" w:pos="8789"/>
        </w:tabs>
        <w:spacing w:line="240" w:lineRule="auto"/>
        <w:ind w:left="105"/>
        <w:rPr>
          <w:rFonts w:hint="eastAsia"/>
          <w:b/>
          <w:bCs/>
          <w:sz w:val="20"/>
          <w:szCs w:val="20"/>
          <w:highlight w:val="none"/>
        </w:rPr>
      </w:pPr>
      <w:r>
        <w:rPr>
          <w:highlight w:val="none"/>
        </w:rPr>
        <w:fldChar w:fldCharType="begin"/>
      </w:r>
      <w:r>
        <w:rPr>
          <w:highlight w:val="none"/>
        </w:rPr>
        <w:instrText xml:space="preserve"> HYPERLINK \l "_Toc329" </w:instrText>
      </w:r>
      <w:r>
        <w:rPr>
          <w:highlight w:val="none"/>
        </w:rPr>
        <w:fldChar w:fldCharType="separate"/>
      </w:r>
      <w:r>
        <w:rPr>
          <w:rFonts w:hint="eastAsia"/>
          <w:b/>
          <w:bCs/>
          <w:sz w:val="20"/>
          <w:szCs w:val="20"/>
          <w:highlight w:val="none"/>
        </w:rPr>
        <w:t>第六章 评标程序及评标方法</w:t>
      </w:r>
      <w:r>
        <w:rPr>
          <w:rFonts w:hint="eastAsia"/>
          <w:b/>
          <w:bCs/>
          <w:sz w:val="20"/>
          <w:szCs w:val="20"/>
          <w:highlight w:val="none"/>
        </w:rPr>
        <w:tab/>
      </w:r>
      <w:r>
        <w:rPr>
          <w:rFonts w:hint="eastAsia"/>
          <w:b/>
          <w:bCs/>
          <w:sz w:val="20"/>
          <w:szCs w:val="20"/>
          <w:highlight w:val="none"/>
        </w:rPr>
        <w:fldChar w:fldCharType="begin"/>
      </w:r>
      <w:r>
        <w:rPr>
          <w:rFonts w:hint="eastAsia"/>
          <w:b/>
          <w:bCs/>
          <w:sz w:val="20"/>
          <w:szCs w:val="20"/>
          <w:highlight w:val="none"/>
        </w:rPr>
        <w:instrText xml:space="preserve"> PAGEREF _Toc329 \h </w:instrText>
      </w:r>
      <w:r>
        <w:rPr>
          <w:rFonts w:hint="eastAsia"/>
          <w:b/>
          <w:bCs/>
          <w:sz w:val="20"/>
          <w:szCs w:val="20"/>
          <w:highlight w:val="none"/>
        </w:rPr>
        <w:fldChar w:fldCharType="separate"/>
      </w:r>
      <w:r>
        <w:rPr>
          <w:rFonts w:hint="eastAsia"/>
          <w:b/>
          <w:bCs/>
          <w:sz w:val="20"/>
          <w:szCs w:val="20"/>
          <w:highlight w:val="none"/>
        </w:rPr>
        <w:t>72</w:t>
      </w:r>
      <w:r>
        <w:rPr>
          <w:rFonts w:hint="eastAsia"/>
          <w:b/>
          <w:bCs/>
          <w:sz w:val="20"/>
          <w:szCs w:val="20"/>
          <w:highlight w:val="none"/>
        </w:rPr>
        <w:fldChar w:fldCharType="end"/>
      </w:r>
      <w:r>
        <w:rPr>
          <w:rFonts w:hint="eastAsia"/>
          <w:b/>
          <w:bCs/>
          <w:sz w:val="20"/>
          <w:szCs w:val="20"/>
          <w:highlight w:val="none"/>
        </w:rPr>
        <w:fldChar w:fldCharType="end"/>
      </w:r>
    </w:p>
    <w:p>
      <w:pPr>
        <w:pStyle w:val="71"/>
        <w:tabs>
          <w:tab w:val="right" w:leader="dot" w:pos="8788"/>
          <w:tab w:val="clear" w:pos="8789"/>
        </w:tabs>
        <w:spacing w:line="240" w:lineRule="auto"/>
        <w:ind w:left="105"/>
        <w:rPr>
          <w:rFonts w:hint="eastAsia"/>
          <w:b/>
          <w:bCs/>
          <w:sz w:val="20"/>
          <w:szCs w:val="20"/>
          <w:highlight w:val="none"/>
        </w:rPr>
      </w:pPr>
      <w:r>
        <w:rPr>
          <w:highlight w:val="none"/>
        </w:rPr>
        <w:fldChar w:fldCharType="begin"/>
      </w:r>
      <w:r>
        <w:rPr>
          <w:highlight w:val="none"/>
        </w:rPr>
        <w:instrText xml:space="preserve"> HYPERLINK \l "_Toc10018" </w:instrText>
      </w:r>
      <w:r>
        <w:rPr>
          <w:highlight w:val="none"/>
        </w:rPr>
        <w:fldChar w:fldCharType="separate"/>
      </w:r>
      <w:r>
        <w:rPr>
          <w:rFonts w:hint="eastAsia"/>
          <w:b/>
          <w:bCs/>
          <w:sz w:val="20"/>
          <w:szCs w:val="20"/>
          <w:highlight w:val="none"/>
        </w:rPr>
        <w:t>第七章 定标及公示</w:t>
      </w:r>
      <w:r>
        <w:rPr>
          <w:rFonts w:hint="eastAsia"/>
          <w:b/>
          <w:bCs/>
          <w:sz w:val="20"/>
          <w:szCs w:val="20"/>
          <w:highlight w:val="none"/>
        </w:rPr>
        <w:tab/>
      </w:r>
      <w:r>
        <w:rPr>
          <w:rFonts w:hint="eastAsia"/>
          <w:b/>
          <w:bCs/>
          <w:sz w:val="20"/>
          <w:szCs w:val="20"/>
          <w:highlight w:val="none"/>
        </w:rPr>
        <w:fldChar w:fldCharType="begin"/>
      </w:r>
      <w:r>
        <w:rPr>
          <w:rFonts w:hint="eastAsia"/>
          <w:b/>
          <w:bCs/>
          <w:sz w:val="20"/>
          <w:szCs w:val="20"/>
          <w:highlight w:val="none"/>
        </w:rPr>
        <w:instrText xml:space="preserve"> PAGEREF _Toc10018 \h </w:instrText>
      </w:r>
      <w:r>
        <w:rPr>
          <w:rFonts w:hint="eastAsia"/>
          <w:b/>
          <w:bCs/>
          <w:sz w:val="20"/>
          <w:szCs w:val="20"/>
          <w:highlight w:val="none"/>
        </w:rPr>
        <w:fldChar w:fldCharType="separate"/>
      </w:r>
      <w:r>
        <w:rPr>
          <w:rFonts w:hint="eastAsia"/>
          <w:b/>
          <w:bCs/>
          <w:sz w:val="20"/>
          <w:szCs w:val="20"/>
          <w:highlight w:val="none"/>
        </w:rPr>
        <w:t>75</w:t>
      </w:r>
      <w:r>
        <w:rPr>
          <w:rFonts w:hint="eastAsia"/>
          <w:b/>
          <w:bCs/>
          <w:sz w:val="20"/>
          <w:szCs w:val="20"/>
          <w:highlight w:val="none"/>
        </w:rPr>
        <w:fldChar w:fldCharType="end"/>
      </w:r>
      <w:r>
        <w:rPr>
          <w:rFonts w:hint="eastAsia"/>
          <w:b/>
          <w:bCs/>
          <w:sz w:val="20"/>
          <w:szCs w:val="20"/>
          <w:highlight w:val="none"/>
        </w:rPr>
        <w:fldChar w:fldCharType="end"/>
      </w:r>
    </w:p>
    <w:p>
      <w:pPr>
        <w:pStyle w:val="71"/>
        <w:tabs>
          <w:tab w:val="right" w:leader="dot" w:pos="8788"/>
          <w:tab w:val="clear" w:pos="8789"/>
        </w:tabs>
        <w:spacing w:line="240" w:lineRule="auto"/>
        <w:ind w:left="105"/>
        <w:rPr>
          <w:rFonts w:hint="eastAsia"/>
          <w:b/>
          <w:bCs/>
          <w:sz w:val="20"/>
          <w:szCs w:val="20"/>
          <w:highlight w:val="none"/>
        </w:rPr>
      </w:pPr>
      <w:r>
        <w:rPr>
          <w:highlight w:val="none"/>
        </w:rPr>
        <w:fldChar w:fldCharType="begin"/>
      </w:r>
      <w:r>
        <w:rPr>
          <w:highlight w:val="none"/>
        </w:rPr>
        <w:instrText xml:space="preserve"> HYPERLINK \l "_Toc1549" </w:instrText>
      </w:r>
      <w:r>
        <w:rPr>
          <w:highlight w:val="none"/>
        </w:rPr>
        <w:fldChar w:fldCharType="separate"/>
      </w:r>
      <w:r>
        <w:rPr>
          <w:rFonts w:hint="eastAsia"/>
          <w:b/>
          <w:bCs/>
          <w:sz w:val="20"/>
          <w:szCs w:val="20"/>
          <w:highlight w:val="none"/>
        </w:rPr>
        <w:t>第八章 公开招标失败的后续处理</w:t>
      </w:r>
      <w:r>
        <w:rPr>
          <w:rFonts w:hint="eastAsia"/>
          <w:b/>
          <w:bCs/>
          <w:sz w:val="20"/>
          <w:szCs w:val="20"/>
          <w:highlight w:val="none"/>
        </w:rPr>
        <w:tab/>
      </w:r>
      <w:r>
        <w:rPr>
          <w:rFonts w:hint="eastAsia"/>
          <w:b/>
          <w:bCs/>
          <w:sz w:val="20"/>
          <w:szCs w:val="20"/>
          <w:highlight w:val="none"/>
        </w:rPr>
        <w:fldChar w:fldCharType="begin"/>
      </w:r>
      <w:r>
        <w:rPr>
          <w:rFonts w:hint="eastAsia"/>
          <w:b/>
          <w:bCs/>
          <w:sz w:val="20"/>
          <w:szCs w:val="20"/>
          <w:highlight w:val="none"/>
        </w:rPr>
        <w:instrText xml:space="preserve"> PAGEREF _Toc1549 \h </w:instrText>
      </w:r>
      <w:r>
        <w:rPr>
          <w:rFonts w:hint="eastAsia"/>
          <w:b/>
          <w:bCs/>
          <w:sz w:val="20"/>
          <w:szCs w:val="20"/>
          <w:highlight w:val="none"/>
        </w:rPr>
        <w:fldChar w:fldCharType="separate"/>
      </w:r>
      <w:r>
        <w:rPr>
          <w:rFonts w:hint="eastAsia"/>
          <w:b/>
          <w:bCs/>
          <w:sz w:val="20"/>
          <w:szCs w:val="20"/>
          <w:highlight w:val="none"/>
        </w:rPr>
        <w:t>76</w:t>
      </w:r>
      <w:r>
        <w:rPr>
          <w:rFonts w:hint="eastAsia"/>
          <w:b/>
          <w:bCs/>
          <w:sz w:val="20"/>
          <w:szCs w:val="20"/>
          <w:highlight w:val="none"/>
        </w:rPr>
        <w:fldChar w:fldCharType="end"/>
      </w:r>
      <w:r>
        <w:rPr>
          <w:rFonts w:hint="eastAsia"/>
          <w:b/>
          <w:bCs/>
          <w:sz w:val="20"/>
          <w:szCs w:val="20"/>
          <w:highlight w:val="none"/>
        </w:rPr>
        <w:fldChar w:fldCharType="end"/>
      </w:r>
    </w:p>
    <w:p>
      <w:pPr>
        <w:pStyle w:val="71"/>
        <w:tabs>
          <w:tab w:val="right" w:leader="dot" w:pos="8788"/>
          <w:tab w:val="clear" w:pos="8789"/>
        </w:tabs>
        <w:spacing w:line="240" w:lineRule="auto"/>
        <w:ind w:left="105"/>
        <w:rPr>
          <w:rFonts w:hint="eastAsia"/>
          <w:b/>
          <w:bCs/>
          <w:sz w:val="20"/>
          <w:szCs w:val="20"/>
          <w:highlight w:val="none"/>
        </w:rPr>
      </w:pPr>
      <w:r>
        <w:rPr>
          <w:highlight w:val="none"/>
        </w:rPr>
        <w:fldChar w:fldCharType="begin"/>
      </w:r>
      <w:r>
        <w:rPr>
          <w:highlight w:val="none"/>
        </w:rPr>
        <w:instrText xml:space="preserve"> HYPERLINK \l "_Toc27804" </w:instrText>
      </w:r>
      <w:r>
        <w:rPr>
          <w:highlight w:val="none"/>
        </w:rPr>
        <w:fldChar w:fldCharType="separate"/>
      </w:r>
      <w:r>
        <w:rPr>
          <w:rFonts w:hint="eastAsia"/>
          <w:b/>
          <w:bCs/>
          <w:sz w:val="20"/>
          <w:szCs w:val="20"/>
          <w:highlight w:val="none"/>
        </w:rPr>
        <w:t>第九章 合同的授予与备案</w:t>
      </w:r>
      <w:r>
        <w:rPr>
          <w:rFonts w:hint="eastAsia"/>
          <w:b/>
          <w:bCs/>
          <w:sz w:val="20"/>
          <w:szCs w:val="20"/>
          <w:highlight w:val="none"/>
        </w:rPr>
        <w:tab/>
      </w:r>
      <w:r>
        <w:rPr>
          <w:rFonts w:hint="eastAsia"/>
          <w:b/>
          <w:bCs/>
          <w:sz w:val="20"/>
          <w:szCs w:val="20"/>
          <w:highlight w:val="none"/>
        </w:rPr>
        <w:fldChar w:fldCharType="begin"/>
      </w:r>
      <w:r>
        <w:rPr>
          <w:rFonts w:hint="eastAsia"/>
          <w:b/>
          <w:bCs/>
          <w:sz w:val="20"/>
          <w:szCs w:val="20"/>
          <w:highlight w:val="none"/>
        </w:rPr>
        <w:instrText xml:space="preserve"> PAGEREF _Toc27804 \h </w:instrText>
      </w:r>
      <w:r>
        <w:rPr>
          <w:rFonts w:hint="eastAsia"/>
          <w:b/>
          <w:bCs/>
          <w:sz w:val="20"/>
          <w:szCs w:val="20"/>
          <w:highlight w:val="none"/>
        </w:rPr>
        <w:fldChar w:fldCharType="separate"/>
      </w:r>
      <w:r>
        <w:rPr>
          <w:rFonts w:hint="eastAsia"/>
          <w:b/>
          <w:bCs/>
          <w:sz w:val="20"/>
          <w:szCs w:val="20"/>
          <w:highlight w:val="none"/>
        </w:rPr>
        <w:t>79</w:t>
      </w:r>
      <w:r>
        <w:rPr>
          <w:rFonts w:hint="eastAsia"/>
          <w:b/>
          <w:bCs/>
          <w:sz w:val="20"/>
          <w:szCs w:val="20"/>
          <w:highlight w:val="none"/>
        </w:rPr>
        <w:fldChar w:fldCharType="end"/>
      </w:r>
      <w:r>
        <w:rPr>
          <w:rFonts w:hint="eastAsia"/>
          <w:b/>
          <w:bCs/>
          <w:sz w:val="20"/>
          <w:szCs w:val="20"/>
          <w:highlight w:val="none"/>
        </w:rPr>
        <w:fldChar w:fldCharType="end"/>
      </w:r>
    </w:p>
    <w:p>
      <w:pPr>
        <w:pStyle w:val="71"/>
        <w:tabs>
          <w:tab w:val="right" w:leader="dot" w:pos="8788"/>
          <w:tab w:val="clear" w:pos="8789"/>
        </w:tabs>
        <w:spacing w:line="240" w:lineRule="auto"/>
        <w:ind w:left="105"/>
        <w:rPr>
          <w:rFonts w:hint="eastAsia"/>
          <w:b/>
          <w:bCs/>
          <w:sz w:val="20"/>
          <w:szCs w:val="20"/>
          <w:highlight w:val="none"/>
        </w:rPr>
      </w:pPr>
      <w:r>
        <w:rPr>
          <w:highlight w:val="none"/>
        </w:rPr>
        <w:fldChar w:fldCharType="begin"/>
      </w:r>
      <w:r>
        <w:rPr>
          <w:highlight w:val="none"/>
        </w:rPr>
        <w:instrText xml:space="preserve"> HYPERLINK \l "_Toc4334" </w:instrText>
      </w:r>
      <w:r>
        <w:rPr>
          <w:highlight w:val="none"/>
        </w:rPr>
        <w:fldChar w:fldCharType="separate"/>
      </w:r>
      <w:r>
        <w:rPr>
          <w:rFonts w:hint="eastAsia"/>
          <w:b/>
          <w:bCs/>
          <w:sz w:val="20"/>
          <w:szCs w:val="20"/>
          <w:highlight w:val="none"/>
        </w:rPr>
        <w:t>第十章 质疑受理</w:t>
      </w:r>
      <w:r>
        <w:rPr>
          <w:rFonts w:hint="eastAsia"/>
          <w:b/>
          <w:bCs/>
          <w:sz w:val="20"/>
          <w:szCs w:val="20"/>
          <w:highlight w:val="none"/>
        </w:rPr>
        <w:tab/>
      </w:r>
      <w:r>
        <w:rPr>
          <w:rFonts w:hint="eastAsia"/>
          <w:b/>
          <w:bCs/>
          <w:sz w:val="20"/>
          <w:szCs w:val="20"/>
          <w:highlight w:val="none"/>
        </w:rPr>
        <w:fldChar w:fldCharType="begin"/>
      </w:r>
      <w:r>
        <w:rPr>
          <w:rFonts w:hint="eastAsia"/>
          <w:b/>
          <w:bCs/>
          <w:sz w:val="20"/>
          <w:szCs w:val="20"/>
          <w:highlight w:val="none"/>
        </w:rPr>
        <w:instrText xml:space="preserve"> PAGEREF _Toc4334 \h </w:instrText>
      </w:r>
      <w:r>
        <w:rPr>
          <w:rFonts w:hint="eastAsia"/>
          <w:b/>
          <w:bCs/>
          <w:sz w:val="20"/>
          <w:szCs w:val="20"/>
          <w:highlight w:val="none"/>
        </w:rPr>
        <w:fldChar w:fldCharType="separate"/>
      </w:r>
      <w:r>
        <w:rPr>
          <w:rFonts w:hint="eastAsia"/>
          <w:b/>
          <w:bCs/>
          <w:sz w:val="20"/>
          <w:szCs w:val="20"/>
          <w:highlight w:val="none"/>
        </w:rPr>
        <w:t>79</w:t>
      </w:r>
      <w:r>
        <w:rPr>
          <w:rFonts w:hint="eastAsia"/>
          <w:b/>
          <w:bCs/>
          <w:sz w:val="20"/>
          <w:szCs w:val="20"/>
          <w:highlight w:val="none"/>
        </w:rPr>
        <w:fldChar w:fldCharType="end"/>
      </w:r>
      <w:r>
        <w:rPr>
          <w:rFonts w:hint="eastAsia"/>
          <w:b/>
          <w:bCs/>
          <w:sz w:val="20"/>
          <w:szCs w:val="20"/>
          <w:highlight w:val="none"/>
        </w:rPr>
        <w:fldChar w:fldCharType="end"/>
      </w:r>
    </w:p>
    <w:p>
      <w:pPr>
        <w:pStyle w:val="71"/>
        <w:tabs>
          <w:tab w:val="right" w:leader="dot" w:pos="8788"/>
          <w:tab w:val="clear" w:pos="8789"/>
        </w:tabs>
        <w:spacing w:line="240" w:lineRule="auto"/>
        <w:ind w:left="105"/>
        <w:rPr>
          <w:rFonts w:hint="eastAsia"/>
          <w:b/>
          <w:bCs/>
          <w:sz w:val="20"/>
          <w:szCs w:val="20"/>
          <w:highlight w:val="none"/>
        </w:rPr>
      </w:pPr>
      <w:r>
        <w:rPr>
          <w:highlight w:val="none"/>
        </w:rPr>
        <w:fldChar w:fldCharType="begin"/>
      </w:r>
      <w:r>
        <w:rPr>
          <w:highlight w:val="none"/>
        </w:rPr>
        <w:instrText xml:space="preserve"> HYPERLINK \l "_Toc13862" </w:instrText>
      </w:r>
      <w:r>
        <w:rPr>
          <w:highlight w:val="none"/>
        </w:rPr>
        <w:fldChar w:fldCharType="separate"/>
      </w:r>
      <w:r>
        <w:rPr>
          <w:rFonts w:hint="eastAsia"/>
          <w:b/>
          <w:bCs/>
          <w:sz w:val="20"/>
          <w:szCs w:val="20"/>
          <w:highlight w:val="none"/>
        </w:rPr>
        <w:t>招标代理服务取费说明</w:t>
      </w:r>
      <w:r>
        <w:rPr>
          <w:rFonts w:hint="eastAsia"/>
          <w:b/>
          <w:bCs/>
          <w:sz w:val="20"/>
          <w:szCs w:val="20"/>
          <w:highlight w:val="none"/>
        </w:rPr>
        <w:tab/>
      </w:r>
      <w:r>
        <w:rPr>
          <w:rFonts w:hint="eastAsia"/>
          <w:b/>
          <w:bCs/>
          <w:sz w:val="20"/>
          <w:szCs w:val="20"/>
          <w:highlight w:val="none"/>
        </w:rPr>
        <w:fldChar w:fldCharType="begin"/>
      </w:r>
      <w:r>
        <w:rPr>
          <w:rFonts w:hint="eastAsia"/>
          <w:b/>
          <w:bCs/>
          <w:sz w:val="20"/>
          <w:szCs w:val="20"/>
          <w:highlight w:val="none"/>
        </w:rPr>
        <w:instrText xml:space="preserve"> PAGEREF _Toc13862 \h </w:instrText>
      </w:r>
      <w:r>
        <w:rPr>
          <w:rFonts w:hint="eastAsia"/>
          <w:b/>
          <w:bCs/>
          <w:sz w:val="20"/>
          <w:szCs w:val="20"/>
          <w:highlight w:val="none"/>
        </w:rPr>
        <w:fldChar w:fldCharType="separate"/>
      </w:r>
      <w:r>
        <w:rPr>
          <w:rFonts w:hint="eastAsia"/>
          <w:b/>
          <w:bCs/>
          <w:sz w:val="20"/>
          <w:szCs w:val="20"/>
          <w:highlight w:val="none"/>
        </w:rPr>
        <w:t>82</w:t>
      </w:r>
      <w:r>
        <w:rPr>
          <w:rFonts w:hint="eastAsia"/>
          <w:b/>
          <w:bCs/>
          <w:sz w:val="20"/>
          <w:szCs w:val="20"/>
          <w:highlight w:val="none"/>
        </w:rPr>
        <w:fldChar w:fldCharType="end"/>
      </w:r>
      <w:r>
        <w:rPr>
          <w:rFonts w:hint="eastAsia"/>
          <w:b/>
          <w:bCs/>
          <w:sz w:val="20"/>
          <w:szCs w:val="20"/>
          <w:highlight w:val="none"/>
        </w:rPr>
        <w:fldChar w:fldCharType="end"/>
      </w:r>
    </w:p>
    <w:p>
      <w:pPr>
        <w:tabs>
          <w:tab w:val="right" w:leader="dot" w:pos="8820"/>
          <w:tab w:val="right" w:leader="dot" w:pos="9240"/>
          <w:tab w:val="clear" w:pos="426"/>
        </w:tabs>
        <w:spacing w:line="240" w:lineRule="auto"/>
        <w:rPr>
          <w:rFonts w:hint="eastAsia"/>
          <w:highlight w:val="none"/>
        </w:rPr>
        <w:sectPr>
          <w:footerReference r:id="rId5" w:type="even"/>
          <w:pgSz w:w="11906" w:h="16838"/>
          <w:pgMar w:top="1134" w:right="1700" w:bottom="1134" w:left="1418" w:header="851" w:footer="992" w:gutter="0"/>
          <w:pgNumType w:start="0"/>
          <w:cols w:space="720" w:num="1"/>
          <w:titlePg/>
          <w:docGrid w:linePitch="462" w:charSpace="0"/>
        </w:sectPr>
      </w:pPr>
      <w:r>
        <w:rPr>
          <w:smallCaps/>
          <w:highlight w:val="none"/>
        </w:rPr>
        <w:fldChar w:fldCharType="end"/>
      </w:r>
    </w:p>
    <w:p>
      <w:pPr>
        <w:pStyle w:val="62"/>
        <w:rPr>
          <w:highlight w:val="none"/>
        </w:rPr>
      </w:pPr>
      <w:bookmarkStart w:id="0" w:name="_Toc1594"/>
      <w:bookmarkStart w:id="1" w:name="_Toc432592808"/>
      <w:r>
        <w:rPr>
          <w:rFonts w:hint="eastAsia"/>
          <w:highlight w:val="none"/>
        </w:rPr>
        <w:t>项目关键信息</w:t>
      </w:r>
      <w:bookmarkEnd w:id="0"/>
      <w:bookmarkEnd w:id="1"/>
    </w:p>
    <w:tbl>
      <w:tblPr>
        <w:tblStyle w:val="85"/>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0"/>
        <w:gridCol w:w="5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项目编号</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SSZX2024-374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项目名称</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农兽残检测全流程全自动样品前处理系统设备采购项目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highlight w:val="none"/>
              </w:rPr>
            </w:pPr>
            <w:r>
              <w:rPr>
                <w:rFonts w:asciiTheme="minorEastAsia" w:hAnsiTheme="minorEastAsia" w:eastAsiaTheme="minorEastAsia"/>
                <w:szCs w:val="21"/>
                <w:highlight w:val="none"/>
              </w:rPr>
              <w:t>项目类型</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highlight w:val="none"/>
              </w:rPr>
            </w:pPr>
            <w:r>
              <w:rPr>
                <w:rFonts w:asciiTheme="minorEastAsia" w:hAnsiTheme="minorEastAsia" w:eastAsiaTheme="minorEastAsia"/>
                <w:szCs w:val="21"/>
                <w:highlight w:val="none"/>
              </w:rPr>
              <w:t>采购方式</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highlight w:val="none"/>
              </w:rPr>
            </w:pPr>
            <w:r>
              <w:rPr>
                <w:rFonts w:asciiTheme="minorEastAsia" w:hAnsiTheme="minorEastAsia" w:eastAsiaTheme="minorEastAsia"/>
                <w:szCs w:val="21"/>
                <w:highlight w:val="none"/>
              </w:rPr>
              <w:t>货币类型</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highlight w:val="none"/>
              </w:rPr>
            </w:pPr>
            <w:r>
              <w:rPr>
                <w:rFonts w:asciiTheme="minorEastAsia" w:hAnsiTheme="minorEastAsia" w:eastAsiaTheme="minorEastAsia"/>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预算金额</w:t>
            </w:r>
          </w:p>
        </w:tc>
        <w:tc>
          <w:tcPr>
            <w:tcW w:w="5968" w:type="dxa"/>
            <w:vAlign w:val="center"/>
          </w:tcPr>
          <w:p>
            <w:pPr>
              <w:tabs>
                <w:tab w:val="clear" w:pos="426"/>
              </w:tabs>
              <w:adjustRightInd/>
              <w:snapToGrid/>
              <w:spacing w:line="240" w:lineRule="auto"/>
              <w:rPr>
                <w:rFonts w:hint="eastAsia"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￥980,000.00（人民币玖拾捌万元整）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最高限价</w:t>
            </w:r>
          </w:p>
        </w:tc>
        <w:tc>
          <w:tcPr>
            <w:tcW w:w="5968" w:type="dxa"/>
            <w:vAlign w:val="center"/>
          </w:tcPr>
          <w:p>
            <w:pPr>
              <w:tabs>
                <w:tab w:val="clear" w:pos="426"/>
              </w:tabs>
              <w:adjustRightInd/>
              <w:snapToGrid/>
              <w:spacing w:line="240" w:lineRule="auto"/>
              <w:rPr>
                <w:rFonts w:hint="eastAsia"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￥980,000.00（人民币玖拾捌万元整）</w:t>
            </w:r>
          </w:p>
          <w:p>
            <w:pPr>
              <w:tabs>
                <w:tab w:val="clear" w:pos="426"/>
              </w:tabs>
              <w:adjustRightInd/>
              <w:snapToGrid/>
              <w:spacing w:line="240" w:lineRule="auto"/>
              <w:rPr>
                <w:rFonts w:hint="eastAsia" w:asciiTheme="minorEastAsia" w:hAnsiTheme="minorEastAsia" w:eastAsiaTheme="minorEastAsia"/>
                <w:bCs/>
                <w:szCs w:val="21"/>
                <w:highlight w:val="none"/>
              </w:rPr>
            </w:pPr>
            <w:r>
              <w:rPr>
                <w:rFonts w:hint="eastAsia" w:asciiTheme="minorEastAsia" w:hAnsiTheme="minorEastAsia" w:eastAsiaTheme="minorEastAsia"/>
                <w:szCs w:val="21"/>
                <w:highlight w:val="none"/>
              </w:rPr>
              <w:t>不符合报价要求的投标文件将做无效处理。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报价要求</w:t>
            </w:r>
          </w:p>
        </w:tc>
        <w:tc>
          <w:tcPr>
            <w:tcW w:w="5968" w:type="dxa"/>
            <w:vAlign w:val="center"/>
          </w:tcPr>
          <w:p>
            <w:pPr>
              <w:tabs>
                <w:tab w:val="clear" w:pos="426"/>
              </w:tabs>
              <w:adjustRightInd/>
              <w:snapToGrid/>
              <w:spacing w:line="320" w:lineRule="exact"/>
              <w:rPr>
                <w:rFonts w:hint="eastAsia"/>
                <w:highlight w:val="none"/>
              </w:rPr>
            </w:pPr>
            <w:r>
              <w:rPr>
                <w:rFonts w:hint="eastAsia"/>
                <w:highlight w:val="none"/>
              </w:rPr>
              <w:t>1.投标报价以人民币元为计算单位。</w:t>
            </w:r>
          </w:p>
          <w:p>
            <w:pPr>
              <w:tabs>
                <w:tab w:val="clear" w:pos="426"/>
              </w:tabs>
              <w:adjustRightInd/>
              <w:snapToGrid/>
              <w:spacing w:line="320" w:lineRule="exact"/>
              <w:rPr>
                <w:rFonts w:hint="eastAsia"/>
                <w:highlight w:val="none"/>
              </w:rPr>
            </w:pPr>
            <w:r>
              <w:rPr>
                <w:rFonts w:hint="eastAsia"/>
                <w:highlight w:val="none"/>
              </w:rPr>
              <w:t>2.本项目投标上限金额为本项目预算金额（包含分项预算、总预算金额）。</w:t>
            </w:r>
          </w:p>
          <w:p>
            <w:pPr>
              <w:tabs>
                <w:tab w:val="clear" w:pos="426"/>
              </w:tabs>
              <w:adjustRightInd/>
              <w:snapToGrid/>
              <w:spacing w:line="320" w:lineRule="exact"/>
              <w:rPr>
                <w:rFonts w:hint="eastAsia"/>
                <w:highlight w:val="none"/>
              </w:rPr>
            </w:pPr>
            <w:r>
              <w:rPr>
                <w:rFonts w:hint="eastAsia"/>
                <w:highlight w:val="none"/>
              </w:rPr>
              <w:t>3投标人报价应包含合同期内所有内容所产生的费用。</w:t>
            </w:r>
          </w:p>
          <w:p>
            <w:pPr>
              <w:tabs>
                <w:tab w:val="clear" w:pos="426"/>
              </w:tabs>
              <w:adjustRightInd/>
              <w:snapToGrid/>
              <w:spacing w:line="320" w:lineRule="exact"/>
              <w:rPr>
                <w:rFonts w:hint="eastAsia"/>
                <w:highlight w:val="none"/>
              </w:rPr>
            </w:pPr>
            <w:r>
              <w:rPr>
                <w:rFonts w:hint="eastAsia"/>
                <w:highlight w:val="none"/>
              </w:rPr>
              <w:t>4.投标人应充分了解任何其它足以影响投标报价的情况，任何因忽视或误解项目情况而导致的索赔或合同期限延长申请将不获批准。投标人在投标报价时，应充分考虑投标报价的风险。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评定分离</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highlight w:val="none"/>
              </w:rPr>
            </w:pP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评标方法</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highlight w:val="none"/>
              </w:rPr>
            </w:pP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定标方法</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投标供应商的替代方案</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highlight w:val="none"/>
                <w:u w:val="single"/>
              </w:rPr>
            </w:pPr>
            <w:r>
              <w:rPr>
                <w:rFonts w:hint="eastAsia" w:asciiTheme="minorEastAsia" w:hAnsiTheme="minorEastAsia" w:eastAsiaTheme="minorEastAsia"/>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投标有效期</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90</w:t>
            </w:r>
            <w:r>
              <w:rPr>
                <w:rFonts w:asciiTheme="minorEastAsia" w:hAnsiTheme="minorEastAsia" w:eastAsiaTheme="minorEastAsia"/>
                <w:szCs w:val="21"/>
                <w:highlight w:val="none"/>
              </w:rPr>
              <w:t>日历</w:t>
            </w:r>
            <w:r>
              <w:rPr>
                <w:rFonts w:hint="eastAsia" w:asciiTheme="minorEastAsia" w:hAnsiTheme="minorEastAsia" w:eastAsiaTheme="minorEastAsia"/>
                <w:szCs w:val="21"/>
                <w:highlight w:val="none"/>
              </w:rPr>
              <w:t>天</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从投标截止之日算起</w:t>
            </w:r>
            <w:r>
              <w:rPr>
                <w:rFonts w:asciiTheme="minorEastAsia" w:hAnsiTheme="minorEastAsia" w:eastAsiaTheme="minor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投标保证金</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highlight w:val="none"/>
              </w:rPr>
            </w:pP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履约保证金</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■提交，履约保证金为合同金额的10%，提交形式：银行保函或银行电汇。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投标文件份数</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纸质投标文件一正、四副，开标信封一份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投标文件电子档</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电子光盘一张或</w:t>
            </w:r>
            <w:r>
              <w:rPr>
                <w:rFonts w:asciiTheme="minorEastAsia" w:hAnsiTheme="minorEastAsia" w:eastAsiaTheme="minorEastAsia"/>
                <w:szCs w:val="21"/>
                <w:highlight w:val="none"/>
              </w:rPr>
              <w:t>U盘一个</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WORD及</w:t>
            </w:r>
            <w:r>
              <w:rPr>
                <w:rFonts w:hint="eastAsia" w:asciiTheme="minorEastAsia" w:hAnsiTheme="minorEastAsia" w:eastAsiaTheme="minorEastAsia"/>
                <w:szCs w:val="21"/>
                <w:highlight w:val="none"/>
              </w:rPr>
              <w:t>投标文件正本盖章后的彩色扫描件，</w:t>
            </w:r>
            <w:r>
              <w:rPr>
                <w:rFonts w:asciiTheme="minorEastAsia" w:hAnsiTheme="minorEastAsia" w:eastAsiaTheme="minorEastAsia"/>
                <w:szCs w:val="21"/>
                <w:highlight w:val="none"/>
              </w:rPr>
              <w:t>PDF格式）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highlight w:val="none"/>
              </w:rPr>
            </w:pPr>
            <w:r>
              <w:rPr>
                <w:rFonts w:asciiTheme="minorEastAsia" w:hAnsiTheme="minorEastAsia" w:eastAsiaTheme="minorEastAsia"/>
                <w:szCs w:val="21"/>
                <w:highlight w:val="none"/>
              </w:rPr>
              <w:t>踏勘现场</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投标供应商提出疑问截止时间</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在获取采购文件或者采购文件公告期限届满之日起</w:t>
            </w:r>
            <w:r>
              <w:rPr>
                <w:rFonts w:asciiTheme="minorEastAsia" w:hAnsiTheme="minorEastAsia" w:eastAsiaTheme="minorEastAsia"/>
                <w:szCs w:val="21"/>
                <w:highlight w:val="none"/>
              </w:rPr>
              <w:t>7个工作日内对采购文件提出质疑</w:t>
            </w:r>
            <w:r>
              <w:rPr>
                <w:rFonts w:hint="eastAsia" w:asciiTheme="minorEastAsia" w:hAnsiTheme="minorEastAsia" w:eastAsiaTheme="minor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澄清或修补、答疑的期限</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截标之日（当日不计）15</w:t>
            </w:r>
            <w:r>
              <w:rPr>
                <w:rFonts w:asciiTheme="minorEastAsia" w:hAnsiTheme="minorEastAsia" w:eastAsiaTheme="minorEastAsia"/>
                <w:szCs w:val="21"/>
                <w:highlight w:val="none"/>
              </w:rPr>
              <w:t>日</w:t>
            </w:r>
            <w:r>
              <w:rPr>
                <w:rFonts w:hint="eastAsia" w:asciiTheme="minorEastAsia" w:hAnsiTheme="minorEastAsia" w:eastAsiaTheme="minorEastAsia"/>
                <w:szCs w:val="21"/>
                <w:highlight w:val="none"/>
              </w:rPr>
              <w:t>前</w:t>
            </w:r>
            <w:r>
              <w:rPr>
                <w:rFonts w:hint="eastAsia" w:asciiTheme="minorEastAsia" w:hAnsiTheme="minorEastAsia" w:eastAsiaTheme="minorEastAsia"/>
                <w:szCs w:val="21"/>
                <w:highlight w:val="none"/>
                <w:u w:val="none"/>
              </w:rPr>
              <w:t>17：30</w:t>
            </w:r>
            <w:r>
              <w:rPr>
                <w:rFonts w:hint="eastAsia" w:asciiTheme="minorEastAsia" w:hAnsiTheme="minorEastAsia" w:eastAsiaTheme="minorEastAsia"/>
                <w:szCs w:val="21"/>
                <w:highlight w:val="none"/>
              </w:rPr>
              <w:t>点前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招标代理</w:t>
            </w:r>
            <w:r>
              <w:rPr>
                <w:rFonts w:asciiTheme="minorEastAsia" w:hAnsiTheme="minorEastAsia" w:eastAsiaTheme="minorEastAsia"/>
                <w:szCs w:val="21"/>
                <w:highlight w:val="none"/>
              </w:rPr>
              <w:t>服务费</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采购代理机构以中标金额为计算基数，按差额定率累进法计算，向中标供应商收取</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招标代理服务费采用转账的方式，账户信息如下：户名：深圳市深水水务咨询有限公司；账号：</w:t>
            </w:r>
            <w:r>
              <w:rPr>
                <w:rFonts w:asciiTheme="minorEastAsia" w:hAnsiTheme="minorEastAsia" w:eastAsiaTheme="minorEastAsia"/>
                <w:szCs w:val="21"/>
                <w:highlight w:val="none"/>
              </w:rPr>
              <w:t>443899991010003343618</w:t>
            </w:r>
            <w:r>
              <w:rPr>
                <w:rFonts w:hint="eastAsia" w:asciiTheme="minorEastAsia" w:hAnsiTheme="minorEastAsia" w:eastAsiaTheme="minorEastAsia"/>
                <w:szCs w:val="21"/>
                <w:highlight w:val="none"/>
              </w:rPr>
              <w:t>；开户行：交通银行深圳金叶支行。</w:t>
            </w:r>
          </w:p>
        </w:tc>
      </w:tr>
    </w:tbl>
    <w:p>
      <w:pPr>
        <w:widowControl w:val="0"/>
        <w:shd w:val="clear" w:color="auto" w:fill="auto"/>
        <w:tabs>
          <w:tab w:val="clear" w:pos="426"/>
        </w:tabs>
        <w:adjustRightInd/>
        <w:snapToGrid/>
        <w:spacing w:line="240" w:lineRule="auto"/>
        <w:ind w:left="3040" w:hanging="3040" w:hangingChars="950"/>
        <w:rPr>
          <w:rFonts w:hint="eastAsia" w:cs="Times New Roman"/>
          <w:kern w:val="2"/>
          <w:sz w:val="32"/>
          <w:szCs w:val="20"/>
          <w:highlight w:val="none"/>
        </w:rPr>
      </w:pPr>
    </w:p>
    <w:p>
      <w:pPr>
        <w:pStyle w:val="81"/>
        <w:tabs>
          <w:tab w:val="clear" w:pos="426"/>
        </w:tabs>
        <w:rPr>
          <w:highlight w:val="none"/>
        </w:rPr>
      </w:pPr>
      <w:r>
        <w:rPr>
          <w:highlight w:val="none"/>
        </w:rPr>
        <w:br w:type="page"/>
      </w:r>
      <w:bookmarkStart w:id="2" w:name="_Toc16410"/>
      <w:r>
        <w:rPr>
          <w:rFonts w:hint="eastAsia"/>
          <w:highlight w:val="none"/>
        </w:rPr>
        <w:t>招标文件第一册（专用部分）</w:t>
      </w:r>
      <w:bookmarkEnd w:id="2"/>
    </w:p>
    <w:p>
      <w:pPr>
        <w:pStyle w:val="62"/>
        <w:rPr>
          <w:highlight w:val="none"/>
        </w:rPr>
      </w:pPr>
      <w:bookmarkStart w:id="3" w:name="_Toc265483798"/>
      <w:bookmarkStart w:id="4" w:name="_Toc432592813"/>
      <w:bookmarkStart w:id="5" w:name="_Toc20258"/>
      <w:r>
        <w:rPr>
          <w:rFonts w:hint="eastAsia"/>
          <w:highlight w:val="none"/>
        </w:rPr>
        <w:t>第一章</w:t>
      </w:r>
      <w:bookmarkEnd w:id="3"/>
      <w:bookmarkEnd w:id="4"/>
      <w:r>
        <w:rPr>
          <w:rFonts w:hint="eastAsia"/>
          <w:highlight w:val="none"/>
        </w:rPr>
        <w:t xml:space="preserve"> 投标邀请</w:t>
      </w:r>
      <w:bookmarkEnd w:id="5"/>
    </w:p>
    <w:p>
      <w:pPr>
        <w:widowControl w:val="0"/>
        <w:pBdr>
          <w:top w:val="single" w:color="auto" w:sz="4" w:space="1"/>
          <w:left w:val="single" w:color="auto" w:sz="4" w:space="4"/>
          <w:bottom w:val="single" w:color="auto" w:sz="4" w:space="1"/>
          <w:right w:val="single" w:color="auto" w:sz="4" w:space="4"/>
        </w:pBdr>
        <w:shd w:val="clear" w:color="auto" w:fill="auto"/>
        <w:adjustRightInd/>
        <w:snapToGrid/>
        <w:spacing w:line="240" w:lineRule="auto"/>
        <w:ind w:firstLine="420" w:firstLineChars="200"/>
        <w:rPr>
          <w:rFonts w:hint="eastAsia" w:cs="Times New Roman"/>
          <w:color w:val="auto"/>
          <w:kern w:val="2"/>
          <w:szCs w:val="21"/>
          <w:highlight w:val="none"/>
        </w:rPr>
      </w:pPr>
      <w:bookmarkStart w:id="6" w:name="_Hlk62652657"/>
      <w:r>
        <w:rPr>
          <w:rFonts w:hint="eastAsia" w:cs="Times New Roman"/>
          <w:color w:val="auto"/>
          <w:kern w:val="2"/>
          <w:szCs w:val="21"/>
          <w:highlight w:val="none"/>
        </w:rPr>
        <w:t>项目概况</w:t>
      </w:r>
    </w:p>
    <w:p>
      <w:pPr>
        <w:widowControl w:val="0"/>
        <w:pBdr>
          <w:top w:val="single" w:color="auto" w:sz="4" w:space="1"/>
          <w:left w:val="single" w:color="auto" w:sz="4" w:space="4"/>
          <w:bottom w:val="single" w:color="auto" w:sz="4" w:space="1"/>
          <w:right w:val="single" w:color="auto" w:sz="4" w:space="4"/>
        </w:pBdr>
        <w:shd w:val="clear" w:color="auto" w:fill="auto"/>
        <w:adjustRightInd/>
        <w:snapToGrid/>
        <w:spacing w:line="240" w:lineRule="auto"/>
        <w:ind w:firstLine="420" w:firstLineChars="200"/>
        <w:rPr>
          <w:rFonts w:hint="eastAsia" w:cs="Times New Roman"/>
          <w:color w:val="auto"/>
          <w:kern w:val="2"/>
          <w:szCs w:val="21"/>
          <w:highlight w:val="none"/>
        </w:rPr>
      </w:pPr>
      <w:r>
        <w:rPr>
          <w:rFonts w:hint="eastAsia" w:cs="Times New Roman"/>
          <w:color w:val="auto"/>
          <w:kern w:val="2"/>
          <w:szCs w:val="21"/>
          <w:highlight w:val="none"/>
        </w:rPr>
        <w:t>农兽残检测全流程全自动样品前处理系统设备采购项目的潜在投标人应在深圳市罗湖区清水河街道清水河社区清水河一路112号罗湖投资控股大厦裙楼401获取招标文件，并于2024年11月15日09点30分</w:t>
      </w:r>
      <w:r>
        <w:rPr>
          <w:rFonts w:hint="eastAsia" w:cs="Times New Roman"/>
          <w:bCs/>
          <w:color w:val="auto"/>
          <w:kern w:val="2"/>
          <w:szCs w:val="21"/>
          <w:highlight w:val="none"/>
        </w:rPr>
        <w:t>（北京时间）前递交投标</w:t>
      </w:r>
      <w:r>
        <w:rPr>
          <w:rFonts w:cs="Times New Roman"/>
          <w:bCs/>
          <w:color w:val="auto"/>
          <w:kern w:val="2"/>
          <w:szCs w:val="21"/>
          <w:highlight w:val="none"/>
        </w:rPr>
        <w:t>文件</w:t>
      </w:r>
      <w:r>
        <w:rPr>
          <w:rFonts w:hint="eastAsia" w:cs="Times New Roman"/>
          <w:color w:val="auto"/>
          <w:kern w:val="2"/>
          <w:szCs w:val="21"/>
          <w:highlight w:val="none"/>
        </w:rPr>
        <w:t>。</w:t>
      </w:r>
    </w:p>
    <w:p>
      <w:pPr>
        <w:widowControl w:val="0"/>
        <w:shd w:val="clear" w:color="auto" w:fill="auto"/>
        <w:adjustRightInd/>
        <w:snapToGrid/>
        <w:spacing w:line="240" w:lineRule="auto"/>
        <w:rPr>
          <w:rFonts w:hint="eastAsia" w:cs="Times New Roman"/>
          <w:color w:val="auto"/>
          <w:kern w:val="2"/>
          <w:szCs w:val="21"/>
          <w:highlight w:val="none"/>
        </w:rPr>
      </w:pPr>
    </w:p>
    <w:p>
      <w:pPr>
        <w:spacing w:line="240" w:lineRule="auto"/>
        <w:rPr>
          <w:rFonts w:hint="eastAsia"/>
          <w:b/>
          <w:color w:val="auto"/>
          <w:kern w:val="2"/>
          <w:szCs w:val="21"/>
          <w:highlight w:val="none"/>
        </w:rPr>
      </w:pPr>
      <w:bookmarkStart w:id="7" w:name="_Toc28359002"/>
      <w:bookmarkStart w:id="8" w:name="_Toc35393621"/>
      <w:bookmarkStart w:id="9" w:name="_Toc35393790"/>
      <w:bookmarkStart w:id="10" w:name="_Toc28359079"/>
      <w:bookmarkStart w:id="11" w:name="_Hlk24379207"/>
      <w:r>
        <w:rPr>
          <w:rFonts w:hint="eastAsia"/>
          <w:b/>
          <w:color w:val="auto"/>
          <w:kern w:val="2"/>
          <w:szCs w:val="21"/>
          <w:highlight w:val="none"/>
        </w:rPr>
        <w:t>一、项目基本情况</w:t>
      </w:r>
      <w:bookmarkEnd w:id="7"/>
      <w:bookmarkEnd w:id="8"/>
      <w:bookmarkEnd w:id="9"/>
      <w:bookmarkEnd w:id="10"/>
    </w:p>
    <w:p>
      <w:pPr>
        <w:widowControl w:val="0"/>
        <w:shd w:val="clear" w:color="auto" w:fill="auto"/>
        <w:adjustRightInd/>
        <w:snapToGrid/>
        <w:spacing w:line="240" w:lineRule="auto"/>
        <w:ind w:firstLine="420" w:firstLineChars="200"/>
        <w:rPr>
          <w:rFonts w:hint="eastAsia" w:cs="Times New Roman"/>
          <w:color w:val="auto"/>
          <w:kern w:val="2"/>
          <w:szCs w:val="21"/>
          <w:highlight w:val="none"/>
        </w:rPr>
      </w:pPr>
      <w:r>
        <w:rPr>
          <w:rFonts w:hint="eastAsia" w:cs="Times New Roman"/>
          <w:color w:val="auto"/>
          <w:kern w:val="2"/>
          <w:szCs w:val="21"/>
          <w:highlight w:val="none"/>
        </w:rPr>
        <w:t>项目编号：SSZX2024-374</w:t>
      </w:r>
    </w:p>
    <w:p>
      <w:pPr>
        <w:widowControl w:val="0"/>
        <w:shd w:val="clear" w:color="auto" w:fill="auto"/>
        <w:adjustRightInd/>
        <w:snapToGrid/>
        <w:spacing w:line="240" w:lineRule="auto"/>
        <w:ind w:firstLine="420" w:firstLineChars="200"/>
        <w:rPr>
          <w:rFonts w:hint="eastAsia" w:cs="Times New Roman"/>
          <w:color w:val="auto"/>
          <w:kern w:val="2"/>
          <w:szCs w:val="21"/>
          <w:highlight w:val="none"/>
        </w:rPr>
      </w:pPr>
      <w:r>
        <w:rPr>
          <w:rFonts w:hint="eastAsia" w:cs="Times New Roman"/>
          <w:color w:val="auto"/>
          <w:kern w:val="2"/>
          <w:szCs w:val="21"/>
          <w:highlight w:val="none"/>
        </w:rPr>
        <w:t>项目名称：农兽残检测全流程全自动样品前处理系统设备采购项目</w:t>
      </w:r>
    </w:p>
    <w:bookmarkEnd w:id="11"/>
    <w:p>
      <w:pPr>
        <w:widowControl w:val="0"/>
        <w:shd w:val="clear" w:color="auto" w:fill="auto"/>
        <w:adjustRightInd/>
        <w:snapToGrid/>
        <w:spacing w:line="240" w:lineRule="auto"/>
        <w:ind w:firstLine="420" w:firstLineChars="200"/>
        <w:rPr>
          <w:rFonts w:hint="eastAsia"/>
          <w:color w:val="auto"/>
          <w:szCs w:val="21"/>
          <w:highlight w:val="none"/>
        </w:rPr>
      </w:pPr>
      <w:r>
        <w:rPr>
          <w:rFonts w:hint="eastAsia" w:cs="Times New Roman"/>
          <w:color w:val="auto"/>
          <w:kern w:val="2"/>
          <w:szCs w:val="21"/>
          <w:highlight w:val="none"/>
        </w:rPr>
        <w:t>预算金额：980,000.00元</w:t>
      </w:r>
      <w:r>
        <w:rPr>
          <w:rFonts w:hint="eastAsia"/>
          <w:color w:val="auto"/>
          <w:szCs w:val="21"/>
          <w:highlight w:val="none"/>
        </w:rPr>
        <w:t>（人民币）</w:t>
      </w:r>
    </w:p>
    <w:p>
      <w:pPr>
        <w:widowControl w:val="0"/>
        <w:shd w:val="clear" w:color="auto" w:fill="auto"/>
        <w:adjustRightInd/>
        <w:snapToGrid/>
        <w:spacing w:line="240" w:lineRule="auto"/>
        <w:ind w:firstLine="420" w:firstLineChars="200"/>
        <w:rPr>
          <w:rFonts w:hint="eastAsia" w:cs="Times New Roman"/>
          <w:color w:val="auto"/>
          <w:kern w:val="2"/>
          <w:szCs w:val="21"/>
          <w:highlight w:val="none"/>
        </w:rPr>
      </w:pPr>
      <w:r>
        <w:rPr>
          <w:rFonts w:hint="eastAsia" w:cs="Times New Roman"/>
          <w:color w:val="auto"/>
          <w:kern w:val="2"/>
          <w:szCs w:val="21"/>
          <w:highlight w:val="none"/>
        </w:rPr>
        <w:t>最高限价：980,000.00元</w:t>
      </w:r>
      <w:r>
        <w:rPr>
          <w:rFonts w:hint="eastAsia"/>
          <w:color w:val="auto"/>
          <w:szCs w:val="21"/>
          <w:highlight w:val="none"/>
        </w:rPr>
        <w:t>（人民币）</w:t>
      </w:r>
    </w:p>
    <w:p>
      <w:pPr>
        <w:widowControl w:val="0"/>
        <w:shd w:val="clear" w:color="auto" w:fill="auto"/>
        <w:adjustRightInd/>
        <w:snapToGrid/>
        <w:spacing w:line="240" w:lineRule="auto"/>
        <w:ind w:firstLine="420" w:firstLineChars="200"/>
        <w:rPr>
          <w:rFonts w:hint="eastAsia" w:cs="Times New Roman"/>
          <w:color w:val="auto"/>
          <w:kern w:val="2"/>
          <w:szCs w:val="21"/>
          <w:highlight w:val="none"/>
        </w:rPr>
      </w:pPr>
      <w:r>
        <w:rPr>
          <w:rFonts w:hint="eastAsia" w:cs="Times New Roman"/>
          <w:color w:val="auto"/>
          <w:kern w:val="2"/>
          <w:szCs w:val="21"/>
          <w:highlight w:val="none"/>
        </w:rPr>
        <w:t>采购需求：</w:t>
      </w:r>
    </w:p>
    <w:tbl>
      <w:tblPr>
        <w:tblStyle w:val="85"/>
        <w:tblW w:w="505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794"/>
        <w:gridCol w:w="849"/>
        <w:gridCol w:w="853"/>
        <w:gridCol w:w="2834"/>
        <w:gridCol w:w="13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96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olor w:val="auto"/>
                <w:szCs w:val="21"/>
                <w:highlight w:val="none"/>
              </w:rPr>
            </w:pPr>
            <w:r>
              <w:rPr>
                <w:rFonts w:hint="eastAsia"/>
                <w:color w:val="auto"/>
                <w:szCs w:val="21"/>
                <w:highlight w:val="none"/>
              </w:rPr>
              <w:t>标的名称</w:t>
            </w:r>
          </w:p>
        </w:tc>
        <w:tc>
          <w:tcPr>
            <w:tcW w:w="43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olor w:val="auto"/>
                <w:szCs w:val="21"/>
                <w:highlight w:val="none"/>
              </w:rPr>
            </w:pPr>
            <w:r>
              <w:rPr>
                <w:rFonts w:hint="eastAsia"/>
                <w:color w:val="auto"/>
                <w:szCs w:val="21"/>
                <w:highlight w:val="none"/>
              </w:rPr>
              <w:t>数量</w:t>
            </w:r>
          </w:p>
        </w:tc>
        <w:tc>
          <w:tcPr>
            <w:tcW w:w="44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olor w:val="auto"/>
                <w:szCs w:val="21"/>
                <w:highlight w:val="none"/>
              </w:rPr>
            </w:pPr>
            <w:r>
              <w:rPr>
                <w:rFonts w:hint="eastAsia"/>
                <w:color w:val="auto"/>
                <w:szCs w:val="21"/>
                <w:highlight w:val="none"/>
              </w:rPr>
              <w:t>单位</w:t>
            </w:r>
          </w:p>
        </w:tc>
        <w:tc>
          <w:tcPr>
            <w:tcW w:w="1466"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olor w:val="auto"/>
                <w:szCs w:val="21"/>
                <w:highlight w:val="none"/>
              </w:rPr>
            </w:pPr>
            <w:r>
              <w:rPr>
                <w:color w:val="auto"/>
                <w:szCs w:val="21"/>
                <w:highlight w:val="none"/>
              </w:rPr>
              <w:t>简要技术需求</w:t>
            </w:r>
          </w:p>
        </w:tc>
        <w:tc>
          <w:tcPr>
            <w:tcW w:w="6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olor w:val="auto"/>
                <w:szCs w:val="21"/>
                <w:highlight w:val="none"/>
              </w:rPr>
            </w:pPr>
            <w:r>
              <w:rPr>
                <w:rFonts w:hint="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196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olor w:val="auto"/>
                <w:szCs w:val="21"/>
                <w:highlight w:val="none"/>
              </w:rPr>
            </w:pPr>
            <w:r>
              <w:rPr>
                <w:rFonts w:hint="eastAsia"/>
                <w:color w:val="auto"/>
                <w:szCs w:val="21"/>
                <w:highlight w:val="none"/>
              </w:rPr>
              <w:t>农兽残检测全流程全自动样品前处理系统</w:t>
            </w:r>
          </w:p>
        </w:tc>
        <w:tc>
          <w:tcPr>
            <w:tcW w:w="43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olor w:val="auto"/>
                <w:szCs w:val="21"/>
                <w:highlight w:val="none"/>
              </w:rPr>
            </w:pPr>
            <w:r>
              <w:rPr>
                <w:rFonts w:hint="eastAsia"/>
                <w:color w:val="auto"/>
                <w:szCs w:val="21"/>
                <w:highlight w:val="none"/>
              </w:rPr>
              <w:t>1</w:t>
            </w:r>
          </w:p>
        </w:tc>
        <w:tc>
          <w:tcPr>
            <w:tcW w:w="44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olor w:val="auto"/>
                <w:szCs w:val="21"/>
                <w:highlight w:val="none"/>
              </w:rPr>
            </w:pPr>
            <w:r>
              <w:rPr>
                <w:rFonts w:hint="eastAsia"/>
                <w:color w:val="auto"/>
                <w:szCs w:val="21"/>
                <w:highlight w:val="none"/>
              </w:rPr>
              <w:t>台</w:t>
            </w:r>
          </w:p>
        </w:tc>
        <w:tc>
          <w:tcPr>
            <w:tcW w:w="1466" w:type="pct"/>
            <w:tcBorders>
              <w:top w:val="single" w:color="auto" w:sz="4" w:space="0"/>
              <w:left w:val="single" w:color="auto" w:sz="4" w:space="0"/>
              <w:bottom w:val="single" w:color="auto" w:sz="4" w:space="0"/>
              <w:right w:val="single" w:color="auto" w:sz="4" w:space="0"/>
            </w:tcBorders>
            <w:vAlign w:val="center"/>
          </w:tcPr>
          <w:p>
            <w:pPr>
              <w:pStyle w:val="425"/>
              <w:rPr>
                <w:color w:val="auto"/>
                <w:highlight w:val="none"/>
              </w:rPr>
            </w:pPr>
            <w:r>
              <w:rPr>
                <w:rFonts w:hint="eastAsia" w:cs="Times New Roman"/>
                <w:color w:val="auto"/>
                <w:kern w:val="2"/>
                <w:highlight w:val="none"/>
              </w:rPr>
              <w:t>农兽残检测全流程全自动样品前处理系统设备一台。</w:t>
            </w:r>
            <w:r>
              <w:rPr>
                <w:rFonts w:hint="eastAsia"/>
                <w:color w:val="auto"/>
                <w:highlight w:val="none"/>
              </w:rPr>
              <w:t>详见招标文件项目需求书。</w:t>
            </w:r>
          </w:p>
        </w:tc>
        <w:tc>
          <w:tcPr>
            <w:tcW w:w="691" w:type="pct"/>
            <w:tcBorders>
              <w:top w:val="single" w:color="auto" w:sz="4" w:space="0"/>
              <w:left w:val="single" w:color="auto" w:sz="4" w:space="0"/>
              <w:bottom w:val="single" w:color="auto" w:sz="4" w:space="0"/>
              <w:right w:val="single" w:color="auto" w:sz="4" w:space="0"/>
            </w:tcBorders>
            <w:vAlign w:val="center"/>
          </w:tcPr>
          <w:p>
            <w:pPr>
              <w:pStyle w:val="425"/>
              <w:rPr>
                <w:color w:val="auto"/>
                <w:highlight w:val="none"/>
              </w:rPr>
            </w:pPr>
            <w:r>
              <w:rPr>
                <w:rFonts w:hint="eastAsia"/>
                <w:color w:val="auto"/>
                <w:highlight w:val="none"/>
              </w:rPr>
              <w:t>拒绝进口</w:t>
            </w:r>
          </w:p>
        </w:tc>
      </w:tr>
    </w:tbl>
    <w:p>
      <w:pPr>
        <w:widowControl w:val="0"/>
        <w:shd w:val="clear" w:color="auto" w:fill="auto"/>
        <w:adjustRightInd/>
        <w:snapToGrid/>
        <w:spacing w:line="240" w:lineRule="auto"/>
        <w:ind w:firstLine="420" w:firstLineChars="200"/>
        <w:rPr>
          <w:rFonts w:hint="eastAsia" w:cs="Times New Roman"/>
          <w:color w:val="auto"/>
          <w:kern w:val="2"/>
          <w:szCs w:val="21"/>
          <w:highlight w:val="none"/>
        </w:rPr>
      </w:pPr>
      <w:r>
        <w:rPr>
          <w:rFonts w:hint="eastAsia" w:cs="Times New Roman"/>
          <w:color w:val="auto"/>
          <w:kern w:val="2"/>
          <w:szCs w:val="21"/>
          <w:highlight w:val="none"/>
        </w:rPr>
        <w:t>合同履行期限：合同签订后90日内完成交货。</w:t>
      </w:r>
    </w:p>
    <w:p>
      <w:pPr>
        <w:widowControl w:val="0"/>
        <w:shd w:val="clear" w:color="auto" w:fill="auto"/>
        <w:adjustRightInd/>
        <w:snapToGrid/>
        <w:spacing w:line="240" w:lineRule="auto"/>
        <w:ind w:firstLine="420" w:firstLineChars="200"/>
        <w:rPr>
          <w:rFonts w:hint="eastAsia" w:cs="Times New Roman"/>
          <w:color w:val="auto"/>
          <w:kern w:val="2"/>
          <w:szCs w:val="21"/>
          <w:highlight w:val="none"/>
        </w:rPr>
      </w:pPr>
      <w:r>
        <w:rPr>
          <w:rFonts w:hint="eastAsia" w:cs="Times New Roman"/>
          <w:color w:val="auto"/>
          <w:kern w:val="2"/>
          <w:szCs w:val="21"/>
          <w:highlight w:val="none"/>
        </w:rPr>
        <w:t>本项目（不接受）联合体投标。</w:t>
      </w:r>
      <w:bookmarkStart w:id="12" w:name="_Toc35393791"/>
      <w:bookmarkStart w:id="13" w:name="_Toc28359003"/>
      <w:bookmarkStart w:id="14" w:name="_Toc35393622"/>
      <w:bookmarkStart w:id="15" w:name="_Toc28359080"/>
    </w:p>
    <w:p>
      <w:pPr>
        <w:spacing w:line="240" w:lineRule="auto"/>
        <w:rPr>
          <w:rFonts w:hint="eastAsia"/>
          <w:b/>
          <w:color w:val="auto"/>
          <w:kern w:val="2"/>
          <w:szCs w:val="21"/>
          <w:highlight w:val="none"/>
        </w:rPr>
      </w:pPr>
      <w:r>
        <w:rPr>
          <w:rFonts w:hint="eastAsia"/>
          <w:b/>
          <w:color w:val="auto"/>
          <w:kern w:val="2"/>
          <w:szCs w:val="21"/>
          <w:highlight w:val="none"/>
        </w:rPr>
        <w:t>二、申请人的资格要求</w:t>
      </w:r>
      <w:bookmarkEnd w:id="12"/>
      <w:bookmarkEnd w:id="13"/>
      <w:bookmarkEnd w:id="14"/>
      <w:bookmarkEnd w:id="15"/>
      <w:r>
        <w:rPr>
          <w:rFonts w:hint="eastAsia"/>
          <w:b/>
          <w:color w:val="auto"/>
          <w:kern w:val="2"/>
          <w:szCs w:val="21"/>
          <w:highlight w:val="none"/>
        </w:rPr>
        <w:t>：</w:t>
      </w:r>
    </w:p>
    <w:p>
      <w:pPr>
        <w:widowControl w:val="0"/>
        <w:shd w:val="clear" w:color="auto" w:fill="auto"/>
        <w:adjustRightInd/>
        <w:snapToGrid/>
        <w:spacing w:line="240" w:lineRule="auto"/>
        <w:ind w:firstLine="420" w:firstLineChars="200"/>
        <w:rPr>
          <w:rFonts w:hAnsi="Times New Roman" w:cs="Times New Roman"/>
          <w:color w:val="auto"/>
          <w:kern w:val="2"/>
          <w:szCs w:val="21"/>
          <w:highlight w:val="none"/>
        </w:rPr>
      </w:pPr>
      <w:bookmarkStart w:id="16" w:name="_Toc35393623"/>
      <w:bookmarkStart w:id="17" w:name="_Toc35393792"/>
      <w:bookmarkStart w:id="18" w:name="_Toc28359081"/>
      <w:bookmarkStart w:id="19" w:name="_Toc28359004"/>
      <w:r>
        <w:rPr>
          <w:rFonts w:hint="eastAsia" w:hAnsi="Times New Roman" w:cs="Times New Roman"/>
          <w:color w:val="auto"/>
          <w:kern w:val="2"/>
          <w:szCs w:val="21"/>
          <w:highlight w:val="none"/>
        </w:rPr>
        <w:t>1.满足《中华人民共和国政府采购法》第二十二条规定（由供应商在《投标人资格声明函》中作出声明）。</w:t>
      </w:r>
      <w:bookmarkStart w:id="184" w:name="_GoBack"/>
      <w:bookmarkEnd w:id="184"/>
    </w:p>
    <w:p>
      <w:pPr>
        <w:widowControl w:val="0"/>
        <w:shd w:val="clear" w:color="auto" w:fill="auto"/>
        <w:adjustRightInd/>
        <w:snapToGrid/>
        <w:spacing w:line="240" w:lineRule="auto"/>
        <w:ind w:firstLine="420" w:firstLineChars="200"/>
        <w:rPr>
          <w:rFonts w:hAnsi="Times New Roman" w:cs="Times New Roman"/>
          <w:color w:val="auto"/>
          <w:kern w:val="2"/>
          <w:szCs w:val="21"/>
          <w:highlight w:val="none"/>
        </w:rPr>
      </w:pPr>
      <w:r>
        <w:rPr>
          <w:rFonts w:hint="eastAsia" w:hAnsi="Times New Roman" w:cs="Times New Roman"/>
          <w:color w:val="auto"/>
          <w:kern w:val="2"/>
          <w:szCs w:val="21"/>
          <w:highlight w:val="none"/>
        </w:rPr>
        <w:t>2.落实政府采购政策需满足的资格要求：</w:t>
      </w:r>
    </w:p>
    <w:p>
      <w:pPr>
        <w:widowControl w:val="0"/>
        <w:shd w:val="clear" w:color="auto" w:fill="auto"/>
        <w:adjustRightInd/>
        <w:snapToGrid/>
        <w:spacing w:line="240" w:lineRule="auto"/>
        <w:ind w:firstLine="420" w:firstLineChars="200"/>
        <w:rPr>
          <w:rFonts w:hAnsi="Times New Roman" w:cs="Times New Roman"/>
          <w:color w:val="auto"/>
          <w:kern w:val="2"/>
          <w:szCs w:val="21"/>
          <w:highlight w:val="none"/>
        </w:rPr>
      </w:pPr>
      <w:r>
        <w:rPr>
          <w:rFonts w:hint="eastAsia" w:hAnsi="Times New Roman" w:cs="Times New Roman"/>
          <w:color w:val="auto"/>
          <w:kern w:val="2"/>
          <w:szCs w:val="21"/>
          <w:highlight w:val="none"/>
        </w:rPr>
        <w:t xml:space="preserve">本项目不属于专门面向中小企业采购的项目。 </w:t>
      </w:r>
    </w:p>
    <w:p>
      <w:pPr>
        <w:widowControl w:val="0"/>
        <w:shd w:val="clear" w:color="auto" w:fill="auto"/>
        <w:adjustRightInd/>
        <w:snapToGrid/>
        <w:spacing w:line="240" w:lineRule="auto"/>
        <w:ind w:firstLine="420" w:firstLineChars="200"/>
        <w:rPr>
          <w:rFonts w:hAnsi="Times New Roman" w:cs="Times New Roman"/>
          <w:color w:val="auto"/>
          <w:kern w:val="2"/>
          <w:szCs w:val="21"/>
          <w:highlight w:val="none"/>
        </w:rPr>
      </w:pPr>
      <w:r>
        <w:rPr>
          <w:rFonts w:hint="eastAsia" w:hAnsi="Times New Roman" w:cs="Times New Roman"/>
          <w:color w:val="auto"/>
          <w:kern w:val="2"/>
          <w:szCs w:val="21"/>
          <w:highlight w:val="none"/>
        </w:rPr>
        <w:t>3.本项目的特定资格要求：</w:t>
      </w:r>
    </w:p>
    <w:p>
      <w:pPr>
        <w:widowControl w:val="0"/>
        <w:shd w:val="clear" w:color="auto" w:fill="auto"/>
        <w:adjustRightInd/>
        <w:snapToGrid/>
        <w:spacing w:line="240" w:lineRule="auto"/>
        <w:ind w:firstLine="420" w:firstLineChars="200"/>
        <w:rPr>
          <w:rFonts w:hAnsi="Times New Roman" w:cs="Times New Roman"/>
          <w:color w:val="auto"/>
          <w:kern w:val="2"/>
          <w:szCs w:val="21"/>
          <w:highlight w:val="none"/>
        </w:rPr>
      </w:pPr>
      <w:r>
        <w:rPr>
          <w:rFonts w:hint="eastAsia" w:hAnsi="Times New Roman" w:cs="Times New Roman"/>
          <w:color w:val="auto"/>
          <w:kern w:val="2"/>
          <w:szCs w:val="21"/>
          <w:highlight w:val="none"/>
        </w:rPr>
        <w:t>（1）投标人应具有独立法人资格或具有独立承担民事责任的能力的其它组织（提供营业执照或事业单位法人证书等法人证明复印件并加盖投标人公章，原件备查）；分支机构投标的，需同时提供总公司营业执照及授权文件，原件备查，且同一家总公司只能授权一家分支机构参与投标，且总公司不能与下属的分支机构同时参与投标（如为总公司参与投标的，提供总公司《营业执照》复印件并加盖投标人公章；如为分支机构参与投标，提供总公司和分支机构的《营业执照》复印件及《授权文件》，原件备查）。</w:t>
      </w:r>
    </w:p>
    <w:p>
      <w:pPr>
        <w:widowControl w:val="0"/>
        <w:shd w:val="clear" w:color="auto" w:fill="auto"/>
        <w:adjustRightInd/>
        <w:snapToGrid/>
        <w:spacing w:line="240" w:lineRule="auto"/>
        <w:ind w:firstLine="420" w:firstLineChars="200"/>
        <w:rPr>
          <w:rFonts w:hAnsi="Times New Roman" w:cs="Times New Roman"/>
          <w:color w:val="auto"/>
          <w:kern w:val="2"/>
          <w:szCs w:val="21"/>
          <w:highlight w:val="none"/>
        </w:rPr>
      </w:pPr>
      <w:r>
        <w:rPr>
          <w:rFonts w:hint="eastAsia" w:hAnsi="Times New Roman" w:cs="Times New Roman"/>
          <w:color w:val="auto"/>
          <w:kern w:val="2"/>
          <w:szCs w:val="21"/>
          <w:highlight w:val="none"/>
        </w:rPr>
        <w:t>（2）本项目不</w:t>
      </w:r>
      <w:r>
        <w:rPr>
          <w:rFonts w:hAnsi="Times New Roman" w:cs="Times New Roman"/>
          <w:color w:val="auto"/>
          <w:kern w:val="2"/>
          <w:szCs w:val="21"/>
          <w:highlight w:val="none"/>
        </w:rPr>
        <w:t>接受投标人选用进口产品参与投标。</w:t>
      </w:r>
      <w:r>
        <w:rPr>
          <w:rFonts w:hint="eastAsia" w:hAnsi="Times New Roman" w:cs="Times New Roman"/>
          <w:color w:val="auto"/>
          <w:kern w:val="2"/>
          <w:szCs w:val="21"/>
          <w:highlight w:val="none"/>
        </w:rPr>
        <w:t>（进口产品是指通过中国海关报关验收进入中国境内且产自境外的产品）。</w:t>
      </w:r>
    </w:p>
    <w:p>
      <w:pPr>
        <w:widowControl w:val="0"/>
        <w:shd w:val="clear" w:color="auto" w:fill="auto"/>
        <w:adjustRightInd/>
        <w:snapToGrid/>
        <w:spacing w:line="240" w:lineRule="auto"/>
        <w:ind w:firstLine="420" w:firstLineChars="200"/>
        <w:rPr>
          <w:rFonts w:hAnsi="Times New Roman" w:cs="Times New Roman"/>
          <w:color w:val="auto"/>
          <w:kern w:val="2"/>
          <w:szCs w:val="21"/>
          <w:highlight w:val="none"/>
        </w:rPr>
      </w:pPr>
      <w:r>
        <w:rPr>
          <w:rFonts w:hint="eastAsia" w:hAnsi="Times New Roman" w:cs="Times New Roman"/>
          <w:color w:val="auto"/>
          <w:kern w:val="2"/>
          <w:szCs w:val="21"/>
          <w:highlight w:val="none"/>
        </w:rPr>
        <w:t>（</w:t>
      </w:r>
      <w:r>
        <w:rPr>
          <w:rFonts w:hAnsi="Times New Roman" w:cs="Times New Roman"/>
          <w:color w:val="auto"/>
          <w:kern w:val="2"/>
          <w:szCs w:val="21"/>
          <w:highlight w:val="none"/>
        </w:rPr>
        <w:t>3</w:t>
      </w:r>
      <w:r>
        <w:rPr>
          <w:rFonts w:hint="eastAsia" w:hAnsi="Times New Roman" w:cs="Times New Roman"/>
          <w:color w:val="auto"/>
          <w:kern w:val="2"/>
          <w:szCs w:val="21"/>
          <w:highlight w:val="none"/>
        </w:rPr>
        <w:t>）</w:t>
      </w:r>
      <w:r>
        <w:rPr>
          <w:rFonts w:hAnsi="Times New Roman" w:cs="Times New Roman"/>
          <w:color w:val="auto"/>
          <w:kern w:val="2"/>
          <w:szCs w:val="21"/>
          <w:highlight w:val="none"/>
        </w:rPr>
        <w:t>根据财库〔2016〕125号文的有关规定，投标人需未被列入失信被执行人、重大税收违法案件当事人名单、政府采购严重违法失信行为记录名单（提供书面《</w:t>
      </w:r>
      <w:r>
        <w:rPr>
          <w:rFonts w:hint="eastAsia" w:hAnsi="Times New Roman" w:cs="Times New Roman"/>
          <w:color w:val="auto"/>
          <w:kern w:val="2"/>
          <w:szCs w:val="21"/>
          <w:highlight w:val="none"/>
        </w:rPr>
        <w:t>投标人资格声明函</w:t>
      </w:r>
      <w:r>
        <w:rPr>
          <w:rFonts w:hAnsi="Times New Roman" w:cs="Times New Roman"/>
          <w:color w:val="auto"/>
          <w:kern w:val="2"/>
          <w:szCs w:val="21"/>
          <w:highlight w:val="none"/>
        </w:rPr>
        <w:t>》加盖公章，采购代理机构将通过“信用中国”网站（www.creditchina.gov.cn）、中国政府采购网（www.ccgp.gov.cn）等渠道查询相关主体信用记录，并做好信用信息查询记录和证据留存，信用信息查询记录及相关证据将与其他采购文件一并保存）。</w:t>
      </w:r>
    </w:p>
    <w:p>
      <w:pPr>
        <w:widowControl w:val="0"/>
        <w:shd w:val="clear" w:color="auto" w:fill="auto"/>
        <w:adjustRightInd/>
        <w:snapToGrid/>
        <w:spacing w:line="240" w:lineRule="auto"/>
        <w:ind w:firstLine="420" w:firstLineChars="200"/>
        <w:rPr>
          <w:rFonts w:hAnsi="Times New Roman" w:cs="Times New Roman"/>
          <w:color w:val="auto"/>
          <w:kern w:val="2"/>
          <w:szCs w:val="21"/>
          <w:highlight w:val="none"/>
        </w:rPr>
      </w:pPr>
      <w:r>
        <w:rPr>
          <w:rFonts w:hint="eastAsia" w:hAnsi="Times New Roman" w:cs="Times New Roman"/>
          <w:color w:val="auto"/>
          <w:kern w:val="2"/>
          <w:szCs w:val="21"/>
          <w:highlight w:val="none"/>
        </w:rPr>
        <w:t>（4）投标人参与本项目投标前三年内，在经营活动中没有重大违法记录（提供《投标人资格声明函》，并加盖投标人公章）。</w:t>
      </w:r>
    </w:p>
    <w:p>
      <w:pPr>
        <w:widowControl w:val="0"/>
        <w:shd w:val="clear" w:color="auto" w:fill="auto"/>
        <w:adjustRightInd/>
        <w:snapToGrid/>
        <w:spacing w:line="240" w:lineRule="auto"/>
        <w:ind w:firstLine="420" w:firstLineChars="200"/>
        <w:rPr>
          <w:rFonts w:hAnsi="Times New Roman" w:cs="Times New Roman"/>
          <w:color w:val="auto"/>
          <w:kern w:val="2"/>
          <w:szCs w:val="21"/>
          <w:highlight w:val="none"/>
        </w:rPr>
      </w:pPr>
      <w:r>
        <w:rPr>
          <w:rFonts w:hint="eastAsia" w:hAnsi="Times New Roman" w:cs="Times New Roman"/>
          <w:color w:val="auto"/>
          <w:kern w:val="2"/>
          <w:szCs w:val="21"/>
          <w:highlight w:val="none"/>
        </w:rPr>
        <w:t>（5）投标人参与本项目投标近三年内，在经营活动中没有发生重大安全和质量事故（提供《投标人资格声明函》，并加盖投标人公章）。</w:t>
      </w:r>
    </w:p>
    <w:p>
      <w:pPr>
        <w:widowControl w:val="0"/>
        <w:shd w:val="clear" w:color="auto" w:fill="auto"/>
        <w:adjustRightInd/>
        <w:snapToGrid/>
        <w:spacing w:line="240" w:lineRule="auto"/>
        <w:ind w:firstLine="420" w:firstLineChars="200"/>
        <w:rPr>
          <w:rFonts w:hAnsi="Times New Roman" w:cs="Times New Roman"/>
          <w:color w:val="auto"/>
          <w:kern w:val="2"/>
          <w:szCs w:val="21"/>
          <w:highlight w:val="none"/>
        </w:rPr>
      </w:pPr>
      <w:r>
        <w:rPr>
          <w:rFonts w:hint="eastAsia" w:hAnsi="Times New Roman" w:cs="Times New Roman"/>
          <w:color w:val="auto"/>
          <w:kern w:val="2"/>
          <w:szCs w:val="21"/>
          <w:highlight w:val="none"/>
        </w:rPr>
        <w:t>（6）投标人参与本项目政府采购活动时不存在被有关部门禁止参与政府采购活动且在有效期内的情况（提供《投标人资格声明函》，并加盖投标人公章）。</w:t>
      </w:r>
    </w:p>
    <w:p>
      <w:pPr>
        <w:widowControl w:val="0"/>
        <w:shd w:val="clear" w:color="auto" w:fill="auto"/>
        <w:adjustRightInd/>
        <w:snapToGrid/>
        <w:spacing w:line="240" w:lineRule="auto"/>
        <w:ind w:firstLine="420" w:firstLineChars="200"/>
        <w:rPr>
          <w:rFonts w:hAnsi="Times New Roman" w:cs="Times New Roman"/>
          <w:color w:val="auto"/>
          <w:kern w:val="2"/>
          <w:szCs w:val="21"/>
          <w:highlight w:val="none"/>
        </w:rPr>
      </w:pPr>
      <w:r>
        <w:rPr>
          <w:rFonts w:hint="eastAsia" w:hAnsi="Times New Roman" w:cs="Times New Roman"/>
          <w:color w:val="auto"/>
          <w:kern w:val="2"/>
          <w:szCs w:val="21"/>
          <w:highlight w:val="none"/>
        </w:rPr>
        <w:t>（7）单位负责人为同一人或者存在直接控股、管理关系的不同供应商，不得参加同一合同项下的政府采购活动（提供《投标人资格声明函》，并加盖投标人公章，采购代理机构将通过国家企业信用信息公示系统（https://www.gsxt.gov.cn/index.html）或机关赋码和事业单位登记管理网（http://www.gjsy.gov.cn/sydwfrxxcx/）或全国社会组织信用信息公示平台（https://xxgs.chinanpo.mca.gov.cn/gsxt/newList）网站查询投标人信息，并做好信用信息查询记录和证据留存，信用信息查询记录及相关证据将与其他采购文件一并保存，相关信息以截标当日的查询结果为准）。</w:t>
      </w:r>
    </w:p>
    <w:p>
      <w:pPr>
        <w:widowControl w:val="0"/>
        <w:shd w:val="clear" w:color="auto" w:fill="auto"/>
        <w:adjustRightInd/>
        <w:snapToGrid/>
        <w:spacing w:line="240" w:lineRule="auto"/>
        <w:ind w:firstLine="420" w:firstLineChars="200"/>
        <w:rPr>
          <w:rFonts w:hAnsi="Times New Roman" w:cs="Times New Roman"/>
          <w:color w:val="auto"/>
          <w:kern w:val="2"/>
          <w:szCs w:val="21"/>
          <w:highlight w:val="none"/>
        </w:rPr>
      </w:pPr>
      <w:r>
        <w:rPr>
          <w:rFonts w:hint="eastAsia" w:hAnsi="Times New Roman" w:cs="Times New Roman"/>
          <w:color w:val="auto"/>
          <w:kern w:val="2"/>
          <w:szCs w:val="21"/>
          <w:highlight w:val="none"/>
        </w:rPr>
        <w:t>（8）为采购项目提供整体设计、规范编制或者项目管理、监理、检测等服务的供应商，不得再参加该采购项目的其他采购活动（提供《投标人资格声明函》，并加盖投标人公章）。</w:t>
      </w:r>
    </w:p>
    <w:p>
      <w:pPr>
        <w:widowControl w:val="0"/>
        <w:shd w:val="clear" w:color="auto" w:fill="auto"/>
        <w:adjustRightInd/>
        <w:snapToGrid/>
        <w:spacing w:line="240" w:lineRule="auto"/>
        <w:ind w:firstLine="420" w:firstLineChars="200"/>
        <w:rPr>
          <w:rFonts w:hint="eastAsia" w:hAnsi="Times New Roman" w:cs="Times New Roman" w:eastAsiaTheme="minorEastAsia"/>
          <w:color w:val="auto"/>
          <w:kern w:val="2"/>
          <w:szCs w:val="21"/>
          <w:highlight w:val="none"/>
          <w:lang w:eastAsia="zh-CN"/>
        </w:rPr>
      </w:pPr>
      <w:r>
        <w:rPr>
          <w:rFonts w:hint="eastAsia" w:hAnsi="Times New Roman" w:cs="Times New Roman"/>
          <w:color w:val="auto"/>
          <w:kern w:val="2"/>
          <w:szCs w:val="21"/>
          <w:highlight w:val="none"/>
        </w:rPr>
        <w:t>（9）参与本项目政府采购活动不存在与其他采购参加人串通投标、隐瞒真实情况、提供虚假资料等违法违规情形（提供《投标人资格声明函》，并加盖投标人公章）</w:t>
      </w:r>
      <w:r>
        <w:rPr>
          <w:rFonts w:hint="eastAsia" w:hAnsi="Times New Roman" w:cs="Times New Roman"/>
          <w:color w:val="auto"/>
          <w:kern w:val="2"/>
          <w:szCs w:val="21"/>
          <w:highlight w:val="none"/>
          <w:lang w:eastAsia="zh-CN"/>
        </w:rPr>
        <w:t>。</w:t>
      </w:r>
    </w:p>
    <w:p>
      <w:pPr>
        <w:widowControl w:val="0"/>
        <w:shd w:val="clear" w:color="auto" w:fill="auto"/>
        <w:adjustRightInd/>
        <w:snapToGrid/>
        <w:spacing w:line="240" w:lineRule="auto"/>
        <w:ind w:firstLine="420" w:firstLineChars="200"/>
        <w:rPr>
          <w:rFonts w:hAnsi="Times New Roman" w:cs="Times New Roman"/>
          <w:color w:val="auto"/>
          <w:kern w:val="2"/>
          <w:szCs w:val="21"/>
          <w:highlight w:val="none"/>
        </w:rPr>
      </w:pPr>
      <w:r>
        <w:rPr>
          <w:rFonts w:hint="eastAsia" w:hAnsi="Times New Roman" w:cs="Times New Roman"/>
          <w:color w:val="auto"/>
          <w:kern w:val="2"/>
          <w:szCs w:val="21"/>
          <w:highlight w:val="none"/>
        </w:rPr>
        <w:t>（10）本项目不接受联合体形式进行投标，不允许转包及分包。</w:t>
      </w:r>
    </w:p>
    <w:p>
      <w:pPr>
        <w:spacing w:line="240" w:lineRule="auto"/>
        <w:rPr>
          <w:rFonts w:hint="eastAsia"/>
          <w:b/>
          <w:color w:val="auto"/>
          <w:kern w:val="2"/>
          <w:szCs w:val="21"/>
          <w:highlight w:val="none"/>
        </w:rPr>
      </w:pPr>
      <w:r>
        <w:rPr>
          <w:rFonts w:hint="eastAsia"/>
          <w:b/>
          <w:color w:val="auto"/>
          <w:kern w:val="2"/>
          <w:szCs w:val="21"/>
          <w:highlight w:val="none"/>
        </w:rPr>
        <w:t>三、获取招标文件</w:t>
      </w:r>
      <w:bookmarkEnd w:id="16"/>
      <w:bookmarkEnd w:id="17"/>
      <w:bookmarkEnd w:id="18"/>
      <w:bookmarkEnd w:id="19"/>
    </w:p>
    <w:p>
      <w:pPr>
        <w:widowControl w:val="0"/>
        <w:shd w:val="clear" w:color="auto" w:fill="auto"/>
        <w:adjustRightInd/>
        <w:snapToGrid/>
        <w:spacing w:line="240" w:lineRule="auto"/>
        <w:ind w:firstLine="420" w:firstLineChars="200"/>
        <w:rPr>
          <w:rFonts w:hAnsi="Times New Roman" w:cs="Times New Roman"/>
          <w:color w:val="auto"/>
          <w:kern w:val="2"/>
          <w:szCs w:val="21"/>
          <w:highlight w:val="none"/>
        </w:rPr>
      </w:pPr>
      <w:r>
        <w:rPr>
          <w:rFonts w:hint="eastAsia" w:hAnsi="Times New Roman" w:cs="Times New Roman"/>
          <w:color w:val="auto"/>
          <w:kern w:val="2"/>
          <w:szCs w:val="21"/>
          <w:highlight w:val="none"/>
        </w:rPr>
        <w:t>时间：</w:t>
      </w:r>
      <w:r>
        <w:rPr>
          <w:rFonts w:hAnsi="Times New Roman" w:cs="Times New Roman"/>
          <w:color w:val="auto"/>
          <w:kern w:val="2"/>
          <w:szCs w:val="21"/>
          <w:highlight w:val="none"/>
        </w:rPr>
        <w:t>2024年</w:t>
      </w:r>
      <w:r>
        <w:rPr>
          <w:rFonts w:hint="eastAsia" w:hAnsi="Times New Roman" w:cs="Times New Roman"/>
          <w:color w:val="auto"/>
          <w:kern w:val="2"/>
          <w:szCs w:val="21"/>
          <w:highlight w:val="none"/>
          <w:lang w:val="en-US" w:eastAsia="zh-CN"/>
        </w:rPr>
        <w:t>10</w:t>
      </w:r>
      <w:r>
        <w:rPr>
          <w:rFonts w:hAnsi="Times New Roman" w:cs="Times New Roman"/>
          <w:color w:val="auto"/>
          <w:kern w:val="2"/>
          <w:szCs w:val="21"/>
          <w:highlight w:val="none"/>
        </w:rPr>
        <w:t>月</w:t>
      </w:r>
      <w:r>
        <w:rPr>
          <w:rFonts w:hint="eastAsia" w:hAnsi="Times New Roman" w:cs="Times New Roman"/>
          <w:color w:val="auto"/>
          <w:kern w:val="2"/>
          <w:szCs w:val="21"/>
          <w:highlight w:val="none"/>
          <w:lang w:val="en-US" w:eastAsia="zh-CN"/>
        </w:rPr>
        <w:t>23</w:t>
      </w:r>
      <w:r>
        <w:rPr>
          <w:rFonts w:hAnsi="Times New Roman" w:cs="Times New Roman"/>
          <w:color w:val="auto"/>
          <w:kern w:val="2"/>
          <w:szCs w:val="21"/>
          <w:highlight w:val="none"/>
        </w:rPr>
        <w:t>日至2024年</w:t>
      </w:r>
      <w:r>
        <w:rPr>
          <w:rFonts w:hint="eastAsia" w:hAnsi="Times New Roman" w:cs="Times New Roman"/>
          <w:color w:val="auto"/>
          <w:kern w:val="2"/>
          <w:szCs w:val="21"/>
          <w:highlight w:val="none"/>
          <w:lang w:val="en-US" w:eastAsia="zh-CN"/>
        </w:rPr>
        <w:t>11</w:t>
      </w:r>
      <w:r>
        <w:rPr>
          <w:rFonts w:hAnsi="Times New Roman" w:cs="Times New Roman"/>
          <w:color w:val="auto"/>
          <w:kern w:val="2"/>
          <w:szCs w:val="21"/>
          <w:highlight w:val="none"/>
        </w:rPr>
        <w:t>月</w:t>
      </w:r>
      <w:r>
        <w:rPr>
          <w:rFonts w:hint="eastAsia" w:hAnsi="Times New Roman" w:cs="Times New Roman"/>
          <w:color w:val="auto"/>
          <w:kern w:val="2"/>
          <w:szCs w:val="21"/>
          <w:highlight w:val="none"/>
          <w:lang w:val="en-US" w:eastAsia="zh-CN"/>
        </w:rPr>
        <w:t>5</w:t>
      </w:r>
      <w:r>
        <w:rPr>
          <w:rFonts w:hAnsi="Times New Roman" w:cs="Times New Roman"/>
          <w:color w:val="auto"/>
          <w:kern w:val="2"/>
          <w:szCs w:val="21"/>
          <w:highlight w:val="none"/>
        </w:rPr>
        <w:t>日</w:t>
      </w:r>
      <w:r>
        <w:rPr>
          <w:rFonts w:hint="eastAsia" w:hAnsi="Times New Roman" w:cs="Times New Roman"/>
          <w:color w:val="auto"/>
          <w:kern w:val="2"/>
          <w:szCs w:val="21"/>
          <w:highlight w:val="none"/>
        </w:rPr>
        <w:t>，每天上午9:00至12:00，下午14:00至18:00（北京时间，</w:t>
      </w:r>
      <w:r>
        <w:rPr>
          <w:rFonts w:hAnsi="Times New Roman" w:cs="Times New Roman"/>
          <w:color w:val="auto"/>
          <w:kern w:val="2"/>
          <w:szCs w:val="21"/>
          <w:highlight w:val="none"/>
        </w:rPr>
        <w:t>法定节假日</w:t>
      </w:r>
      <w:r>
        <w:rPr>
          <w:rFonts w:hint="eastAsia" w:hAnsi="Times New Roman" w:cs="Times New Roman"/>
          <w:color w:val="auto"/>
          <w:kern w:val="2"/>
          <w:szCs w:val="21"/>
          <w:highlight w:val="none"/>
        </w:rPr>
        <w:t>除外）</w:t>
      </w:r>
    </w:p>
    <w:p>
      <w:pPr>
        <w:widowControl w:val="0"/>
        <w:shd w:val="clear" w:color="auto" w:fill="auto"/>
        <w:adjustRightInd/>
        <w:snapToGrid/>
        <w:spacing w:line="240" w:lineRule="auto"/>
        <w:ind w:firstLine="420" w:firstLineChars="200"/>
        <w:rPr>
          <w:rFonts w:hAnsi="Times New Roman" w:cs="Times New Roman"/>
          <w:color w:val="auto"/>
          <w:kern w:val="2"/>
          <w:szCs w:val="21"/>
          <w:highlight w:val="none"/>
        </w:rPr>
      </w:pPr>
      <w:r>
        <w:rPr>
          <w:rFonts w:hint="eastAsia" w:hAnsi="Times New Roman" w:cs="Times New Roman"/>
          <w:color w:val="auto"/>
          <w:kern w:val="2"/>
          <w:szCs w:val="21"/>
          <w:highlight w:val="none"/>
        </w:rPr>
        <w:t>地点：深圳市罗湖区清水河街道清水河社区清水河一路112号罗湖投资控股大厦裙楼401</w:t>
      </w:r>
    </w:p>
    <w:p>
      <w:pPr>
        <w:widowControl w:val="0"/>
        <w:shd w:val="clear" w:color="auto" w:fill="auto"/>
        <w:adjustRightInd/>
        <w:snapToGrid/>
        <w:spacing w:line="240" w:lineRule="auto"/>
        <w:ind w:firstLine="420" w:firstLineChars="200"/>
        <w:rPr>
          <w:rFonts w:hAnsi="Times New Roman" w:cs="Times New Roman"/>
          <w:color w:val="auto"/>
          <w:kern w:val="2"/>
          <w:szCs w:val="21"/>
          <w:highlight w:val="none"/>
        </w:rPr>
      </w:pPr>
      <w:r>
        <w:rPr>
          <w:rFonts w:hint="eastAsia" w:hAnsi="Times New Roman" w:cs="Times New Roman"/>
          <w:color w:val="auto"/>
          <w:kern w:val="2"/>
          <w:szCs w:val="21"/>
          <w:highlight w:val="none"/>
        </w:rPr>
        <w:t>方式：现场购买。</w:t>
      </w:r>
    </w:p>
    <w:p>
      <w:pPr>
        <w:widowControl w:val="0"/>
        <w:shd w:val="clear" w:color="auto" w:fill="auto"/>
        <w:adjustRightInd/>
        <w:snapToGrid/>
        <w:spacing w:line="240" w:lineRule="auto"/>
        <w:ind w:firstLine="420" w:firstLineChars="200"/>
        <w:rPr>
          <w:rFonts w:hAnsi="Times New Roman" w:cs="Times New Roman"/>
          <w:color w:val="auto"/>
          <w:kern w:val="2"/>
          <w:szCs w:val="21"/>
          <w:highlight w:val="none"/>
        </w:rPr>
      </w:pPr>
      <w:r>
        <w:rPr>
          <w:rFonts w:hint="eastAsia" w:hAnsi="Times New Roman" w:cs="Times New Roman"/>
          <w:color w:val="auto"/>
          <w:kern w:val="2"/>
          <w:szCs w:val="21"/>
          <w:highlight w:val="none"/>
        </w:rPr>
        <w:t>报名须提交：投标人的营业执照复印件；法定代表人（单位负责人）证明书原件、法定代表人（单位负责人）身份证复印件、授权委托书原件、被授权委托人身份证复印件、被授权委托人联系方式（电话、邮箱）。以上资料均需加盖公章，原件中标备查。</w:t>
      </w:r>
    </w:p>
    <w:p>
      <w:pPr>
        <w:widowControl w:val="0"/>
        <w:shd w:val="clear" w:color="auto" w:fill="auto"/>
        <w:adjustRightInd/>
        <w:snapToGrid/>
        <w:spacing w:line="240" w:lineRule="auto"/>
        <w:ind w:firstLine="420" w:firstLineChars="200"/>
        <w:rPr>
          <w:rFonts w:hAnsi="Times New Roman" w:cs="Times New Roman"/>
          <w:color w:val="auto"/>
          <w:kern w:val="2"/>
          <w:szCs w:val="21"/>
          <w:highlight w:val="none"/>
        </w:rPr>
      </w:pPr>
      <w:r>
        <w:rPr>
          <w:rFonts w:hint="eastAsia" w:hAnsi="Times New Roman" w:cs="Times New Roman"/>
          <w:color w:val="auto"/>
          <w:kern w:val="2"/>
          <w:szCs w:val="21"/>
          <w:highlight w:val="none"/>
        </w:rPr>
        <w:t>售价：500元/份，本公告包含的招标文件售价总和</w:t>
      </w:r>
    </w:p>
    <w:p>
      <w:pPr>
        <w:spacing w:line="240" w:lineRule="auto"/>
        <w:rPr>
          <w:rFonts w:hint="eastAsia"/>
          <w:b/>
          <w:color w:val="auto"/>
          <w:kern w:val="2"/>
          <w:szCs w:val="21"/>
          <w:highlight w:val="none"/>
        </w:rPr>
      </w:pPr>
      <w:bookmarkStart w:id="20" w:name="_Toc28359082"/>
      <w:bookmarkStart w:id="21" w:name="_Toc28359005"/>
      <w:bookmarkStart w:id="22" w:name="_Toc35393793"/>
      <w:bookmarkStart w:id="23" w:name="_Toc35393624"/>
      <w:r>
        <w:rPr>
          <w:rFonts w:hint="eastAsia"/>
          <w:b/>
          <w:color w:val="auto"/>
          <w:kern w:val="2"/>
          <w:szCs w:val="21"/>
          <w:highlight w:val="none"/>
        </w:rPr>
        <w:t>四、提交投标文件</w:t>
      </w:r>
      <w:bookmarkEnd w:id="20"/>
      <w:bookmarkEnd w:id="21"/>
      <w:r>
        <w:rPr>
          <w:rFonts w:hint="eastAsia"/>
          <w:b/>
          <w:color w:val="auto"/>
          <w:kern w:val="2"/>
          <w:szCs w:val="21"/>
          <w:highlight w:val="none"/>
        </w:rPr>
        <w:t>截止时间、开标时间和地点</w:t>
      </w:r>
      <w:bookmarkEnd w:id="22"/>
      <w:bookmarkEnd w:id="23"/>
    </w:p>
    <w:p>
      <w:pPr>
        <w:widowControl w:val="0"/>
        <w:shd w:val="clear" w:color="auto" w:fill="auto"/>
        <w:adjustRightInd/>
        <w:snapToGrid/>
        <w:spacing w:line="240" w:lineRule="auto"/>
        <w:ind w:firstLine="420" w:firstLineChars="200"/>
        <w:rPr>
          <w:rFonts w:hint="eastAsia" w:cs="Times New Roman"/>
          <w:bCs/>
          <w:color w:val="auto"/>
          <w:kern w:val="2"/>
          <w:szCs w:val="21"/>
          <w:highlight w:val="none"/>
        </w:rPr>
      </w:pPr>
      <w:r>
        <w:rPr>
          <w:rFonts w:hint="eastAsia" w:cs="Times New Roman"/>
          <w:bCs/>
          <w:color w:val="auto"/>
          <w:kern w:val="2"/>
          <w:szCs w:val="21"/>
          <w:highlight w:val="none"/>
        </w:rPr>
        <w:t>提交投标文件截止时间：2024年11月15日09点30分（北京时间）</w:t>
      </w:r>
    </w:p>
    <w:p>
      <w:pPr>
        <w:widowControl w:val="0"/>
        <w:shd w:val="clear" w:color="auto" w:fill="auto"/>
        <w:adjustRightInd/>
        <w:snapToGrid/>
        <w:spacing w:line="240" w:lineRule="auto"/>
        <w:ind w:firstLine="420" w:firstLineChars="200"/>
        <w:rPr>
          <w:rFonts w:hAnsi="Times New Roman" w:cs="Times New Roman"/>
          <w:color w:val="auto"/>
          <w:kern w:val="2"/>
          <w:szCs w:val="21"/>
          <w:highlight w:val="none"/>
        </w:rPr>
      </w:pPr>
      <w:r>
        <w:rPr>
          <w:rFonts w:hint="eastAsia" w:hAnsi="Times New Roman" w:cs="Times New Roman"/>
          <w:color w:val="auto"/>
          <w:kern w:val="2"/>
          <w:szCs w:val="21"/>
          <w:highlight w:val="none"/>
        </w:rPr>
        <w:t>开标时间：2024年11月15日09点30分（北京时间）</w:t>
      </w:r>
    </w:p>
    <w:p>
      <w:pPr>
        <w:widowControl w:val="0"/>
        <w:shd w:val="clear" w:color="auto" w:fill="auto"/>
        <w:adjustRightInd/>
        <w:snapToGrid/>
        <w:spacing w:line="240" w:lineRule="auto"/>
        <w:ind w:firstLine="420" w:firstLineChars="200"/>
        <w:rPr>
          <w:rFonts w:hint="eastAsia" w:cs="Times New Roman"/>
          <w:color w:val="auto"/>
          <w:kern w:val="2"/>
          <w:szCs w:val="21"/>
          <w:highlight w:val="none"/>
        </w:rPr>
      </w:pPr>
      <w:r>
        <w:rPr>
          <w:rFonts w:hint="eastAsia" w:cs="Times New Roman"/>
          <w:color w:val="auto"/>
          <w:kern w:val="2"/>
          <w:szCs w:val="21"/>
          <w:highlight w:val="none"/>
        </w:rPr>
        <w:t>地点：深圳市罗湖区清水河街道清水河社区清水河一路112号罗湖投资控股大厦裙楼401</w:t>
      </w:r>
    </w:p>
    <w:p>
      <w:pPr>
        <w:spacing w:line="240" w:lineRule="auto"/>
        <w:rPr>
          <w:rFonts w:hint="eastAsia"/>
          <w:b/>
          <w:color w:val="auto"/>
          <w:kern w:val="2"/>
          <w:szCs w:val="21"/>
          <w:highlight w:val="none"/>
        </w:rPr>
      </w:pPr>
      <w:bookmarkStart w:id="24" w:name="_Toc35393625"/>
      <w:bookmarkStart w:id="25" w:name="_Toc35393794"/>
      <w:bookmarkStart w:id="26" w:name="_Toc28359007"/>
      <w:bookmarkStart w:id="27" w:name="_Toc28359084"/>
      <w:r>
        <w:rPr>
          <w:rFonts w:hint="eastAsia"/>
          <w:b/>
          <w:color w:val="auto"/>
          <w:kern w:val="2"/>
          <w:szCs w:val="21"/>
          <w:highlight w:val="none"/>
        </w:rPr>
        <w:t>五、公告期限</w:t>
      </w:r>
      <w:bookmarkEnd w:id="24"/>
      <w:bookmarkEnd w:id="25"/>
      <w:bookmarkEnd w:id="26"/>
      <w:bookmarkEnd w:id="27"/>
    </w:p>
    <w:p>
      <w:pPr>
        <w:widowControl w:val="0"/>
        <w:shd w:val="clear" w:color="auto" w:fill="auto"/>
        <w:adjustRightInd/>
        <w:snapToGrid/>
        <w:spacing w:line="240" w:lineRule="auto"/>
        <w:ind w:firstLine="420" w:firstLineChars="200"/>
        <w:rPr>
          <w:rFonts w:hint="eastAsia"/>
          <w:color w:val="auto"/>
          <w:szCs w:val="21"/>
          <w:highlight w:val="none"/>
        </w:rPr>
      </w:pPr>
      <w:r>
        <w:rPr>
          <w:rFonts w:hint="eastAsia"/>
          <w:color w:val="auto"/>
          <w:szCs w:val="21"/>
          <w:highlight w:val="none"/>
        </w:rPr>
        <w:t>自本公告发布之日起5个工作日。</w:t>
      </w:r>
      <w:bookmarkStart w:id="28" w:name="_Toc35393626"/>
      <w:bookmarkStart w:id="29" w:name="_Toc35393795"/>
    </w:p>
    <w:p>
      <w:pPr>
        <w:spacing w:line="240" w:lineRule="auto"/>
        <w:rPr>
          <w:rFonts w:hint="eastAsia"/>
          <w:b/>
          <w:color w:val="auto"/>
          <w:kern w:val="2"/>
          <w:szCs w:val="21"/>
          <w:highlight w:val="none"/>
        </w:rPr>
      </w:pPr>
      <w:r>
        <w:rPr>
          <w:rFonts w:hint="eastAsia"/>
          <w:b/>
          <w:color w:val="auto"/>
          <w:kern w:val="2"/>
          <w:szCs w:val="21"/>
          <w:highlight w:val="none"/>
        </w:rPr>
        <w:t>六、</w:t>
      </w:r>
      <w:bookmarkStart w:id="30" w:name="_Hlk155780018"/>
      <w:r>
        <w:rPr>
          <w:rFonts w:hint="eastAsia"/>
          <w:b/>
          <w:color w:val="auto"/>
          <w:kern w:val="2"/>
          <w:szCs w:val="21"/>
          <w:highlight w:val="none"/>
        </w:rPr>
        <w:t>其他补充事宜</w:t>
      </w:r>
      <w:bookmarkEnd w:id="28"/>
      <w:bookmarkEnd w:id="29"/>
      <w:bookmarkEnd w:id="30"/>
    </w:p>
    <w:p>
      <w:pPr>
        <w:widowControl w:val="0"/>
        <w:shd w:val="clear" w:color="auto" w:fill="auto"/>
        <w:adjustRightInd/>
        <w:snapToGrid/>
        <w:spacing w:line="240" w:lineRule="auto"/>
        <w:ind w:left="495"/>
        <w:rPr>
          <w:rFonts w:hint="eastAsia" w:cs="Times New Roman"/>
          <w:color w:val="auto"/>
          <w:kern w:val="2"/>
          <w:szCs w:val="21"/>
          <w:highlight w:val="none"/>
        </w:rPr>
      </w:pPr>
      <w:r>
        <w:rPr>
          <w:rFonts w:hint="eastAsia" w:cs="Times New Roman"/>
          <w:color w:val="auto"/>
          <w:kern w:val="2"/>
          <w:szCs w:val="21"/>
          <w:highlight w:val="none"/>
        </w:rPr>
        <w:t>1</w:t>
      </w:r>
      <w:r>
        <w:rPr>
          <w:rFonts w:cs="Times New Roman"/>
          <w:color w:val="auto"/>
          <w:kern w:val="2"/>
          <w:szCs w:val="21"/>
          <w:highlight w:val="none"/>
        </w:rPr>
        <w:t>.</w:t>
      </w:r>
      <w:r>
        <w:rPr>
          <w:rFonts w:hint="eastAsia" w:cs="Times New Roman"/>
          <w:color w:val="auto"/>
          <w:kern w:val="2"/>
          <w:szCs w:val="21"/>
          <w:highlight w:val="none"/>
        </w:rPr>
        <w:t>答疑事项：</w:t>
      </w:r>
    </w:p>
    <w:p>
      <w:pPr>
        <w:widowControl w:val="0"/>
        <w:shd w:val="clear" w:color="auto" w:fill="auto"/>
        <w:adjustRightInd/>
        <w:snapToGrid/>
        <w:spacing w:line="240" w:lineRule="auto"/>
        <w:ind w:firstLine="420" w:firstLineChars="200"/>
        <w:rPr>
          <w:rFonts w:hint="eastAsia" w:cs="Times New Roman"/>
          <w:color w:val="auto"/>
          <w:kern w:val="2"/>
          <w:szCs w:val="21"/>
          <w:highlight w:val="none"/>
        </w:rPr>
      </w:pPr>
      <w:r>
        <w:rPr>
          <w:rFonts w:hint="eastAsia" w:cs="Times New Roman"/>
          <w:color w:val="auto"/>
          <w:kern w:val="2"/>
          <w:szCs w:val="21"/>
          <w:highlight w:val="none"/>
        </w:rPr>
        <w:t>（1）本项目实行网下纸质答疑，凡对招标文件有任何疑问的（包括认为招标文件的技术指标或参数存在排他性或歧视性条款），请投标供应商在获取采购文件或者采购文件公告期限届满之日起</w:t>
      </w:r>
      <w:r>
        <w:rPr>
          <w:rFonts w:cs="Times New Roman"/>
          <w:color w:val="auto"/>
          <w:kern w:val="2"/>
          <w:szCs w:val="21"/>
          <w:highlight w:val="none"/>
        </w:rPr>
        <w:t>7个工作日内对采购文件提出质疑，根据《中华人民共和国政府采购法》第六章、《中华人民共和国政府采购法实施条例》的有关质疑的指引及要求填写质疑函件，并将质疑函件以及相关质疑内容的证明材料原件送达深圳市深水水务咨询有限公司，逾期不受理。</w:t>
      </w:r>
    </w:p>
    <w:p>
      <w:pPr>
        <w:widowControl w:val="0"/>
        <w:shd w:val="clear" w:color="auto" w:fill="auto"/>
        <w:adjustRightInd/>
        <w:snapToGrid/>
        <w:spacing w:line="240" w:lineRule="auto"/>
        <w:ind w:firstLine="420" w:firstLineChars="200"/>
        <w:rPr>
          <w:rFonts w:hint="eastAsia" w:cs="Times New Roman"/>
          <w:color w:val="auto"/>
          <w:kern w:val="2"/>
          <w:szCs w:val="21"/>
          <w:highlight w:val="none"/>
        </w:rPr>
      </w:pPr>
      <w:r>
        <w:rPr>
          <w:rFonts w:hint="eastAsia" w:cs="Times New Roman"/>
          <w:color w:val="auto"/>
          <w:kern w:val="2"/>
          <w:szCs w:val="21"/>
          <w:highlight w:val="none"/>
        </w:rPr>
        <w:t>（2）投标供应商有义务在招标活动期间浏览本公告“六、其他补充事宜”中的相关网站，采购人在上述网站上公布的与本次招标项目有关的信息视为已送达各投标供应商。采购代理机构将答疑情况或相关的补充公告（说明）在相关网站公布，请投标供应商及时关注本项目的投标答疑情况。投标供应商因疏忽，未及时登录相关网站了解相关的答疑情况及补充说明，产生的不利后果由投标供应商自行承担。</w:t>
      </w:r>
    </w:p>
    <w:p>
      <w:pPr>
        <w:widowControl w:val="0"/>
        <w:shd w:val="clear" w:color="auto" w:fill="auto"/>
        <w:adjustRightInd/>
        <w:snapToGrid/>
        <w:spacing w:line="240" w:lineRule="auto"/>
        <w:ind w:firstLine="420" w:firstLineChars="200"/>
        <w:rPr>
          <w:rFonts w:hint="eastAsia" w:cs="Times New Roman"/>
          <w:color w:val="auto"/>
          <w:kern w:val="2"/>
          <w:szCs w:val="21"/>
          <w:highlight w:val="none"/>
        </w:rPr>
      </w:pPr>
      <w:r>
        <w:rPr>
          <w:rFonts w:hint="eastAsia" w:cs="Times New Roman"/>
          <w:color w:val="auto"/>
          <w:kern w:val="2"/>
          <w:szCs w:val="21"/>
          <w:highlight w:val="none"/>
        </w:rPr>
        <w:t>2</w:t>
      </w:r>
      <w:r>
        <w:rPr>
          <w:rFonts w:cs="Times New Roman"/>
          <w:color w:val="auto"/>
          <w:kern w:val="2"/>
          <w:szCs w:val="21"/>
          <w:highlight w:val="none"/>
        </w:rPr>
        <w:t>.</w:t>
      </w:r>
      <w:r>
        <w:rPr>
          <w:rFonts w:hint="eastAsia" w:cs="Times New Roman"/>
          <w:color w:val="auto"/>
          <w:kern w:val="2"/>
          <w:szCs w:val="21"/>
          <w:highlight w:val="none"/>
        </w:rPr>
        <w:t>投标文件提交方式补充说明：</w:t>
      </w:r>
    </w:p>
    <w:p>
      <w:pPr>
        <w:widowControl w:val="0"/>
        <w:shd w:val="clear" w:color="auto" w:fill="auto"/>
        <w:adjustRightInd/>
        <w:snapToGrid/>
        <w:spacing w:line="240" w:lineRule="auto"/>
        <w:ind w:firstLine="420" w:firstLineChars="200"/>
        <w:rPr>
          <w:rFonts w:hint="eastAsia" w:cs="Times New Roman"/>
          <w:color w:val="auto"/>
          <w:kern w:val="2"/>
          <w:szCs w:val="21"/>
          <w:highlight w:val="none"/>
        </w:rPr>
      </w:pPr>
      <w:r>
        <w:rPr>
          <w:rFonts w:hint="eastAsia" w:cs="Times New Roman"/>
          <w:color w:val="auto"/>
          <w:kern w:val="2"/>
          <w:szCs w:val="21"/>
          <w:highlight w:val="none"/>
        </w:rPr>
        <w:t>各投标人法定代表人或其授权代表可通过邮寄方式，按照规定的递交投标文件截止时间前向我公司邮寄投标文件，快递单上写明供应商名称、招标编号，通过邮寄方式递交的投标文件递交时间以我公司代表签收时间为准。逾期、不符合规定的或邮寄过程导致包装密封出现破损的，投标文件不予接受。投标供应商自行承担相应责任与后果。投标供应商未参加现场开标的，视同认可开标结果。</w:t>
      </w:r>
    </w:p>
    <w:p>
      <w:pPr>
        <w:widowControl w:val="0"/>
        <w:shd w:val="clear" w:color="auto" w:fill="auto"/>
        <w:adjustRightInd/>
        <w:snapToGrid/>
        <w:spacing w:line="240" w:lineRule="auto"/>
        <w:ind w:left="495"/>
        <w:rPr>
          <w:rFonts w:hint="eastAsia" w:cs="Times New Roman"/>
          <w:color w:val="auto"/>
          <w:kern w:val="2"/>
          <w:szCs w:val="21"/>
          <w:highlight w:val="none"/>
        </w:rPr>
      </w:pPr>
      <w:r>
        <w:rPr>
          <w:rFonts w:hint="eastAsia" w:hAnsi="Times New Roman" w:cs="Times New Roman"/>
          <w:color w:val="auto"/>
          <w:kern w:val="2"/>
          <w:szCs w:val="21"/>
          <w:highlight w:val="none"/>
        </w:rPr>
        <w:t>3</w:t>
      </w:r>
      <w:r>
        <w:rPr>
          <w:rFonts w:hAnsi="Times New Roman" w:cs="Times New Roman"/>
          <w:color w:val="auto"/>
          <w:kern w:val="2"/>
          <w:szCs w:val="21"/>
          <w:highlight w:val="none"/>
        </w:rPr>
        <w:t>.</w:t>
      </w:r>
      <w:r>
        <w:rPr>
          <w:rFonts w:hint="eastAsia" w:cs="Times New Roman"/>
          <w:color w:val="auto"/>
          <w:kern w:val="2"/>
          <w:szCs w:val="21"/>
          <w:highlight w:val="none"/>
        </w:rPr>
        <w:t>信息发布平台：</w:t>
      </w:r>
    </w:p>
    <w:p>
      <w:pPr>
        <w:widowControl w:val="0"/>
        <w:shd w:val="clear" w:color="auto" w:fill="auto"/>
        <w:adjustRightInd/>
        <w:snapToGrid/>
        <w:spacing w:line="240" w:lineRule="auto"/>
        <w:ind w:left="495"/>
        <w:rPr>
          <w:rFonts w:hint="eastAsia"/>
          <w:color w:val="auto"/>
          <w:szCs w:val="21"/>
          <w:highlight w:val="none"/>
        </w:rPr>
      </w:pPr>
      <w:r>
        <w:rPr>
          <w:rFonts w:hint="eastAsia"/>
          <w:color w:val="auto"/>
          <w:szCs w:val="21"/>
          <w:highlight w:val="none"/>
        </w:rPr>
        <w:t>深圳海关门户网（</w:t>
      </w:r>
      <w:r>
        <w:rPr>
          <w:color w:val="auto"/>
          <w:szCs w:val="21"/>
          <w:highlight w:val="none"/>
        </w:rPr>
        <w:t>http://shenzhen.customs.gov.cn</w:t>
      </w:r>
      <w:r>
        <w:rPr>
          <w:rFonts w:hint="eastAsia"/>
          <w:color w:val="auto"/>
          <w:szCs w:val="21"/>
          <w:highlight w:val="none"/>
        </w:rPr>
        <w:t>）；</w:t>
      </w:r>
    </w:p>
    <w:p>
      <w:pPr>
        <w:widowControl w:val="0"/>
        <w:shd w:val="clear" w:color="auto" w:fill="auto"/>
        <w:adjustRightInd/>
        <w:snapToGrid/>
        <w:spacing w:line="240" w:lineRule="auto"/>
        <w:ind w:left="495"/>
        <w:rPr>
          <w:rFonts w:hint="eastAsia" w:cs="Times New Roman"/>
          <w:color w:val="auto"/>
          <w:kern w:val="2"/>
          <w:szCs w:val="21"/>
          <w:highlight w:val="none"/>
        </w:rPr>
      </w:pPr>
      <w:r>
        <w:rPr>
          <w:rFonts w:hint="eastAsia"/>
          <w:color w:val="auto"/>
          <w:szCs w:val="21"/>
          <w:highlight w:val="none"/>
        </w:rPr>
        <w:t>采购代理机构官网（</w:t>
      </w:r>
      <w:r>
        <w:rPr>
          <w:color w:val="auto"/>
          <w:szCs w:val="21"/>
          <w:highlight w:val="none"/>
        </w:rPr>
        <w:t>http://www.szsszx.com/</w:t>
      </w:r>
      <w:r>
        <w:rPr>
          <w:rFonts w:hint="eastAsia"/>
          <w:color w:val="auto"/>
          <w:szCs w:val="21"/>
          <w:highlight w:val="none"/>
        </w:rPr>
        <w:t>）。</w:t>
      </w:r>
    </w:p>
    <w:p>
      <w:pPr>
        <w:spacing w:line="240" w:lineRule="auto"/>
        <w:rPr>
          <w:rFonts w:hint="eastAsia"/>
          <w:b/>
          <w:color w:val="auto"/>
          <w:kern w:val="2"/>
          <w:szCs w:val="21"/>
          <w:highlight w:val="none"/>
        </w:rPr>
      </w:pPr>
      <w:bookmarkStart w:id="31" w:name="_Toc35393796"/>
      <w:bookmarkStart w:id="32" w:name="_Toc28359008"/>
      <w:bookmarkStart w:id="33" w:name="_Toc28359085"/>
      <w:bookmarkStart w:id="34" w:name="_Toc35393627"/>
      <w:r>
        <w:rPr>
          <w:rFonts w:hint="eastAsia"/>
          <w:b/>
          <w:color w:val="auto"/>
          <w:kern w:val="2"/>
          <w:szCs w:val="21"/>
          <w:highlight w:val="none"/>
        </w:rPr>
        <w:t>七、对本次招标提出询问，请按</w:t>
      </w:r>
      <w:r>
        <w:rPr>
          <w:b/>
          <w:color w:val="auto"/>
          <w:kern w:val="2"/>
          <w:szCs w:val="21"/>
          <w:highlight w:val="none"/>
        </w:rPr>
        <w:t>以下方式</w:t>
      </w:r>
      <w:r>
        <w:rPr>
          <w:rFonts w:hint="eastAsia"/>
          <w:b/>
          <w:color w:val="auto"/>
          <w:kern w:val="2"/>
          <w:szCs w:val="21"/>
          <w:highlight w:val="none"/>
        </w:rPr>
        <w:t>联系</w:t>
      </w:r>
      <w:bookmarkEnd w:id="31"/>
      <w:bookmarkEnd w:id="32"/>
      <w:bookmarkEnd w:id="33"/>
      <w:bookmarkEnd w:id="34"/>
      <w:r>
        <w:rPr>
          <w:rFonts w:hint="eastAsia"/>
          <w:b/>
          <w:color w:val="auto"/>
          <w:kern w:val="2"/>
          <w:szCs w:val="21"/>
          <w:highlight w:val="none"/>
        </w:rPr>
        <w:t>。</w:t>
      </w:r>
    </w:p>
    <w:p>
      <w:pPr>
        <w:widowControl w:val="0"/>
        <w:shd w:val="clear" w:color="auto" w:fill="auto"/>
        <w:adjustRightInd/>
        <w:snapToGrid/>
        <w:spacing w:line="240" w:lineRule="auto"/>
        <w:ind w:left="495"/>
        <w:rPr>
          <w:rFonts w:hint="eastAsia" w:cs="Times New Roman"/>
          <w:color w:val="auto"/>
          <w:kern w:val="2"/>
          <w:szCs w:val="21"/>
          <w:highlight w:val="none"/>
        </w:rPr>
      </w:pPr>
      <w:r>
        <w:rPr>
          <w:rFonts w:hint="eastAsia" w:cs="Times New Roman"/>
          <w:color w:val="auto"/>
          <w:kern w:val="2"/>
          <w:szCs w:val="21"/>
          <w:highlight w:val="none"/>
        </w:rPr>
        <w:t>1.采购人信息</w:t>
      </w:r>
    </w:p>
    <w:p>
      <w:pPr>
        <w:widowControl w:val="0"/>
        <w:shd w:val="clear" w:color="auto" w:fill="auto"/>
        <w:adjustRightInd/>
        <w:snapToGrid/>
        <w:spacing w:line="240" w:lineRule="auto"/>
        <w:ind w:left="495"/>
        <w:rPr>
          <w:rFonts w:hint="eastAsia" w:cs="Times New Roman"/>
          <w:color w:val="auto"/>
          <w:kern w:val="2"/>
          <w:szCs w:val="21"/>
          <w:highlight w:val="none"/>
        </w:rPr>
      </w:pPr>
      <w:r>
        <w:rPr>
          <w:rFonts w:hint="eastAsia" w:cs="Times New Roman"/>
          <w:color w:val="auto"/>
          <w:kern w:val="2"/>
          <w:szCs w:val="21"/>
          <w:highlight w:val="none"/>
        </w:rPr>
        <w:t>名称：深圳海关食品检验检疫技术中心</w:t>
      </w:r>
    </w:p>
    <w:p>
      <w:pPr>
        <w:widowControl w:val="0"/>
        <w:shd w:val="clear" w:color="auto" w:fill="auto"/>
        <w:adjustRightInd/>
        <w:snapToGrid/>
        <w:spacing w:line="240" w:lineRule="auto"/>
        <w:ind w:left="495"/>
        <w:rPr>
          <w:rFonts w:hint="eastAsia" w:cs="Times New Roman"/>
          <w:color w:val="auto"/>
          <w:kern w:val="2"/>
          <w:szCs w:val="21"/>
          <w:highlight w:val="none"/>
        </w:rPr>
      </w:pPr>
      <w:r>
        <w:rPr>
          <w:rFonts w:hint="eastAsia" w:cs="Times New Roman"/>
          <w:color w:val="auto"/>
          <w:kern w:val="2"/>
          <w:szCs w:val="21"/>
          <w:highlight w:val="none"/>
        </w:rPr>
        <w:t>地址：深圳市福田区福强路</w:t>
      </w:r>
      <w:r>
        <w:rPr>
          <w:rFonts w:cs="Times New Roman"/>
          <w:color w:val="auto"/>
          <w:kern w:val="2"/>
          <w:szCs w:val="21"/>
          <w:highlight w:val="none"/>
        </w:rPr>
        <w:t>1011号</w:t>
      </w:r>
    </w:p>
    <w:p>
      <w:pPr>
        <w:widowControl w:val="0"/>
        <w:shd w:val="clear" w:color="auto" w:fill="auto"/>
        <w:adjustRightInd/>
        <w:snapToGrid/>
        <w:spacing w:line="240" w:lineRule="auto"/>
        <w:ind w:left="495"/>
        <w:rPr>
          <w:rFonts w:hint="eastAsia" w:cs="Times New Roman"/>
          <w:color w:val="auto"/>
          <w:kern w:val="2"/>
          <w:szCs w:val="21"/>
          <w:highlight w:val="none"/>
        </w:rPr>
      </w:pPr>
      <w:bookmarkStart w:id="35" w:name="_Toc28359086"/>
      <w:bookmarkStart w:id="36" w:name="_Toc28359009"/>
      <w:r>
        <w:rPr>
          <w:rFonts w:hint="eastAsia" w:cs="Times New Roman"/>
          <w:color w:val="auto"/>
          <w:kern w:val="2"/>
          <w:szCs w:val="21"/>
          <w:highlight w:val="none"/>
        </w:rPr>
        <w:t>联系方式：刘先生</w:t>
      </w:r>
      <w:r>
        <w:rPr>
          <w:rFonts w:cs="Times New Roman"/>
          <w:color w:val="auto"/>
          <w:kern w:val="2"/>
          <w:szCs w:val="21"/>
          <w:highlight w:val="none"/>
        </w:rPr>
        <w:t>0755-84394179</w:t>
      </w:r>
    </w:p>
    <w:p>
      <w:pPr>
        <w:widowControl w:val="0"/>
        <w:shd w:val="clear" w:color="auto" w:fill="auto"/>
        <w:adjustRightInd/>
        <w:snapToGrid/>
        <w:spacing w:line="240" w:lineRule="auto"/>
        <w:ind w:left="495"/>
        <w:rPr>
          <w:rFonts w:hint="eastAsia" w:cs="Times New Roman"/>
          <w:color w:val="auto"/>
          <w:kern w:val="2"/>
          <w:szCs w:val="21"/>
          <w:highlight w:val="none"/>
        </w:rPr>
      </w:pPr>
      <w:r>
        <w:rPr>
          <w:rFonts w:hint="eastAsia" w:cs="Times New Roman"/>
          <w:color w:val="auto"/>
          <w:kern w:val="2"/>
          <w:szCs w:val="21"/>
          <w:highlight w:val="none"/>
        </w:rPr>
        <w:t>采购人监督投诉电话：</w:t>
      </w:r>
      <w:r>
        <w:rPr>
          <w:rFonts w:cs="Times New Roman"/>
          <w:color w:val="auto"/>
          <w:kern w:val="2"/>
          <w:szCs w:val="21"/>
          <w:highlight w:val="none"/>
        </w:rPr>
        <w:t>0755-84398457</w:t>
      </w:r>
    </w:p>
    <w:p>
      <w:pPr>
        <w:widowControl w:val="0"/>
        <w:shd w:val="clear" w:color="auto" w:fill="auto"/>
        <w:adjustRightInd/>
        <w:snapToGrid/>
        <w:spacing w:line="240" w:lineRule="auto"/>
        <w:ind w:left="495"/>
        <w:rPr>
          <w:rFonts w:hint="eastAsia" w:cs="Times New Roman"/>
          <w:color w:val="auto"/>
          <w:kern w:val="2"/>
          <w:szCs w:val="21"/>
          <w:highlight w:val="none"/>
        </w:rPr>
      </w:pPr>
      <w:r>
        <w:rPr>
          <w:rFonts w:hint="eastAsia" w:cs="Times New Roman"/>
          <w:color w:val="auto"/>
          <w:kern w:val="2"/>
          <w:szCs w:val="21"/>
          <w:highlight w:val="none"/>
        </w:rPr>
        <w:t>2.采购代理机构信息</w:t>
      </w:r>
      <w:bookmarkEnd w:id="35"/>
      <w:bookmarkEnd w:id="36"/>
    </w:p>
    <w:p>
      <w:pPr>
        <w:widowControl w:val="0"/>
        <w:shd w:val="clear" w:color="auto" w:fill="auto"/>
        <w:adjustRightInd/>
        <w:snapToGrid/>
        <w:spacing w:line="240" w:lineRule="auto"/>
        <w:ind w:left="495"/>
        <w:rPr>
          <w:rFonts w:hint="eastAsia" w:cs="Times New Roman"/>
          <w:color w:val="auto"/>
          <w:kern w:val="2"/>
          <w:szCs w:val="21"/>
          <w:highlight w:val="none"/>
        </w:rPr>
      </w:pPr>
      <w:r>
        <w:rPr>
          <w:rFonts w:hint="eastAsia" w:cs="Times New Roman"/>
          <w:color w:val="auto"/>
          <w:kern w:val="2"/>
          <w:szCs w:val="21"/>
          <w:highlight w:val="none"/>
        </w:rPr>
        <w:t>名</w:t>
      </w:r>
      <w:r>
        <w:rPr>
          <w:rFonts w:cs="Times New Roman"/>
          <w:color w:val="auto"/>
          <w:kern w:val="2"/>
          <w:szCs w:val="21"/>
          <w:highlight w:val="none"/>
        </w:rPr>
        <w:t>称：深圳市深水水务咨询有限公司</w:t>
      </w:r>
    </w:p>
    <w:p>
      <w:pPr>
        <w:widowControl w:val="0"/>
        <w:shd w:val="clear" w:color="auto" w:fill="auto"/>
        <w:adjustRightInd/>
        <w:snapToGrid/>
        <w:spacing w:line="240" w:lineRule="auto"/>
        <w:ind w:left="495"/>
        <w:rPr>
          <w:rFonts w:hint="eastAsia" w:cs="Times New Roman"/>
          <w:color w:val="auto"/>
          <w:kern w:val="2"/>
          <w:szCs w:val="21"/>
          <w:highlight w:val="none"/>
        </w:rPr>
      </w:pPr>
      <w:r>
        <w:rPr>
          <w:rFonts w:hint="eastAsia" w:cs="Times New Roman"/>
          <w:color w:val="auto"/>
          <w:kern w:val="2"/>
          <w:szCs w:val="21"/>
          <w:highlight w:val="none"/>
        </w:rPr>
        <w:t>地</w:t>
      </w:r>
      <w:r>
        <w:rPr>
          <w:rFonts w:cs="Times New Roman"/>
          <w:color w:val="auto"/>
          <w:kern w:val="2"/>
          <w:szCs w:val="21"/>
          <w:highlight w:val="none"/>
        </w:rPr>
        <w:t>址：深圳市罗湖区清水河街道清水河社区清水河一路112号罗湖投资控股大厦裙楼401</w:t>
      </w:r>
    </w:p>
    <w:p>
      <w:pPr>
        <w:widowControl w:val="0"/>
        <w:shd w:val="clear" w:color="auto" w:fill="auto"/>
        <w:adjustRightInd/>
        <w:snapToGrid/>
        <w:spacing w:line="240" w:lineRule="auto"/>
        <w:ind w:left="495"/>
        <w:rPr>
          <w:rFonts w:hint="eastAsia" w:cs="Times New Roman"/>
          <w:color w:val="auto"/>
          <w:kern w:val="2"/>
          <w:szCs w:val="21"/>
          <w:highlight w:val="none"/>
        </w:rPr>
      </w:pPr>
      <w:r>
        <w:rPr>
          <w:rFonts w:hint="eastAsia" w:cs="Times New Roman"/>
          <w:color w:val="auto"/>
          <w:kern w:val="2"/>
          <w:szCs w:val="21"/>
          <w:highlight w:val="none"/>
        </w:rPr>
        <w:t>联系方式：庄晓琴</w:t>
      </w:r>
      <w:r>
        <w:rPr>
          <w:rFonts w:cs="Times New Roman"/>
          <w:color w:val="auto"/>
          <w:kern w:val="2"/>
          <w:szCs w:val="21"/>
          <w:highlight w:val="none"/>
        </w:rPr>
        <w:t>0755-25165821/13688812350/Email：498174886@qq.com</w:t>
      </w:r>
    </w:p>
    <w:p>
      <w:pPr>
        <w:widowControl w:val="0"/>
        <w:shd w:val="clear" w:color="auto" w:fill="auto"/>
        <w:adjustRightInd/>
        <w:snapToGrid/>
        <w:spacing w:line="240" w:lineRule="auto"/>
        <w:ind w:left="495"/>
        <w:rPr>
          <w:rFonts w:hint="eastAsia" w:cs="Times New Roman"/>
          <w:color w:val="auto"/>
          <w:kern w:val="2"/>
          <w:szCs w:val="21"/>
          <w:highlight w:val="none"/>
        </w:rPr>
      </w:pPr>
      <w:r>
        <w:rPr>
          <w:rFonts w:cs="Times New Roman"/>
          <w:color w:val="auto"/>
          <w:kern w:val="2"/>
          <w:szCs w:val="21"/>
          <w:highlight w:val="none"/>
        </w:rPr>
        <w:t>3.项目联系方式</w:t>
      </w:r>
    </w:p>
    <w:p>
      <w:pPr>
        <w:widowControl w:val="0"/>
        <w:shd w:val="clear" w:color="auto" w:fill="auto"/>
        <w:adjustRightInd/>
        <w:snapToGrid/>
        <w:spacing w:line="240" w:lineRule="auto"/>
        <w:ind w:left="495"/>
        <w:rPr>
          <w:rFonts w:hint="eastAsia" w:cs="Times New Roman"/>
          <w:color w:val="auto"/>
          <w:kern w:val="2"/>
          <w:szCs w:val="21"/>
          <w:highlight w:val="none"/>
        </w:rPr>
      </w:pPr>
      <w:r>
        <w:rPr>
          <w:rFonts w:hint="eastAsia" w:cs="Times New Roman"/>
          <w:color w:val="auto"/>
          <w:kern w:val="2"/>
          <w:szCs w:val="21"/>
          <w:highlight w:val="none"/>
        </w:rPr>
        <w:t>项目联系人：庄晓琴、李夏冰</w:t>
      </w:r>
    </w:p>
    <w:p>
      <w:pPr>
        <w:widowControl w:val="0"/>
        <w:shd w:val="clear" w:color="auto" w:fill="auto"/>
        <w:adjustRightInd/>
        <w:snapToGrid/>
        <w:spacing w:line="240" w:lineRule="auto"/>
        <w:ind w:left="495"/>
        <w:rPr>
          <w:rFonts w:hint="eastAsia" w:cs="Times New Roman"/>
          <w:color w:val="auto"/>
          <w:kern w:val="2"/>
          <w:szCs w:val="21"/>
          <w:highlight w:val="none"/>
        </w:rPr>
      </w:pPr>
      <w:r>
        <w:rPr>
          <w:rFonts w:hint="eastAsia" w:cs="Times New Roman"/>
          <w:color w:val="auto"/>
          <w:kern w:val="2"/>
          <w:szCs w:val="21"/>
          <w:highlight w:val="none"/>
        </w:rPr>
        <w:t>电</w:t>
      </w:r>
      <w:r>
        <w:rPr>
          <w:rFonts w:cs="Times New Roman"/>
          <w:color w:val="auto"/>
          <w:kern w:val="2"/>
          <w:szCs w:val="21"/>
          <w:highlight w:val="none"/>
        </w:rPr>
        <w:t>话：0755-25165821/13688812350</w:t>
      </w:r>
    </w:p>
    <w:p>
      <w:pPr>
        <w:spacing w:line="240" w:lineRule="auto"/>
        <w:ind w:firstLine="424" w:firstLineChars="202"/>
        <w:jc w:val="right"/>
        <w:rPr>
          <w:rFonts w:hint="eastAsia"/>
          <w:color w:val="auto"/>
          <w:szCs w:val="21"/>
          <w:highlight w:val="none"/>
        </w:rPr>
      </w:pPr>
      <w:r>
        <w:rPr>
          <w:rFonts w:hint="eastAsia"/>
          <w:color w:val="auto"/>
          <w:szCs w:val="21"/>
          <w:highlight w:val="none"/>
        </w:rPr>
        <w:t>深圳市深水水务咨询有限公司</w:t>
      </w:r>
    </w:p>
    <w:p>
      <w:pPr>
        <w:spacing w:line="240" w:lineRule="auto"/>
        <w:ind w:firstLine="424" w:firstLineChars="202"/>
        <w:jc w:val="right"/>
        <w:rPr>
          <w:rFonts w:hint="eastAsia"/>
          <w:color w:val="auto"/>
          <w:szCs w:val="21"/>
          <w:highlight w:val="none"/>
        </w:rPr>
      </w:pPr>
      <w:r>
        <w:rPr>
          <w:rFonts w:hint="eastAsia"/>
          <w:color w:val="auto"/>
          <w:szCs w:val="21"/>
          <w:highlight w:val="none"/>
        </w:rPr>
        <w:t>202</w:t>
      </w:r>
      <w:r>
        <w:rPr>
          <w:color w:val="auto"/>
          <w:szCs w:val="21"/>
          <w:highlight w:val="none"/>
        </w:rPr>
        <w:t>4</w:t>
      </w:r>
      <w:r>
        <w:rPr>
          <w:rFonts w:hint="eastAsia"/>
          <w:color w:val="auto"/>
          <w:szCs w:val="21"/>
          <w:highlight w:val="none"/>
        </w:rPr>
        <w:t>年</w:t>
      </w:r>
      <w:r>
        <w:rPr>
          <w:rFonts w:hint="eastAsia"/>
          <w:color w:val="auto"/>
          <w:szCs w:val="21"/>
          <w:highlight w:val="none"/>
          <w:lang w:val="en-US" w:eastAsia="zh-CN"/>
        </w:rPr>
        <w:t>10</w:t>
      </w:r>
      <w:r>
        <w:rPr>
          <w:rFonts w:hint="eastAsia"/>
          <w:color w:val="auto"/>
          <w:szCs w:val="21"/>
          <w:highlight w:val="none"/>
        </w:rPr>
        <w:t>月</w:t>
      </w:r>
      <w:r>
        <w:rPr>
          <w:rFonts w:hint="eastAsia"/>
          <w:color w:val="auto"/>
          <w:szCs w:val="21"/>
          <w:highlight w:val="none"/>
          <w:lang w:val="en-US" w:eastAsia="zh-CN"/>
        </w:rPr>
        <w:t>22</w:t>
      </w:r>
      <w:r>
        <w:rPr>
          <w:rFonts w:hint="eastAsia"/>
          <w:color w:val="auto"/>
          <w:szCs w:val="21"/>
          <w:highlight w:val="none"/>
        </w:rPr>
        <w:t>日</w:t>
      </w:r>
    </w:p>
    <w:bookmarkEnd w:id="6"/>
    <w:p>
      <w:pPr>
        <w:rPr>
          <w:rFonts w:hint="eastAsia"/>
          <w:highlight w:val="none"/>
        </w:rPr>
      </w:pPr>
      <w:r>
        <w:rPr>
          <w:rFonts w:hint="eastAsia"/>
          <w:highlight w:val="none"/>
        </w:rPr>
        <w:br w:type="page"/>
      </w:r>
    </w:p>
    <w:p>
      <w:pPr>
        <w:pStyle w:val="62"/>
        <w:rPr>
          <w:highlight w:val="none"/>
        </w:rPr>
      </w:pPr>
      <w:bookmarkStart w:id="37" w:name="_Toc13122"/>
      <w:r>
        <w:rPr>
          <w:rFonts w:hint="eastAsia"/>
          <w:highlight w:val="none"/>
        </w:rPr>
        <w:t>第二章 项目需求</w:t>
      </w:r>
      <w:bookmarkEnd w:id="37"/>
    </w:p>
    <w:p>
      <w:pPr>
        <w:numPr>
          <w:ilvl w:val="0"/>
          <w:numId w:val="2"/>
        </w:numPr>
        <w:adjustRightInd/>
        <w:snapToGrid/>
        <w:spacing w:before="280" w:after="290" w:line="377" w:lineRule="auto"/>
        <w:jc w:val="left"/>
        <w:outlineLvl w:val="2"/>
        <w:rPr>
          <w:rFonts w:hint="eastAsia"/>
          <w:b/>
          <w:sz w:val="24"/>
          <w:highlight w:val="none"/>
        </w:rPr>
      </w:pPr>
      <w:bookmarkStart w:id="38" w:name="_Toc150960244"/>
      <w:bookmarkStart w:id="39" w:name="_Toc15786"/>
      <w:bookmarkStart w:id="40" w:name="_Toc151386154"/>
      <w:r>
        <w:rPr>
          <w:b/>
          <w:sz w:val="24"/>
          <w:highlight w:val="none"/>
        </w:rPr>
        <w:t>货物清单</w:t>
      </w:r>
      <w:r>
        <w:rPr>
          <w:rFonts w:hint="eastAsia"/>
          <w:b/>
          <w:sz w:val="24"/>
          <w:highlight w:val="none"/>
        </w:rPr>
        <w:t>一览表</w:t>
      </w:r>
      <w:bookmarkEnd w:id="38"/>
      <w:bookmarkEnd w:id="39"/>
      <w:bookmarkEnd w:id="40"/>
    </w:p>
    <w:tbl>
      <w:tblPr>
        <w:tblStyle w:val="8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3656"/>
        <w:gridCol w:w="968"/>
        <w:gridCol w:w="880"/>
        <w:gridCol w:w="1447"/>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Align w:val="center"/>
          </w:tcPr>
          <w:p>
            <w:pPr>
              <w:widowControl w:val="0"/>
              <w:shd w:val="clear" w:color="auto" w:fill="auto"/>
              <w:tabs>
                <w:tab w:val="clear" w:pos="426"/>
              </w:tabs>
              <w:adjustRightInd/>
              <w:snapToGrid/>
              <w:spacing w:line="240" w:lineRule="auto"/>
              <w:jc w:val="center"/>
              <w:rPr>
                <w:rFonts w:hint="eastAsia" w:cs="Times New Roman"/>
                <w:b/>
                <w:bCs/>
                <w:szCs w:val="21"/>
                <w:highlight w:val="none"/>
              </w:rPr>
            </w:pPr>
            <w:r>
              <w:rPr>
                <w:rFonts w:cs="Times New Roman"/>
                <w:b/>
                <w:bCs/>
                <w:szCs w:val="21"/>
                <w:highlight w:val="none"/>
              </w:rPr>
              <w:t>序号</w:t>
            </w:r>
          </w:p>
        </w:tc>
        <w:tc>
          <w:tcPr>
            <w:tcW w:w="1910" w:type="pct"/>
            <w:vAlign w:val="center"/>
          </w:tcPr>
          <w:p>
            <w:pPr>
              <w:widowControl w:val="0"/>
              <w:shd w:val="clear" w:color="auto" w:fill="auto"/>
              <w:tabs>
                <w:tab w:val="clear" w:pos="426"/>
              </w:tabs>
              <w:adjustRightInd/>
              <w:snapToGrid/>
              <w:spacing w:line="240" w:lineRule="auto"/>
              <w:jc w:val="center"/>
              <w:rPr>
                <w:rFonts w:hint="eastAsia" w:cs="Times New Roman"/>
                <w:b/>
                <w:bCs/>
                <w:szCs w:val="21"/>
                <w:highlight w:val="none"/>
              </w:rPr>
            </w:pPr>
            <w:r>
              <w:rPr>
                <w:rFonts w:hint="eastAsia" w:cs="Times New Roman"/>
                <w:b/>
                <w:bCs/>
                <w:szCs w:val="21"/>
                <w:highlight w:val="none"/>
              </w:rPr>
              <w:t>货物（标的）</w:t>
            </w:r>
            <w:r>
              <w:rPr>
                <w:rFonts w:cs="Times New Roman"/>
                <w:b/>
                <w:bCs/>
                <w:szCs w:val="21"/>
                <w:highlight w:val="none"/>
              </w:rPr>
              <w:t>名称</w:t>
            </w:r>
          </w:p>
        </w:tc>
        <w:tc>
          <w:tcPr>
            <w:tcW w:w="506" w:type="pct"/>
            <w:vAlign w:val="center"/>
          </w:tcPr>
          <w:p>
            <w:pPr>
              <w:widowControl w:val="0"/>
              <w:shd w:val="clear" w:color="auto" w:fill="auto"/>
              <w:tabs>
                <w:tab w:val="clear" w:pos="426"/>
              </w:tabs>
              <w:adjustRightInd/>
              <w:snapToGrid/>
              <w:spacing w:line="240" w:lineRule="auto"/>
              <w:jc w:val="center"/>
              <w:rPr>
                <w:rFonts w:hint="eastAsia" w:cs="Times New Roman"/>
                <w:b/>
                <w:bCs/>
                <w:szCs w:val="21"/>
                <w:highlight w:val="none"/>
              </w:rPr>
            </w:pPr>
            <w:r>
              <w:rPr>
                <w:rFonts w:cs="Times New Roman"/>
                <w:b/>
                <w:bCs/>
                <w:szCs w:val="21"/>
                <w:highlight w:val="none"/>
              </w:rPr>
              <w:t>数量</w:t>
            </w:r>
          </w:p>
        </w:tc>
        <w:tc>
          <w:tcPr>
            <w:tcW w:w="460" w:type="pct"/>
            <w:vAlign w:val="center"/>
          </w:tcPr>
          <w:p>
            <w:pPr>
              <w:widowControl w:val="0"/>
              <w:shd w:val="clear" w:color="auto" w:fill="auto"/>
              <w:tabs>
                <w:tab w:val="clear" w:pos="426"/>
              </w:tabs>
              <w:adjustRightInd/>
              <w:snapToGrid/>
              <w:spacing w:line="240" w:lineRule="auto"/>
              <w:jc w:val="center"/>
              <w:rPr>
                <w:rFonts w:hint="eastAsia" w:cs="Times New Roman"/>
                <w:b/>
                <w:bCs/>
                <w:szCs w:val="21"/>
                <w:highlight w:val="none"/>
              </w:rPr>
            </w:pPr>
            <w:r>
              <w:rPr>
                <w:rFonts w:cs="Times New Roman"/>
                <w:b/>
                <w:bCs/>
                <w:szCs w:val="21"/>
                <w:highlight w:val="none"/>
              </w:rPr>
              <w:t>单位</w:t>
            </w:r>
          </w:p>
        </w:tc>
        <w:tc>
          <w:tcPr>
            <w:tcW w:w="756" w:type="pct"/>
            <w:vAlign w:val="center"/>
          </w:tcPr>
          <w:p>
            <w:pPr>
              <w:widowControl w:val="0"/>
              <w:shd w:val="clear" w:color="auto" w:fill="auto"/>
              <w:tabs>
                <w:tab w:val="clear" w:pos="426"/>
              </w:tabs>
              <w:adjustRightInd/>
              <w:snapToGrid/>
              <w:spacing w:line="240" w:lineRule="auto"/>
              <w:jc w:val="center"/>
              <w:rPr>
                <w:rFonts w:hint="eastAsia" w:cs="Times New Roman"/>
                <w:b/>
                <w:bCs/>
                <w:szCs w:val="21"/>
                <w:highlight w:val="none"/>
              </w:rPr>
            </w:pPr>
            <w:r>
              <w:rPr>
                <w:rFonts w:cs="Times New Roman"/>
                <w:b/>
                <w:bCs/>
                <w:szCs w:val="21"/>
                <w:highlight w:val="none"/>
              </w:rPr>
              <w:t>备注</w:t>
            </w:r>
          </w:p>
        </w:tc>
        <w:tc>
          <w:tcPr>
            <w:tcW w:w="1016" w:type="pct"/>
            <w:vAlign w:val="center"/>
          </w:tcPr>
          <w:p>
            <w:pPr>
              <w:widowControl w:val="0"/>
              <w:shd w:val="clear" w:color="auto" w:fill="auto"/>
              <w:tabs>
                <w:tab w:val="clear" w:pos="426"/>
              </w:tabs>
              <w:adjustRightInd/>
              <w:snapToGrid/>
              <w:spacing w:line="240" w:lineRule="auto"/>
              <w:jc w:val="center"/>
              <w:rPr>
                <w:rFonts w:hint="eastAsia" w:cs="Times New Roman"/>
                <w:b/>
                <w:bCs/>
                <w:szCs w:val="21"/>
                <w:highlight w:val="none"/>
              </w:rPr>
            </w:pPr>
            <w:r>
              <w:rPr>
                <w:rFonts w:hint="eastAsia" w:cs="Times New Roman"/>
                <w:b/>
                <w:bCs/>
                <w:szCs w:val="21"/>
                <w:highlight w:val="none"/>
              </w:rPr>
              <w:t>财政</w:t>
            </w:r>
            <w:r>
              <w:rPr>
                <w:rFonts w:cs="Times New Roman"/>
                <w:b/>
                <w:bCs/>
                <w:szCs w:val="21"/>
                <w:highlight w:val="none"/>
              </w:rPr>
              <w:t>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Align w:val="center"/>
          </w:tcPr>
          <w:p>
            <w:pPr>
              <w:tabs>
                <w:tab w:val="clear" w:pos="426"/>
              </w:tabs>
              <w:spacing w:line="240" w:lineRule="auto"/>
              <w:jc w:val="center"/>
              <w:rPr>
                <w:rFonts w:hint="eastAsia"/>
                <w:szCs w:val="21"/>
                <w:highlight w:val="none"/>
              </w:rPr>
            </w:pPr>
            <w:r>
              <w:rPr>
                <w:rFonts w:hint="eastAsia"/>
                <w:szCs w:val="21"/>
                <w:highlight w:val="none"/>
              </w:rPr>
              <w:t>1</w:t>
            </w:r>
          </w:p>
        </w:tc>
        <w:tc>
          <w:tcPr>
            <w:tcW w:w="1910" w:type="pct"/>
            <w:vAlign w:val="center"/>
          </w:tcPr>
          <w:p>
            <w:pPr>
              <w:spacing w:line="240" w:lineRule="auto"/>
              <w:jc w:val="center"/>
              <w:rPr>
                <w:rFonts w:hint="eastAsia"/>
                <w:highlight w:val="none"/>
              </w:rPr>
            </w:pPr>
            <w:r>
              <w:rPr>
                <w:rFonts w:hint="eastAsia"/>
                <w:highlight w:val="none"/>
              </w:rPr>
              <w:t>农兽残检测全流程全自动样品前处理系统</w:t>
            </w:r>
          </w:p>
        </w:tc>
        <w:tc>
          <w:tcPr>
            <w:tcW w:w="506" w:type="pct"/>
            <w:vAlign w:val="center"/>
          </w:tcPr>
          <w:p>
            <w:pPr>
              <w:tabs>
                <w:tab w:val="clear" w:pos="426"/>
              </w:tabs>
              <w:spacing w:line="240" w:lineRule="auto"/>
              <w:jc w:val="center"/>
              <w:rPr>
                <w:rFonts w:hint="eastAsia"/>
                <w:szCs w:val="21"/>
                <w:highlight w:val="none"/>
              </w:rPr>
            </w:pPr>
            <w:r>
              <w:rPr>
                <w:rFonts w:hint="eastAsia"/>
                <w:szCs w:val="21"/>
                <w:highlight w:val="none"/>
              </w:rPr>
              <w:t>1</w:t>
            </w:r>
          </w:p>
        </w:tc>
        <w:tc>
          <w:tcPr>
            <w:tcW w:w="460" w:type="pct"/>
            <w:vAlign w:val="center"/>
          </w:tcPr>
          <w:p>
            <w:pPr>
              <w:tabs>
                <w:tab w:val="clear" w:pos="426"/>
              </w:tabs>
              <w:spacing w:line="240" w:lineRule="auto"/>
              <w:jc w:val="center"/>
              <w:rPr>
                <w:rFonts w:hint="eastAsia"/>
                <w:szCs w:val="21"/>
                <w:highlight w:val="none"/>
              </w:rPr>
            </w:pPr>
            <w:r>
              <w:rPr>
                <w:rFonts w:hint="eastAsia"/>
                <w:szCs w:val="21"/>
                <w:highlight w:val="none"/>
              </w:rPr>
              <w:t>台</w:t>
            </w:r>
          </w:p>
        </w:tc>
        <w:tc>
          <w:tcPr>
            <w:tcW w:w="756" w:type="pct"/>
            <w:vAlign w:val="center"/>
          </w:tcPr>
          <w:p>
            <w:pPr>
              <w:tabs>
                <w:tab w:val="clear" w:pos="426"/>
              </w:tabs>
              <w:spacing w:line="240" w:lineRule="auto"/>
              <w:jc w:val="center"/>
              <w:rPr>
                <w:rFonts w:hint="eastAsia"/>
                <w:bCs/>
                <w:szCs w:val="21"/>
                <w:highlight w:val="none"/>
              </w:rPr>
            </w:pPr>
            <w:r>
              <w:rPr>
                <w:rFonts w:hint="eastAsia"/>
                <w:bCs/>
                <w:szCs w:val="21"/>
                <w:highlight w:val="none"/>
              </w:rPr>
              <w:t>拒绝进口</w:t>
            </w:r>
          </w:p>
        </w:tc>
        <w:tc>
          <w:tcPr>
            <w:tcW w:w="1016" w:type="pct"/>
            <w:vAlign w:val="center"/>
          </w:tcPr>
          <w:p>
            <w:pPr>
              <w:widowControl w:val="0"/>
              <w:shd w:val="clear" w:color="auto" w:fill="auto"/>
              <w:tabs>
                <w:tab w:val="clear" w:pos="426"/>
              </w:tabs>
              <w:adjustRightInd/>
              <w:snapToGrid/>
              <w:spacing w:line="240" w:lineRule="auto"/>
              <w:jc w:val="center"/>
              <w:rPr>
                <w:rFonts w:hint="eastAsia" w:cs="Times New Roman"/>
                <w:szCs w:val="21"/>
                <w:highlight w:val="none"/>
              </w:rPr>
            </w:pPr>
            <w:r>
              <w:rPr>
                <w:rFonts w:hint="eastAsia" w:cs="Times New Roman"/>
                <w:szCs w:val="21"/>
                <w:highlight w:val="none"/>
              </w:rPr>
              <w:t xml:space="preserve">980,000.00  </w:t>
            </w:r>
          </w:p>
        </w:tc>
      </w:tr>
    </w:tbl>
    <w:p>
      <w:pPr>
        <w:spacing w:line="276" w:lineRule="auto"/>
        <w:ind w:firstLine="420" w:firstLineChars="200"/>
        <w:rPr>
          <w:rFonts w:hint="eastAsia"/>
          <w:szCs w:val="21"/>
          <w:highlight w:val="none"/>
        </w:rPr>
      </w:pPr>
      <w:r>
        <w:rPr>
          <w:rFonts w:hint="eastAsia"/>
          <w:szCs w:val="21"/>
          <w:highlight w:val="none"/>
        </w:rPr>
        <w:t>备注：</w:t>
      </w:r>
    </w:p>
    <w:p>
      <w:pPr>
        <w:spacing w:line="276" w:lineRule="auto"/>
        <w:ind w:firstLine="420" w:firstLineChars="200"/>
        <w:rPr>
          <w:rFonts w:hint="eastAsia"/>
          <w:szCs w:val="21"/>
          <w:highlight w:val="none"/>
        </w:rPr>
      </w:pPr>
      <w:r>
        <w:rPr>
          <w:rFonts w:hint="eastAsia"/>
          <w:szCs w:val="21"/>
          <w:highlight w:val="none"/>
        </w:rPr>
        <w:t>1.注明“接受进口”的产品（产品名称）允许供应商选用进口产品参与投标，但不排斥国内产品。</w:t>
      </w:r>
    </w:p>
    <w:p>
      <w:pPr>
        <w:spacing w:line="276" w:lineRule="auto"/>
        <w:ind w:firstLine="420" w:firstLineChars="200"/>
        <w:rPr>
          <w:rFonts w:hint="eastAsia"/>
          <w:szCs w:val="21"/>
          <w:highlight w:val="none"/>
        </w:rPr>
      </w:pPr>
      <w:r>
        <w:rPr>
          <w:rFonts w:hint="eastAsia"/>
          <w:szCs w:val="21"/>
          <w:highlight w:val="none"/>
        </w:rPr>
        <w:t>2</w:t>
      </w:r>
      <w:r>
        <w:rPr>
          <w:szCs w:val="21"/>
          <w:highlight w:val="none"/>
        </w:rPr>
        <w:t>.</w:t>
      </w:r>
      <w:r>
        <w:rPr>
          <w:rFonts w:hint="eastAsia"/>
          <w:szCs w:val="21"/>
          <w:highlight w:val="none"/>
        </w:rPr>
        <w:t>注明“拒绝进口”的产品（产品名称）均不接受供应商选用进口产品参与投标。</w:t>
      </w:r>
    </w:p>
    <w:p>
      <w:pPr>
        <w:spacing w:line="276" w:lineRule="auto"/>
        <w:ind w:firstLine="420" w:firstLineChars="200"/>
        <w:rPr>
          <w:rFonts w:hint="eastAsia"/>
          <w:szCs w:val="21"/>
          <w:highlight w:val="none"/>
        </w:rPr>
      </w:pPr>
      <w:r>
        <w:rPr>
          <w:rFonts w:hint="eastAsia"/>
          <w:szCs w:val="21"/>
          <w:highlight w:val="none"/>
        </w:rPr>
        <w:t>3</w:t>
      </w:r>
      <w:r>
        <w:rPr>
          <w:szCs w:val="21"/>
          <w:highlight w:val="none"/>
        </w:rPr>
        <w:t>.</w:t>
      </w:r>
      <w:r>
        <w:rPr>
          <w:rFonts w:hint="eastAsia"/>
          <w:szCs w:val="21"/>
          <w:highlight w:val="none"/>
        </w:rPr>
        <w:t>进口产品系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spacing w:line="276" w:lineRule="auto"/>
        <w:ind w:firstLine="420" w:firstLineChars="200"/>
        <w:rPr>
          <w:rFonts w:hint="eastAsia"/>
          <w:szCs w:val="21"/>
          <w:highlight w:val="none"/>
        </w:rPr>
      </w:pPr>
      <w:r>
        <w:rPr>
          <w:rFonts w:hint="eastAsia"/>
          <w:bCs/>
          <w:szCs w:val="21"/>
          <w:highlight w:val="none"/>
        </w:rPr>
        <w:t>4</w:t>
      </w:r>
      <w:r>
        <w:rPr>
          <w:bCs/>
          <w:szCs w:val="21"/>
          <w:highlight w:val="none"/>
        </w:rPr>
        <w:t>.</w:t>
      </w:r>
      <w:r>
        <w:rPr>
          <w:rFonts w:hint="eastAsia"/>
          <w:szCs w:val="21"/>
          <w:highlight w:val="none"/>
        </w:rPr>
        <w:t>《货物清单一览表》不允许出现负偏离，否则将导致投标无效，以投标文件格式中的《货物说明一览表》为准。</w:t>
      </w:r>
    </w:p>
    <w:p>
      <w:pPr>
        <w:numPr>
          <w:ilvl w:val="0"/>
          <w:numId w:val="2"/>
        </w:numPr>
        <w:adjustRightInd/>
        <w:snapToGrid/>
        <w:spacing w:before="280" w:after="290" w:line="377" w:lineRule="auto"/>
        <w:jc w:val="left"/>
        <w:outlineLvl w:val="2"/>
        <w:rPr>
          <w:rFonts w:hint="eastAsia"/>
          <w:b/>
          <w:sz w:val="24"/>
          <w:highlight w:val="none"/>
        </w:rPr>
      </w:pPr>
      <w:bookmarkStart w:id="41" w:name="_Toc31434"/>
      <w:bookmarkStart w:id="42" w:name="_Toc150960245"/>
      <w:bookmarkStart w:id="43" w:name="_Toc151386155"/>
      <w:r>
        <w:rPr>
          <w:rFonts w:hint="eastAsia"/>
          <w:b/>
          <w:sz w:val="24"/>
          <w:highlight w:val="none"/>
        </w:rPr>
        <w:t>实质性响应条款</w:t>
      </w:r>
      <w:bookmarkEnd w:id="41"/>
      <w:bookmarkEnd w:id="42"/>
      <w:bookmarkEnd w:id="43"/>
    </w:p>
    <w:tbl>
      <w:tblPr>
        <w:tblStyle w:val="85"/>
        <w:tblW w:w="4738"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589"/>
        <w:gridCol w:w="6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pct"/>
            <w:vAlign w:val="center"/>
          </w:tcPr>
          <w:p>
            <w:pPr>
              <w:spacing w:line="240" w:lineRule="auto"/>
              <w:jc w:val="center"/>
              <w:rPr>
                <w:rFonts w:hint="eastAsia"/>
                <w:b/>
                <w:szCs w:val="21"/>
                <w:highlight w:val="none"/>
              </w:rPr>
            </w:pPr>
            <w:r>
              <w:rPr>
                <w:rFonts w:hint="eastAsia"/>
                <w:b/>
                <w:szCs w:val="21"/>
                <w:highlight w:val="none"/>
              </w:rPr>
              <w:t>序号</w:t>
            </w:r>
          </w:p>
        </w:tc>
        <w:tc>
          <w:tcPr>
            <w:tcW w:w="876" w:type="pct"/>
            <w:vAlign w:val="center"/>
          </w:tcPr>
          <w:p>
            <w:pPr>
              <w:spacing w:line="240" w:lineRule="auto"/>
              <w:jc w:val="center"/>
              <w:rPr>
                <w:rFonts w:hint="eastAsia"/>
                <w:b/>
                <w:szCs w:val="21"/>
                <w:highlight w:val="none"/>
              </w:rPr>
            </w:pPr>
            <w:r>
              <w:rPr>
                <w:rFonts w:hint="eastAsia"/>
                <w:b/>
                <w:szCs w:val="21"/>
                <w:highlight w:val="none"/>
              </w:rPr>
              <w:t>目录</w:t>
            </w:r>
          </w:p>
        </w:tc>
        <w:tc>
          <w:tcPr>
            <w:tcW w:w="3704" w:type="pct"/>
            <w:vAlign w:val="center"/>
          </w:tcPr>
          <w:p>
            <w:pPr>
              <w:spacing w:line="240" w:lineRule="auto"/>
              <w:jc w:val="center"/>
              <w:rPr>
                <w:rFonts w:hint="eastAsia"/>
                <w:b/>
                <w:szCs w:val="21"/>
                <w:highlight w:val="none"/>
              </w:rPr>
            </w:pPr>
            <w:r>
              <w:rPr>
                <w:rFonts w:hint="eastAsia"/>
                <w:b/>
                <w:szCs w:val="21"/>
                <w:highlight w:val="none"/>
              </w:rPr>
              <w:t>实质性响应条款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pct"/>
            <w:vAlign w:val="center"/>
          </w:tcPr>
          <w:p>
            <w:pPr>
              <w:spacing w:line="240" w:lineRule="auto"/>
              <w:jc w:val="center"/>
              <w:rPr>
                <w:rFonts w:hint="eastAsia"/>
                <w:b/>
                <w:szCs w:val="21"/>
                <w:highlight w:val="none"/>
              </w:rPr>
            </w:pPr>
            <w:r>
              <w:rPr>
                <w:rFonts w:hint="eastAsia"/>
                <w:b/>
                <w:szCs w:val="21"/>
                <w:highlight w:val="none"/>
              </w:rPr>
              <w:t>1</w:t>
            </w:r>
          </w:p>
        </w:tc>
        <w:tc>
          <w:tcPr>
            <w:tcW w:w="876" w:type="pct"/>
            <w:vAlign w:val="center"/>
          </w:tcPr>
          <w:p>
            <w:pPr>
              <w:tabs>
                <w:tab w:val="clear" w:pos="426"/>
              </w:tabs>
              <w:spacing w:line="240" w:lineRule="auto"/>
              <w:jc w:val="left"/>
              <w:rPr>
                <w:rFonts w:hint="eastAsia" w:cs="Times New Roman"/>
                <w:kern w:val="2"/>
                <w:szCs w:val="21"/>
                <w:highlight w:val="none"/>
              </w:rPr>
            </w:pPr>
            <w:r>
              <w:rPr>
                <w:rFonts w:hint="eastAsia" w:cs="Times New Roman"/>
                <w:kern w:val="2"/>
                <w:szCs w:val="21"/>
                <w:highlight w:val="none"/>
              </w:rPr>
              <w:t>技术要求</w:t>
            </w:r>
          </w:p>
        </w:tc>
        <w:tc>
          <w:tcPr>
            <w:tcW w:w="3704" w:type="pct"/>
            <w:vAlign w:val="center"/>
          </w:tcPr>
          <w:p>
            <w:pPr>
              <w:spacing w:line="240" w:lineRule="auto"/>
              <w:rPr>
                <w:rFonts w:hint="eastAsia"/>
                <w:szCs w:val="21"/>
                <w:highlight w:val="none"/>
                <w:lang w:bidi="ar"/>
              </w:rPr>
            </w:pPr>
            <w:r>
              <w:rPr>
                <w:rFonts w:hint="eastAsia" w:cs="Times New Roman"/>
                <w:kern w:val="2"/>
                <w:szCs w:val="21"/>
                <w:highlight w:val="none"/>
              </w:rPr>
              <w:t>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pct"/>
            <w:vAlign w:val="center"/>
          </w:tcPr>
          <w:p>
            <w:pPr>
              <w:spacing w:line="240" w:lineRule="auto"/>
              <w:jc w:val="center"/>
              <w:rPr>
                <w:rFonts w:hint="eastAsia"/>
                <w:b/>
                <w:szCs w:val="21"/>
                <w:highlight w:val="none"/>
              </w:rPr>
            </w:pPr>
            <w:r>
              <w:rPr>
                <w:rFonts w:hint="eastAsia"/>
                <w:b/>
                <w:szCs w:val="21"/>
                <w:highlight w:val="none"/>
              </w:rPr>
              <w:t>2</w:t>
            </w:r>
          </w:p>
        </w:tc>
        <w:tc>
          <w:tcPr>
            <w:tcW w:w="876" w:type="pct"/>
            <w:vAlign w:val="center"/>
          </w:tcPr>
          <w:p>
            <w:pPr>
              <w:tabs>
                <w:tab w:val="clear" w:pos="426"/>
              </w:tabs>
              <w:spacing w:line="240" w:lineRule="auto"/>
              <w:jc w:val="left"/>
              <w:rPr>
                <w:rFonts w:hint="eastAsia" w:cs="Times New Roman"/>
                <w:kern w:val="2"/>
                <w:szCs w:val="21"/>
                <w:highlight w:val="none"/>
              </w:rPr>
            </w:pPr>
            <w:r>
              <w:rPr>
                <w:rFonts w:hint="eastAsia" w:cs="Times New Roman"/>
                <w:kern w:val="2"/>
                <w:szCs w:val="21"/>
                <w:highlight w:val="none"/>
              </w:rPr>
              <w:t>商务要求</w:t>
            </w:r>
          </w:p>
        </w:tc>
        <w:tc>
          <w:tcPr>
            <w:tcW w:w="3704" w:type="pct"/>
            <w:vAlign w:val="center"/>
          </w:tcPr>
          <w:p>
            <w:pPr>
              <w:spacing w:line="240" w:lineRule="auto"/>
              <w:rPr>
                <w:rFonts w:hint="eastAsia"/>
                <w:szCs w:val="21"/>
                <w:highlight w:val="none"/>
                <w:lang w:bidi="ar"/>
              </w:rPr>
            </w:pPr>
            <w:r>
              <w:rPr>
                <w:rFonts w:hint="eastAsia" w:cs="Times New Roman"/>
                <w:kern w:val="2"/>
                <w:szCs w:val="21"/>
                <w:highlight w:val="none"/>
              </w:rPr>
              <w:t>带★内容。</w:t>
            </w:r>
          </w:p>
        </w:tc>
      </w:tr>
    </w:tbl>
    <w:p>
      <w:pPr>
        <w:spacing w:line="276" w:lineRule="auto"/>
        <w:ind w:firstLine="420" w:firstLineChars="200"/>
        <w:rPr>
          <w:rFonts w:hint="eastAsia"/>
          <w:bCs/>
          <w:szCs w:val="21"/>
          <w:highlight w:val="none"/>
        </w:rPr>
      </w:pPr>
      <w:r>
        <w:rPr>
          <w:rFonts w:hint="eastAsia"/>
          <w:bCs/>
          <w:szCs w:val="21"/>
          <w:highlight w:val="none"/>
        </w:rPr>
        <w:t>备注：</w:t>
      </w:r>
    </w:p>
    <w:p>
      <w:pPr>
        <w:spacing w:line="276" w:lineRule="auto"/>
        <w:ind w:firstLine="420" w:firstLineChars="200"/>
        <w:rPr>
          <w:rFonts w:hint="eastAsia"/>
          <w:bCs/>
          <w:szCs w:val="21"/>
          <w:highlight w:val="none"/>
        </w:rPr>
      </w:pPr>
      <w:r>
        <w:rPr>
          <w:bCs/>
          <w:szCs w:val="21"/>
          <w:highlight w:val="none"/>
        </w:rPr>
        <w:t>1.</w:t>
      </w:r>
      <w:r>
        <w:rPr>
          <w:rFonts w:hint="eastAsia"/>
          <w:bCs/>
          <w:szCs w:val="21"/>
          <w:highlight w:val="none"/>
        </w:rPr>
        <w:t>请各位投标人仔细核对：确保投标文件已按照招标文件要求，在招标文件规定的投标文件格式中的对应节点进行逐一响应，不允许有任何负偏离，否则将作投标无效处理</w:t>
      </w:r>
      <w:r>
        <w:rPr>
          <w:bCs/>
          <w:szCs w:val="21"/>
          <w:highlight w:val="none"/>
        </w:rPr>
        <w:t>。</w:t>
      </w:r>
    </w:p>
    <w:p>
      <w:pPr>
        <w:numPr>
          <w:ilvl w:val="0"/>
          <w:numId w:val="2"/>
        </w:numPr>
        <w:adjustRightInd/>
        <w:snapToGrid/>
        <w:spacing w:before="280" w:after="290" w:line="377" w:lineRule="auto"/>
        <w:jc w:val="left"/>
        <w:outlineLvl w:val="2"/>
        <w:rPr>
          <w:rFonts w:hint="eastAsia"/>
          <w:b/>
          <w:sz w:val="24"/>
          <w:highlight w:val="none"/>
        </w:rPr>
      </w:pPr>
      <w:bookmarkStart w:id="44" w:name="_Toc150960246"/>
      <w:bookmarkStart w:id="45" w:name="_Toc151386156"/>
      <w:bookmarkStart w:id="46" w:name="_Toc27732"/>
      <w:r>
        <w:rPr>
          <w:rFonts w:hint="eastAsia"/>
          <w:b/>
          <w:sz w:val="24"/>
          <w:highlight w:val="none"/>
        </w:rPr>
        <w:t>技术要求</w:t>
      </w:r>
      <w:bookmarkEnd w:id="44"/>
      <w:bookmarkEnd w:id="45"/>
      <w:bookmarkEnd w:id="46"/>
    </w:p>
    <w:tbl>
      <w:tblPr>
        <w:tblStyle w:val="85"/>
        <w:tblW w:w="4994"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7"/>
        <w:gridCol w:w="1318"/>
        <w:gridCol w:w="1059"/>
        <w:gridCol w:w="5454"/>
        <w:gridCol w:w="10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348" w:type="pct"/>
            <w:tcBorders>
              <w:top w:val="single" w:color="auto" w:sz="4" w:space="0"/>
              <w:left w:val="single" w:color="auto" w:sz="4" w:space="0"/>
              <w:bottom w:val="single" w:color="auto" w:sz="4" w:space="0"/>
              <w:right w:val="single" w:color="auto" w:sz="4" w:space="0"/>
            </w:tcBorders>
            <w:vAlign w:val="center"/>
          </w:tcPr>
          <w:p>
            <w:pPr>
              <w:pStyle w:val="559"/>
              <w:jc w:val="center"/>
              <w:rPr>
                <w:rFonts w:hint="eastAsia" w:ascii="宋体" w:hAnsi="宋体" w:cs="宋体"/>
                <w:b/>
                <w:bCs/>
                <w:szCs w:val="21"/>
                <w:highlight w:val="none"/>
              </w:rPr>
            </w:pPr>
            <w:r>
              <w:rPr>
                <w:rFonts w:hint="eastAsia" w:ascii="宋体" w:hAnsi="宋体" w:cs="宋体"/>
                <w:b/>
                <w:bCs/>
                <w:szCs w:val="21"/>
                <w:highlight w:val="none"/>
              </w:rPr>
              <w:t>序号</w:t>
            </w:r>
          </w:p>
        </w:tc>
        <w:tc>
          <w:tcPr>
            <w:tcW w:w="689" w:type="pct"/>
            <w:tcBorders>
              <w:top w:val="single" w:color="auto" w:sz="4" w:space="0"/>
              <w:left w:val="single" w:color="auto" w:sz="4" w:space="0"/>
              <w:bottom w:val="single" w:color="auto" w:sz="4" w:space="0"/>
              <w:right w:val="single" w:color="auto" w:sz="4" w:space="0"/>
            </w:tcBorders>
            <w:vAlign w:val="center"/>
          </w:tcPr>
          <w:p>
            <w:pPr>
              <w:pStyle w:val="559"/>
              <w:jc w:val="center"/>
              <w:rPr>
                <w:rFonts w:hint="eastAsia" w:ascii="宋体" w:hAnsi="宋体" w:cs="宋体"/>
                <w:b/>
                <w:bCs/>
                <w:szCs w:val="21"/>
                <w:highlight w:val="none"/>
              </w:rPr>
            </w:pPr>
            <w:r>
              <w:rPr>
                <w:rFonts w:hint="eastAsia" w:ascii="宋体" w:hAnsi="宋体" w:cs="宋体"/>
                <w:b/>
                <w:bCs/>
                <w:szCs w:val="21"/>
                <w:highlight w:val="none"/>
              </w:rPr>
              <w:t>货物名称</w:t>
            </w:r>
          </w:p>
        </w:tc>
        <w:tc>
          <w:tcPr>
            <w:tcW w:w="553" w:type="pct"/>
            <w:tcBorders>
              <w:top w:val="single" w:color="auto" w:sz="4" w:space="0"/>
              <w:left w:val="single" w:color="auto" w:sz="4" w:space="0"/>
              <w:bottom w:val="single" w:color="auto" w:sz="4" w:space="0"/>
              <w:right w:val="single" w:color="auto" w:sz="4" w:space="0"/>
            </w:tcBorders>
            <w:vAlign w:val="center"/>
          </w:tcPr>
          <w:p>
            <w:pPr>
              <w:pStyle w:val="559"/>
              <w:jc w:val="center"/>
              <w:rPr>
                <w:rFonts w:hint="eastAsia" w:ascii="宋体" w:hAnsi="宋体" w:cs="宋体"/>
                <w:b/>
                <w:bCs/>
                <w:szCs w:val="21"/>
                <w:highlight w:val="none"/>
              </w:rPr>
            </w:pPr>
            <w:r>
              <w:rPr>
                <w:rFonts w:hint="eastAsia" w:ascii="宋体" w:hAnsi="宋体" w:cs="宋体"/>
                <w:b/>
                <w:bCs/>
                <w:szCs w:val="21"/>
                <w:highlight w:val="none"/>
              </w:rPr>
              <w:t>总数量</w:t>
            </w:r>
          </w:p>
        </w:tc>
        <w:tc>
          <w:tcPr>
            <w:tcW w:w="2852" w:type="pct"/>
            <w:tcBorders>
              <w:top w:val="single" w:color="auto" w:sz="4" w:space="0"/>
              <w:left w:val="single" w:color="auto" w:sz="4" w:space="0"/>
              <w:bottom w:val="single" w:color="auto" w:sz="4" w:space="0"/>
              <w:right w:val="single" w:color="auto" w:sz="4" w:space="0"/>
            </w:tcBorders>
            <w:vAlign w:val="center"/>
          </w:tcPr>
          <w:p>
            <w:pPr>
              <w:pStyle w:val="559"/>
              <w:jc w:val="center"/>
              <w:rPr>
                <w:rFonts w:hint="eastAsia" w:ascii="宋体" w:hAnsi="宋体" w:cs="宋体"/>
                <w:b/>
                <w:bCs/>
                <w:szCs w:val="21"/>
                <w:highlight w:val="none"/>
              </w:rPr>
            </w:pPr>
            <w:r>
              <w:rPr>
                <w:rFonts w:hint="eastAsia" w:ascii="宋体" w:hAnsi="宋体" w:cs="宋体"/>
                <w:b/>
                <w:bCs/>
                <w:szCs w:val="21"/>
                <w:highlight w:val="none"/>
              </w:rPr>
              <w:t>技术参数要求</w:t>
            </w:r>
          </w:p>
        </w:tc>
        <w:tc>
          <w:tcPr>
            <w:tcW w:w="554" w:type="pct"/>
            <w:tcBorders>
              <w:top w:val="single" w:color="auto" w:sz="4" w:space="0"/>
              <w:left w:val="single" w:color="auto" w:sz="4" w:space="0"/>
              <w:bottom w:val="single" w:color="auto" w:sz="4" w:space="0"/>
              <w:right w:val="single" w:color="auto" w:sz="4" w:space="0"/>
            </w:tcBorders>
            <w:vAlign w:val="center"/>
          </w:tcPr>
          <w:p>
            <w:pPr>
              <w:pStyle w:val="559"/>
              <w:jc w:val="center"/>
              <w:rPr>
                <w:rFonts w:hint="eastAsia" w:ascii="宋体" w:hAnsi="宋体" w:cs="宋体"/>
                <w:b/>
                <w:bCs/>
                <w:szCs w:val="21"/>
                <w:highlight w:val="none"/>
              </w:rPr>
            </w:pPr>
            <w:r>
              <w:rPr>
                <w:rFonts w:hint="eastAsia" w:ascii="宋体" w:hAnsi="宋体" w:cs="宋体"/>
                <w:b/>
                <w:bCs/>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4" w:hRule="atLeast"/>
        </w:trPr>
        <w:tc>
          <w:tcPr>
            <w:tcW w:w="348" w:type="pct"/>
            <w:vMerge w:val="restart"/>
            <w:tcBorders>
              <w:top w:val="single" w:color="auto" w:sz="4" w:space="0"/>
              <w:left w:val="single" w:color="auto" w:sz="4" w:space="0"/>
              <w:right w:val="single" w:color="auto" w:sz="4" w:space="0"/>
            </w:tcBorders>
            <w:vAlign w:val="center"/>
          </w:tcPr>
          <w:p>
            <w:pPr>
              <w:pStyle w:val="559"/>
              <w:rPr>
                <w:rFonts w:hint="eastAsia" w:ascii="宋体" w:hAnsi="宋体" w:cs="宋体"/>
                <w:szCs w:val="21"/>
                <w:highlight w:val="none"/>
              </w:rPr>
            </w:pPr>
            <w:r>
              <w:rPr>
                <w:rFonts w:hint="eastAsia" w:ascii="宋体" w:hAnsi="宋体" w:cs="宋体"/>
                <w:szCs w:val="21"/>
                <w:highlight w:val="none"/>
              </w:rPr>
              <w:t>1</w:t>
            </w:r>
          </w:p>
        </w:tc>
        <w:tc>
          <w:tcPr>
            <w:tcW w:w="689" w:type="pct"/>
            <w:vMerge w:val="restart"/>
            <w:tcBorders>
              <w:top w:val="single" w:color="auto" w:sz="4" w:space="0"/>
              <w:left w:val="single" w:color="auto" w:sz="4" w:space="0"/>
              <w:right w:val="single" w:color="auto" w:sz="4" w:space="0"/>
            </w:tcBorders>
            <w:vAlign w:val="center"/>
          </w:tcPr>
          <w:p>
            <w:pPr>
              <w:pStyle w:val="559"/>
              <w:rPr>
                <w:rFonts w:hint="eastAsia" w:ascii="宋体" w:hAnsi="宋体" w:cs="宋体"/>
                <w:szCs w:val="21"/>
                <w:highlight w:val="none"/>
              </w:rPr>
            </w:pPr>
            <w:r>
              <w:rPr>
                <w:rFonts w:hint="eastAsia" w:ascii="宋体" w:hAnsi="宋体" w:cs="宋体"/>
                <w:szCs w:val="21"/>
                <w:highlight w:val="none"/>
              </w:rPr>
              <w:t>农兽残检测全流程全自动样品前处理系统</w:t>
            </w:r>
          </w:p>
        </w:tc>
        <w:tc>
          <w:tcPr>
            <w:tcW w:w="553" w:type="pct"/>
            <w:vMerge w:val="restart"/>
            <w:tcBorders>
              <w:top w:val="single" w:color="auto" w:sz="4" w:space="0"/>
              <w:left w:val="single" w:color="auto" w:sz="4" w:space="0"/>
              <w:right w:val="single" w:color="auto" w:sz="4" w:space="0"/>
            </w:tcBorders>
            <w:vAlign w:val="center"/>
          </w:tcPr>
          <w:p>
            <w:pPr>
              <w:pStyle w:val="559"/>
              <w:jc w:val="center"/>
              <w:rPr>
                <w:rFonts w:hint="eastAsia" w:ascii="宋体" w:hAnsi="宋体" w:cs="宋体"/>
                <w:szCs w:val="21"/>
                <w:highlight w:val="none"/>
              </w:rPr>
            </w:pPr>
            <w:r>
              <w:rPr>
                <w:rFonts w:hint="eastAsia" w:ascii="宋体" w:hAnsi="宋体" w:cs="宋体"/>
                <w:szCs w:val="21"/>
                <w:highlight w:val="none"/>
              </w:rPr>
              <w:t>1台</w:t>
            </w: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b/>
                <w:bCs/>
                <w:szCs w:val="21"/>
                <w:highlight w:val="none"/>
              </w:rPr>
              <w:t>主要技术参数：</w:t>
            </w:r>
          </w:p>
        </w:tc>
        <w:tc>
          <w:tcPr>
            <w:tcW w:w="554"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r>
              <w:rPr>
                <w:rFonts w:hint="eastAsia"/>
                <w:b/>
                <w:bCs/>
                <w:szCs w:val="21"/>
                <w:highlight w:val="none"/>
              </w:rPr>
              <w:t>标题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4" w:hRule="atLeast"/>
        </w:trPr>
        <w:tc>
          <w:tcPr>
            <w:tcW w:w="348" w:type="pct"/>
            <w:vMerge w:val="continue"/>
            <w:tcBorders>
              <w:left w:val="single" w:color="auto" w:sz="4" w:space="0"/>
              <w:right w:val="single" w:color="auto" w:sz="4" w:space="0"/>
            </w:tcBorders>
            <w:vAlign w:val="center"/>
          </w:tcPr>
          <w:p>
            <w:pPr>
              <w:spacing w:line="240" w:lineRule="auto"/>
              <w:rPr>
                <w:rFonts w:hint="eastAsia"/>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contextualSpacing/>
              <w:rPr>
                <w:rFonts w:hint="eastAsia"/>
                <w:b/>
                <w:bCs/>
                <w:szCs w:val="21"/>
                <w:highlight w:val="none"/>
              </w:rPr>
            </w:pPr>
            <w:r>
              <w:rPr>
                <w:rFonts w:hint="eastAsia"/>
                <w:b/>
                <w:bCs/>
                <w:szCs w:val="21"/>
                <w:highlight w:val="none"/>
              </w:rPr>
              <w:t xml:space="preserve">1 用途: </w:t>
            </w:r>
            <w:r>
              <w:rPr>
                <w:rFonts w:hint="eastAsia"/>
                <w:szCs w:val="21"/>
                <w:highlight w:val="none"/>
              </w:rPr>
              <w:t>该系统主要用于食品、农产品农药残留检测时，利用QuEChERS方法对不同种类样品进行提取和净化处理。</w:t>
            </w:r>
          </w:p>
        </w:tc>
        <w:tc>
          <w:tcPr>
            <w:tcW w:w="554"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4"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contextualSpacing/>
              <w:rPr>
                <w:rFonts w:hint="eastAsia"/>
                <w:b/>
                <w:bCs/>
                <w:szCs w:val="21"/>
                <w:highlight w:val="none"/>
              </w:rPr>
            </w:pPr>
            <w:r>
              <w:rPr>
                <w:rFonts w:hint="eastAsia"/>
                <w:b/>
                <w:bCs/>
                <w:szCs w:val="21"/>
                <w:highlight w:val="none"/>
              </w:rPr>
              <w:t>2应用范围：</w:t>
            </w:r>
            <w:r>
              <w:rPr>
                <w:rFonts w:hint="eastAsia"/>
                <w:szCs w:val="21"/>
                <w:highlight w:val="none"/>
              </w:rPr>
              <w:t>该系统主要应用于食品、农产品农药残留检测时，利用Quenchers方法对不同种类样品进行提取和净化处理。</w:t>
            </w:r>
          </w:p>
        </w:tc>
        <w:tc>
          <w:tcPr>
            <w:tcW w:w="554"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b/>
                <w:szCs w:val="21"/>
                <w:highlight w:val="none"/>
              </w:rPr>
              <w:t>3 供货要求：</w:t>
            </w:r>
            <w:r>
              <w:rPr>
                <w:rFonts w:hint="eastAsia"/>
                <w:szCs w:val="21"/>
                <w:highlight w:val="none"/>
              </w:rPr>
              <w:t>功能岛模块化，每个功能岛均可单独使用也可以串联使用；应包括样品管理模块、振荡提取模块、离心功能模块、氮吹浓缩模块、过滤功能模块、AGV小车、控制系统模块等。</w:t>
            </w:r>
          </w:p>
        </w:tc>
        <w:tc>
          <w:tcPr>
            <w:tcW w:w="554"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b/>
                <w:szCs w:val="21"/>
                <w:highlight w:val="none"/>
              </w:rPr>
              <w:t>4 技术指标：</w:t>
            </w:r>
          </w:p>
        </w:tc>
        <w:tc>
          <w:tcPr>
            <w:tcW w:w="55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r>
              <w:rPr>
                <w:rFonts w:hint="eastAsia"/>
                <w:b/>
                <w:bCs/>
                <w:szCs w:val="21"/>
                <w:highlight w:val="none"/>
              </w:rPr>
              <w:t>标题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szCs w:val="21"/>
                <w:highlight w:val="none"/>
              </w:rPr>
              <w:t>4.1工作条件：工作电压：220 V±10%，50Hz；温度：4 ℃-40 ℃；相对湿度：20~80% RH。</w:t>
            </w:r>
          </w:p>
        </w:tc>
        <w:tc>
          <w:tcPr>
            <w:tcW w:w="55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szCs w:val="21"/>
                <w:highlight w:val="none"/>
              </w:rPr>
              <w:t>4.2技术指标</w:t>
            </w:r>
          </w:p>
        </w:tc>
        <w:tc>
          <w:tcPr>
            <w:tcW w:w="554"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r>
              <w:rPr>
                <w:rFonts w:hint="eastAsia"/>
                <w:b/>
                <w:bCs/>
                <w:szCs w:val="21"/>
                <w:highlight w:val="none"/>
              </w:rPr>
              <w:t>标题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b/>
                <w:bCs/>
                <w:szCs w:val="21"/>
                <w:highlight w:val="none"/>
              </w:rPr>
              <w:t>★4.2.1设备可完成从样本进入到最终产物输出的全过程自动化，期间无需人工参与。操作过程包括：添加液体试剂、加入质控品、加盐、均质提取、超声提取、振荡提取（垂直振荡或涡旋振荡）、提取盐加入、离心分离、上清液分取、氮吹浓缩、自动滤膜过滤。</w:t>
            </w:r>
          </w:p>
        </w:tc>
        <w:tc>
          <w:tcPr>
            <w:tcW w:w="554"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r>
              <w:rPr>
                <w:rFonts w:hint="eastAsia"/>
                <w:b/>
                <w:bCs/>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szCs w:val="21"/>
                <w:highlight w:val="none"/>
              </w:rPr>
              <w:t>▲4.2.2最大连续处理样品量：≥96个样品，无需人为介入，仪器能自动对不大于96个样品进行上条参数中所有步骤的样品前处理（以GB 23200.121、GB 23200.113方法进行计算）。系统可进行快速拓展，根据客户场地进行布局调整，功能模块数量可进行拓展。</w:t>
            </w:r>
          </w:p>
        </w:tc>
        <w:tc>
          <w:tcPr>
            <w:tcW w:w="554"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b/>
                <w:bCs/>
                <w:szCs w:val="21"/>
                <w:highlight w:val="none"/>
              </w:rPr>
              <w:t>4.3样品管理模块</w:t>
            </w:r>
          </w:p>
        </w:tc>
        <w:tc>
          <w:tcPr>
            <w:tcW w:w="554"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r>
              <w:rPr>
                <w:rFonts w:hint="eastAsia"/>
                <w:b/>
                <w:bCs/>
                <w:szCs w:val="21"/>
                <w:highlight w:val="none"/>
              </w:rPr>
              <w:t>标题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szCs w:val="21"/>
                <w:highlight w:val="none"/>
              </w:rPr>
              <w:t>▲4.3.1样品管理模块：采用立体仓库形式，目前有两种容量规格样品管理模块。</w:t>
            </w:r>
          </w:p>
        </w:tc>
        <w:tc>
          <w:tcPr>
            <w:tcW w:w="554"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szCs w:val="21"/>
                <w:highlight w:val="none"/>
              </w:rPr>
              <w:t>▲4.3.2 可同时容纳不少于96个50mL样本管的管架，并可切换为15mL样本管管架。</w:t>
            </w:r>
          </w:p>
        </w:tc>
        <w:tc>
          <w:tcPr>
            <w:tcW w:w="55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szCs w:val="21"/>
                <w:highlight w:val="none"/>
              </w:rPr>
              <w:t>▲4.3.3具有管架扫码装置，可快速识别样品架类别。</w:t>
            </w:r>
          </w:p>
        </w:tc>
        <w:tc>
          <w:tcPr>
            <w:tcW w:w="55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szCs w:val="21"/>
                <w:highlight w:val="none"/>
              </w:rPr>
              <w:t>4.3.4具有自动转运模块，可进行管架的自动出入库操作。</w:t>
            </w:r>
          </w:p>
        </w:tc>
        <w:tc>
          <w:tcPr>
            <w:tcW w:w="55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b/>
                <w:bCs/>
                <w:szCs w:val="21"/>
                <w:highlight w:val="none"/>
              </w:rPr>
              <w:t>4.4 振荡提取模块</w:t>
            </w:r>
          </w:p>
        </w:tc>
        <w:tc>
          <w:tcPr>
            <w:tcW w:w="554"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r>
              <w:rPr>
                <w:rFonts w:hint="eastAsia"/>
                <w:b/>
                <w:bCs/>
                <w:szCs w:val="21"/>
                <w:highlight w:val="none"/>
              </w:rPr>
              <w:t>标题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hint="eastAsia"/>
                <w:b/>
                <w:bCs/>
                <w:szCs w:val="21"/>
                <w:highlight w:val="none"/>
              </w:rPr>
            </w:pPr>
            <w:r>
              <w:rPr>
                <w:rFonts w:hint="eastAsia"/>
                <w:szCs w:val="21"/>
                <w:highlight w:val="none"/>
              </w:rPr>
              <w:t>主要完成样品的垂直振荡提取功能，涡旋振荡功能，加液功能，加盐功能，加均质功能，移液分取功能，加入质控品功能。主要完成快速样品处理法中的样品提取、净化功能。</w:t>
            </w:r>
          </w:p>
        </w:tc>
        <w:tc>
          <w:tcPr>
            <w:tcW w:w="554"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r>
              <w:rPr>
                <w:rFonts w:hint="eastAsia"/>
                <w:b/>
                <w:bCs/>
                <w:szCs w:val="21"/>
                <w:highlight w:val="none"/>
              </w:rPr>
              <w:t>标题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szCs w:val="21"/>
                <w:highlight w:val="none"/>
              </w:rPr>
              <w:t>▲4.4.1加试剂模块拥有X-Y-Z三方向移动功能的移液枪，移动精度≤0.1 mm，并能在20 s内完成最大10 mL的移液功能，加试剂精度≤±0.1%；</w:t>
            </w:r>
          </w:p>
        </w:tc>
        <w:tc>
          <w:tcPr>
            <w:tcW w:w="554"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szCs w:val="21"/>
                <w:highlight w:val="none"/>
              </w:rPr>
              <w:t>▲4.4.2具有样品架识别功能，管架摆放数量≥10个。</w:t>
            </w:r>
          </w:p>
        </w:tc>
        <w:tc>
          <w:tcPr>
            <w:tcW w:w="554"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szCs w:val="21"/>
                <w:highlight w:val="none"/>
              </w:rPr>
              <w:t>★</w:t>
            </w:r>
            <w:r>
              <w:rPr>
                <w:rFonts w:hint="eastAsia"/>
                <w:b/>
                <w:bCs/>
                <w:szCs w:val="21"/>
                <w:highlight w:val="none"/>
              </w:rPr>
              <w:t>4.4.3垂直振荡提取模块具有4位50 mL，4位15 mL离心管架，振荡频率≥900 rpm；振幅≥30 mm；振荡速度、时间可调。</w:t>
            </w:r>
          </w:p>
        </w:tc>
        <w:tc>
          <w:tcPr>
            <w:tcW w:w="554"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szCs w:val="21"/>
                <w:highlight w:val="none"/>
              </w:rPr>
              <w:t>▲4.4.4涡旋振荡模块具有4位50 mL，4位15ml离心管架，振荡频率≥2500 rpm，振荡速度、时间可调。</w:t>
            </w:r>
          </w:p>
        </w:tc>
        <w:tc>
          <w:tcPr>
            <w:tcW w:w="554"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szCs w:val="21"/>
                <w:highlight w:val="none"/>
              </w:rPr>
              <w:t>▲</w:t>
            </w:r>
            <w:r>
              <w:rPr>
                <w:rFonts w:hint="eastAsia"/>
                <w:b/>
                <w:bCs/>
                <w:szCs w:val="21"/>
                <w:highlight w:val="none"/>
              </w:rPr>
              <w:t>4.5具有自动加盐功能</w:t>
            </w:r>
            <w:r>
              <w:rPr>
                <w:rFonts w:hint="eastAsia"/>
                <w:szCs w:val="21"/>
                <w:highlight w:val="none"/>
              </w:rPr>
              <w:t>：采用预制盐管方式。</w:t>
            </w:r>
          </w:p>
        </w:tc>
        <w:tc>
          <w:tcPr>
            <w:tcW w:w="554"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szCs w:val="21"/>
                <w:highlight w:val="none"/>
              </w:rPr>
              <w:t>▲</w:t>
            </w:r>
            <w:r>
              <w:rPr>
                <w:rFonts w:hint="eastAsia"/>
                <w:b/>
                <w:bCs/>
                <w:szCs w:val="21"/>
                <w:highlight w:val="none"/>
              </w:rPr>
              <w:t>4.6具有加液功能</w:t>
            </w:r>
            <w:r>
              <w:rPr>
                <w:rFonts w:hint="eastAsia"/>
                <w:szCs w:val="21"/>
                <w:highlight w:val="none"/>
              </w:rPr>
              <w:t>：使用高精度注射泵，加液精度≤±1%；溶剂选择数量≥6种。</w:t>
            </w:r>
          </w:p>
        </w:tc>
        <w:tc>
          <w:tcPr>
            <w:tcW w:w="55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szCs w:val="21"/>
                <w:highlight w:val="none"/>
              </w:rPr>
              <w:t>▲4.7具有加质控品功能：标液最大选择数量≥4种，加标针具有自动清洗内外壁功能，防止交叉污染。</w:t>
            </w:r>
          </w:p>
        </w:tc>
        <w:tc>
          <w:tcPr>
            <w:tcW w:w="55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szCs w:val="21"/>
                <w:highlight w:val="none"/>
              </w:rPr>
              <w:t>4.8具有移液分取功能，可定量转移液体样品，移液针可自动进行内外壁清洗，避免交叉污染。</w:t>
            </w:r>
          </w:p>
        </w:tc>
        <w:tc>
          <w:tcPr>
            <w:tcW w:w="55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szCs w:val="21"/>
                <w:highlight w:val="none"/>
              </w:rPr>
              <w:t>▲4.9可自动进行15 mL、50 mL离心管的自动开关盖，管盖暂存位置≥6个。</w:t>
            </w:r>
          </w:p>
        </w:tc>
        <w:tc>
          <w:tcPr>
            <w:tcW w:w="55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szCs w:val="21"/>
                <w:highlight w:val="none"/>
              </w:rPr>
              <w:t>▲4.10具有独立的均质子添加模块，添加数量可设置。</w:t>
            </w:r>
          </w:p>
        </w:tc>
        <w:tc>
          <w:tcPr>
            <w:tcW w:w="55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szCs w:val="21"/>
                <w:highlight w:val="none"/>
              </w:rPr>
              <w:t>4.11功能岛可脱离系统平台独立运行。</w:t>
            </w:r>
          </w:p>
        </w:tc>
        <w:tc>
          <w:tcPr>
            <w:tcW w:w="55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b/>
                <w:bCs/>
                <w:szCs w:val="21"/>
                <w:highlight w:val="none"/>
              </w:rPr>
              <w:t>4.12 离心功能模块</w:t>
            </w:r>
            <w:r>
              <w:rPr>
                <w:rFonts w:hint="eastAsia"/>
                <w:szCs w:val="21"/>
                <w:highlight w:val="none"/>
              </w:rPr>
              <w:t>：主要完成样品的离心功能。</w:t>
            </w:r>
          </w:p>
        </w:tc>
        <w:tc>
          <w:tcPr>
            <w:tcW w:w="55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r>
              <w:rPr>
                <w:rFonts w:hint="eastAsia"/>
                <w:b/>
                <w:bCs/>
                <w:szCs w:val="21"/>
                <w:highlight w:val="none"/>
              </w:rPr>
              <w:t>标题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szCs w:val="21"/>
                <w:highlight w:val="none"/>
              </w:rPr>
              <w:t>4.12.1机械手平台6轴机械手为主要部件；</w:t>
            </w:r>
          </w:p>
        </w:tc>
        <w:tc>
          <w:tcPr>
            <w:tcW w:w="55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szCs w:val="21"/>
                <w:highlight w:val="none"/>
              </w:rPr>
              <w:t>4.12.2轴上搭载夹爪，可实现整架样品的移动；同时可实现样品单个移动。</w:t>
            </w:r>
          </w:p>
        </w:tc>
        <w:tc>
          <w:tcPr>
            <w:tcW w:w="55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szCs w:val="21"/>
                <w:highlight w:val="none"/>
              </w:rPr>
              <w:t>▲4.12.3配置2台高速冷冻离心机，可进行位置判定；一套系统可覆盖两台离心机；可根据实际情况，对离心机进行自行控制或者嵌入控制；离心机速率不低于10000 rpm，并可适配50 mL、15 mL管。</w:t>
            </w:r>
          </w:p>
        </w:tc>
        <w:tc>
          <w:tcPr>
            <w:tcW w:w="554"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szCs w:val="21"/>
                <w:highlight w:val="none"/>
              </w:rPr>
              <w:t>▲4.12.4功能岛可脱离系统平台独立运行。</w:t>
            </w:r>
          </w:p>
        </w:tc>
        <w:tc>
          <w:tcPr>
            <w:tcW w:w="554"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szCs w:val="21"/>
                <w:highlight w:val="none"/>
              </w:rPr>
              <w:t>▲4.12.5 50 mL 6孔离心机转子最大转速10000 rpm，15 ml 8孔离心机转子最大转速10000 rpm。</w:t>
            </w:r>
          </w:p>
        </w:tc>
        <w:tc>
          <w:tcPr>
            <w:tcW w:w="554"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szCs w:val="21"/>
                <w:highlight w:val="none"/>
              </w:rPr>
              <w:t>▲4.12.6标准配置50 mL 离心管转子1个，15 mL离心管转子1个。</w:t>
            </w:r>
          </w:p>
        </w:tc>
        <w:tc>
          <w:tcPr>
            <w:tcW w:w="55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b/>
                <w:bCs/>
                <w:szCs w:val="21"/>
                <w:highlight w:val="none"/>
              </w:rPr>
              <w:t>4.13 样品传送模块</w:t>
            </w:r>
          </w:p>
        </w:tc>
        <w:tc>
          <w:tcPr>
            <w:tcW w:w="55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r>
              <w:rPr>
                <w:rFonts w:hint="eastAsia"/>
                <w:b/>
                <w:bCs/>
                <w:szCs w:val="21"/>
                <w:highlight w:val="none"/>
              </w:rPr>
              <w:t>标题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szCs w:val="21"/>
                <w:highlight w:val="none"/>
              </w:rPr>
              <w:t>4.13.1 可实现样品在各个功能模块中的转移传送功能。</w:t>
            </w:r>
          </w:p>
        </w:tc>
        <w:tc>
          <w:tcPr>
            <w:tcW w:w="55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szCs w:val="21"/>
                <w:highlight w:val="none"/>
              </w:rPr>
              <w:t>4.13.2 自动完成样品从样品管理模块出入库扫码，记录样品信息的功能。</w:t>
            </w:r>
          </w:p>
        </w:tc>
        <w:tc>
          <w:tcPr>
            <w:tcW w:w="55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b/>
                <w:bCs/>
                <w:szCs w:val="21"/>
                <w:highlight w:val="none"/>
              </w:rPr>
              <w:t>★4.13.3 采用AGV+6轴机械臂的形式进行样品传送，机械臂定位精度≤±1 mm ；机器人整体尺寸长≤ 600 mm，宽度≤ 500 mm。</w:t>
            </w:r>
          </w:p>
        </w:tc>
        <w:tc>
          <w:tcPr>
            <w:tcW w:w="554"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r>
              <w:rPr>
                <w:rFonts w:hint="eastAsia"/>
                <w:b/>
                <w:bCs/>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szCs w:val="21"/>
                <w:highlight w:val="none"/>
              </w:rPr>
              <w:t>▲4.13.4 AGV 负载≥100 kg，电池容量≥40 AH，连续运行时长不小于8小时，充电效率≥13 AH/每小时。</w:t>
            </w:r>
          </w:p>
        </w:tc>
        <w:tc>
          <w:tcPr>
            <w:tcW w:w="55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szCs w:val="21"/>
                <w:highlight w:val="none"/>
              </w:rPr>
              <w:t>5 系统控制平台</w:t>
            </w:r>
          </w:p>
        </w:tc>
        <w:tc>
          <w:tcPr>
            <w:tcW w:w="55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r>
              <w:rPr>
                <w:rFonts w:hint="eastAsia"/>
                <w:b/>
                <w:bCs/>
                <w:szCs w:val="21"/>
                <w:highlight w:val="none"/>
              </w:rPr>
              <w:t>标题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szCs w:val="21"/>
                <w:highlight w:val="none"/>
              </w:rPr>
              <w:t>5.1 系统控制：自带移动式终端，采用触控形式。</w:t>
            </w:r>
          </w:p>
        </w:tc>
        <w:tc>
          <w:tcPr>
            <w:tcW w:w="55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szCs w:val="21"/>
                <w:highlight w:val="none"/>
              </w:rPr>
              <w:t>5.2 软件功能：</w:t>
            </w:r>
          </w:p>
        </w:tc>
        <w:tc>
          <w:tcPr>
            <w:tcW w:w="55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r>
              <w:rPr>
                <w:rFonts w:hint="eastAsia"/>
                <w:b/>
                <w:bCs/>
                <w:szCs w:val="21"/>
                <w:highlight w:val="none"/>
              </w:rPr>
              <w:t>标题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szCs w:val="21"/>
                <w:highlight w:val="none"/>
              </w:rPr>
              <w:t>5.2.1直观的方法编辑模块，同时可以对各个步骤的参数进行编辑。</w:t>
            </w:r>
          </w:p>
        </w:tc>
        <w:tc>
          <w:tcPr>
            <w:tcW w:w="55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szCs w:val="21"/>
                <w:highlight w:val="none"/>
              </w:rPr>
              <w:t>5.2.2 序列编辑模块，可以根据需求对样品进行序列编辑。</w:t>
            </w:r>
          </w:p>
        </w:tc>
        <w:tc>
          <w:tcPr>
            <w:tcW w:w="55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szCs w:val="21"/>
                <w:highlight w:val="none"/>
              </w:rPr>
              <w:t>5.2.3预留系统控制软件接口</w:t>
            </w:r>
          </w:p>
        </w:tc>
        <w:tc>
          <w:tcPr>
            <w:tcW w:w="55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szCs w:val="21"/>
                <w:highlight w:val="none"/>
              </w:rPr>
              <w:t>6.其他技术参数：</w:t>
            </w:r>
          </w:p>
        </w:tc>
        <w:tc>
          <w:tcPr>
            <w:tcW w:w="554"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r>
              <w:rPr>
                <w:rFonts w:hint="eastAsia"/>
                <w:b/>
                <w:bCs/>
                <w:szCs w:val="21"/>
                <w:highlight w:val="none"/>
              </w:rPr>
              <w:t>标题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szCs w:val="21"/>
                <w:highlight w:val="none"/>
              </w:rPr>
              <w:t>▲6.1通量≥200样本/天。</w:t>
            </w:r>
          </w:p>
        </w:tc>
        <w:tc>
          <w:tcPr>
            <w:tcW w:w="554"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348"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szCs w:val="21"/>
                <w:highlight w:val="none"/>
              </w:rPr>
              <w:t>▲6.2可连续上样，设备在运行过程中，可随时添加检测样本，无需中止或暂停进行中的实验流程。</w:t>
            </w:r>
          </w:p>
        </w:tc>
        <w:tc>
          <w:tcPr>
            <w:tcW w:w="55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4" w:hRule="atLeast"/>
        </w:trPr>
        <w:tc>
          <w:tcPr>
            <w:tcW w:w="348" w:type="pct"/>
            <w:vMerge w:val="continue"/>
            <w:tcBorders>
              <w:left w:val="single" w:color="auto" w:sz="4" w:space="0"/>
              <w:bottom w:val="single" w:color="auto" w:sz="4" w:space="0"/>
              <w:right w:val="single" w:color="auto" w:sz="4" w:space="0"/>
            </w:tcBorders>
            <w:vAlign w:val="center"/>
          </w:tcPr>
          <w:p>
            <w:pPr>
              <w:spacing w:line="240" w:lineRule="auto"/>
              <w:rPr>
                <w:rFonts w:hint="eastAsia"/>
                <w:b/>
                <w:bCs/>
                <w:szCs w:val="21"/>
                <w:highlight w:val="none"/>
              </w:rPr>
            </w:pPr>
          </w:p>
        </w:tc>
        <w:tc>
          <w:tcPr>
            <w:tcW w:w="689" w:type="pct"/>
            <w:vMerge w:val="continue"/>
            <w:tcBorders>
              <w:left w:val="single" w:color="auto" w:sz="4" w:space="0"/>
              <w:bottom w:val="single" w:color="auto" w:sz="4" w:space="0"/>
              <w:right w:val="single" w:color="auto" w:sz="4" w:space="0"/>
            </w:tcBorders>
            <w:vAlign w:val="center"/>
          </w:tcPr>
          <w:p>
            <w:pPr>
              <w:spacing w:line="240" w:lineRule="auto"/>
              <w:rPr>
                <w:rFonts w:hint="eastAsia"/>
                <w:b/>
                <w:bCs/>
                <w:szCs w:val="21"/>
                <w:highlight w:val="none"/>
              </w:rPr>
            </w:pPr>
          </w:p>
        </w:tc>
        <w:tc>
          <w:tcPr>
            <w:tcW w:w="553" w:type="pct"/>
            <w:vMerge w:val="continue"/>
            <w:tcBorders>
              <w:left w:val="single" w:color="auto" w:sz="4" w:space="0"/>
              <w:bottom w:val="single" w:color="auto" w:sz="4" w:space="0"/>
              <w:right w:val="single" w:color="auto" w:sz="4" w:space="0"/>
            </w:tcBorders>
            <w:vAlign w:val="center"/>
          </w:tcPr>
          <w:p>
            <w:pPr>
              <w:spacing w:line="240" w:lineRule="auto"/>
              <w:rPr>
                <w:rFonts w:hint="eastAsia"/>
                <w:b/>
                <w:bCs/>
                <w:szCs w:val="21"/>
                <w:highlight w:val="none"/>
              </w:rPr>
            </w:pPr>
          </w:p>
        </w:tc>
        <w:tc>
          <w:tcPr>
            <w:tcW w:w="2852" w:type="pct"/>
            <w:tcBorders>
              <w:top w:val="single" w:color="auto" w:sz="4" w:space="0"/>
              <w:left w:val="single" w:color="auto" w:sz="4" w:space="0"/>
              <w:bottom w:val="single" w:color="auto" w:sz="4" w:space="0"/>
              <w:right w:val="single" w:color="auto" w:sz="4" w:space="0"/>
            </w:tcBorders>
          </w:tcPr>
          <w:p>
            <w:pPr>
              <w:spacing w:line="240" w:lineRule="auto"/>
              <w:rPr>
                <w:rFonts w:hint="eastAsia"/>
                <w:b/>
                <w:bCs/>
                <w:szCs w:val="21"/>
                <w:highlight w:val="none"/>
              </w:rPr>
            </w:pPr>
            <w:r>
              <w:rPr>
                <w:rFonts w:hint="eastAsia"/>
                <w:b/>
                <w:bCs/>
                <w:szCs w:val="21"/>
                <w:highlight w:val="none"/>
              </w:rPr>
              <w:t>★7.配置要求：</w:t>
            </w:r>
          </w:p>
          <w:p>
            <w:pPr>
              <w:spacing w:line="240" w:lineRule="auto"/>
              <w:rPr>
                <w:rFonts w:hint="eastAsia"/>
                <w:b/>
                <w:bCs/>
                <w:szCs w:val="21"/>
                <w:highlight w:val="none"/>
              </w:rPr>
            </w:pPr>
            <w:r>
              <w:rPr>
                <w:rFonts w:hint="eastAsia"/>
                <w:b/>
                <w:bCs/>
                <w:szCs w:val="21"/>
                <w:highlight w:val="none"/>
              </w:rPr>
              <w:t>配置不少于以下部件或功能：</w:t>
            </w:r>
          </w:p>
          <w:p>
            <w:pPr>
              <w:spacing w:line="240" w:lineRule="auto"/>
              <w:rPr>
                <w:rFonts w:hint="eastAsia"/>
                <w:b/>
                <w:bCs/>
                <w:szCs w:val="21"/>
                <w:highlight w:val="none"/>
              </w:rPr>
            </w:pPr>
            <w:r>
              <w:rPr>
                <w:rFonts w:hint="eastAsia"/>
                <w:b/>
                <w:bCs/>
                <w:szCs w:val="21"/>
                <w:highlight w:val="none"/>
              </w:rPr>
              <w:t>7.1样本管进料器1套</w:t>
            </w:r>
          </w:p>
          <w:p>
            <w:pPr>
              <w:spacing w:line="240" w:lineRule="auto"/>
              <w:rPr>
                <w:rFonts w:hint="eastAsia"/>
                <w:b/>
                <w:bCs/>
                <w:szCs w:val="21"/>
                <w:highlight w:val="none"/>
              </w:rPr>
            </w:pPr>
            <w:r>
              <w:rPr>
                <w:rFonts w:hint="eastAsia"/>
                <w:b/>
                <w:bCs/>
                <w:szCs w:val="21"/>
                <w:highlight w:val="none"/>
              </w:rPr>
              <w:t>7.2开关盖和加试剂、加盐模块1套</w:t>
            </w:r>
          </w:p>
          <w:p>
            <w:pPr>
              <w:spacing w:line="240" w:lineRule="auto"/>
              <w:rPr>
                <w:rFonts w:hint="eastAsia"/>
                <w:b/>
                <w:bCs/>
                <w:szCs w:val="21"/>
                <w:highlight w:val="none"/>
              </w:rPr>
            </w:pPr>
            <w:r>
              <w:rPr>
                <w:rFonts w:hint="eastAsia"/>
                <w:b/>
                <w:bCs/>
                <w:szCs w:val="21"/>
                <w:highlight w:val="none"/>
              </w:rPr>
              <w:t>7.3振荡混匀模块1套</w:t>
            </w:r>
          </w:p>
          <w:p>
            <w:pPr>
              <w:spacing w:line="240" w:lineRule="auto"/>
              <w:rPr>
                <w:rFonts w:hint="eastAsia"/>
                <w:b/>
                <w:bCs/>
                <w:szCs w:val="21"/>
                <w:highlight w:val="none"/>
              </w:rPr>
            </w:pPr>
            <w:r>
              <w:rPr>
                <w:rFonts w:hint="eastAsia"/>
                <w:b/>
                <w:bCs/>
                <w:szCs w:val="21"/>
                <w:highlight w:val="none"/>
              </w:rPr>
              <w:t>7.4离心机 2台</w:t>
            </w:r>
          </w:p>
          <w:p>
            <w:pPr>
              <w:spacing w:line="240" w:lineRule="auto"/>
              <w:rPr>
                <w:rFonts w:hint="eastAsia"/>
                <w:b/>
                <w:bCs/>
                <w:szCs w:val="21"/>
                <w:highlight w:val="none"/>
              </w:rPr>
            </w:pPr>
            <w:r>
              <w:rPr>
                <w:rFonts w:hint="eastAsia"/>
                <w:b/>
                <w:bCs/>
                <w:szCs w:val="21"/>
                <w:highlight w:val="none"/>
              </w:rPr>
              <w:t>7.5净化管进料器1套</w:t>
            </w:r>
          </w:p>
          <w:p>
            <w:pPr>
              <w:spacing w:line="240" w:lineRule="auto"/>
              <w:rPr>
                <w:rFonts w:hint="eastAsia"/>
                <w:b/>
                <w:bCs/>
                <w:szCs w:val="21"/>
                <w:highlight w:val="none"/>
              </w:rPr>
            </w:pPr>
            <w:r>
              <w:rPr>
                <w:rFonts w:hint="eastAsia"/>
                <w:b/>
                <w:bCs/>
                <w:szCs w:val="21"/>
                <w:highlight w:val="none"/>
              </w:rPr>
              <w:t>7.6 15ml管开关盖模块1套</w:t>
            </w:r>
          </w:p>
          <w:p>
            <w:pPr>
              <w:spacing w:line="240" w:lineRule="auto"/>
              <w:rPr>
                <w:rFonts w:hint="eastAsia"/>
                <w:b/>
                <w:bCs/>
                <w:szCs w:val="21"/>
                <w:highlight w:val="none"/>
              </w:rPr>
            </w:pPr>
            <w:r>
              <w:rPr>
                <w:rFonts w:hint="eastAsia"/>
                <w:b/>
                <w:bCs/>
                <w:szCs w:val="21"/>
                <w:highlight w:val="none"/>
              </w:rPr>
              <w:t>7.7移液过滤模块1套</w:t>
            </w:r>
          </w:p>
          <w:p>
            <w:pPr>
              <w:spacing w:line="240" w:lineRule="auto"/>
              <w:rPr>
                <w:rFonts w:hint="eastAsia"/>
                <w:b/>
                <w:bCs/>
                <w:szCs w:val="21"/>
                <w:highlight w:val="none"/>
              </w:rPr>
            </w:pPr>
            <w:r>
              <w:rPr>
                <w:rFonts w:hint="eastAsia"/>
                <w:b/>
                <w:bCs/>
                <w:szCs w:val="21"/>
                <w:highlight w:val="none"/>
              </w:rPr>
              <w:t>7.8机械手3个</w:t>
            </w:r>
          </w:p>
          <w:p>
            <w:pPr>
              <w:spacing w:line="240" w:lineRule="auto"/>
              <w:rPr>
                <w:rFonts w:hint="eastAsia"/>
                <w:b/>
                <w:bCs/>
                <w:szCs w:val="21"/>
                <w:highlight w:val="none"/>
              </w:rPr>
            </w:pPr>
            <w:r>
              <w:rPr>
                <w:rFonts w:hint="eastAsia"/>
                <w:b/>
                <w:bCs/>
                <w:szCs w:val="21"/>
                <w:highlight w:val="none"/>
              </w:rPr>
              <w:t>7.9进样瓶进料器1套</w:t>
            </w:r>
          </w:p>
          <w:p>
            <w:pPr>
              <w:spacing w:line="240" w:lineRule="auto"/>
              <w:rPr>
                <w:rFonts w:hint="eastAsia"/>
                <w:b/>
                <w:bCs/>
                <w:szCs w:val="21"/>
                <w:highlight w:val="none"/>
              </w:rPr>
            </w:pPr>
            <w:r>
              <w:rPr>
                <w:rFonts w:hint="eastAsia"/>
                <w:b/>
                <w:bCs/>
                <w:szCs w:val="21"/>
                <w:highlight w:val="none"/>
              </w:rPr>
              <w:t>7.10工作台面1套</w:t>
            </w:r>
          </w:p>
          <w:p>
            <w:pPr>
              <w:spacing w:line="240" w:lineRule="auto"/>
              <w:rPr>
                <w:rFonts w:hint="eastAsia"/>
                <w:b/>
                <w:bCs/>
                <w:szCs w:val="21"/>
                <w:highlight w:val="none"/>
              </w:rPr>
            </w:pPr>
            <w:r>
              <w:rPr>
                <w:rFonts w:hint="eastAsia"/>
                <w:b/>
                <w:bCs/>
                <w:szCs w:val="21"/>
                <w:highlight w:val="none"/>
              </w:rPr>
              <w:t>7.11电控箱1个</w:t>
            </w:r>
          </w:p>
          <w:p>
            <w:pPr>
              <w:spacing w:line="240" w:lineRule="auto"/>
              <w:rPr>
                <w:rFonts w:hint="eastAsia"/>
                <w:b/>
                <w:bCs/>
                <w:szCs w:val="21"/>
                <w:highlight w:val="none"/>
              </w:rPr>
            </w:pPr>
            <w:r>
              <w:rPr>
                <w:rFonts w:hint="eastAsia"/>
                <w:b/>
                <w:bCs/>
                <w:szCs w:val="21"/>
                <w:highlight w:val="none"/>
              </w:rPr>
              <w:t>7.12控制主机1套</w:t>
            </w:r>
          </w:p>
          <w:p>
            <w:pPr>
              <w:spacing w:line="240" w:lineRule="auto"/>
              <w:rPr>
                <w:rFonts w:hint="eastAsia"/>
                <w:b/>
                <w:bCs/>
                <w:szCs w:val="21"/>
                <w:highlight w:val="none"/>
              </w:rPr>
            </w:pPr>
            <w:r>
              <w:rPr>
                <w:rFonts w:hint="eastAsia"/>
                <w:b/>
                <w:bCs/>
                <w:szCs w:val="21"/>
                <w:highlight w:val="none"/>
              </w:rPr>
              <w:t>7.13氮吹浓缩模块1套</w:t>
            </w:r>
          </w:p>
          <w:p>
            <w:pPr>
              <w:spacing w:line="240" w:lineRule="auto"/>
              <w:rPr>
                <w:rFonts w:hint="eastAsia"/>
                <w:b/>
                <w:bCs/>
                <w:szCs w:val="21"/>
                <w:highlight w:val="none"/>
              </w:rPr>
            </w:pPr>
            <w:r>
              <w:rPr>
                <w:rFonts w:hint="eastAsia"/>
                <w:b/>
                <w:bCs/>
                <w:szCs w:val="21"/>
                <w:highlight w:val="none"/>
              </w:rPr>
              <w:t>7.14 AGV小车1台</w:t>
            </w:r>
          </w:p>
          <w:p>
            <w:pPr>
              <w:spacing w:line="240" w:lineRule="auto"/>
              <w:rPr>
                <w:rFonts w:hint="eastAsia"/>
                <w:b/>
                <w:bCs/>
                <w:szCs w:val="21"/>
                <w:highlight w:val="none"/>
              </w:rPr>
            </w:pPr>
            <w:r>
              <w:rPr>
                <w:rFonts w:hint="eastAsia"/>
                <w:b/>
                <w:bCs/>
                <w:szCs w:val="21"/>
                <w:highlight w:val="none"/>
              </w:rPr>
              <w:t>7.15排气模块（废气）1套</w:t>
            </w:r>
          </w:p>
          <w:p>
            <w:pPr>
              <w:spacing w:line="240" w:lineRule="auto"/>
              <w:rPr>
                <w:rFonts w:hint="eastAsia"/>
                <w:b/>
                <w:bCs/>
                <w:szCs w:val="21"/>
                <w:highlight w:val="none"/>
              </w:rPr>
            </w:pPr>
            <w:r>
              <w:rPr>
                <w:rFonts w:hint="eastAsia"/>
                <w:b/>
                <w:bCs/>
                <w:szCs w:val="21"/>
                <w:highlight w:val="none"/>
              </w:rPr>
              <w:t>7.16集中控制软件1套</w:t>
            </w:r>
          </w:p>
        </w:tc>
        <w:tc>
          <w:tcPr>
            <w:tcW w:w="55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highlight w:val="none"/>
              </w:rPr>
            </w:pPr>
            <w:r>
              <w:rPr>
                <w:rFonts w:hint="eastAsia"/>
                <w:b/>
                <w:bCs/>
                <w:szCs w:val="21"/>
                <w:highlight w:val="none"/>
              </w:rPr>
              <w:t>★</w:t>
            </w:r>
          </w:p>
        </w:tc>
      </w:tr>
    </w:tbl>
    <w:p>
      <w:pPr>
        <w:widowControl w:val="0"/>
        <w:shd w:val="clear" w:color="auto" w:fill="auto"/>
        <w:tabs>
          <w:tab w:val="clear" w:pos="426"/>
        </w:tabs>
        <w:adjustRightInd/>
        <w:snapToGrid/>
        <w:spacing w:line="240" w:lineRule="auto"/>
        <w:ind w:firstLine="422" w:firstLineChars="200"/>
        <w:rPr>
          <w:rFonts w:hint="eastAsia" w:cs="Times New Roman"/>
          <w:b/>
          <w:bCs/>
          <w:kern w:val="2"/>
          <w:szCs w:val="21"/>
          <w:highlight w:val="none"/>
        </w:rPr>
      </w:pP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highlight w:val="none"/>
        </w:rPr>
      </w:pPr>
      <w:r>
        <w:rPr>
          <w:rFonts w:hint="eastAsia" w:cs="Times New Roman"/>
          <w:b/>
          <w:bCs/>
          <w:kern w:val="2"/>
          <w:szCs w:val="21"/>
          <w:highlight w:val="none"/>
        </w:rPr>
        <w:t>备注：</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highlight w:val="none"/>
        </w:rPr>
      </w:pPr>
      <w:r>
        <w:rPr>
          <w:rFonts w:cs="Times New Roman"/>
          <w:b/>
          <w:bCs/>
          <w:kern w:val="2"/>
          <w:szCs w:val="21"/>
          <w:highlight w:val="none"/>
        </w:rPr>
        <w:t>1</w:t>
      </w:r>
      <w:r>
        <w:rPr>
          <w:rFonts w:hint="eastAsia" w:cs="Times New Roman"/>
          <w:b/>
          <w:bCs/>
          <w:kern w:val="2"/>
          <w:szCs w:val="21"/>
          <w:highlight w:val="none"/>
        </w:rPr>
        <w:t>.</w:t>
      </w:r>
      <w:r>
        <w:rPr>
          <w:rFonts w:cs="Times New Roman"/>
          <w:b/>
          <w:bCs/>
          <w:kern w:val="2"/>
          <w:szCs w:val="21"/>
          <w:highlight w:val="none"/>
        </w:rPr>
        <w:t xml:space="preserve">带“★”指标项为实质性条款，如出现负偏离，将被视为未实质性满足招标文件要求作投标无效处理。带“▲”指标项为重要参数，负偏离时依相关评分准则内容作重点扣分处理。 </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highlight w:val="none"/>
        </w:rPr>
      </w:pPr>
      <w:r>
        <w:rPr>
          <w:rFonts w:cs="Times New Roman"/>
          <w:b/>
          <w:bCs/>
          <w:kern w:val="2"/>
          <w:szCs w:val="21"/>
          <w:highlight w:val="none"/>
        </w:rPr>
        <w:t>2</w:t>
      </w:r>
      <w:r>
        <w:rPr>
          <w:rFonts w:hint="eastAsia" w:cs="Times New Roman"/>
          <w:b/>
          <w:bCs/>
          <w:kern w:val="2"/>
          <w:szCs w:val="21"/>
          <w:highlight w:val="none"/>
        </w:rPr>
        <w:t>.技术参数要求</w:t>
      </w:r>
      <w:r>
        <w:rPr>
          <w:rFonts w:cs="Times New Roman"/>
          <w:b/>
          <w:bCs/>
          <w:kern w:val="2"/>
          <w:szCs w:val="21"/>
          <w:highlight w:val="none"/>
        </w:rPr>
        <w:t>中，用</w:t>
      </w:r>
      <w:r>
        <w:rPr>
          <w:rFonts w:cs="Times New Roman"/>
          <w:b/>
          <w:bCs/>
          <w:color w:val="FF0000"/>
          <w:kern w:val="2"/>
          <w:szCs w:val="21"/>
          <w:highlight w:val="none"/>
        </w:rPr>
        <w:t>红色加粗字体</w:t>
      </w:r>
      <w:r>
        <w:rPr>
          <w:rFonts w:cs="Times New Roman"/>
          <w:b/>
          <w:bCs/>
          <w:kern w:val="2"/>
          <w:szCs w:val="21"/>
          <w:highlight w:val="none"/>
        </w:rPr>
        <w:t>标注的技术条款为要求提供证明资料的条款，其余为未要求提供证明资料的条款，无需提供相关证明资料。</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highlight w:val="none"/>
        </w:rPr>
      </w:pPr>
      <w:r>
        <w:rPr>
          <w:rFonts w:hint="eastAsia" w:cs="Times New Roman"/>
          <w:b/>
          <w:bCs/>
          <w:kern w:val="2"/>
          <w:szCs w:val="21"/>
          <w:highlight w:val="none"/>
        </w:rPr>
        <w:t>3.备注为“标题”的</w:t>
      </w:r>
      <w:r>
        <w:rPr>
          <w:rFonts w:hint="eastAsia" w:cs="Times New Roman"/>
          <w:b/>
          <w:bCs/>
          <w:kern w:val="2"/>
          <w:szCs w:val="21"/>
          <w:highlight w:val="none"/>
          <w:lang w:val="en-US" w:eastAsia="zh-CN"/>
        </w:rPr>
        <w:t>技术参数内容</w:t>
      </w:r>
      <w:r>
        <w:rPr>
          <w:rFonts w:hint="eastAsia" w:cs="Times New Roman"/>
          <w:b/>
          <w:bCs/>
          <w:kern w:val="2"/>
          <w:szCs w:val="21"/>
          <w:highlight w:val="none"/>
        </w:rPr>
        <w:t>不参与评分。</w:t>
      </w:r>
    </w:p>
    <w:p>
      <w:pPr>
        <w:numPr>
          <w:ilvl w:val="0"/>
          <w:numId w:val="2"/>
        </w:numPr>
        <w:adjustRightInd/>
        <w:snapToGrid/>
        <w:spacing w:before="280" w:after="290" w:line="377" w:lineRule="auto"/>
        <w:jc w:val="left"/>
        <w:outlineLvl w:val="2"/>
        <w:rPr>
          <w:rFonts w:hint="eastAsia"/>
          <w:b/>
          <w:sz w:val="24"/>
          <w:highlight w:val="none"/>
        </w:rPr>
      </w:pPr>
      <w:bookmarkStart w:id="47" w:name="_Toc151386157"/>
      <w:bookmarkStart w:id="48" w:name="_Toc150960247"/>
      <w:bookmarkStart w:id="49" w:name="_Toc8996"/>
      <w:r>
        <w:rPr>
          <w:rFonts w:hint="eastAsia"/>
          <w:b/>
          <w:sz w:val="24"/>
          <w:highlight w:val="none"/>
        </w:rPr>
        <w:t>商务要求</w:t>
      </w:r>
      <w:bookmarkEnd w:id="47"/>
      <w:bookmarkEnd w:id="48"/>
      <w:bookmarkEnd w:id="49"/>
    </w:p>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1</w:t>
      </w:r>
      <w:r>
        <w:rPr>
          <w:rFonts w:cs="Times New Roman"/>
          <w:kern w:val="2"/>
          <w:szCs w:val="21"/>
          <w:highlight w:val="none"/>
        </w:rPr>
        <w:t>.</w:t>
      </w:r>
      <w:r>
        <w:rPr>
          <w:rFonts w:hint="eastAsia" w:cs="Times New Roman"/>
          <w:kern w:val="2"/>
          <w:szCs w:val="21"/>
          <w:highlight w:val="none"/>
        </w:rPr>
        <w:t>签定合同日期：自中标(成交)通知书发出之日起30日内。</w:t>
      </w:r>
    </w:p>
    <w:p>
      <w:pPr>
        <w:widowControl w:val="0"/>
        <w:shd w:val="clear" w:color="auto" w:fill="auto"/>
        <w:tabs>
          <w:tab w:val="clear" w:pos="426"/>
        </w:tabs>
        <w:adjustRightInd/>
        <w:snapToGrid/>
        <w:spacing w:line="240" w:lineRule="auto"/>
        <w:ind w:firstLine="422" w:firstLineChars="200"/>
        <w:rPr>
          <w:rFonts w:hint="eastAsia" w:cs="Times New Roman"/>
          <w:kern w:val="2"/>
          <w:szCs w:val="21"/>
          <w:highlight w:val="none"/>
        </w:rPr>
      </w:pPr>
      <w:r>
        <w:rPr>
          <w:rFonts w:hint="eastAsia" w:cs="Times New Roman"/>
          <w:b/>
          <w:bCs/>
          <w:kern w:val="2"/>
          <w:szCs w:val="21"/>
          <w:highlight w:val="none"/>
        </w:rPr>
        <w:t>★2.交货期：合同签订后90日内完成交货。</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highlight w:val="none"/>
        </w:rPr>
      </w:pPr>
      <w:r>
        <w:rPr>
          <w:rFonts w:hint="eastAsia" w:cs="Times New Roman"/>
          <w:b/>
          <w:bCs/>
          <w:kern w:val="2"/>
          <w:szCs w:val="21"/>
          <w:highlight w:val="none"/>
        </w:rPr>
        <w:t>★3.交货地点：深圳市福田区福强路1011号深圳海关福强路办公区A栋指定地点。</w:t>
      </w:r>
    </w:p>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4</w:t>
      </w:r>
      <w:r>
        <w:rPr>
          <w:rFonts w:cs="Times New Roman"/>
          <w:kern w:val="2"/>
          <w:szCs w:val="21"/>
          <w:highlight w:val="none"/>
        </w:rPr>
        <w:t>.</w:t>
      </w:r>
      <w:r>
        <w:rPr>
          <w:rFonts w:hint="eastAsia" w:cs="Times New Roman"/>
          <w:kern w:val="2"/>
          <w:szCs w:val="21"/>
          <w:highlight w:val="none"/>
        </w:rPr>
        <w:t>售后服务要求：</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highlight w:val="none"/>
        </w:rPr>
      </w:pPr>
      <w:r>
        <w:rPr>
          <w:rFonts w:hint="eastAsia" w:cs="Times New Roman"/>
          <w:b/>
          <w:bCs/>
          <w:kern w:val="2"/>
          <w:szCs w:val="21"/>
          <w:highlight w:val="none"/>
        </w:rPr>
        <w:t>★（1）质保期：验收合格后，质保期3年，</w:t>
      </w:r>
      <w:r>
        <w:rPr>
          <w:rFonts w:hint="eastAsia"/>
          <w:b/>
          <w:bCs/>
          <w:szCs w:val="21"/>
          <w:highlight w:val="none"/>
          <w:lang w:bidi="ar"/>
        </w:rPr>
        <w:t>包含整机及所有配件</w:t>
      </w:r>
      <w:r>
        <w:rPr>
          <w:rFonts w:hint="eastAsia" w:cs="Times New Roman"/>
          <w:b/>
          <w:bCs/>
          <w:kern w:val="2"/>
          <w:szCs w:val="21"/>
          <w:highlight w:val="none"/>
        </w:rPr>
        <w:t>，保修期外，能更及时地为用户提供备品备件。</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highlight w:val="none"/>
        </w:rPr>
      </w:pPr>
      <w:r>
        <w:rPr>
          <w:rFonts w:hint="eastAsia" w:cs="Times New Roman"/>
          <w:b/>
          <w:bCs/>
          <w:kern w:val="2"/>
          <w:szCs w:val="21"/>
          <w:highlight w:val="none"/>
        </w:rPr>
        <w:t>★（2）维修响应：</w:t>
      </w:r>
      <w:r>
        <w:rPr>
          <w:rFonts w:hint="eastAsia"/>
          <w:b/>
          <w:bCs/>
          <w:highlight w:val="none"/>
        </w:rPr>
        <w:t>供应商提供三年7*24小时的技术支持与售后服务，提供专线电话支持服务，2小时内响应，保证48小时内到达现场并解决故障，设备保修期时间从签署设备验收合格起计算。</w:t>
      </w:r>
    </w:p>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（3）培训2人直至能完全独立操作。</w:t>
      </w:r>
    </w:p>
    <w:p>
      <w:pPr>
        <w:widowControl w:val="0"/>
        <w:shd w:val="clear" w:color="auto" w:fill="auto"/>
        <w:tabs>
          <w:tab w:val="clear" w:pos="426"/>
        </w:tabs>
        <w:adjustRightInd/>
        <w:snapToGrid/>
        <w:spacing w:line="240" w:lineRule="auto"/>
        <w:ind w:firstLine="420" w:firstLineChars="200"/>
        <w:rPr>
          <w:rFonts w:hint="eastAsia" w:cs="Times New Roman"/>
          <w:b/>
          <w:bCs/>
          <w:kern w:val="2"/>
          <w:szCs w:val="21"/>
          <w:highlight w:val="none"/>
        </w:rPr>
      </w:pPr>
      <w:r>
        <w:rPr>
          <w:rFonts w:hint="eastAsia" w:cs="Times New Roman"/>
          <w:kern w:val="2"/>
          <w:szCs w:val="21"/>
          <w:highlight w:val="none"/>
        </w:rPr>
        <w:t>（4）其他要求：投标报价包含所有货物运输、安装调试、使用培训等费用。</w:t>
      </w:r>
    </w:p>
    <w:p>
      <w:pPr>
        <w:widowControl w:val="0"/>
        <w:shd w:val="clear" w:color="auto" w:fill="auto"/>
        <w:adjustRightInd/>
        <w:snapToGrid/>
        <w:spacing w:line="240" w:lineRule="auto"/>
        <w:ind w:firstLine="422" w:firstLineChars="200"/>
        <w:rPr>
          <w:rFonts w:hint="eastAsia"/>
          <w:b/>
          <w:bCs/>
          <w:highlight w:val="none"/>
        </w:rPr>
      </w:pPr>
      <w:r>
        <w:rPr>
          <w:rFonts w:hint="eastAsia" w:cs="Times New Roman"/>
          <w:b/>
          <w:bCs/>
          <w:kern w:val="2"/>
          <w:szCs w:val="21"/>
          <w:highlight w:val="none"/>
        </w:rPr>
        <w:t>★5.货物</w:t>
      </w:r>
      <w:r>
        <w:rPr>
          <w:rFonts w:hint="eastAsia" w:cs="Times New Roman"/>
          <w:b/>
          <w:bCs/>
          <w:kern w:val="2"/>
          <w:szCs w:val="21"/>
          <w:highlight w:val="none"/>
          <w:lang w:eastAsia="zh-TW"/>
        </w:rPr>
        <w:t>验收</w:t>
      </w:r>
      <w:r>
        <w:rPr>
          <w:rFonts w:hint="eastAsia" w:cs="Times New Roman"/>
          <w:b/>
          <w:bCs/>
          <w:kern w:val="2"/>
          <w:szCs w:val="21"/>
          <w:highlight w:val="none"/>
        </w:rPr>
        <w:t>：</w:t>
      </w:r>
    </w:p>
    <w:p>
      <w:pPr>
        <w:shd w:val="clear" w:color="auto" w:fill="auto"/>
        <w:tabs>
          <w:tab w:val="clear" w:pos="426"/>
        </w:tabs>
        <w:ind w:firstLine="422" w:firstLineChars="200"/>
        <w:rPr>
          <w:rFonts w:hint="eastAsia" w:cs="Times New Roman"/>
          <w:b/>
          <w:bCs/>
          <w:kern w:val="2"/>
          <w:szCs w:val="21"/>
          <w:highlight w:val="none"/>
          <w:lang w:eastAsia="zh-TW"/>
        </w:rPr>
      </w:pPr>
      <w:r>
        <w:rPr>
          <w:rFonts w:hint="eastAsia" w:cs="Times New Roman"/>
          <w:b/>
          <w:bCs/>
          <w:kern w:val="2"/>
          <w:szCs w:val="21"/>
          <w:highlight w:val="none"/>
          <w:lang w:eastAsia="zh-TW"/>
        </w:rPr>
        <w:t>（1）货物运至</w:t>
      </w:r>
      <w:r>
        <w:rPr>
          <w:rFonts w:hint="eastAsia" w:cs="Times New Roman"/>
          <w:b/>
          <w:bCs/>
          <w:kern w:val="2"/>
          <w:szCs w:val="21"/>
          <w:highlight w:val="none"/>
        </w:rPr>
        <w:t>采购人</w:t>
      </w:r>
      <w:r>
        <w:rPr>
          <w:rFonts w:hint="eastAsia" w:cs="Times New Roman"/>
          <w:b/>
          <w:bCs/>
          <w:kern w:val="2"/>
          <w:szCs w:val="21"/>
          <w:highlight w:val="none"/>
          <w:lang w:eastAsia="zh-TW"/>
        </w:rPr>
        <w:t>指定地点后，双方应派人员按照本合同规定对货物进行验收，</w:t>
      </w:r>
      <w:r>
        <w:rPr>
          <w:rFonts w:hint="eastAsia" w:cs="Times New Roman"/>
          <w:b/>
          <w:bCs/>
          <w:kern w:val="2"/>
          <w:szCs w:val="21"/>
          <w:highlight w:val="none"/>
        </w:rPr>
        <w:t>中标人</w:t>
      </w:r>
      <w:r>
        <w:rPr>
          <w:rFonts w:hint="eastAsia" w:cs="Times New Roman"/>
          <w:b/>
          <w:bCs/>
          <w:kern w:val="2"/>
          <w:szCs w:val="21"/>
          <w:highlight w:val="none"/>
          <w:lang w:eastAsia="zh-TW"/>
        </w:rPr>
        <w:t>应提供交货清单等文件供</w:t>
      </w:r>
      <w:r>
        <w:rPr>
          <w:rFonts w:hint="eastAsia" w:cs="Times New Roman"/>
          <w:b/>
          <w:bCs/>
          <w:kern w:val="2"/>
          <w:szCs w:val="21"/>
          <w:highlight w:val="none"/>
        </w:rPr>
        <w:t>采购人</w:t>
      </w:r>
      <w:r>
        <w:rPr>
          <w:rFonts w:hint="eastAsia" w:cs="Times New Roman"/>
          <w:b/>
          <w:bCs/>
          <w:kern w:val="2"/>
          <w:szCs w:val="21"/>
          <w:highlight w:val="none"/>
          <w:lang w:eastAsia="zh-TW"/>
        </w:rPr>
        <w:t>审查，</w:t>
      </w:r>
      <w:r>
        <w:rPr>
          <w:rFonts w:hint="eastAsia" w:cs="Times New Roman"/>
          <w:b/>
          <w:bCs/>
          <w:kern w:val="2"/>
          <w:szCs w:val="21"/>
          <w:highlight w:val="none"/>
        </w:rPr>
        <w:t>采购人</w:t>
      </w:r>
      <w:r>
        <w:rPr>
          <w:rFonts w:hint="eastAsia" w:cs="Times New Roman"/>
          <w:b/>
          <w:bCs/>
          <w:kern w:val="2"/>
          <w:szCs w:val="21"/>
          <w:highlight w:val="none"/>
          <w:lang w:eastAsia="zh-TW"/>
        </w:rPr>
        <w:t>将按合同清单进行规格、数量、外观的检查。</w:t>
      </w:r>
    </w:p>
    <w:p>
      <w:pPr>
        <w:shd w:val="clear" w:color="auto" w:fill="auto"/>
        <w:tabs>
          <w:tab w:val="clear" w:pos="426"/>
        </w:tabs>
        <w:ind w:firstLine="422" w:firstLineChars="200"/>
        <w:rPr>
          <w:rFonts w:hint="eastAsia" w:cs="Times New Roman"/>
          <w:b/>
          <w:bCs/>
          <w:kern w:val="2"/>
          <w:szCs w:val="21"/>
          <w:highlight w:val="none"/>
          <w:lang w:eastAsia="zh-TW"/>
        </w:rPr>
      </w:pPr>
      <w:r>
        <w:rPr>
          <w:rFonts w:hint="eastAsia" w:cs="Times New Roman"/>
          <w:b/>
          <w:bCs/>
          <w:kern w:val="2"/>
          <w:szCs w:val="21"/>
          <w:highlight w:val="none"/>
          <w:lang w:eastAsia="zh-TW"/>
        </w:rPr>
        <w:t>（2）收货后</w:t>
      </w:r>
      <w:r>
        <w:rPr>
          <w:rFonts w:hint="eastAsia" w:cs="Times New Roman"/>
          <w:b/>
          <w:bCs/>
          <w:kern w:val="2"/>
          <w:szCs w:val="21"/>
          <w:highlight w:val="none"/>
        </w:rPr>
        <w:t>30</w:t>
      </w:r>
      <w:r>
        <w:rPr>
          <w:rFonts w:hint="eastAsia" w:cs="Times New Roman"/>
          <w:b/>
          <w:bCs/>
          <w:kern w:val="2"/>
          <w:szCs w:val="21"/>
          <w:highlight w:val="none"/>
          <w:lang w:eastAsia="zh-TW"/>
        </w:rPr>
        <w:t>个工作日内</w:t>
      </w:r>
      <w:r>
        <w:rPr>
          <w:rFonts w:hint="eastAsia" w:cs="Times New Roman"/>
          <w:b/>
          <w:bCs/>
          <w:kern w:val="2"/>
          <w:szCs w:val="21"/>
          <w:highlight w:val="none"/>
        </w:rPr>
        <w:t>采购人</w:t>
      </w:r>
      <w:r>
        <w:rPr>
          <w:rFonts w:hint="eastAsia" w:cs="Times New Roman"/>
          <w:b/>
          <w:bCs/>
          <w:kern w:val="2"/>
          <w:szCs w:val="21"/>
          <w:highlight w:val="none"/>
          <w:lang w:eastAsia="zh-TW"/>
        </w:rPr>
        <w:t>与</w:t>
      </w:r>
      <w:r>
        <w:rPr>
          <w:rFonts w:hint="eastAsia" w:cs="Times New Roman"/>
          <w:b/>
          <w:bCs/>
          <w:kern w:val="2"/>
          <w:szCs w:val="21"/>
          <w:highlight w:val="none"/>
        </w:rPr>
        <w:t>中标人</w:t>
      </w:r>
      <w:r>
        <w:rPr>
          <w:rFonts w:hint="eastAsia" w:cs="Times New Roman"/>
          <w:b/>
          <w:bCs/>
          <w:kern w:val="2"/>
          <w:szCs w:val="21"/>
          <w:highlight w:val="none"/>
          <w:lang w:eastAsia="zh-TW"/>
        </w:rPr>
        <w:t>进行到货验收工作。如验收合格，</w:t>
      </w:r>
      <w:r>
        <w:rPr>
          <w:rFonts w:hint="eastAsia" w:cs="Times New Roman"/>
          <w:b/>
          <w:bCs/>
          <w:kern w:val="2"/>
          <w:szCs w:val="21"/>
          <w:highlight w:val="none"/>
        </w:rPr>
        <w:t>采购人</w:t>
      </w:r>
      <w:r>
        <w:rPr>
          <w:rFonts w:hint="eastAsia" w:cs="Times New Roman"/>
          <w:b/>
          <w:bCs/>
          <w:kern w:val="2"/>
          <w:szCs w:val="21"/>
          <w:highlight w:val="none"/>
          <w:lang w:eastAsia="zh-TW"/>
        </w:rPr>
        <w:t>应及时履行验收手续，双方签署设备到货验收报告；如验收不合格，</w:t>
      </w:r>
      <w:r>
        <w:rPr>
          <w:rFonts w:hint="eastAsia" w:cs="Times New Roman"/>
          <w:b/>
          <w:bCs/>
          <w:kern w:val="2"/>
          <w:szCs w:val="21"/>
          <w:highlight w:val="none"/>
        </w:rPr>
        <w:t>采购人</w:t>
      </w:r>
      <w:r>
        <w:rPr>
          <w:rFonts w:hint="eastAsia" w:cs="Times New Roman"/>
          <w:b/>
          <w:bCs/>
          <w:kern w:val="2"/>
          <w:szCs w:val="21"/>
          <w:highlight w:val="none"/>
          <w:lang w:eastAsia="zh-TW"/>
        </w:rPr>
        <w:t>应以书面形式通知</w:t>
      </w:r>
      <w:r>
        <w:rPr>
          <w:rFonts w:hint="eastAsia" w:cs="Times New Roman"/>
          <w:b/>
          <w:bCs/>
          <w:kern w:val="2"/>
          <w:szCs w:val="21"/>
          <w:highlight w:val="none"/>
        </w:rPr>
        <w:t>中标人</w:t>
      </w:r>
      <w:r>
        <w:rPr>
          <w:rFonts w:hint="eastAsia" w:cs="Times New Roman"/>
          <w:b/>
          <w:bCs/>
          <w:kern w:val="2"/>
          <w:szCs w:val="21"/>
          <w:highlight w:val="none"/>
          <w:lang w:eastAsia="zh-TW"/>
        </w:rPr>
        <w:t>原因，</w:t>
      </w:r>
      <w:r>
        <w:rPr>
          <w:rFonts w:hint="eastAsia" w:cs="Times New Roman"/>
          <w:b/>
          <w:bCs/>
          <w:kern w:val="2"/>
          <w:szCs w:val="21"/>
          <w:highlight w:val="none"/>
        </w:rPr>
        <w:t>中标人</w:t>
      </w:r>
      <w:r>
        <w:rPr>
          <w:rFonts w:hint="eastAsia" w:cs="Times New Roman"/>
          <w:b/>
          <w:bCs/>
          <w:kern w:val="2"/>
          <w:szCs w:val="21"/>
          <w:highlight w:val="none"/>
          <w:lang w:eastAsia="zh-TW"/>
        </w:rPr>
        <w:t>收到通知后 10 个工作日内提供解决方案。</w:t>
      </w:r>
    </w:p>
    <w:p>
      <w:pPr>
        <w:shd w:val="clear" w:color="auto" w:fill="auto"/>
        <w:tabs>
          <w:tab w:val="clear" w:pos="426"/>
        </w:tabs>
        <w:ind w:firstLine="422" w:firstLineChars="200"/>
        <w:rPr>
          <w:rFonts w:hint="eastAsia" w:cs="Times New Roman"/>
          <w:b/>
          <w:bCs/>
          <w:kern w:val="2"/>
          <w:szCs w:val="21"/>
          <w:highlight w:val="none"/>
          <w:lang w:eastAsia="zh-TW"/>
        </w:rPr>
      </w:pPr>
      <w:r>
        <w:rPr>
          <w:rFonts w:hint="eastAsia" w:cs="Times New Roman"/>
          <w:b/>
          <w:bCs/>
          <w:kern w:val="2"/>
          <w:szCs w:val="21"/>
          <w:highlight w:val="none"/>
          <w:lang w:eastAsia="zh-TW"/>
        </w:rPr>
        <w:t>（3）在验收工作中，双方应于现场依据本合同规定的验收依据共同对商品的数量、型号规格、技术性能指标等进行验证。发现数量不足或有质量、技术等问题，</w:t>
      </w:r>
      <w:r>
        <w:rPr>
          <w:rFonts w:hint="eastAsia" w:cs="Times New Roman"/>
          <w:b/>
          <w:bCs/>
          <w:kern w:val="2"/>
          <w:szCs w:val="21"/>
          <w:highlight w:val="none"/>
        </w:rPr>
        <w:t>中标人</w:t>
      </w:r>
      <w:r>
        <w:rPr>
          <w:rFonts w:hint="eastAsia" w:cs="Times New Roman"/>
          <w:b/>
          <w:bCs/>
          <w:kern w:val="2"/>
          <w:szCs w:val="21"/>
          <w:highlight w:val="none"/>
          <w:lang w:eastAsia="zh-TW"/>
        </w:rPr>
        <w:t>应按照合同要求采取补足、更换或退货等处理措施，并承担由此发生的一切费用和损失。</w:t>
      </w:r>
    </w:p>
    <w:p>
      <w:pPr>
        <w:shd w:val="clear" w:color="auto" w:fill="auto"/>
        <w:tabs>
          <w:tab w:val="clear" w:pos="426"/>
        </w:tabs>
        <w:ind w:firstLine="422" w:firstLineChars="200"/>
        <w:rPr>
          <w:rFonts w:hint="eastAsia" w:cs="Times New Roman"/>
          <w:b/>
          <w:bCs/>
          <w:kern w:val="2"/>
          <w:szCs w:val="21"/>
          <w:highlight w:val="none"/>
          <w:lang w:eastAsia="zh-TW"/>
        </w:rPr>
      </w:pPr>
      <w:r>
        <w:rPr>
          <w:rFonts w:hint="eastAsia" w:cs="Times New Roman"/>
          <w:b/>
          <w:bCs/>
          <w:kern w:val="2"/>
          <w:szCs w:val="21"/>
          <w:highlight w:val="none"/>
          <w:lang w:eastAsia="zh-TW"/>
        </w:rPr>
        <w:t>（4）</w:t>
      </w:r>
      <w:r>
        <w:rPr>
          <w:b/>
          <w:bCs/>
          <w:color w:val="000000"/>
          <w:szCs w:val="21"/>
          <w:highlight w:val="none"/>
        </w:rPr>
        <w:t>涉及设备安装调试的，</w:t>
      </w:r>
      <w:r>
        <w:rPr>
          <w:rFonts w:hint="eastAsia"/>
          <w:b/>
          <w:bCs/>
          <w:color w:val="000000"/>
          <w:szCs w:val="21"/>
          <w:highlight w:val="none"/>
        </w:rPr>
        <w:t>中标人</w:t>
      </w:r>
      <w:r>
        <w:rPr>
          <w:b/>
          <w:bCs/>
          <w:color w:val="000000"/>
          <w:szCs w:val="21"/>
          <w:highlight w:val="none"/>
        </w:rPr>
        <w:t>负责在</w:t>
      </w:r>
      <w:r>
        <w:rPr>
          <w:rFonts w:hint="eastAsia"/>
          <w:b/>
          <w:bCs/>
          <w:color w:val="000000"/>
          <w:szCs w:val="21"/>
          <w:highlight w:val="none"/>
        </w:rPr>
        <w:t>采购人</w:t>
      </w:r>
      <w:r>
        <w:rPr>
          <w:b/>
          <w:bCs/>
          <w:color w:val="000000"/>
          <w:szCs w:val="21"/>
          <w:highlight w:val="none"/>
        </w:rPr>
        <w:t>配合下完成所供设备安装调试并保证与用户原有设备互联互通，有关技术问题由</w:t>
      </w:r>
      <w:r>
        <w:rPr>
          <w:rFonts w:hint="eastAsia"/>
          <w:b/>
          <w:bCs/>
          <w:color w:val="000000"/>
          <w:szCs w:val="21"/>
          <w:highlight w:val="none"/>
        </w:rPr>
        <w:t>中标人</w:t>
      </w:r>
      <w:r>
        <w:rPr>
          <w:b/>
          <w:bCs/>
          <w:color w:val="000000"/>
          <w:szCs w:val="21"/>
          <w:highlight w:val="none"/>
        </w:rPr>
        <w:t>和制造商协同解决。安装调试后，双方签署设备安装调试验收报告</w:t>
      </w:r>
      <w:r>
        <w:rPr>
          <w:rFonts w:hint="eastAsia" w:hAnsi="Times New Roman" w:cs="微软雅黑"/>
          <w:b/>
          <w:bCs/>
          <w:color w:val="000000" w:themeColor="text1"/>
          <w:szCs w:val="21"/>
          <w:highlight w:val="none"/>
          <w14:textFill>
            <w14:solidFill>
              <w14:schemeClr w14:val="tx1"/>
            </w14:solidFill>
          </w14:textFill>
        </w:rPr>
        <w:t>。</w:t>
      </w:r>
    </w:p>
    <w:p>
      <w:pPr>
        <w:shd w:val="clear" w:color="auto" w:fill="auto"/>
        <w:tabs>
          <w:tab w:val="clear" w:pos="426"/>
        </w:tabs>
        <w:ind w:firstLine="422" w:firstLineChars="200"/>
        <w:rPr>
          <w:rFonts w:hint="eastAsia" w:cs="Times New Roman"/>
          <w:b/>
          <w:bCs/>
          <w:kern w:val="2"/>
          <w:szCs w:val="21"/>
          <w:highlight w:val="none"/>
          <w:lang w:eastAsia="zh-TW"/>
        </w:rPr>
      </w:pPr>
      <w:r>
        <w:rPr>
          <w:rFonts w:hint="eastAsia" w:cs="Times New Roman"/>
          <w:b/>
          <w:bCs/>
          <w:kern w:val="2"/>
          <w:szCs w:val="21"/>
          <w:highlight w:val="none"/>
          <w:lang w:eastAsia="zh-TW"/>
        </w:rPr>
        <w:t>（5）</w:t>
      </w:r>
      <w:r>
        <w:rPr>
          <w:rFonts w:hint="eastAsia" w:cs="Times New Roman"/>
          <w:b/>
          <w:bCs/>
          <w:kern w:val="2"/>
          <w:szCs w:val="21"/>
          <w:highlight w:val="none"/>
        </w:rPr>
        <w:t>采购人</w:t>
      </w:r>
      <w:r>
        <w:rPr>
          <w:rFonts w:hint="eastAsia" w:cs="Times New Roman"/>
          <w:b/>
          <w:bCs/>
          <w:kern w:val="2"/>
          <w:szCs w:val="21"/>
          <w:highlight w:val="none"/>
          <w:lang w:eastAsia="zh-TW"/>
        </w:rPr>
        <w:t>认为必要时，对大型或者复杂的货物采购项目，可以邀请国家认可的质量检测机构参加验收工作，相关验收意见作为验收报告的参考资料，相关费用由</w:t>
      </w:r>
      <w:r>
        <w:rPr>
          <w:rFonts w:hint="eastAsia" w:cs="Times New Roman"/>
          <w:b/>
          <w:bCs/>
          <w:kern w:val="2"/>
          <w:szCs w:val="21"/>
          <w:highlight w:val="none"/>
        </w:rPr>
        <w:t>中标人</w:t>
      </w:r>
      <w:r>
        <w:rPr>
          <w:rFonts w:hint="eastAsia" w:cs="Times New Roman"/>
          <w:b/>
          <w:bCs/>
          <w:kern w:val="2"/>
          <w:szCs w:val="21"/>
          <w:highlight w:val="none"/>
          <w:lang w:eastAsia="zh-TW"/>
        </w:rPr>
        <w:t>承担。</w:t>
      </w:r>
    </w:p>
    <w:p>
      <w:pPr>
        <w:shd w:val="clear" w:color="auto" w:fill="auto"/>
        <w:tabs>
          <w:tab w:val="clear" w:pos="426"/>
        </w:tabs>
        <w:ind w:firstLine="422" w:firstLineChars="200"/>
        <w:rPr>
          <w:rFonts w:hint="eastAsia" w:cs="Times New Roman"/>
          <w:b/>
          <w:bCs/>
          <w:kern w:val="2"/>
          <w:szCs w:val="21"/>
          <w:highlight w:val="none"/>
          <w:lang w:eastAsia="zh-TW"/>
        </w:rPr>
      </w:pPr>
      <w:r>
        <w:rPr>
          <w:rFonts w:hint="eastAsia" w:cs="Times New Roman"/>
          <w:b/>
          <w:bCs/>
          <w:kern w:val="2"/>
          <w:szCs w:val="21"/>
          <w:highlight w:val="none"/>
          <w:lang w:eastAsia="zh-TW"/>
        </w:rPr>
        <w:t>（6）验收标准以双方达成的对质量和技术标准的约定、</w:t>
      </w:r>
      <w:r>
        <w:rPr>
          <w:rFonts w:hint="eastAsia" w:cs="Times New Roman"/>
          <w:b/>
          <w:bCs/>
          <w:kern w:val="2"/>
          <w:szCs w:val="21"/>
          <w:highlight w:val="none"/>
        </w:rPr>
        <w:t>中标人</w:t>
      </w:r>
      <w:r>
        <w:rPr>
          <w:rFonts w:hint="eastAsia" w:cs="Times New Roman"/>
          <w:b/>
          <w:bCs/>
          <w:kern w:val="2"/>
          <w:szCs w:val="21"/>
          <w:highlight w:val="none"/>
          <w:lang w:eastAsia="zh-TW"/>
        </w:rPr>
        <w:t>承诺的质量和技术标准、国家或行业规定的相关质量和技术标准中最高者为准，且应充分满足</w:t>
      </w:r>
      <w:r>
        <w:rPr>
          <w:rFonts w:hint="eastAsia" w:cs="Times New Roman"/>
          <w:b/>
          <w:bCs/>
          <w:kern w:val="2"/>
          <w:szCs w:val="21"/>
          <w:highlight w:val="none"/>
        </w:rPr>
        <w:t>采购人</w:t>
      </w:r>
      <w:r>
        <w:rPr>
          <w:rFonts w:hint="eastAsia" w:cs="Times New Roman"/>
          <w:b/>
          <w:bCs/>
          <w:kern w:val="2"/>
          <w:szCs w:val="21"/>
          <w:highlight w:val="none"/>
          <w:lang w:eastAsia="zh-TW"/>
        </w:rPr>
        <w:t xml:space="preserve">使用要求。 </w:t>
      </w:r>
    </w:p>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6.其他要求：</w:t>
      </w:r>
    </w:p>
    <w:p>
      <w:pPr>
        <w:widowControl w:val="0"/>
        <w:shd w:val="clear" w:color="auto" w:fill="auto"/>
        <w:tabs>
          <w:tab w:val="clear" w:pos="426"/>
        </w:tabs>
        <w:adjustRightInd/>
        <w:snapToGrid/>
        <w:spacing w:line="240" w:lineRule="auto"/>
        <w:ind w:firstLine="420" w:firstLineChars="200"/>
        <w:rPr>
          <w:rFonts w:hint="eastAsia" w:cs="Times New Roman"/>
          <w:kern w:val="2"/>
          <w:szCs w:val="21"/>
          <w:highlight w:val="none"/>
        </w:rPr>
      </w:pPr>
      <w:r>
        <w:rPr>
          <w:rFonts w:hint="eastAsia" w:cs="Times New Roman"/>
          <w:kern w:val="2"/>
          <w:szCs w:val="21"/>
          <w:highlight w:val="none"/>
        </w:rPr>
        <w:t>（1）除采购人事先书面同意外，中标人不得部分或全部转让其应履行的合同项下的义务。</w:t>
      </w:r>
    </w:p>
    <w:p>
      <w:pPr>
        <w:widowControl w:val="0"/>
        <w:shd w:val="clear" w:color="auto" w:fill="auto"/>
        <w:tabs>
          <w:tab w:val="clear" w:pos="426"/>
        </w:tabs>
        <w:adjustRightInd/>
        <w:snapToGrid/>
        <w:spacing w:line="240" w:lineRule="auto"/>
        <w:ind w:left="420" w:leftChars="200"/>
        <w:rPr>
          <w:rFonts w:hint="eastAsia" w:cs="Times New Roman"/>
          <w:b/>
          <w:bCs/>
          <w:kern w:val="2"/>
          <w:szCs w:val="21"/>
          <w:highlight w:val="none"/>
        </w:rPr>
      </w:pPr>
      <w:r>
        <w:rPr>
          <w:rFonts w:hint="eastAsia" w:cs="Times New Roman"/>
          <w:kern w:val="2"/>
          <w:szCs w:val="21"/>
          <w:highlight w:val="none"/>
        </w:rPr>
        <w:t>（2）报价要求：报价须包含运输费等所有税费，中标人不得再收取报价之外的其他任何费用。</w:t>
      </w:r>
      <w:r>
        <w:rPr>
          <w:rFonts w:hint="eastAsia" w:cs="Times New Roman"/>
          <w:kern w:val="2"/>
          <w:szCs w:val="21"/>
          <w:highlight w:val="none"/>
        </w:rPr>
        <w:br w:type="textWrapping"/>
      </w:r>
      <w:r>
        <w:rPr>
          <w:rFonts w:hint="eastAsia" w:cs="Times New Roman"/>
          <w:b/>
          <w:bCs/>
          <w:kern w:val="2"/>
          <w:szCs w:val="21"/>
          <w:highlight w:val="none"/>
        </w:rPr>
        <w:t>★6.付款方式：</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highlight w:val="none"/>
          <w:lang w:eastAsia="zh-TW"/>
        </w:rPr>
      </w:pPr>
      <w:r>
        <w:rPr>
          <w:rFonts w:hint="eastAsia" w:cs="Times New Roman"/>
          <w:b/>
          <w:bCs/>
          <w:kern w:val="2"/>
          <w:szCs w:val="21"/>
          <w:highlight w:val="none"/>
          <w:lang w:eastAsia="zh-TW"/>
        </w:rPr>
        <w:t>（</w:t>
      </w:r>
      <w:r>
        <w:rPr>
          <w:rFonts w:hint="eastAsia" w:cs="Times New Roman"/>
          <w:b/>
          <w:bCs/>
          <w:kern w:val="2"/>
          <w:szCs w:val="21"/>
          <w:highlight w:val="none"/>
        </w:rPr>
        <w:t>1</w:t>
      </w:r>
      <w:r>
        <w:rPr>
          <w:rFonts w:hint="eastAsia" w:cs="Times New Roman"/>
          <w:b/>
          <w:bCs/>
          <w:kern w:val="2"/>
          <w:szCs w:val="21"/>
          <w:highlight w:val="none"/>
          <w:lang w:eastAsia="zh-TW"/>
        </w:rPr>
        <w:t>）中标人向采购人交付履约保函或保证金，比例等于合同金额的10%，并提交下列单据之日起10个工作日内，采购人向中标人支付合同总价50%合同款。</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highlight w:val="none"/>
          <w:lang w:eastAsia="zh-TW"/>
        </w:rPr>
      </w:pPr>
      <w:r>
        <w:rPr>
          <w:rFonts w:hint="eastAsia" w:cs="Times New Roman"/>
          <w:b/>
          <w:bCs/>
          <w:kern w:val="2"/>
          <w:szCs w:val="21"/>
          <w:highlight w:val="none"/>
          <w:lang w:eastAsia="zh-TW"/>
        </w:rPr>
        <w:t>中标人提交单据：合同（正文部分复印件）、中标通知书（或成交通知书复印件）、发票（原件）、履约保函或保证金单据复印件（如有）。</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highlight w:val="none"/>
          <w:lang w:eastAsia="zh-TW"/>
        </w:rPr>
      </w:pPr>
      <w:r>
        <w:rPr>
          <w:rFonts w:hint="eastAsia" w:cs="Times New Roman"/>
          <w:b/>
          <w:bCs/>
          <w:kern w:val="2"/>
          <w:szCs w:val="21"/>
          <w:highlight w:val="none"/>
          <w:lang w:eastAsia="zh-TW"/>
        </w:rPr>
        <w:t>（</w:t>
      </w:r>
      <w:r>
        <w:rPr>
          <w:rFonts w:hint="eastAsia" w:cs="Times New Roman"/>
          <w:b/>
          <w:bCs/>
          <w:kern w:val="2"/>
          <w:szCs w:val="21"/>
          <w:highlight w:val="none"/>
        </w:rPr>
        <w:t>2</w:t>
      </w:r>
      <w:r>
        <w:rPr>
          <w:rFonts w:hint="eastAsia" w:cs="Times New Roman"/>
          <w:b/>
          <w:bCs/>
          <w:kern w:val="2"/>
          <w:szCs w:val="21"/>
          <w:highlight w:val="none"/>
          <w:lang w:eastAsia="zh-TW"/>
        </w:rPr>
        <w:t>）设备全部到货并经采购人（用户）签收后，中标人向采购人提交下列单据之日起10个工作日内，采购人向中标人支付合同总价50%合同款。</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highlight w:val="none"/>
          <w:lang w:eastAsia="zh-TW"/>
        </w:rPr>
      </w:pPr>
      <w:r>
        <w:rPr>
          <w:rFonts w:hint="eastAsia" w:cs="Times New Roman"/>
          <w:b/>
          <w:bCs/>
          <w:kern w:val="2"/>
          <w:szCs w:val="21"/>
          <w:highlight w:val="none"/>
          <w:lang w:eastAsia="zh-TW"/>
        </w:rPr>
        <w:t>中标人提交单据：合同(正文部分复印件）、中标通知书（或成交通知书复印件）、发票（原件）、设备到</w:t>
      </w:r>
      <w:r>
        <w:rPr>
          <w:rFonts w:hint="eastAsia" w:cs="Times New Roman"/>
          <w:b/>
          <w:bCs/>
          <w:kern w:val="2"/>
          <w:szCs w:val="21"/>
          <w:highlight w:val="none"/>
          <w:lang w:val="en-US" w:eastAsia="zh-CN"/>
        </w:rPr>
        <w:t>货</w:t>
      </w:r>
      <w:r>
        <w:rPr>
          <w:rFonts w:hint="eastAsia" w:cs="Times New Roman"/>
          <w:b/>
          <w:bCs/>
          <w:kern w:val="2"/>
          <w:szCs w:val="21"/>
          <w:highlight w:val="none"/>
          <w:lang w:eastAsia="zh-TW"/>
        </w:rPr>
        <w:t>签收单（复印件）。</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highlight w:val="none"/>
          <w:lang w:eastAsia="zh-TW"/>
        </w:rPr>
      </w:pPr>
      <w:r>
        <w:rPr>
          <w:rFonts w:hint="eastAsia" w:cs="Times New Roman"/>
          <w:b/>
          <w:bCs/>
          <w:kern w:val="2"/>
          <w:szCs w:val="21"/>
          <w:highlight w:val="none"/>
          <w:lang w:eastAsia="zh-TW"/>
        </w:rPr>
        <w:t>（</w:t>
      </w:r>
      <w:r>
        <w:rPr>
          <w:rFonts w:hint="eastAsia" w:cs="Times New Roman"/>
          <w:b/>
          <w:bCs/>
          <w:kern w:val="2"/>
          <w:szCs w:val="21"/>
          <w:highlight w:val="none"/>
        </w:rPr>
        <w:t>3</w:t>
      </w:r>
      <w:r>
        <w:rPr>
          <w:rFonts w:hint="eastAsia" w:cs="Times New Roman"/>
          <w:b/>
          <w:bCs/>
          <w:kern w:val="2"/>
          <w:szCs w:val="21"/>
          <w:highlight w:val="none"/>
          <w:lang w:eastAsia="zh-TW"/>
        </w:rPr>
        <w:t>）设备全部安装调试，并经采购人（用户）验收合格后，中标人向采购人提交下列单据之日起30日内，采购人向中标人无息退还履约保函或保证金。</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highlight w:val="none"/>
          <w:lang w:eastAsia="zh-TW"/>
        </w:rPr>
      </w:pPr>
      <w:r>
        <w:rPr>
          <w:rFonts w:hint="eastAsia" w:cs="Times New Roman"/>
          <w:b/>
          <w:bCs/>
          <w:kern w:val="2"/>
          <w:szCs w:val="21"/>
          <w:highlight w:val="none"/>
          <w:lang w:eastAsia="zh-TW"/>
        </w:rPr>
        <w:t>中标人提交单据：退还申请（原件）、安装调试验收合格报告（复印件）。</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highlight w:val="none"/>
          <w:lang w:eastAsia="zh-TW"/>
        </w:rPr>
      </w:pPr>
      <w:r>
        <w:rPr>
          <w:rFonts w:hint="eastAsia" w:cs="Times New Roman"/>
          <w:b/>
          <w:bCs/>
          <w:kern w:val="2"/>
          <w:szCs w:val="21"/>
          <w:highlight w:val="none"/>
          <w:lang w:eastAsia="zh-TW"/>
        </w:rPr>
        <w:t>（</w:t>
      </w:r>
      <w:r>
        <w:rPr>
          <w:rFonts w:hint="eastAsia" w:cs="Times New Roman"/>
          <w:b/>
          <w:bCs/>
          <w:kern w:val="2"/>
          <w:szCs w:val="21"/>
          <w:highlight w:val="none"/>
        </w:rPr>
        <w:t>4</w:t>
      </w:r>
      <w:r>
        <w:rPr>
          <w:rFonts w:hint="eastAsia" w:cs="Times New Roman"/>
          <w:b/>
          <w:bCs/>
          <w:kern w:val="2"/>
          <w:szCs w:val="21"/>
          <w:highlight w:val="none"/>
          <w:lang w:eastAsia="zh-TW"/>
        </w:rPr>
        <w:t>）因财政集中支付延误时间不计算在内。中标人提交付款单据延迟、缺失及账户信息错误的，采购人有权相应顺延付款期限，且采购人不承担延误付款责任。</w:t>
      </w:r>
    </w:p>
    <w:p>
      <w:pPr>
        <w:widowControl w:val="0"/>
        <w:shd w:val="clear" w:color="auto" w:fill="auto"/>
        <w:tabs>
          <w:tab w:val="clear" w:pos="426"/>
        </w:tabs>
        <w:adjustRightInd/>
        <w:snapToGrid/>
        <w:spacing w:line="240" w:lineRule="auto"/>
        <w:ind w:left="420" w:leftChars="200"/>
        <w:rPr>
          <w:rFonts w:hint="eastAsia" w:cs="Times New Roman"/>
          <w:b/>
          <w:bCs/>
          <w:kern w:val="2"/>
          <w:szCs w:val="21"/>
          <w:highlight w:val="none"/>
        </w:rPr>
      </w:pPr>
    </w:p>
    <w:p>
      <w:pPr>
        <w:widowControl w:val="0"/>
        <w:shd w:val="clear" w:color="auto" w:fill="auto"/>
        <w:tabs>
          <w:tab w:val="clear" w:pos="426"/>
        </w:tabs>
        <w:adjustRightInd/>
        <w:snapToGrid/>
        <w:spacing w:line="240" w:lineRule="auto"/>
        <w:ind w:left="420" w:leftChars="200"/>
        <w:rPr>
          <w:rFonts w:hint="eastAsia" w:cs="Times New Roman"/>
          <w:b/>
          <w:bCs/>
          <w:kern w:val="2"/>
          <w:szCs w:val="21"/>
          <w:highlight w:val="none"/>
        </w:rPr>
      </w:pPr>
    </w:p>
    <w:p>
      <w:pPr>
        <w:widowControl w:val="0"/>
        <w:shd w:val="clear" w:color="auto" w:fill="auto"/>
        <w:tabs>
          <w:tab w:val="clear" w:pos="426"/>
        </w:tabs>
        <w:adjustRightInd/>
        <w:snapToGrid/>
        <w:spacing w:line="240" w:lineRule="auto"/>
        <w:ind w:left="420" w:leftChars="200"/>
        <w:rPr>
          <w:rFonts w:hint="eastAsia" w:cs="Times New Roman"/>
          <w:b/>
          <w:bCs/>
          <w:kern w:val="2"/>
          <w:szCs w:val="21"/>
          <w:highlight w:val="none"/>
        </w:rPr>
      </w:pPr>
      <w:r>
        <w:rPr>
          <w:rFonts w:hint="eastAsia" w:cs="Times New Roman"/>
          <w:b/>
          <w:bCs/>
          <w:kern w:val="2"/>
          <w:szCs w:val="21"/>
          <w:highlight w:val="none"/>
        </w:rPr>
        <w:t>备注：</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highlight w:val="none"/>
        </w:rPr>
      </w:pPr>
      <w:r>
        <w:rPr>
          <w:rFonts w:hint="eastAsia" w:cs="Times New Roman"/>
          <w:b/>
          <w:bCs/>
          <w:kern w:val="2"/>
          <w:szCs w:val="21"/>
          <w:highlight w:val="none"/>
        </w:rPr>
        <w:t>1.商务</w:t>
      </w:r>
      <w:r>
        <w:rPr>
          <w:rFonts w:cs="Times New Roman"/>
          <w:b/>
          <w:bCs/>
          <w:kern w:val="2"/>
          <w:szCs w:val="21"/>
          <w:highlight w:val="none"/>
        </w:rPr>
        <w:t>要求分为一般</w:t>
      </w:r>
      <w:r>
        <w:rPr>
          <w:rFonts w:hint="eastAsia" w:cs="Times New Roman"/>
          <w:b/>
          <w:bCs/>
          <w:kern w:val="2"/>
          <w:szCs w:val="21"/>
          <w:highlight w:val="none"/>
        </w:rPr>
        <w:t>商务</w:t>
      </w:r>
      <w:r>
        <w:rPr>
          <w:rFonts w:cs="Times New Roman"/>
          <w:b/>
          <w:bCs/>
          <w:kern w:val="2"/>
          <w:szCs w:val="21"/>
          <w:highlight w:val="none"/>
        </w:rPr>
        <w:t>要求、重要</w:t>
      </w:r>
      <w:r>
        <w:rPr>
          <w:rFonts w:hint="eastAsia" w:cs="Times New Roman"/>
          <w:b/>
          <w:bCs/>
          <w:kern w:val="2"/>
          <w:szCs w:val="21"/>
          <w:highlight w:val="none"/>
        </w:rPr>
        <w:t>商务</w:t>
      </w:r>
      <w:r>
        <w:rPr>
          <w:rFonts w:cs="Times New Roman"/>
          <w:b/>
          <w:bCs/>
          <w:kern w:val="2"/>
          <w:szCs w:val="21"/>
          <w:highlight w:val="none"/>
        </w:rPr>
        <w:t>要求（以“▲”标注）和实质性</w:t>
      </w:r>
      <w:r>
        <w:rPr>
          <w:rFonts w:hint="eastAsia" w:cs="Times New Roman"/>
          <w:b/>
          <w:bCs/>
          <w:kern w:val="2"/>
          <w:szCs w:val="21"/>
          <w:highlight w:val="none"/>
        </w:rPr>
        <w:t>商务</w:t>
      </w:r>
      <w:r>
        <w:rPr>
          <w:rFonts w:cs="Times New Roman"/>
          <w:b/>
          <w:bCs/>
          <w:kern w:val="2"/>
          <w:szCs w:val="21"/>
          <w:highlight w:val="none"/>
        </w:rPr>
        <w:t>要求（以</w:t>
      </w:r>
      <w:r>
        <w:rPr>
          <w:rFonts w:hint="eastAsia" w:cs="Times New Roman"/>
          <w:b/>
          <w:bCs/>
          <w:kern w:val="2"/>
          <w:szCs w:val="21"/>
          <w:highlight w:val="none"/>
        </w:rPr>
        <w:t>“</w:t>
      </w:r>
      <w:r>
        <w:rPr>
          <w:rFonts w:cs="Times New Roman"/>
          <w:b/>
          <w:bCs/>
          <w:kern w:val="2"/>
          <w:szCs w:val="21"/>
          <w:highlight w:val="none"/>
        </w:rPr>
        <w:t>★”标注）。一般商务要求和重要商务要求若出现不响应或负偏离，其综合评分的相关分数将予以扣减，但不作为投标无效条款。实质性商务要求（以</w:t>
      </w:r>
      <w:r>
        <w:rPr>
          <w:rFonts w:hint="eastAsia" w:cs="Times New Roman"/>
          <w:b/>
          <w:bCs/>
          <w:kern w:val="2"/>
          <w:szCs w:val="21"/>
          <w:highlight w:val="none"/>
        </w:rPr>
        <w:t>“</w:t>
      </w:r>
      <w:r>
        <w:rPr>
          <w:rFonts w:cs="Times New Roman"/>
          <w:b/>
          <w:bCs/>
          <w:kern w:val="2"/>
          <w:szCs w:val="21"/>
          <w:highlight w:val="none"/>
        </w:rPr>
        <w:t>★”标注）若出现不响应或任何一项负偏离，将导致投标无效。</w:t>
      </w:r>
    </w:p>
    <w:p>
      <w:pPr>
        <w:shd w:val="clear" w:color="auto" w:fill="auto"/>
        <w:tabs>
          <w:tab w:val="clear" w:pos="426"/>
        </w:tabs>
        <w:adjustRightInd/>
        <w:snapToGrid/>
        <w:spacing w:line="240" w:lineRule="auto"/>
        <w:jc w:val="left"/>
        <w:rPr>
          <w:rFonts w:ascii="Cambria" w:hAnsi="Cambria" w:cs="Times New Roman"/>
          <w:b/>
          <w:bCs/>
          <w:kern w:val="28"/>
          <w:sz w:val="28"/>
          <w:szCs w:val="32"/>
          <w:highlight w:val="none"/>
        </w:rPr>
      </w:pPr>
      <w:r>
        <w:rPr>
          <w:highlight w:val="none"/>
        </w:rPr>
        <w:br w:type="page"/>
      </w:r>
    </w:p>
    <w:p>
      <w:pPr>
        <w:pStyle w:val="62"/>
        <w:rPr>
          <w:highlight w:val="none"/>
        </w:rPr>
      </w:pPr>
      <w:bookmarkStart w:id="50" w:name="_Toc2525"/>
      <w:r>
        <w:rPr>
          <w:rFonts w:hint="eastAsia"/>
          <w:highlight w:val="none"/>
        </w:rPr>
        <w:t xml:space="preserve">第三章 </w:t>
      </w:r>
      <w:bookmarkEnd w:id="50"/>
      <w:r>
        <w:rPr>
          <w:rFonts w:hint="eastAsia"/>
          <w:highlight w:val="none"/>
        </w:rPr>
        <w:t>特别说明</w:t>
      </w:r>
    </w:p>
    <w:p>
      <w:pPr>
        <w:tabs>
          <w:tab w:val="clear" w:pos="426"/>
        </w:tabs>
        <w:spacing w:line="300" w:lineRule="auto"/>
        <w:ind w:firstLine="422" w:firstLineChars="200"/>
        <w:rPr>
          <w:rFonts w:hint="eastAsia"/>
          <w:b/>
          <w:bCs/>
          <w:highlight w:val="none"/>
        </w:rPr>
      </w:pPr>
      <w:bookmarkStart w:id="51" w:name="_Toc157893754"/>
      <w:bookmarkStart w:id="52" w:name="_Toc21605"/>
      <w:bookmarkStart w:id="53" w:name="_Toc27621"/>
      <w:r>
        <w:rPr>
          <w:rFonts w:hint="eastAsia"/>
          <w:b/>
          <w:bCs/>
          <w:highlight w:val="none"/>
        </w:rPr>
        <w:t>一、</w:t>
      </w:r>
      <w:r>
        <w:rPr>
          <w:b/>
          <w:bCs/>
          <w:highlight w:val="none"/>
        </w:rPr>
        <w:t>公开招标的货物、服务采购项目，招标过程中提交投标文件或者经评审实质性响应招标文件要求的供应商只有两家时，经评审委员会审核采购文件无歧视性、排他性等不合理条款，可现场直接转为与该两家供应商进行竞争性谈判采购。（《深圳海关非政府采购管理办法》第二十七条）</w:t>
      </w:r>
    </w:p>
    <w:p>
      <w:pPr>
        <w:tabs>
          <w:tab w:val="clear" w:pos="426"/>
        </w:tabs>
        <w:spacing w:line="300" w:lineRule="auto"/>
        <w:ind w:firstLine="422" w:firstLineChars="200"/>
        <w:rPr>
          <w:rFonts w:hint="eastAsia"/>
          <w:b/>
          <w:bCs/>
          <w:highlight w:val="none"/>
        </w:rPr>
      </w:pPr>
      <w:r>
        <w:rPr>
          <w:rFonts w:hint="eastAsia"/>
          <w:b/>
          <w:bCs/>
          <w:highlight w:val="none"/>
        </w:rPr>
        <w:t>二、根据《财库〔</w:t>
      </w:r>
      <w:r>
        <w:rPr>
          <w:b/>
          <w:bCs/>
          <w:highlight w:val="none"/>
        </w:rPr>
        <w:t>2012〕69号财政部关于进一步规范政府采购评审工作有关问题的通知》的规定，评审委员会要在采购项目招标失败时，出具招标文件是否存在不合理条款的论证意见，论证意见写进评审报告中。</w:t>
      </w:r>
    </w:p>
    <w:bookmarkEnd w:id="51"/>
    <w:bookmarkEnd w:id="52"/>
    <w:bookmarkEnd w:id="53"/>
    <w:p>
      <w:pPr>
        <w:rPr>
          <w:highlight w:val="none"/>
        </w:rPr>
      </w:pPr>
    </w:p>
    <w:p>
      <w:pPr>
        <w:rPr>
          <w:rFonts w:hint="eastAsia"/>
          <w:highlight w:val="none"/>
        </w:rPr>
      </w:pPr>
      <w:r>
        <w:rPr>
          <w:rFonts w:hint="eastAsia"/>
          <w:highlight w:val="none"/>
        </w:rPr>
        <w:br w:type="page"/>
      </w:r>
    </w:p>
    <w:p>
      <w:pPr>
        <w:pStyle w:val="62"/>
        <w:rPr>
          <w:highlight w:val="none"/>
        </w:rPr>
      </w:pPr>
      <w:bookmarkStart w:id="54" w:name="_Toc25501"/>
      <w:r>
        <w:rPr>
          <w:rFonts w:hint="eastAsia"/>
          <w:highlight w:val="none"/>
        </w:rPr>
        <w:t>第四章 资格审查和评标方法</w:t>
      </w:r>
      <w:bookmarkEnd w:id="54"/>
    </w:p>
    <w:p>
      <w:pPr>
        <w:pStyle w:val="62"/>
        <w:rPr>
          <w:highlight w:val="none"/>
        </w:rPr>
      </w:pPr>
      <w:bookmarkStart w:id="55" w:name="_Toc12702"/>
      <w:r>
        <w:rPr>
          <w:rFonts w:hint="eastAsia"/>
          <w:highlight w:val="none"/>
        </w:rPr>
        <w:t>前附表（一）</w:t>
      </w:r>
      <w:r>
        <w:rPr>
          <w:highlight w:val="none"/>
        </w:rPr>
        <w:t>资格审查表</w:t>
      </w:r>
      <w:bookmarkEnd w:id="55"/>
    </w:p>
    <w:p>
      <w:pPr>
        <w:tabs>
          <w:tab w:val="clear" w:pos="426"/>
        </w:tabs>
        <w:spacing w:before="231" w:beforeLines="50" w:after="231" w:afterLines="50"/>
        <w:jc w:val="center"/>
        <w:rPr>
          <w:rFonts w:hint="eastAsia" w:ascii="黑体" w:eastAsia="黑体"/>
          <w:sz w:val="28"/>
          <w:szCs w:val="28"/>
          <w:highlight w:val="none"/>
        </w:rPr>
      </w:pPr>
      <w:r>
        <w:rPr>
          <w:rFonts w:hint="eastAsia"/>
          <w:b/>
          <w:highlight w:val="none"/>
        </w:rPr>
        <w:t>（凡有下列情形之一的，投标文件无效，投标作无效标处理</w:t>
      </w:r>
      <w:r>
        <w:rPr>
          <w:rFonts w:hint="eastAsia" w:ascii="黑体" w:eastAsia="黑体"/>
          <w:szCs w:val="21"/>
          <w:highlight w:val="none"/>
        </w:rPr>
        <w:t>）</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8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4" w:type="dxa"/>
            <w:vAlign w:val="center"/>
          </w:tcPr>
          <w:p>
            <w:pPr>
              <w:tabs>
                <w:tab w:val="clear" w:pos="426"/>
              </w:tabs>
              <w:adjustRightInd/>
              <w:snapToGrid/>
              <w:spacing w:line="240" w:lineRule="auto"/>
              <w:jc w:val="center"/>
              <w:rPr>
                <w:rFonts w:hint="eastAsia"/>
                <w:b/>
                <w:highlight w:val="none"/>
              </w:rPr>
            </w:pPr>
            <w:r>
              <w:rPr>
                <w:rFonts w:hint="eastAsia"/>
                <w:b/>
                <w:highlight w:val="none"/>
              </w:rPr>
              <w:t>序号</w:t>
            </w:r>
          </w:p>
        </w:tc>
        <w:tc>
          <w:tcPr>
            <w:tcW w:w="8806" w:type="dxa"/>
            <w:vAlign w:val="center"/>
          </w:tcPr>
          <w:p>
            <w:pPr>
              <w:tabs>
                <w:tab w:val="clear" w:pos="426"/>
              </w:tabs>
              <w:adjustRightInd/>
              <w:snapToGrid/>
              <w:spacing w:line="240" w:lineRule="auto"/>
              <w:jc w:val="center"/>
              <w:rPr>
                <w:rFonts w:hint="eastAsia"/>
                <w:b/>
                <w:highlight w:val="none"/>
              </w:rPr>
            </w:pPr>
            <w:r>
              <w:rPr>
                <w:rFonts w:hint="eastAsia"/>
                <w:b/>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4" w:type="dxa"/>
            <w:vAlign w:val="center"/>
          </w:tcPr>
          <w:p>
            <w:pPr>
              <w:numPr>
                <w:ilvl w:val="0"/>
                <w:numId w:val="3"/>
              </w:numPr>
              <w:tabs>
                <w:tab w:val="clear" w:pos="426"/>
              </w:tabs>
              <w:adjustRightInd/>
              <w:snapToGrid/>
              <w:spacing w:line="240" w:lineRule="auto"/>
              <w:ind w:left="0" w:firstLine="0"/>
              <w:jc w:val="center"/>
              <w:rPr>
                <w:rFonts w:hint="eastAsia"/>
                <w:highlight w:val="none"/>
              </w:rPr>
            </w:pPr>
          </w:p>
        </w:tc>
        <w:tc>
          <w:tcPr>
            <w:tcW w:w="8806" w:type="dxa"/>
            <w:vAlign w:val="center"/>
          </w:tcPr>
          <w:p>
            <w:pPr>
              <w:tabs>
                <w:tab w:val="clear" w:pos="426"/>
              </w:tabs>
              <w:adjustRightInd/>
              <w:snapToGrid/>
              <w:spacing w:line="240" w:lineRule="auto"/>
              <w:rPr>
                <w:rFonts w:hint="eastAsia"/>
                <w:highlight w:val="none"/>
              </w:rPr>
            </w:pPr>
            <w:r>
              <w:rPr>
                <w:rFonts w:hint="eastAsia"/>
                <w:highlight w:val="none"/>
              </w:rPr>
              <w:t>投标供应商具备招标资质要求，且提交相应资质证明材料；(详见招标公告“申请人的资格要求”，其中未列示的资质要求不得导致废标。)</w:t>
            </w:r>
          </w:p>
        </w:tc>
      </w:tr>
    </w:tbl>
    <w:p>
      <w:pPr>
        <w:pStyle w:val="62"/>
        <w:rPr>
          <w:highlight w:val="none"/>
        </w:rPr>
      </w:pPr>
      <w:r>
        <w:rPr>
          <w:sz w:val="24"/>
          <w:highlight w:val="none"/>
        </w:rPr>
        <w:br w:type="page"/>
      </w:r>
      <w:bookmarkStart w:id="56" w:name="_Toc10832"/>
      <w:bookmarkStart w:id="57" w:name="_Toc435514846"/>
      <w:r>
        <w:rPr>
          <w:rFonts w:hint="eastAsia"/>
          <w:sz w:val="24"/>
          <w:highlight w:val="none"/>
        </w:rPr>
        <w:t>前附表（二）符合性审查表</w:t>
      </w:r>
      <w:bookmarkEnd w:id="56"/>
    </w:p>
    <w:p>
      <w:pPr>
        <w:tabs>
          <w:tab w:val="clear" w:pos="426"/>
        </w:tabs>
        <w:spacing w:before="231" w:beforeLines="50" w:after="231" w:afterLines="50"/>
        <w:jc w:val="center"/>
        <w:rPr>
          <w:rFonts w:hint="eastAsia" w:ascii="黑体" w:eastAsia="黑体"/>
          <w:sz w:val="28"/>
          <w:szCs w:val="28"/>
          <w:highlight w:val="none"/>
        </w:rPr>
      </w:pPr>
      <w:r>
        <w:rPr>
          <w:rFonts w:hint="eastAsia"/>
          <w:b/>
          <w:highlight w:val="none"/>
        </w:rPr>
        <w:t>（凡有下列情形之一的，投标文件无效，投标作无效标处理</w:t>
      </w:r>
      <w:r>
        <w:rPr>
          <w:rFonts w:hint="eastAsia" w:ascii="黑体" w:eastAsia="黑体"/>
          <w:szCs w:val="21"/>
          <w:highlight w:val="none"/>
        </w:rPr>
        <w:t>）</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8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4" w:type="dxa"/>
            <w:vAlign w:val="center"/>
          </w:tcPr>
          <w:p>
            <w:pPr>
              <w:tabs>
                <w:tab w:val="clear" w:pos="426"/>
              </w:tabs>
              <w:adjustRightInd/>
              <w:snapToGrid/>
              <w:spacing w:line="240" w:lineRule="auto"/>
              <w:jc w:val="center"/>
              <w:rPr>
                <w:rFonts w:hint="eastAsia"/>
                <w:b/>
                <w:highlight w:val="none"/>
              </w:rPr>
            </w:pPr>
            <w:r>
              <w:rPr>
                <w:rFonts w:hint="eastAsia"/>
                <w:b/>
                <w:highlight w:val="none"/>
              </w:rPr>
              <w:t>序号</w:t>
            </w:r>
          </w:p>
        </w:tc>
        <w:tc>
          <w:tcPr>
            <w:tcW w:w="8806" w:type="dxa"/>
            <w:vAlign w:val="center"/>
          </w:tcPr>
          <w:p>
            <w:pPr>
              <w:tabs>
                <w:tab w:val="clear" w:pos="426"/>
              </w:tabs>
              <w:adjustRightInd/>
              <w:snapToGrid/>
              <w:spacing w:line="240" w:lineRule="auto"/>
              <w:jc w:val="center"/>
              <w:rPr>
                <w:rFonts w:hint="eastAsia"/>
                <w:b/>
                <w:highlight w:val="none"/>
              </w:rPr>
            </w:pPr>
            <w:r>
              <w:rPr>
                <w:rFonts w:hint="eastAsia"/>
                <w:b/>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4"/>
              </w:numPr>
              <w:shd w:val="clear" w:color="auto" w:fill="auto"/>
              <w:tabs>
                <w:tab w:val="clear" w:pos="426"/>
              </w:tabs>
              <w:adjustRightInd/>
              <w:snapToGrid/>
              <w:spacing w:line="240" w:lineRule="auto"/>
              <w:ind w:left="0" w:firstLine="0"/>
              <w:jc w:val="center"/>
              <w:rPr>
                <w:rFonts w:hint="eastAsia"/>
                <w:highlight w:val="none"/>
              </w:rPr>
            </w:pPr>
          </w:p>
        </w:tc>
        <w:tc>
          <w:tcPr>
            <w:tcW w:w="8806" w:type="dxa"/>
            <w:vAlign w:val="center"/>
          </w:tcPr>
          <w:p>
            <w:pPr>
              <w:tabs>
                <w:tab w:val="clear" w:pos="426"/>
              </w:tabs>
              <w:adjustRightInd/>
              <w:snapToGrid/>
              <w:spacing w:line="240" w:lineRule="auto"/>
              <w:rPr>
                <w:rFonts w:hint="eastAsia"/>
                <w:highlight w:val="none"/>
              </w:rPr>
            </w:pPr>
            <w:r>
              <w:rPr>
                <w:rFonts w:hint="eastAsia"/>
                <w:highlight w:val="none"/>
              </w:rPr>
              <w:t>将一个包或一个标段的内容拆开投标；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4"/>
              </w:numPr>
              <w:shd w:val="clear" w:color="auto" w:fill="auto"/>
              <w:tabs>
                <w:tab w:val="clear" w:pos="426"/>
              </w:tabs>
              <w:adjustRightInd/>
              <w:snapToGrid/>
              <w:spacing w:line="240" w:lineRule="auto"/>
              <w:ind w:left="0" w:firstLine="0"/>
              <w:jc w:val="center"/>
              <w:rPr>
                <w:rFonts w:hint="eastAsia"/>
                <w:highlight w:val="none"/>
              </w:rPr>
            </w:pPr>
          </w:p>
        </w:tc>
        <w:tc>
          <w:tcPr>
            <w:tcW w:w="8806" w:type="dxa"/>
            <w:vAlign w:val="center"/>
          </w:tcPr>
          <w:p>
            <w:pPr>
              <w:tabs>
                <w:tab w:val="clear" w:pos="426"/>
              </w:tabs>
              <w:adjustRightInd/>
              <w:snapToGrid/>
              <w:spacing w:line="240" w:lineRule="auto"/>
              <w:rPr>
                <w:rFonts w:hint="eastAsia"/>
                <w:highlight w:val="none"/>
              </w:rPr>
            </w:pPr>
            <w:r>
              <w:rPr>
                <w:rFonts w:hint="eastAsia"/>
                <w:highlight w:val="none"/>
              </w:rPr>
              <w:t>投标文件及开标一览表未按招标文件规定密封、签字、盖章；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4"/>
              </w:numPr>
              <w:shd w:val="clear" w:color="auto" w:fill="auto"/>
              <w:tabs>
                <w:tab w:val="clear" w:pos="426"/>
              </w:tabs>
              <w:adjustRightInd/>
              <w:snapToGrid/>
              <w:spacing w:line="240" w:lineRule="auto"/>
              <w:ind w:left="0" w:firstLine="0"/>
              <w:jc w:val="center"/>
              <w:rPr>
                <w:rFonts w:hint="eastAsia"/>
                <w:highlight w:val="none"/>
              </w:rPr>
            </w:pPr>
          </w:p>
        </w:tc>
        <w:tc>
          <w:tcPr>
            <w:tcW w:w="8806" w:type="dxa"/>
            <w:vAlign w:val="center"/>
          </w:tcPr>
          <w:p>
            <w:pPr>
              <w:tabs>
                <w:tab w:val="clear" w:pos="426"/>
              </w:tabs>
              <w:adjustRightInd/>
              <w:snapToGrid/>
              <w:spacing w:line="240" w:lineRule="auto"/>
              <w:rPr>
                <w:rFonts w:hint="eastAsia"/>
                <w:highlight w:val="none"/>
              </w:rPr>
            </w:pPr>
            <w:r>
              <w:rPr>
                <w:rFonts w:hint="eastAsia"/>
                <w:highlight w:val="none"/>
              </w:rPr>
              <w:t>对同一项目投标时，提供两套以上的投标方案（招标文件另有规定的除外）；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4"/>
              </w:numPr>
              <w:shd w:val="clear" w:color="auto" w:fill="auto"/>
              <w:tabs>
                <w:tab w:val="clear" w:pos="426"/>
              </w:tabs>
              <w:adjustRightInd/>
              <w:snapToGrid/>
              <w:spacing w:line="240" w:lineRule="auto"/>
              <w:ind w:left="0" w:firstLine="0"/>
              <w:jc w:val="center"/>
              <w:rPr>
                <w:rFonts w:hint="eastAsia"/>
                <w:highlight w:val="none"/>
              </w:rPr>
            </w:pPr>
          </w:p>
        </w:tc>
        <w:tc>
          <w:tcPr>
            <w:tcW w:w="8806" w:type="dxa"/>
            <w:vAlign w:val="center"/>
          </w:tcPr>
          <w:p>
            <w:pPr>
              <w:tabs>
                <w:tab w:val="clear" w:pos="426"/>
              </w:tabs>
              <w:adjustRightInd/>
              <w:snapToGrid/>
              <w:spacing w:line="240" w:lineRule="auto"/>
              <w:rPr>
                <w:rFonts w:hint="eastAsia"/>
                <w:highlight w:val="none"/>
              </w:rPr>
            </w:pPr>
            <w:r>
              <w:rPr>
                <w:rFonts w:hint="eastAsia"/>
                <w:highlight w:val="none"/>
              </w:rPr>
              <w:t>未按照招标文件规定要求签署、盖章或投标文件没有法定代表人签字，或签字人没有法定代表人有效授权书的；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4"/>
              </w:numPr>
              <w:shd w:val="clear" w:color="auto" w:fill="auto"/>
              <w:tabs>
                <w:tab w:val="clear" w:pos="426"/>
              </w:tabs>
              <w:adjustRightInd/>
              <w:snapToGrid/>
              <w:spacing w:line="240" w:lineRule="auto"/>
              <w:ind w:left="0" w:firstLine="0"/>
              <w:jc w:val="center"/>
              <w:rPr>
                <w:rFonts w:hint="eastAsia"/>
                <w:highlight w:val="none"/>
              </w:rPr>
            </w:pPr>
          </w:p>
        </w:tc>
        <w:tc>
          <w:tcPr>
            <w:tcW w:w="8806" w:type="dxa"/>
            <w:vAlign w:val="center"/>
          </w:tcPr>
          <w:p>
            <w:pPr>
              <w:tabs>
                <w:tab w:val="clear" w:pos="426"/>
              </w:tabs>
              <w:adjustRightInd/>
              <w:snapToGrid/>
              <w:spacing w:line="240" w:lineRule="auto"/>
              <w:rPr>
                <w:rFonts w:hint="eastAsia"/>
                <w:highlight w:val="none"/>
              </w:rPr>
            </w:pPr>
            <w:r>
              <w:rPr>
                <w:rFonts w:hint="eastAsia"/>
                <w:highlight w:val="none"/>
              </w:rPr>
              <w:t>未按招标文件所提供的样式填写</w:t>
            </w:r>
            <w:r>
              <w:rPr>
                <w:highlight w:val="none"/>
              </w:rPr>
              <w:t>《</w:t>
            </w:r>
            <w:r>
              <w:rPr>
                <w:rFonts w:hint="eastAsia"/>
                <w:highlight w:val="none"/>
              </w:rPr>
              <w:t>投标函》；未按招标文件所提供的《投标人资格声明函》进行承诺；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4"/>
              </w:numPr>
              <w:shd w:val="clear" w:color="auto" w:fill="auto"/>
              <w:tabs>
                <w:tab w:val="clear" w:pos="426"/>
              </w:tabs>
              <w:adjustRightInd/>
              <w:snapToGrid/>
              <w:spacing w:line="240" w:lineRule="auto"/>
              <w:ind w:left="0" w:firstLine="0"/>
              <w:jc w:val="center"/>
              <w:rPr>
                <w:rFonts w:hint="eastAsia"/>
                <w:highlight w:val="none"/>
              </w:rPr>
            </w:pPr>
          </w:p>
        </w:tc>
        <w:tc>
          <w:tcPr>
            <w:tcW w:w="8806" w:type="dxa"/>
            <w:vAlign w:val="center"/>
          </w:tcPr>
          <w:p>
            <w:pPr>
              <w:tabs>
                <w:tab w:val="clear" w:pos="426"/>
              </w:tabs>
              <w:adjustRightInd/>
              <w:snapToGrid/>
              <w:spacing w:line="240" w:lineRule="auto"/>
              <w:rPr>
                <w:rFonts w:hint="eastAsia"/>
                <w:highlight w:val="none"/>
              </w:rPr>
            </w:pPr>
            <w:r>
              <w:rPr>
                <w:rFonts w:hint="eastAsia"/>
                <w:highlight w:val="none"/>
              </w:rPr>
              <w:t>投标总价或分项报价高于预算限额（最高投标限价）；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4"/>
              </w:numPr>
              <w:shd w:val="clear" w:color="auto" w:fill="auto"/>
              <w:tabs>
                <w:tab w:val="clear" w:pos="426"/>
              </w:tabs>
              <w:adjustRightInd/>
              <w:snapToGrid/>
              <w:spacing w:line="240" w:lineRule="auto"/>
              <w:ind w:left="0" w:firstLine="0"/>
              <w:jc w:val="center"/>
              <w:rPr>
                <w:rFonts w:hint="eastAsia"/>
                <w:highlight w:val="none"/>
              </w:rPr>
            </w:pPr>
          </w:p>
        </w:tc>
        <w:tc>
          <w:tcPr>
            <w:tcW w:w="8806" w:type="dxa"/>
            <w:vAlign w:val="center"/>
          </w:tcPr>
          <w:p>
            <w:pPr>
              <w:tabs>
                <w:tab w:val="clear" w:pos="426"/>
              </w:tabs>
              <w:adjustRightInd/>
              <w:snapToGrid/>
              <w:spacing w:line="240" w:lineRule="auto"/>
              <w:rPr>
                <w:rFonts w:hint="eastAsia"/>
                <w:highlight w:val="none"/>
              </w:rPr>
            </w:pPr>
            <w:r>
              <w:rPr>
                <w:highlight w:val="none"/>
              </w:rPr>
              <w:t>同一项目出现两个及以上报价，且按规定无法确定哪个是有效报价；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4"/>
              </w:numPr>
              <w:shd w:val="clear" w:color="auto" w:fill="auto"/>
              <w:tabs>
                <w:tab w:val="clear" w:pos="426"/>
              </w:tabs>
              <w:adjustRightInd/>
              <w:snapToGrid/>
              <w:spacing w:line="240" w:lineRule="auto"/>
              <w:ind w:left="0" w:firstLine="0"/>
              <w:jc w:val="center"/>
              <w:rPr>
                <w:rFonts w:hint="eastAsia"/>
                <w:highlight w:val="none"/>
              </w:rPr>
            </w:pPr>
          </w:p>
        </w:tc>
        <w:tc>
          <w:tcPr>
            <w:tcW w:w="8806" w:type="dxa"/>
            <w:vAlign w:val="center"/>
          </w:tcPr>
          <w:p>
            <w:pPr>
              <w:tabs>
                <w:tab w:val="clear" w:pos="426"/>
              </w:tabs>
              <w:adjustRightInd/>
              <w:snapToGrid/>
              <w:spacing w:line="240" w:lineRule="auto"/>
              <w:rPr>
                <w:rFonts w:hint="eastAsia"/>
                <w:highlight w:val="none"/>
              </w:rPr>
            </w:pPr>
            <w:r>
              <w:rPr>
                <w:rFonts w:hint="eastAsia"/>
                <w:highlight w:val="none"/>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4"/>
              </w:numPr>
              <w:shd w:val="clear" w:color="auto" w:fill="auto"/>
              <w:tabs>
                <w:tab w:val="clear" w:pos="426"/>
              </w:tabs>
              <w:adjustRightInd/>
              <w:snapToGrid/>
              <w:spacing w:line="240" w:lineRule="auto"/>
              <w:ind w:left="0" w:firstLine="0"/>
              <w:jc w:val="center"/>
              <w:rPr>
                <w:rFonts w:hint="eastAsia"/>
                <w:highlight w:val="none"/>
              </w:rPr>
            </w:pPr>
          </w:p>
        </w:tc>
        <w:tc>
          <w:tcPr>
            <w:tcW w:w="8806" w:type="dxa"/>
            <w:vAlign w:val="center"/>
          </w:tcPr>
          <w:p>
            <w:pPr>
              <w:tabs>
                <w:tab w:val="clear" w:pos="426"/>
              </w:tabs>
              <w:adjustRightInd/>
              <w:snapToGrid/>
              <w:spacing w:line="240" w:lineRule="auto"/>
              <w:rPr>
                <w:rFonts w:hint="eastAsia"/>
                <w:highlight w:val="none"/>
              </w:rPr>
            </w:pPr>
            <w:r>
              <w:rPr>
                <w:rFonts w:hint="eastAsia"/>
                <w:highlight w:val="none"/>
              </w:rPr>
              <w:t>投标文件载明的交货期超过招标文件规定的期限；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4"/>
              </w:numPr>
              <w:shd w:val="clear" w:color="auto" w:fill="auto"/>
              <w:tabs>
                <w:tab w:val="clear" w:pos="426"/>
              </w:tabs>
              <w:adjustRightInd/>
              <w:snapToGrid/>
              <w:spacing w:line="240" w:lineRule="auto"/>
              <w:ind w:left="0" w:firstLine="0"/>
              <w:jc w:val="center"/>
              <w:rPr>
                <w:rFonts w:hint="eastAsia"/>
                <w:highlight w:val="none"/>
              </w:rPr>
            </w:pPr>
          </w:p>
        </w:tc>
        <w:tc>
          <w:tcPr>
            <w:tcW w:w="8806" w:type="dxa"/>
            <w:vAlign w:val="center"/>
          </w:tcPr>
          <w:p>
            <w:pPr>
              <w:tabs>
                <w:tab w:val="clear" w:pos="426"/>
              </w:tabs>
              <w:adjustRightInd/>
              <w:snapToGrid/>
              <w:spacing w:line="240" w:lineRule="auto"/>
              <w:rPr>
                <w:rFonts w:hint="eastAsia"/>
                <w:highlight w:val="none"/>
              </w:rPr>
            </w:pPr>
            <w:r>
              <w:rPr>
                <w:rFonts w:hint="eastAsia"/>
                <w:highlight w:val="none"/>
              </w:rPr>
              <w:t>投标文件载明的质保期低于招标文件规定的期限；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4"/>
              </w:numPr>
              <w:shd w:val="clear" w:color="auto" w:fill="auto"/>
              <w:tabs>
                <w:tab w:val="clear" w:pos="426"/>
              </w:tabs>
              <w:adjustRightInd/>
              <w:snapToGrid/>
              <w:spacing w:line="240" w:lineRule="auto"/>
              <w:ind w:left="0" w:firstLine="0"/>
              <w:jc w:val="center"/>
              <w:rPr>
                <w:rFonts w:hint="eastAsia"/>
                <w:highlight w:val="none"/>
              </w:rPr>
            </w:pPr>
          </w:p>
        </w:tc>
        <w:tc>
          <w:tcPr>
            <w:tcW w:w="8806" w:type="dxa"/>
            <w:vAlign w:val="center"/>
          </w:tcPr>
          <w:p>
            <w:pPr>
              <w:tabs>
                <w:tab w:val="clear" w:pos="426"/>
              </w:tabs>
              <w:adjustRightInd/>
              <w:snapToGrid/>
              <w:spacing w:line="240" w:lineRule="auto"/>
              <w:rPr>
                <w:rFonts w:hint="eastAsia"/>
                <w:highlight w:val="none"/>
              </w:rPr>
            </w:pPr>
            <w:r>
              <w:rPr>
                <w:rFonts w:hint="eastAsia"/>
                <w:highlight w:val="none"/>
              </w:rPr>
              <w:t>所投产品、工程、服务在商务、技术等方面没有实质性满足招标文件要求的；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4"/>
              </w:numPr>
              <w:shd w:val="clear" w:color="auto" w:fill="auto"/>
              <w:tabs>
                <w:tab w:val="clear" w:pos="426"/>
              </w:tabs>
              <w:adjustRightInd/>
              <w:snapToGrid/>
              <w:spacing w:line="240" w:lineRule="auto"/>
              <w:ind w:left="0" w:firstLine="0"/>
              <w:jc w:val="center"/>
              <w:rPr>
                <w:rFonts w:hint="eastAsia"/>
                <w:highlight w:val="none"/>
              </w:rPr>
            </w:pPr>
          </w:p>
        </w:tc>
        <w:tc>
          <w:tcPr>
            <w:tcW w:w="8806" w:type="dxa"/>
            <w:vAlign w:val="center"/>
          </w:tcPr>
          <w:p>
            <w:pPr>
              <w:tabs>
                <w:tab w:val="clear" w:pos="426"/>
              </w:tabs>
              <w:adjustRightInd/>
              <w:snapToGrid/>
              <w:spacing w:line="240" w:lineRule="auto"/>
              <w:rPr>
                <w:rFonts w:hint="eastAsia"/>
                <w:highlight w:val="none"/>
              </w:rPr>
            </w:pPr>
            <w:r>
              <w:rPr>
                <w:rFonts w:ascii="Times New Roman" w:hAnsi="Times New Roman" w:cs="Times New Roman"/>
                <w:highlight w:val="none"/>
              </w:rPr>
              <w:t>投标报价有严重缺漏项目或对招标文件规定的</w:t>
            </w:r>
            <w:r>
              <w:rPr>
                <w:rFonts w:hint="eastAsia" w:ascii="Times New Roman" w:hAnsi="Times New Roman" w:cs="Times New Roman"/>
                <w:highlight w:val="none"/>
              </w:rPr>
              <w:t>货物</w:t>
            </w:r>
            <w:r>
              <w:rPr>
                <w:rFonts w:ascii="Times New Roman" w:hAnsi="Times New Roman" w:cs="Times New Roman"/>
                <w:highlight w:val="none"/>
              </w:rPr>
              <w:t>清单项目及数量进行修改</w:t>
            </w:r>
            <w:r>
              <w:rPr>
                <w:rFonts w:hint="eastAsia"/>
                <w:highlight w:val="none"/>
              </w:rPr>
              <w:t>或采购标的响应不全；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4"/>
              </w:numPr>
              <w:shd w:val="clear" w:color="auto" w:fill="auto"/>
              <w:tabs>
                <w:tab w:val="clear" w:pos="426"/>
              </w:tabs>
              <w:adjustRightInd/>
              <w:snapToGrid/>
              <w:spacing w:line="240" w:lineRule="auto"/>
              <w:ind w:left="0" w:firstLine="0"/>
              <w:jc w:val="center"/>
              <w:rPr>
                <w:rFonts w:hint="eastAsia"/>
                <w:highlight w:val="none"/>
              </w:rPr>
            </w:pPr>
          </w:p>
        </w:tc>
        <w:tc>
          <w:tcPr>
            <w:tcW w:w="8806" w:type="dxa"/>
            <w:vAlign w:val="center"/>
          </w:tcPr>
          <w:p>
            <w:pPr>
              <w:tabs>
                <w:tab w:val="clear" w:pos="426"/>
              </w:tabs>
              <w:adjustRightInd/>
              <w:snapToGrid/>
              <w:spacing w:line="240" w:lineRule="auto"/>
              <w:rPr>
                <w:rFonts w:hint="eastAsia"/>
                <w:highlight w:val="none"/>
              </w:rPr>
            </w:pPr>
            <w:r>
              <w:rPr>
                <w:rFonts w:hint="eastAsia"/>
                <w:highlight w:val="none"/>
              </w:rPr>
              <w:t>《技术规格偏离表》或《商务条款偏离表》填写不全、不明或不实；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4"/>
              </w:numPr>
              <w:shd w:val="clear" w:color="auto" w:fill="auto"/>
              <w:tabs>
                <w:tab w:val="clear" w:pos="426"/>
              </w:tabs>
              <w:adjustRightInd/>
              <w:snapToGrid/>
              <w:spacing w:line="240" w:lineRule="auto"/>
              <w:ind w:left="0" w:firstLine="0"/>
              <w:jc w:val="center"/>
              <w:rPr>
                <w:rFonts w:hint="eastAsia"/>
                <w:highlight w:val="none"/>
              </w:rPr>
            </w:pPr>
          </w:p>
        </w:tc>
        <w:tc>
          <w:tcPr>
            <w:tcW w:w="8806" w:type="dxa"/>
            <w:vAlign w:val="center"/>
          </w:tcPr>
          <w:p>
            <w:pPr>
              <w:tabs>
                <w:tab w:val="clear" w:pos="426"/>
              </w:tabs>
              <w:adjustRightInd/>
              <w:snapToGrid/>
              <w:spacing w:line="240" w:lineRule="auto"/>
              <w:rPr>
                <w:rFonts w:hint="eastAsia"/>
                <w:highlight w:val="none"/>
              </w:rPr>
            </w:pPr>
            <w:r>
              <w:rPr>
                <w:rFonts w:hint="eastAsia"/>
                <w:highlight w:val="none"/>
              </w:rPr>
              <w:t>投标文件存在招标文件中规定的其它无效投标条款的；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4"/>
              </w:numPr>
              <w:shd w:val="clear" w:color="auto" w:fill="auto"/>
              <w:tabs>
                <w:tab w:val="clear" w:pos="426"/>
              </w:tabs>
              <w:adjustRightInd/>
              <w:snapToGrid/>
              <w:spacing w:line="240" w:lineRule="auto"/>
              <w:ind w:left="0" w:firstLine="0"/>
              <w:jc w:val="center"/>
              <w:rPr>
                <w:rFonts w:hint="eastAsia"/>
                <w:highlight w:val="none"/>
              </w:rPr>
            </w:pPr>
          </w:p>
        </w:tc>
        <w:tc>
          <w:tcPr>
            <w:tcW w:w="8806" w:type="dxa"/>
            <w:vAlign w:val="center"/>
          </w:tcPr>
          <w:p>
            <w:pPr>
              <w:tabs>
                <w:tab w:val="clear" w:pos="426"/>
              </w:tabs>
              <w:adjustRightInd/>
              <w:snapToGrid/>
              <w:spacing w:line="240" w:lineRule="auto"/>
              <w:rPr>
                <w:rFonts w:hint="eastAsia"/>
                <w:highlight w:val="none"/>
              </w:rPr>
            </w:pPr>
            <w:r>
              <w:rPr>
                <w:rFonts w:hint="eastAsia"/>
                <w:highlight w:val="none"/>
              </w:rPr>
              <w:t>法律、法规规定的属于投标无效的其他情形。</w:t>
            </w:r>
          </w:p>
        </w:tc>
      </w:tr>
    </w:tbl>
    <w:p>
      <w:pPr>
        <w:rPr>
          <w:rFonts w:hint="eastAsia"/>
          <w:highlight w:val="none"/>
        </w:rPr>
      </w:pPr>
      <w:r>
        <w:rPr>
          <w:highlight w:val="none"/>
        </w:rPr>
        <w:br w:type="page"/>
      </w:r>
    </w:p>
    <w:p>
      <w:pPr>
        <w:pStyle w:val="62"/>
        <w:rPr>
          <w:highlight w:val="none"/>
        </w:rPr>
      </w:pPr>
      <w:bookmarkStart w:id="58" w:name="_Toc11333"/>
      <w:r>
        <w:rPr>
          <w:rFonts w:hint="eastAsia"/>
          <w:highlight w:val="none"/>
        </w:rPr>
        <w:t>前附表（三）综合评分法评分因素和权重分值表</w:t>
      </w:r>
      <w:bookmarkEnd w:id="58"/>
    </w:p>
    <w:tbl>
      <w:tblPr>
        <w:tblStyle w:val="85"/>
        <w:tblW w:w="97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autoSpaceDE w:val="0"/>
              <w:autoSpaceDN w:val="0"/>
              <w:jc w:val="center"/>
              <w:rPr>
                <w:rFonts w:hint="eastAsia"/>
                <w:b/>
                <w:color w:val="auto"/>
                <w:szCs w:val="21"/>
                <w:highlight w:val="none"/>
                <w:lang w:val="zh-CN"/>
              </w:rPr>
            </w:pPr>
            <w:r>
              <w:rPr>
                <w:rFonts w:hint="eastAsia"/>
                <w:b/>
                <w:color w:val="auto"/>
                <w:szCs w:val="21"/>
                <w:highlight w:val="none"/>
                <w:lang w:val="zh-CN"/>
              </w:rPr>
              <w:t>评分项及评分规则</w:t>
            </w:r>
          </w:p>
        </w:tc>
        <w:tc>
          <w:tcPr>
            <w:tcW w:w="1187" w:type="dxa"/>
            <w:vAlign w:val="center"/>
          </w:tcPr>
          <w:p>
            <w:pPr>
              <w:autoSpaceDE w:val="0"/>
              <w:autoSpaceDN w:val="0"/>
              <w:jc w:val="center"/>
              <w:rPr>
                <w:rFonts w:hint="eastAsia"/>
                <w:b/>
                <w:color w:val="auto"/>
                <w:szCs w:val="21"/>
                <w:highlight w:val="none"/>
                <w:lang w:val="zh-CN"/>
              </w:rPr>
            </w:pPr>
            <w:r>
              <w:rPr>
                <w:rFonts w:hint="eastAsia"/>
                <w:b/>
                <w:color w:val="auto"/>
                <w:szCs w:val="21"/>
                <w:highlight w:val="none"/>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autoSpaceDE w:val="0"/>
              <w:autoSpaceDN w:val="0"/>
              <w:jc w:val="center"/>
              <w:rPr>
                <w:rFonts w:hint="eastAsia"/>
                <w:b/>
                <w:color w:val="auto"/>
                <w:szCs w:val="21"/>
                <w:highlight w:val="none"/>
                <w:lang w:val="zh-CN"/>
              </w:rPr>
            </w:pPr>
            <w:r>
              <w:rPr>
                <w:rFonts w:hint="eastAsia"/>
                <w:b/>
                <w:color w:val="auto"/>
                <w:szCs w:val="21"/>
                <w:highlight w:val="none"/>
                <w:lang w:val="zh-CN"/>
              </w:rPr>
              <w:t>一、价格部分</w:t>
            </w:r>
          </w:p>
        </w:tc>
        <w:tc>
          <w:tcPr>
            <w:tcW w:w="1187" w:type="dxa"/>
            <w:vAlign w:val="center"/>
          </w:tcPr>
          <w:p>
            <w:pPr>
              <w:autoSpaceDE w:val="0"/>
              <w:autoSpaceDN w:val="0"/>
              <w:jc w:val="center"/>
              <w:rPr>
                <w:rFonts w:hint="eastAsia"/>
                <w:b/>
                <w:color w:val="auto"/>
                <w:szCs w:val="21"/>
                <w:highlight w:val="none"/>
              </w:rPr>
            </w:pPr>
            <w:r>
              <w:rPr>
                <w:rFonts w:hint="eastAsia"/>
                <w:b/>
                <w:color w:val="auto"/>
                <w:szCs w:val="21"/>
                <w:highlight w:val="none"/>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jc w:val="left"/>
              <w:rPr>
                <w:rFonts w:hint="eastAsia"/>
                <w:color w:val="auto"/>
                <w:szCs w:val="21"/>
                <w:highlight w:val="none"/>
              </w:rPr>
            </w:pPr>
            <w:r>
              <w:rPr>
                <w:rFonts w:hint="eastAsia"/>
                <w:color w:val="auto"/>
                <w:szCs w:val="21"/>
                <w:highlight w:val="none"/>
              </w:rPr>
              <w:t>价格分采用低价优先法计算，即满足招标文件要求且投标价格最低的投标报价为评标基准价，其价格分为满分。其他投标人的价格分统一按照下列公式计算：</w:t>
            </w:r>
          </w:p>
          <w:p>
            <w:pPr>
              <w:jc w:val="left"/>
              <w:rPr>
                <w:rFonts w:hint="eastAsia"/>
                <w:color w:val="auto"/>
                <w:szCs w:val="21"/>
                <w:highlight w:val="none"/>
              </w:rPr>
            </w:pPr>
            <w:r>
              <w:rPr>
                <w:rFonts w:hint="eastAsia"/>
                <w:color w:val="auto"/>
                <w:szCs w:val="21"/>
                <w:highlight w:val="none"/>
              </w:rPr>
              <w:t>投标报价得分=(评标基准价／投标报价)×30</w:t>
            </w:r>
          </w:p>
          <w:p>
            <w:pPr>
              <w:rPr>
                <w:rFonts w:hint="eastAsia"/>
                <w:color w:val="auto"/>
                <w:szCs w:val="21"/>
                <w:highlight w:val="none"/>
              </w:rPr>
            </w:pPr>
            <w:r>
              <w:rPr>
                <w:rFonts w:hint="eastAsia"/>
                <w:snapToGrid w:val="0"/>
                <w:color w:val="auto"/>
                <w:szCs w:val="21"/>
                <w:highlight w:val="none"/>
              </w:rPr>
              <w:t>备注：1、因落实政府采购政策进行价格调整的，以调整后的价格计算评标基准价和投标报价</w:t>
            </w:r>
            <w:r>
              <w:rPr>
                <w:rFonts w:hint="eastAsia"/>
                <w:bCs/>
                <w:snapToGrid w:val="0"/>
                <w:color w:val="auto"/>
                <w:szCs w:val="21"/>
                <w:highlight w:val="none"/>
              </w:rPr>
              <w:t>；</w:t>
            </w:r>
            <w:r>
              <w:rPr>
                <w:rFonts w:hint="eastAsia"/>
                <w:snapToGrid w:val="0"/>
                <w:color w:val="auto"/>
                <w:szCs w:val="21"/>
                <w:highlight w:val="none"/>
              </w:rPr>
              <w:t>2、投标报价得分四舍五入后，小数点后保留两位有效数</w:t>
            </w:r>
            <w:r>
              <w:rPr>
                <w:rFonts w:hint="eastAsia"/>
                <w:color w:val="auto"/>
                <w:szCs w:val="21"/>
                <w:highlight w:val="none"/>
              </w:rPr>
              <w:t>。</w:t>
            </w:r>
          </w:p>
        </w:tc>
        <w:tc>
          <w:tcPr>
            <w:tcW w:w="1187" w:type="dxa"/>
            <w:vAlign w:val="center"/>
          </w:tcPr>
          <w:p>
            <w:pPr>
              <w:autoSpaceDE w:val="0"/>
              <w:autoSpaceDN w:val="0"/>
              <w:jc w:val="center"/>
              <w:rPr>
                <w:rFonts w:hint="eastAsia"/>
                <w:color w:val="auto"/>
                <w:szCs w:val="21"/>
                <w:highlight w:val="none"/>
              </w:rPr>
            </w:pPr>
            <w:r>
              <w:rPr>
                <w:rFonts w:hint="eastAsia"/>
                <w:color w:val="auto"/>
                <w:szCs w:val="21"/>
                <w:highlight w:val="none"/>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autoSpaceDE w:val="0"/>
              <w:autoSpaceDN w:val="0"/>
              <w:jc w:val="center"/>
              <w:rPr>
                <w:rFonts w:hint="eastAsia"/>
                <w:b/>
                <w:color w:val="auto"/>
                <w:szCs w:val="21"/>
                <w:highlight w:val="none"/>
              </w:rPr>
            </w:pPr>
            <w:r>
              <w:rPr>
                <w:rFonts w:hint="eastAsia"/>
                <w:b/>
                <w:color w:val="auto"/>
                <w:szCs w:val="21"/>
                <w:highlight w:val="none"/>
              </w:rPr>
              <w:t>二、技术部分</w:t>
            </w:r>
          </w:p>
        </w:tc>
        <w:tc>
          <w:tcPr>
            <w:tcW w:w="1187" w:type="dxa"/>
            <w:vAlign w:val="center"/>
          </w:tcPr>
          <w:p>
            <w:pPr>
              <w:autoSpaceDE w:val="0"/>
              <w:autoSpaceDN w:val="0"/>
              <w:jc w:val="center"/>
              <w:rPr>
                <w:rFonts w:hint="eastAsia"/>
                <w:b/>
                <w:color w:val="auto"/>
                <w:szCs w:val="21"/>
                <w:highlight w:val="none"/>
              </w:rPr>
            </w:pPr>
            <w:r>
              <w:rPr>
                <w:rFonts w:hint="eastAsia"/>
                <w:b/>
                <w:color w:val="auto"/>
                <w:szCs w:val="21"/>
                <w:highlight w:val="none"/>
              </w:rPr>
              <w:t>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autoSpaceDE w:val="0"/>
              <w:autoSpaceDN w:val="0"/>
              <w:jc w:val="center"/>
              <w:rPr>
                <w:rFonts w:hint="eastAsia"/>
                <w:color w:val="auto"/>
                <w:szCs w:val="21"/>
                <w:highlight w:val="none"/>
              </w:rPr>
            </w:pPr>
            <w:r>
              <w:rPr>
                <w:rFonts w:hint="eastAsia"/>
                <w:color w:val="auto"/>
                <w:szCs w:val="21"/>
                <w:highlight w:val="none"/>
              </w:rPr>
              <w:t>序号</w:t>
            </w:r>
          </w:p>
        </w:tc>
        <w:tc>
          <w:tcPr>
            <w:tcW w:w="1143" w:type="dxa"/>
            <w:vAlign w:val="center"/>
          </w:tcPr>
          <w:p>
            <w:pPr>
              <w:autoSpaceDE w:val="0"/>
              <w:autoSpaceDN w:val="0"/>
              <w:jc w:val="center"/>
              <w:rPr>
                <w:rFonts w:hint="eastAsia"/>
                <w:color w:val="auto"/>
                <w:szCs w:val="21"/>
                <w:highlight w:val="none"/>
              </w:rPr>
            </w:pPr>
            <w:r>
              <w:rPr>
                <w:rFonts w:hint="eastAsia"/>
                <w:color w:val="auto"/>
                <w:szCs w:val="21"/>
                <w:highlight w:val="none"/>
              </w:rPr>
              <w:t>内容</w:t>
            </w:r>
          </w:p>
        </w:tc>
        <w:tc>
          <w:tcPr>
            <w:tcW w:w="709" w:type="dxa"/>
            <w:vAlign w:val="center"/>
          </w:tcPr>
          <w:p>
            <w:pPr>
              <w:autoSpaceDE w:val="0"/>
              <w:autoSpaceDN w:val="0"/>
              <w:jc w:val="center"/>
              <w:rPr>
                <w:rFonts w:hint="eastAsia"/>
                <w:color w:val="auto"/>
                <w:szCs w:val="21"/>
                <w:highlight w:val="none"/>
              </w:rPr>
            </w:pPr>
            <w:r>
              <w:rPr>
                <w:rFonts w:hint="eastAsia"/>
                <w:color w:val="auto"/>
                <w:szCs w:val="21"/>
                <w:highlight w:val="none"/>
              </w:rPr>
              <w:t>权重</w:t>
            </w:r>
          </w:p>
        </w:tc>
        <w:tc>
          <w:tcPr>
            <w:tcW w:w="5953" w:type="dxa"/>
            <w:vAlign w:val="center"/>
          </w:tcPr>
          <w:p>
            <w:pPr>
              <w:autoSpaceDE w:val="0"/>
              <w:autoSpaceDN w:val="0"/>
              <w:jc w:val="center"/>
              <w:rPr>
                <w:rFonts w:hint="eastAsia"/>
                <w:color w:val="auto"/>
                <w:szCs w:val="21"/>
                <w:highlight w:val="none"/>
              </w:rPr>
            </w:pPr>
            <w:r>
              <w:rPr>
                <w:rFonts w:hint="eastAsia"/>
                <w:color w:val="auto"/>
                <w:szCs w:val="21"/>
                <w:highlight w:val="none"/>
              </w:rPr>
              <w:t>评分规则</w:t>
            </w:r>
          </w:p>
        </w:tc>
        <w:tc>
          <w:tcPr>
            <w:tcW w:w="1187" w:type="dxa"/>
            <w:vAlign w:val="center"/>
          </w:tcPr>
          <w:p>
            <w:pPr>
              <w:autoSpaceDE w:val="0"/>
              <w:autoSpaceDN w:val="0"/>
              <w:jc w:val="center"/>
              <w:rPr>
                <w:rFonts w:hint="eastAsia"/>
                <w:color w:val="auto"/>
                <w:szCs w:val="21"/>
                <w:highlight w:val="none"/>
              </w:rPr>
            </w:pPr>
            <w:r>
              <w:rPr>
                <w:rFonts w:hint="eastAsia"/>
                <w:color w:val="auto"/>
                <w:szCs w:val="21"/>
                <w:highlight w:val="none"/>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jc w:val="center"/>
              <w:rPr>
                <w:rFonts w:hint="eastAsia"/>
                <w:color w:val="auto"/>
                <w:szCs w:val="21"/>
                <w:highlight w:val="none"/>
              </w:rPr>
            </w:pPr>
            <w:r>
              <w:rPr>
                <w:rFonts w:hint="eastAsia"/>
                <w:color w:val="auto"/>
                <w:szCs w:val="21"/>
                <w:highlight w:val="none"/>
              </w:rPr>
              <w:t>1</w:t>
            </w:r>
          </w:p>
        </w:tc>
        <w:tc>
          <w:tcPr>
            <w:tcW w:w="1143" w:type="dxa"/>
            <w:vAlign w:val="center"/>
          </w:tcPr>
          <w:p>
            <w:pPr>
              <w:jc w:val="center"/>
              <w:rPr>
                <w:rFonts w:hint="eastAsia"/>
                <w:color w:val="auto"/>
                <w:szCs w:val="21"/>
                <w:highlight w:val="none"/>
              </w:rPr>
            </w:pPr>
            <w:r>
              <w:rPr>
                <w:rFonts w:hint="eastAsia"/>
                <w:color w:val="auto"/>
                <w:szCs w:val="21"/>
                <w:highlight w:val="none"/>
              </w:rPr>
              <w:t>技术规格偏离情况</w:t>
            </w:r>
          </w:p>
        </w:tc>
        <w:tc>
          <w:tcPr>
            <w:tcW w:w="709" w:type="dxa"/>
            <w:vAlign w:val="center"/>
          </w:tcPr>
          <w:p>
            <w:pPr>
              <w:jc w:val="center"/>
              <w:rPr>
                <w:rFonts w:hint="eastAsia"/>
                <w:color w:val="auto"/>
                <w:szCs w:val="21"/>
                <w:highlight w:val="none"/>
              </w:rPr>
            </w:pPr>
            <w:r>
              <w:rPr>
                <w:rFonts w:hint="eastAsia"/>
                <w:color w:val="auto"/>
                <w:szCs w:val="21"/>
                <w:highlight w:val="none"/>
              </w:rPr>
              <w:t>50</w:t>
            </w:r>
          </w:p>
        </w:tc>
        <w:tc>
          <w:tcPr>
            <w:tcW w:w="5953" w:type="dxa"/>
            <w:vAlign w:val="center"/>
          </w:tcPr>
          <w:p>
            <w:pPr>
              <w:jc w:val="left"/>
              <w:rPr>
                <w:rFonts w:hint="eastAsia"/>
                <w:color w:val="auto"/>
                <w:szCs w:val="21"/>
                <w:highlight w:val="none"/>
              </w:rPr>
            </w:pPr>
            <w:r>
              <w:rPr>
                <w:rFonts w:hint="eastAsia"/>
                <w:color w:val="auto"/>
                <w:szCs w:val="21"/>
                <w:highlight w:val="none"/>
              </w:rPr>
              <w:t>（一）评分内容：</w:t>
            </w:r>
          </w:p>
          <w:p>
            <w:pPr>
              <w:jc w:val="left"/>
              <w:rPr>
                <w:rFonts w:hint="eastAsia"/>
                <w:color w:val="auto"/>
                <w:szCs w:val="21"/>
                <w:highlight w:val="none"/>
              </w:rPr>
            </w:pPr>
            <w:r>
              <w:rPr>
                <w:rFonts w:hint="eastAsia"/>
                <w:color w:val="auto"/>
                <w:szCs w:val="21"/>
                <w:highlight w:val="none"/>
              </w:rPr>
              <w:t>完全满足招标文件技术指标、参数要求，应答完整的得50分；“★”为不可偏离参数；以此为基础，投标人的技术响应低于招标文件中规定的“▲”技术要求每有一项减2分；投标人一般技术响应低于招标文件规定的，每有一项减1分。本项最低得0分。</w:t>
            </w:r>
          </w:p>
          <w:p>
            <w:pPr>
              <w:jc w:val="left"/>
              <w:rPr>
                <w:rFonts w:hint="eastAsia"/>
                <w:color w:val="auto"/>
                <w:szCs w:val="21"/>
                <w:highlight w:val="none"/>
              </w:rPr>
            </w:pPr>
            <w:r>
              <w:rPr>
                <w:rFonts w:hint="eastAsia"/>
                <w:color w:val="auto"/>
                <w:szCs w:val="21"/>
                <w:highlight w:val="none"/>
              </w:rPr>
              <w:t>（二）评分依据：</w:t>
            </w:r>
          </w:p>
          <w:p>
            <w:pPr>
              <w:jc w:val="left"/>
              <w:rPr>
                <w:rFonts w:hint="eastAsia"/>
                <w:color w:val="auto"/>
                <w:szCs w:val="21"/>
                <w:highlight w:val="none"/>
              </w:rPr>
            </w:pPr>
            <w:r>
              <w:rPr>
                <w:rFonts w:hint="eastAsia"/>
                <w:color w:val="auto"/>
                <w:szCs w:val="21"/>
                <w:highlight w:val="none"/>
              </w:rPr>
              <w:t>以投标文件《技术规格偏离表》为评分依据，投标人按招标文件要求提供相应的证明材料复印件或扫描件加盖投标人公章，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技术要求中包含子项参数的，按子项参数响应情况逐项评分。</w:t>
            </w:r>
          </w:p>
        </w:tc>
        <w:tc>
          <w:tcPr>
            <w:tcW w:w="1187" w:type="dxa"/>
            <w:vAlign w:val="center"/>
          </w:tcPr>
          <w:p>
            <w:pPr>
              <w:autoSpaceDE w:val="0"/>
              <w:autoSpaceDN w:val="0"/>
              <w:jc w:val="center"/>
              <w:rPr>
                <w:rFonts w:hint="eastAsia"/>
                <w:color w:val="auto"/>
                <w:szCs w:val="21"/>
                <w:highlight w:val="none"/>
              </w:rPr>
            </w:pPr>
            <w:r>
              <w:rPr>
                <w:rFonts w:hint="eastAsia"/>
                <w:color w:val="auto"/>
                <w:szCs w:val="21"/>
                <w:highlight w:val="none"/>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8" w:hRule="atLeast"/>
          <w:jc w:val="center"/>
        </w:trPr>
        <w:tc>
          <w:tcPr>
            <w:tcW w:w="754" w:type="dxa"/>
            <w:vAlign w:val="center"/>
          </w:tcPr>
          <w:p>
            <w:pPr>
              <w:autoSpaceDE w:val="0"/>
              <w:autoSpaceDN w:val="0"/>
              <w:jc w:val="center"/>
              <w:rPr>
                <w:rFonts w:hint="eastAsia"/>
                <w:color w:val="auto"/>
                <w:szCs w:val="21"/>
                <w:highlight w:val="none"/>
              </w:rPr>
            </w:pPr>
            <w:r>
              <w:rPr>
                <w:rFonts w:hint="eastAsia"/>
                <w:color w:val="auto"/>
                <w:szCs w:val="21"/>
                <w:highlight w:val="none"/>
              </w:rPr>
              <w:t>2</w:t>
            </w:r>
          </w:p>
        </w:tc>
        <w:tc>
          <w:tcPr>
            <w:tcW w:w="1143" w:type="dxa"/>
            <w:vAlign w:val="center"/>
          </w:tcPr>
          <w:p>
            <w:pPr>
              <w:jc w:val="center"/>
              <w:rPr>
                <w:rFonts w:hint="eastAsia"/>
                <w:color w:val="auto"/>
                <w:szCs w:val="21"/>
                <w:highlight w:val="none"/>
              </w:rPr>
            </w:pPr>
            <w:r>
              <w:rPr>
                <w:rFonts w:hint="eastAsia"/>
                <w:color w:val="auto"/>
                <w:szCs w:val="21"/>
                <w:highlight w:val="none"/>
              </w:rPr>
              <w:t>技术保障措施</w:t>
            </w:r>
          </w:p>
        </w:tc>
        <w:tc>
          <w:tcPr>
            <w:tcW w:w="709" w:type="dxa"/>
            <w:vAlign w:val="center"/>
          </w:tcPr>
          <w:p>
            <w:pPr>
              <w:jc w:val="center"/>
              <w:rPr>
                <w:rFonts w:hint="eastAsia"/>
                <w:color w:val="auto"/>
                <w:szCs w:val="21"/>
                <w:highlight w:val="none"/>
              </w:rPr>
            </w:pPr>
            <w:r>
              <w:rPr>
                <w:rFonts w:hint="eastAsia"/>
                <w:color w:val="auto"/>
                <w:szCs w:val="21"/>
                <w:highlight w:val="none"/>
              </w:rPr>
              <w:t>4</w:t>
            </w:r>
          </w:p>
        </w:tc>
        <w:tc>
          <w:tcPr>
            <w:tcW w:w="5953" w:type="dxa"/>
            <w:vAlign w:val="center"/>
          </w:tcPr>
          <w:p>
            <w:pPr>
              <w:jc w:val="left"/>
              <w:rPr>
                <w:rFonts w:hint="eastAsia"/>
                <w:color w:val="auto"/>
                <w:szCs w:val="21"/>
                <w:highlight w:val="none"/>
              </w:rPr>
            </w:pPr>
            <w:r>
              <w:rPr>
                <w:rFonts w:hint="eastAsia"/>
                <w:color w:val="auto"/>
                <w:szCs w:val="21"/>
                <w:highlight w:val="none"/>
              </w:rPr>
              <w:t>（一）评分内容：</w:t>
            </w:r>
          </w:p>
          <w:p>
            <w:pPr>
              <w:jc w:val="left"/>
              <w:rPr>
                <w:rFonts w:hint="eastAsia"/>
                <w:color w:val="auto"/>
                <w:szCs w:val="21"/>
                <w:highlight w:val="none"/>
              </w:rPr>
            </w:pPr>
            <w:r>
              <w:rPr>
                <w:rFonts w:hint="eastAsia"/>
                <w:color w:val="auto"/>
                <w:szCs w:val="21"/>
                <w:highlight w:val="none"/>
              </w:rPr>
              <w:t>投标人在投标文件中详细说明技术保障措施，包含以下内容：</w:t>
            </w:r>
          </w:p>
          <w:p>
            <w:pPr>
              <w:jc w:val="left"/>
              <w:rPr>
                <w:rFonts w:hint="eastAsia"/>
                <w:color w:val="auto"/>
                <w:szCs w:val="21"/>
                <w:highlight w:val="none"/>
              </w:rPr>
            </w:pPr>
            <w:r>
              <w:rPr>
                <w:rFonts w:hint="eastAsia"/>
                <w:color w:val="auto"/>
                <w:szCs w:val="21"/>
                <w:highlight w:val="none"/>
              </w:rPr>
              <w:t>（1）供货方案；</w:t>
            </w:r>
          </w:p>
          <w:p>
            <w:pPr>
              <w:jc w:val="left"/>
              <w:rPr>
                <w:rFonts w:hint="eastAsia"/>
                <w:color w:val="auto"/>
                <w:szCs w:val="21"/>
                <w:highlight w:val="none"/>
              </w:rPr>
            </w:pPr>
            <w:r>
              <w:rPr>
                <w:rFonts w:hint="eastAsia"/>
                <w:color w:val="auto"/>
                <w:szCs w:val="21"/>
                <w:highlight w:val="none"/>
              </w:rPr>
              <w:t>（2）安装调试方案；</w:t>
            </w:r>
          </w:p>
          <w:p>
            <w:pPr>
              <w:jc w:val="left"/>
              <w:rPr>
                <w:rFonts w:hint="eastAsia"/>
                <w:color w:val="auto"/>
                <w:szCs w:val="21"/>
                <w:highlight w:val="none"/>
              </w:rPr>
            </w:pPr>
            <w:r>
              <w:rPr>
                <w:rFonts w:hint="eastAsia"/>
                <w:color w:val="auto"/>
                <w:szCs w:val="21"/>
                <w:highlight w:val="none"/>
              </w:rPr>
              <w:t>（3）质量管理措施。</w:t>
            </w:r>
          </w:p>
          <w:p>
            <w:pPr>
              <w:jc w:val="left"/>
              <w:rPr>
                <w:rFonts w:hint="eastAsia"/>
                <w:color w:val="auto"/>
                <w:szCs w:val="21"/>
                <w:highlight w:val="none"/>
              </w:rPr>
            </w:pPr>
            <w:r>
              <w:rPr>
                <w:rFonts w:hint="eastAsia"/>
                <w:color w:val="auto"/>
                <w:szCs w:val="21"/>
                <w:highlight w:val="none"/>
              </w:rPr>
              <w:t xml:space="preserve">（二）评分标准： </w:t>
            </w:r>
          </w:p>
          <w:p>
            <w:pPr>
              <w:jc w:val="left"/>
              <w:rPr>
                <w:rFonts w:hint="eastAsia"/>
                <w:color w:val="auto"/>
                <w:szCs w:val="21"/>
                <w:highlight w:val="none"/>
              </w:rPr>
            </w:pPr>
            <w:r>
              <w:rPr>
                <w:rFonts w:hint="eastAsia"/>
                <w:color w:val="auto"/>
                <w:szCs w:val="21"/>
                <w:highlight w:val="none"/>
              </w:rPr>
              <w:t>1.供货方案全面、有针对性的得2分；方案内容简单、笼统，存在较多的不足的得1分；未提供的0分。</w:t>
            </w:r>
          </w:p>
          <w:p>
            <w:pPr>
              <w:jc w:val="left"/>
              <w:rPr>
                <w:rFonts w:hint="eastAsia"/>
                <w:color w:val="auto"/>
                <w:szCs w:val="21"/>
                <w:highlight w:val="none"/>
              </w:rPr>
            </w:pPr>
            <w:r>
              <w:rPr>
                <w:rFonts w:hint="eastAsia"/>
                <w:color w:val="auto"/>
                <w:szCs w:val="21"/>
                <w:highlight w:val="none"/>
              </w:rPr>
              <w:t>2.安装调试方案全面、有针对性的得1分；方案内容简单、笼统，存在较多的不足的得0.5分；未提供的0分。</w:t>
            </w:r>
          </w:p>
          <w:p>
            <w:pPr>
              <w:jc w:val="left"/>
              <w:rPr>
                <w:rFonts w:hint="eastAsia"/>
                <w:color w:val="auto"/>
                <w:szCs w:val="21"/>
                <w:highlight w:val="none"/>
              </w:rPr>
            </w:pPr>
            <w:r>
              <w:rPr>
                <w:rFonts w:hint="eastAsia"/>
                <w:color w:val="auto"/>
                <w:szCs w:val="21"/>
                <w:highlight w:val="none"/>
              </w:rPr>
              <w:t>3.质量管理措施切实、有效的得1分；质量管理措施简单、笼统，存在较多的不足的得0.5分；未提供的0分。</w:t>
            </w:r>
          </w:p>
          <w:p>
            <w:pPr>
              <w:jc w:val="left"/>
              <w:rPr>
                <w:rFonts w:hint="eastAsia"/>
                <w:color w:val="auto"/>
                <w:szCs w:val="21"/>
                <w:highlight w:val="none"/>
              </w:rPr>
            </w:pPr>
            <w:r>
              <w:rPr>
                <w:rFonts w:hint="eastAsia"/>
                <w:color w:val="auto"/>
                <w:szCs w:val="21"/>
                <w:highlight w:val="none"/>
              </w:rPr>
              <w:t>以上3项合计最高4分。</w:t>
            </w:r>
          </w:p>
        </w:tc>
        <w:tc>
          <w:tcPr>
            <w:tcW w:w="1187" w:type="dxa"/>
            <w:vAlign w:val="center"/>
          </w:tcPr>
          <w:p>
            <w:pPr>
              <w:jc w:val="center"/>
              <w:rPr>
                <w:rFonts w:hint="eastAsia"/>
                <w:color w:val="auto"/>
                <w:szCs w:val="21"/>
                <w:highlight w:val="none"/>
              </w:rPr>
            </w:pPr>
            <w:r>
              <w:rPr>
                <w:rFonts w:hint="eastAsia"/>
                <w:color w:val="auto"/>
                <w:szCs w:val="21"/>
                <w:highlight w:val="none"/>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jc w:val="center"/>
              <w:rPr>
                <w:rFonts w:hint="eastAsia"/>
                <w:color w:val="auto"/>
                <w:szCs w:val="21"/>
                <w:highlight w:val="none"/>
              </w:rPr>
            </w:pPr>
            <w:r>
              <w:rPr>
                <w:rFonts w:hint="eastAsia"/>
                <w:color w:val="auto"/>
                <w:szCs w:val="21"/>
                <w:highlight w:val="none"/>
              </w:rPr>
              <w:t>3</w:t>
            </w:r>
          </w:p>
        </w:tc>
        <w:tc>
          <w:tcPr>
            <w:tcW w:w="1143" w:type="dxa"/>
            <w:vAlign w:val="center"/>
          </w:tcPr>
          <w:p>
            <w:pPr>
              <w:jc w:val="center"/>
              <w:rPr>
                <w:rFonts w:hint="eastAsia"/>
                <w:color w:val="auto"/>
                <w:szCs w:val="21"/>
                <w:highlight w:val="none"/>
              </w:rPr>
            </w:pPr>
            <w:r>
              <w:rPr>
                <w:rFonts w:hint="eastAsia"/>
                <w:color w:val="auto"/>
                <w:szCs w:val="21"/>
                <w:highlight w:val="none"/>
              </w:rPr>
              <w:t>售后服务方案</w:t>
            </w:r>
          </w:p>
        </w:tc>
        <w:tc>
          <w:tcPr>
            <w:tcW w:w="709" w:type="dxa"/>
            <w:vAlign w:val="center"/>
          </w:tcPr>
          <w:p>
            <w:pPr>
              <w:jc w:val="center"/>
              <w:rPr>
                <w:rFonts w:hint="eastAsia"/>
                <w:color w:val="auto"/>
                <w:szCs w:val="21"/>
                <w:highlight w:val="none"/>
              </w:rPr>
            </w:pPr>
            <w:r>
              <w:rPr>
                <w:rFonts w:hint="eastAsia"/>
                <w:color w:val="auto"/>
                <w:szCs w:val="21"/>
                <w:highlight w:val="none"/>
              </w:rPr>
              <w:t>6</w:t>
            </w:r>
          </w:p>
        </w:tc>
        <w:tc>
          <w:tcPr>
            <w:tcW w:w="5953" w:type="dxa"/>
            <w:vAlign w:val="center"/>
          </w:tcPr>
          <w:p>
            <w:pPr>
              <w:jc w:val="left"/>
              <w:rPr>
                <w:rFonts w:hint="eastAsia"/>
                <w:color w:val="auto"/>
                <w:szCs w:val="21"/>
                <w:highlight w:val="none"/>
              </w:rPr>
            </w:pPr>
            <w:r>
              <w:rPr>
                <w:rFonts w:hint="eastAsia"/>
                <w:color w:val="auto"/>
                <w:szCs w:val="21"/>
                <w:highlight w:val="none"/>
              </w:rPr>
              <w:t>（一）评分内容：</w:t>
            </w:r>
          </w:p>
          <w:p>
            <w:pPr>
              <w:jc w:val="left"/>
              <w:rPr>
                <w:rFonts w:hint="eastAsia"/>
                <w:color w:val="auto"/>
                <w:szCs w:val="21"/>
                <w:highlight w:val="none"/>
              </w:rPr>
            </w:pPr>
            <w:r>
              <w:rPr>
                <w:rFonts w:hint="eastAsia"/>
                <w:color w:val="auto"/>
                <w:szCs w:val="21"/>
                <w:highlight w:val="none"/>
              </w:rPr>
              <w:t>投标人提供售后服务方案，包含以下内容：</w:t>
            </w:r>
          </w:p>
          <w:p>
            <w:pPr>
              <w:jc w:val="left"/>
              <w:rPr>
                <w:rFonts w:hint="eastAsia"/>
                <w:color w:val="auto"/>
                <w:szCs w:val="21"/>
                <w:highlight w:val="none"/>
              </w:rPr>
            </w:pPr>
            <w:r>
              <w:rPr>
                <w:rFonts w:hint="eastAsia"/>
                <w:color w:val="auto"/>
                <w:szCs w:val="21"/>
                <w:highlight w:val="none"/>
              </w:rPr>
              <w:t>（1）售后服务机构及维护人员配置；</w:t>
            </w:r>
          </w:p>
          <w:p>
            <w:pPr>
              <w:jc w:val="left"/>
              <w:rPr>
                <w:rFonts w:hint="eastAsia"/>
                <w:color w:val="auto"/>
                <w:szCs w:val="21"/>
                <w:highlight w:val="none"/>
              </w:rPr>
            </w:pPr>
            <w:r>
              <w:rPr>
                <w:rFonts w:hint="eastAsia"/>
                <w:color w:val="auto"/>
                <w:szCs w:val="21"/>
                <w:highlight w:val="none"/>
              </w:rPr>
              <w:t>（2）维修维护方案；</w:t>
            </w:r>
          </w:p>
          <w:p>
            <w:pPr>
              <w:jc w:val="left"/>
              <w:rPr>
                <w:rFonts w:hint="eastAsia"/>
                <w:color w:val="auto"/>
                <w:szCs w:val="21"/>
                <w:highlight w:val="none"/>
              </w:rPr>
            </w:pPr>
            <w:r>
              <w:rPr>
                <w:rFonts w:hint="eastAsia"/>
                <w:color w:val="auto"/>
                <w:szCs w:val="21"/>
                <w:highlight w:val="none"/>
              </w:rPr>
              <w:t>（3）技术培训方案；</w:t>
            </w:r>
          </w:p>
          <w:p>
            <w:pPr>
              <w:jc w:val="left"/>
              <w:rPr>
                <w:rFonts w:hint="eastAsia"/>
                <w:color w:val="auto"/>
                <w:szCs w:val="21"/>
                <w:highlight w:val="none"/>
              </w:rPr>
            </w:pPr>
            <w:r>
              <w:rPr>
                <w:rFonts w:hint="eastAsia"/>
                <w:color w:val="auto"/>
                <w:szCs w:val="21"/>
                <w:highlight w:val="none"/>
              </w:rPr>
              <w:t>（4）备品备件支持计划。</w:t>
            </w:r>
          </w:p>
          <w:p>
            <w:pPr>
              <w:jc w:val="left"/>
              <w:rPr>
                <w:rFonts w:hint="eastAsia"/>
                <w:color w:val="auto"/>
                <w:szCs w:val="21"/>
                <w:highlight w:val="none"/>
              </w:rPr>
            </w:pPr>
            <w:r>
              <w:rPr>
                <w:rFonts w:hint="eastAsia"/>
                <w:color w:val="auto"/>
                <w:szCs w:val="21"/>
                <w:highlight w:val="none"/>
              </w:rPr>
              <w:t xml:space="preserve">（二）评分标准： </w:t>
            </w:r>
          </w:p>
          <w:p>
            <w:pPr>
              <w:jc w:val="left"/>
              <w:rPr>
                <w:rFonts w:hint="eastAsia"/>
                <w:color w:val="auto"/>
                <w:szCs w:val="21"/>
                <w:highlight w:val="none"/>
              </w:rPr>
            </w:pPr>
            <w:r>
              <w:rPr>
                <w:rFonts w:hint="eastAsia"/>
                <w:color w:val="auto"/>
                <w:szCs w:val="21"/>
                <w:highlight w:val="none"/>
              </w:rPr>
              <w:t>1.售后服务机构便捷，售后维护人员配置完整、经验丰富的得1.5分；售后服务机构较便捷，售后维护人员配置较完整、经验较丰富的得1分；售后服务机构不便捷，售后维护人员配置不完整、经验欠缺的得0.5分；未提供的0分；</w:t>
            </w:r>
          </w:p>
          <w:p>
            <w:pPr>
              <w:jc w:val="left"/>
              <w:rPr>
                <w:rFonts w:hint="eastAsia"/>
                <w:color w:val="auto"/>
                <w:szCs w:val="21"/>
                <w:highlight w:val="none"/>
              </w:rPr>
            </w:pPr>
            <w:r>
              <w:rPr>
                <w:rFonts w:hint="eastAsia"/>
                <w:color w:val="auto"/>
                <w:szCs w:val="21"/>
                <w:highlight w:val="none"/>
              </w:rPr>
              <w:t xml:space="preserve">2.维修维护方案完善、操作性强、符合项目实际的得1.5分；维修维护方案较完善、操作性较强、较符合项目实际的得1分；维修维护方案笼统、存在不足的得0.5分；未提供维修保养方案的得0分； </w:t>
            </w:r>
          </w:p>
          <w:p>
            <w:pPr>
              <w:jc w:val="left"/>
              <w:rPr>
                <w:rFonts w:hint="eastAsia"/>
                <w:color w:val="auto"/>
                <w:szCs w:val="21"/>
                <w:highlight w:val="none"/>
              </w:rPr>
            </w:pPr>
            <w:r>
              <w:rPr>
                <w:rFonts w:hint="eastAsia"/>
                <w:color w:val="auto"/>
                <w:szCs w:val="21"/>
                <w:highlight w:val="none"/>
              </w:rPr>
              <w:t>3.培训内容完善、培训计划周全、安排合理的得1.5分；培训内容较完善、培训计划笼统的得1分：培训方案笼统、与本项目内容有偏差的得0.5分；未提供培训计划的得0分；</w:t>
            </w:r>
          </w:p>
          <w:p>
            <w:pPr>
              <w:jc w:val="left"/>
              <w:rPr>
                <w:rFonts w:hint="eastAsia"/>
                <w:color w:val="auto"/>
                <w:szCs w:val="21"/>
                <w:highlight w:val="none"/>
              </w:rPr>
            </w:pPr>
            <w:r>
              <w:rPr>
                <w:rFonts w:hint="eastAsia"/>
                <w:color w:val="auto"/>
                <w:szCs w:val="21"/>
                <w:highlight w:val="none"/>
              </w:rPr>
              <w:t>4.响应速度快、备品备件齐全的得1.5分；响应速度较快、备品备件较齐全的得1分；响应速度慢、备品备件不够齐全的得 0.5分：未提供的不得分。</w:t>
            </w:r>
          </w:p>
          <w:p>
            <w:pPr>
              <w:jc w:val="left"/>
              <w:rPr>
                <w:rFonts w:hint="eastAsia"/>
                <w:color w:val="auto"/>
                <w:szCs w:val="21"/>
                <w:highlight w:val="none"/>
              </w:rPr>
            </w:pPr>
            <w:r>
              <w:rPr>
                <w:rFonts w:hint="eastAsia"/>
                <w:color w:val="auto"/>
                <w:szCs w:val="21"/>
                <w:highlight w:val="none"/>
              </w:rPr>
              <w:t>以上4项合计最高6分。</w:t>
            </w:r>
          </w:p>
        </w:tc>
        <w:tc>
          <w:tcPr>
            <w:tcW w:w="1187" w:type="dxa"/>
            <w:vAlign w:val="center"/>
          </w:tcPr>
          <w:p>
            <w:pPr>
              <w:jc w:val="center"/>
              <w:rPr>
                <w:rFonts w:hint="eastAsia"/>
                <w:color w:val="auto"/>
                <w:szCs w:val="21"/>
                <w:highlight w:val="none"/>
              </w:rPr>
            </w:pPr>
            <w:r>
              <w:rPr>
                <w:rFonts w:hint="eastAsia"/>
                <w:color w:val="auto"/>
                <w:szCs w:val="21"/>
                <w:highlight w:val="none"/>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autoSpaceDE w:val="0"/>
              <w:autoSpaceDN w:val="0"/>
              <w:jc w:val="center"/>
              <w:rPr>
                <w:rFonts w:hint="eastAsia"/>
                <w:b/>
                <w:bCs/>
                <w:color w:val="auto"/>
                <w:szCs w:val="21"/>
                <w:highlight w:val="none"/>
              </w:rPr>
            </w:pPr>
            <w:r>
              <w:rPr>
                <w:rFonts w:hint="eastAsia"/>
                <w:b/>
                <w:bCs/>
                <w:color w:val="auto"/>
                <w:szCs w:val="21"/>
                <w:highlight w:val="none"/>
              </w:rPr>
              <w:t>三、商务部分</w:t>
            </w:r>
          </w:p>
        </w:tc>
        <w:tc>
          <w:tcPr>
            <w:tcW w:w="1187" w:type="dxa"/>
            <w:vAlign w:val="center"/>
          </w:tcPr>
          <w:p>
            <w:pPr>
              <w:autoSpaceDE w:val="0"/>
              <w:autoSpaceDN w:val="0"/>
              <w:jc w:val="center"/>
              <w:rPr>
                <w:rFonts w:hint="eastAsia"/>
                <w:b/>
                <w:bCs/>
                <w:color w:val="auto"/>
                <w:szCs w:val="21"/>
                <w:highlight w:val="none"/>
              </w:rPr>
            </w:pPr>
            <w:r>
              <w:rPr>
                <w:rFonts w:hint="eastAsia"/>
                <w:b/>
                <w:bCs/>
                <w:color w:val="auto"/>
                <w:szCs w:val="21"/>
                <w:highlight w:val="none"/>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jc w:val="center"/>
              <w:rPr>
                <w:rFonts w:hint="eastAsia"/>
                <w:color w:val="auto"/>
                <w:szCs w:val="21"/>
                <w:highlight w:val="none"/>
              </w:rPr>
            </w:pPr>
            <w:r>
              <w:rPr>
                <w:rFonts w:hint="eastAsia"/>
                <w:color w:val="auto"/>
                <w:szCs w:val="21"/>
                <w:highlight w:val="none"/>
              </w:rPr>
              <w:t>序号</w:t>
            </w:r>
          </w:p>
        </w:tc>
        <w:tc>
          <w:tcPr>
            <w:tcW w:w="1143" w:type="dxa"/>
            <w:vAlign w:val="center"/>
          </w:tcPr>
          <w:p>
            <w:pPr>
              <w:autoSpaceDE w:val="0"/>
              <w:autoSpaceDN w:val="0"/>
              <w:jc w:val="center"/>
              <w:rPr>
                <w:rFonts w:hint="eastAsia"/>
                <w:color w:val="auto"/>
                <w:szCs w:val="21"/>
                <w:highlight w:val="none"/>
              </w:rPr>
            </w:pPr>
            <w:r>
              <w:rPr>
                <w:rFonts w:hint="eastAsia"/>
                <w:color w:val="auto"/>
                <w:szCs w:val="21"/>
                <w:highlight w:val="none"/>
              </w:rPr>
              <w:t>内容</w:t>
            </w:r>
          </w:p>
        </w:tc>
        <w:tc>
          <w:tcPr>
            <w:tcW w:w="709" w:type="dxa"/>
            <w:vAlign w:val="center"/>
          </w:tcPr>
          <w:p>
            <w:pPr>
              <w:autoSpaceDE w:val="0"/>
              <w:autoSpaceDN w:val="0"/>
              <w:jc w:val="center"/>
              <w:rPr>
                <w:rFonts w:hint="eastAsia"/>
                <w:color w:val="auto"/>
                <w:szCs w:val="21"/>
                <w:highlight w:val="none"/>
              </w:rPr>
            </w:pPr>
            <w:r>
              <w:rPr>
                <w:rFonts w:hint="eastAsia"/>
                <w:color w:val="auto"/>
                <w:szCs w:val="21"/>
                <w:highlight w:val="none"/>
              </w:rPr>
              <w:t>权重</w:t>
            </w:r>
          </w:p>
        </w:tc>
        <w:tc>
          <w:tcPr>
            <w:tcW w:w="5953" w:type="dxa"/>
            <w:vAlign w:val="center"/>
          </w:tcPr>
          <w:p>
            <w:pPr>
              <w:autoSpaceDE w:val="0"/>
              <w:autoSpaceDN w:val="0"/>
              <w:jc w:val="center"/>
              <w:rPr>
                <w:rFonts w:hint="eastAsia"/>
                <w:color w:val="auto"/>
                <w:szCs w:val="21"/>
                <w:highlight w:val="none"/>
              </w:rPr>
            </w:pPr>
            <w:r>
              <w:rPr>
                <w:rFonts w:hint="eastAsia"/>
                <w:color w:val="auto"/>
                <w:szCs w:val="21"/>
                <w:highlight w:val="none"/>
              </w:rPr>
              <w:t>评分规则</w:t>
            </w:r>
          </w:p>
        </w:tc>
        <w:tc>
          <w:tcPr>
            <w:tcW w:w="1187" w:type="dxa"/>
            <w:vAlign w:val="center"/>
          </w:tcPr>
          <w:p>
            <w:pPr>
              <w:autoSpaceDE w:val="0"/>
              <w:autoSpaceDN w:val="0"/>
              <w:jc w:val="center"/>
              <w:rPr>
                <w:rFonts w:hint="eastAsia"/>
                <w:color w:val="auto"/>
                <w:szCs w:val="21"/>
                <w:highlight w:val="none"/>
              </w:rPr>
            </w:pPr>
            <w:r>
              <w:rPr>
                <w:rFonts w:hint="eastAsia"/>
                <w:color w:val="auto"/>
                <w:szCs w:val="21"/>
                <w:highlight w:val="none"/>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4" w:hRule="atLeast"/>
          <w:jc w:val="center"/>
        </w:trPr>
        <w:tc>
          <w:tcPr>
            <w:tcW w:w="754" w:type="dxa"/>
            <w:vAlign w:val="center"/>
          </w:tcPr>
          <w:p>
            <w:pPr>
              <w:autoSpaceDE w:val="0"/>
              <w:autoSpaceDN w:val="0"/>
              <w:jc w:val="center"/>
              <w:rPr>
                <w:rFonts w:hint="eastAsia"/>
                <w:color w:val="auto"/>
                <w:szCs w:val="21"/>
                <w:highlight w:val="none"/>
              </w:rPr>
            </w:pPr>
            <w:r>
              <w:rPr>
                <w:rFonts w:hint="eastAsia"/>
                <w:color w:val="auto"/>
                <w:szCs w:val="21"/>
                <w:highlight w:val="none"/>
              </w:rPr>
              <w:t>1</w:t>
            </w:r>
          </w:p>
        </w:tc>
        <w:tc>
          <w:tcPr>
            <w:tcW w:w="1143" w:type="dxa"/>
            <w:vAlign w:val="center"/>
          </w:tcPr>
          <w:p>
            <w:pPr>
              <w:jc w:val="center"/>
              <w:rPr>
                <w:rFonts w:hint="eastAsia"/>
                <w:color w:val="auto"/>
                <w:szCs w:val="21"/>
                <w:highlight w:val="none"/>
              </w:rPr>
            </w:pPr>
            <w:r>
              <w:rPr>
                <w:rFonts w:hint="eastAsia"/>
                <w:color w:val="auto"/>
                <w:szCs w:val="21"/>
                <w:highlight w:val="none"/>
              </w:rPr>
              <w:t>商务需求条款偏离情况</w:t>
            </w:r>
          </w:p>
        </w:tc>
        <w:tc>
          <w:tcPr>
            <w:tcW w:w="709" w:type="dxa"/>
            <w:vAlign w:val="center"/>
          </w:tcPr>
          <w:p>
            <w:pPr>
              <w:jc w:val="center"/>
              <w:rPr>
                <w:rFonts w:hint="eastAsia"/>
                <w:color w:val="auto"/>
                <w:szCs w:val="21"/>
                <w:highlight w:val="none"/>
              </w:rPr>
            </w:pPr>
            <w:r>
              <w:rPr>
                <w:rFonts w:hint="eastAsia"/>
                <w:color w:val="auto"/>
                <w:szCs w:val="21"/>
                <w:highlight w:val="none"/>
              </w:rPr>
              <w:t>4</w:t>
            </w:r>
          </w:p>
        </w:tc>
        <w:tc>
          <w:tcPr>
            <w:tcW w:w="5953" w:type="dxa"/>
            <w:vAlign w:val="center"/>
          </w:tcPr>
          <w:p>
            <w:pPr>
              <w:autoSpaceDE w:val="0"/>
              <w:autoSpaceDN w:val="0"/>
              <w:jc w:val="left"/>
              <w:rPr>
                <w:rFonts w:hint="eastAsia"/>
                <w:color w:val="auto"/>
                <w:szCs w:val="21"/>
                <w:highlight w:val="none"/>
              </w:rPr>
            </w:pPr>
            <w:r>
              <w:rPr>
                <w:rFonts w:hint="eastAsia"/>
                <w:color w:val="auto"/>
                <w:szCs w:val="21"/>
                <w:highlight w:val="none"/>
              </w:rPr>
              <w:t>投标人应如实填写《商务条款偏离表》，评审委员会根据服务条款响应情况进行评审：</w:t>
            </w:r>
          </w:p>
          <w:p>
            <w:pPr>
              <w:jc w:val="left"/>
              <w:rPr>
                <w:rFonts w:hint="eastAsia"/>
                <w:color w:val="auto"/>
                <w:szCs w:val="21"/>
                <w:highlight w:val="none"/>
              </w:rPr>
            </w:pPr>
            <w:r>
              <w:rPr>
                <w:rFonts w:hint="eastAsia"/>
                <w:color w:val="auto"/>
                <w:szCs w:val="21"/>
                <w:highlight w:val="none"/>
              </w:rPr>
              <w:t>完全满足招标文件商务要求，应答完整的得4分；“★”为不可偏离条款；以此为基础，投标人一般商务响应低于招标文件规定的，每有一项减0.8分。本项最低得0分。</w:t>
            </w:r>
          </w:p>
          <w:p>
            <w:pPr>
              <w:autoSpaceDE w:val="0"/>
              <w:autoSpaceDN w:val="0"/>
              <w:jc w:val="left"/>
              <w:rPr>
                <w:rFonts w:hint="eastAsia"/>
                <w:color w:val="auto"/>
                <w:szCs w:val="21"/>
                <w:highlight w:val="none"/>
              </w:rPr>
            </w:pPr>
            <w:r>
              <w:rPr>
                <w:rFonts w:hint="eastAsia"/>
                <w:color w:val="auto"/>
                <w:szCs w:val="21"/>
                <w:highlight w:val="none"/>
              </w:rPr>
              <w:t>商务要求中包含子项条款的，按子项条款响应情况逐项评分。</w:t>
            </w:r>
          </w:p>
        </w:tc>
        <w:tc>
          <w:tcPr>
            <w:tcW w:w="1187" w:type="dxa"/>
            <w:vAlign w:val="center"/>
          </w:tcPr>
          <w:p>
            <w:pPr>
              <w:autoSpaceDE w:val="0"/>
              <w:autoSpaceDN w:val="0"/>
              <w:jc w:val="center"/>
              <w:rPr>
                <w:rFonts w:hint="eastAsia"/>
                <w:color w:val="auto"/>
                <w:szCs w:val="21"/>
                <w:highlight w:val="none"/>
              </w:rPr>
            </w:pPr>
            <w:r>
              <w:rPr>
                <w:rFonts w:hint="eastAsia"/>
                <w:color w:val="auto"/>
                <w:szCs w:val="21"/>
                <w:highlight w:val="none"/>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jc w:val="center"/>
              <w:rPr>
                <w:rFonts w:hint="eastAsia"/>
                <w:color w:val="auto"/>
                <w:szCs w:val="21"/>
                <w:highlight w:val="none"/>
              </w:rPr>
            </w:pPr>
            <w:r>
              <w:rPr>
                <w:rFonts w:hint="eastAsia"/>
                <w:color w:val="auto"/>
                <w:szCs w:val="21"/>
                <w:highlight w:val="none"/>
              </w:rPr>
              <w:t>2</w:t>
            </w:r>
          </w:p>
        </w:tc>
        <w:tc>
          <w:tcPr>
            <w:tcW w:w="1143" w:type="dxa"/>
            <w:vAlign w:val="center"/>
          </w:tcPr>
          <w:p>
            <w:pPr>
              <w:jc w:val="center"/>
              <w:rPr>
                <w:rFonts w:hint="eastAsia"/>
                <w:color w:val="auto"/>
                <w:szCs w:val="21"/>
                <w:highlight w:val="none"/>
              </w:rPr>
            </w:pPr>
            <w:r>
              <w:rPr>
                <w:rFonts w:hint="eastAsia"/>
                <w:color w:val="auto"/>
                <w:szCs w:val="21"/>
                <w:highlight w:val="none"/>
              </w:rPr>
              <w:t>同类项目业绩情况</w:t>
            </w:r>
          </w:p>
        </w:tc>
        <w:tc>
          <w:tcPr>
            <w:tcW w:w="709" w:type="dxa"/>
            <w:vAlign w:val="center"/>
          </w:tcPr>
          <w:p>
            <w:pPr>
              <w:jc w:val="center"/>
              <w:rPr>
                <w:rFonts w:hint="eastAsia"/>
                <w:color w:val="auto"/>
                <w:szCs w:val="21"/>
                <w:highlight w:val="none"/>
              </w:rPr>
            </w:pPr>
            <w:r>
              <w:rPr>
                <w:rFonts w:hint="eastAsia"/>
                <w:color w:val="auto"/>
                <w:szCs w:val="21"/>
                <w:highlight w:val="none"/>
              </w:rPr>
              <w:t>3</w:t>
            </w:r>
          </w:p>
        </w:tc>
        <w:tc>
          <w:tcPr>
            <w:tcW w:w="5953" w:type="dxa"/>
            <w:vAlign w:val="center"/>
          </w:tcPr>
          <w:p>
            <w:pPr>
              <w:pStyle w:val="188"/>
              <w:ind w:firstLine="0" w:firstLineChars="0"/>
              <w:rPr>
                <w:rFonts w:hint="eastAsia" w:ascii="宋体" w:hAnsi="宋体" w:cs="宋体"/>
                <w:color w:val="auto"/>
                <w:highlight w:val="none"/>
              </w:rPr>
            </w:pPr>
            <w:r>
              <w:rPr>
                <w:rFonts w:hint="eastAsia" w:ascii="宋体" w:hAnsi="宋体" w:cs="宋体"/>
                <w:color w:val="auto"/>
                <w:highlight w:val="none"/>
              </w:rPr>
              <w:t>（一）评分内容：</w:t>
            </w:r>
          </w:p>
          <w:p>
            <w:pPr>
              <w:rPr>
                <w:rFonts w:hint="eastAsia"/>
                <w:color w:val="auto"/>
                <w:szCs w:val="21"/>
                <w:highlight w:val="none"/>
              </w:rPr>
            </w:pPr>
            <w:r>
              <w:rPr>
                <w:rFonts w:hint="eastAsia"/>
                <w:color w:val="auto"/>
                <w:szCs w:val="21"/>
                <w:highlight w:val="none"/>
              </w:rPr>
              <w:t>自2021年10月1日至本项目投标截止日，（以合同签订日期为准）投标人具有</w:t>
            </w:r>
            <w:r>
              <w:rPr>
                <w:rFonts w:hint="eastAsia"/>
                <w:color w:val="auto"/>
                <w:highlight w:val="none"/>
              </w:rPr>
              <w:t>农兽残检测全流程全自动样品前处理系统</w:t>
            </w:r>
            <w:r>
              <w:rPr>
                <w:rFonts w:hint="eastAsia"/>
                <w:color w:val="auto"/>
                <w:highlight w:val="none"/>
                <w:lang w:val="en-US" w:eastAsia="zh-CN"/>
              </w:rPr>
              <w:t>产品</w:t>
            </w:r>
            <w:r>
              <w:rPr>
                <w:rFonts w:hint="eastAsia"/>
                <w:color w:val="auto"/>
                <w:szCs w:val="21"/>
                <w:highlight w:val="none"/>
              </w:rPr>
              <w:t>销售业绩的，每提供1个项目得1分，最高得3分。</w:t>
            </w:r>
          </w:p>
          <w:p>
            <w:pPr>
              <w:autoSpaceDE w:val="0"/>
              <w:autoSpaceDN w:val="0"/>
              <w:jc w:val="left"/>
              <w:rPr>
                <w:rFonts w:hint="eastAsia"/>
                <w:color w:val="auto"/>
                <w:szCs w:val="21"/>
                <w:highlight w:val="none"/>
              </w:rPr>
            </w:pPr>
            <w:r>
              <w:rPr>
                <w:rFonts w:hint="eastAsia"/>
                <w:color w:val="auto"/>
                <w:szCs w:val="21"/>
                <w:highlight w:val="none"/>
              </w:rPr>
              <w:t>（二）评分依据：</w:t>
            </w:r>
          </w:p>
          <w:p>
            <w:pPr>
              <w:rPr>
                <w:rFonts w:hint="eastAsia"/>
                <w:color w:val="auto"/>
                <w:szCs w:val="21"/>
                <w:highlight w:val="none"/>
              </w:rPr>
            </w:pPr>
            <w:r>
              <w:rPr>
                <w:rFonts w:hint="eastAsia"/>
                <w:color w:val="auto"/>
                <w:szCs w:val="21"/>
                <w:highlight w:val="none"/>
              </w:rPr>
              <w:t>1. 提供合同关键页且各项信息不得有任何遮挡；</w:t>
            </w:r>
          </w:p>
          <w:p>
            <w:pPr>
              <w:rPr>
                <w:rFonts w:hint="eastAsia"/>
                <w:color w:val="auto"/>
                <w:szCs w:val="21"/>
                <w:highlight w:val="none"/>
              </w:rPr>
            </w:pPr>
            <w:r>
              <w:rPr>
                <w:rFonts w:hint="eastAsia"/>
                <w:color w:val="auto"/>
                <w:szCs w:val="21"/>
                <w:highlight w:val="none"/>
              </w:rPr>
              <w:t>2. 以上证明文件均提供复印件或扫描件加盖投标人公章，原件备查。未按要求提供有效证明材料或提供不清晰导致评委无法识别的不计得分。</w:t>
            </w:r>
          </w:p>
        </w:tc>
        <w:tc>
          <w:tcPr>
            <w:tcW w:w="1187" w:type="dxa"/>
            <w:vAlign w:val="center"/>
          </w:tcPr>
          <w:p>
            <w:pPr>
              <w:jc w:val="center"/>
              <w:rPr>
                <w:rFonts w:hint="eastAsia"/>
                <w:color w:val="auto"/>
                <w:szCs w:val="21"/>
                <w:highlight w:val="none"/>
              </w:rPr>
            </w:pPr>
            <w:r>
              <w:rPr>
                <w:rFonts w:hint="eastAsia"/>
                <w:color w:val="auto"/>
                <w:szCs w:val="21"/>
                <w:highlight w:val="none"/>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jc w:val="center"/>
              <w:rPr>
                <w:rFonts w:hint="eastAsia"/>
                <w:color w:val="auto"/>
                <w:szCs w:val="21"/>
                <w:highlight w:val="none"/>
              </w:rPr>
            </w:pPr>
            <w:r>
              <w:rPr>
                <w:rFonts w:hint="eastAsia"/>
                <w:color w:val="auto"/>
                <w:szCs w:val="21"/>
                <w:highlight w:val="none"/>
              </w:rPr>
              <w:t>3</w:t>
            </w:r>
          </w:p>
        </w:tc>
        <w:tc>
          <w:tcPr>
            <w:tcW w:w="1143" w:type="dxa"/>
            <w:vAlign w:val="center"/>
          </w:tcPr>
          <w:p>
            <w:pPr>
              <w:jc w:val="center"/>
              <w:rPr>
                <w:rFonts w:hint="eastAsia"/>
                <w:color w:val="auto"/>
                <w:szCs w:val="21"/>
                <w:highlight w:val="none"/>
              </w:rPr>
            </w:pPr>
            <w:r>
              <w:rPr>
                <w:rFonts w:hint="eastAsia"/>
                <w:color w:val="auto"/>
                <w:szCs w:val="21"/>
                <w:highlight w:val="none"/>
              </w:rPr>
              <w:t>相关认证情况</w:t>
            </w:r>
          </w:p>
        </w:tc>
        <w:tc>
          <w:tcPr>
            <w:tcW w:w="709" w:type="dxa"/>
            <w:vAlign w:val="center"/>
          </w:tcPr>
          <w:p>
            <w:pPr>
              <w:jc w:val="center"/>
              <w:rPr>
                <w:rFonts w:hint="eastAsia"/>
                <w:color w:val="auto"/>
                <w:szCs w:val="21"/>
                <w:highlight w:val="none"/>
              </w:rPr>
            </w:pPr>
            <w:r>
              <w:rPr>
                <w:rFonts w:hint="eastAsia"/>
                <w:color w:val="auto"/>
                <w:szCs w:val="21"/>
                <w:highlight w:val="none"/>
              </w:rPr>
              <w:t>3</w:t>
            </w:r>
          </w:p>
        </w:tc>
        <w:tc>
          <w:tcPr>
            <w:tcW w:w="5953" w:type="dxa"/>
            <w:vAlign w:val="center"/>
          </w:tcPr>
          <w:p>
            <w:pPr>
              <w:pStyle w:val="188"/>
              <w:ind w:firstLine="0" w:firstLineChars="0"/>
              <w:rPr>
                <w:rFonts w:hint="eastAsia" w:ascii="宋体" w:hAnsi="宋体" w:cs="宋体"/>
                <w:color w:val="auto"/>
                <w:highlight w:val="none"/>
              </w:rPr>
            </w:pPr>
            <w:r>
              <w:rPr>
                <w:rFonts w:hint="eastAsia" w:ascii="宋体" w:hAnsi="宋体" w:cs="宋体"/>
                <w:color w:val="auto"/>
                <w:highlight w:val="none"/>
              </w:rPr>
              <w:t>（一）评分内容：</w:t>
            </w:r>
          </w:p>
          <w:p>
            <w:pPr>
              <w:autoSpaceDE w:val="0"/>
              <w:autoSpaceDN w:val="0"/>
              <w:jc w:val="left"/>
              <w:rPr>
                <w:rFonts w:hint="eastAsia"/>
                <w:color w:val="auto"/>
                <w:szCs w:val="21"/>
                <w:highlight w:val="none"/>
              </w:rPr>
            </w:pPr>
            <w:r>
              <w:rPr>
                <w:rFonts w:hint="eastAsia"/>
                <w:color w:val="auto"/>
                <w:szCs w:val="21"/>
                <w:highlight w:val="none"/>
              </w:rPr>
              <w:t>所投产品生产厂家具有质量管理体系认证证书、环境管理体系认证证书、职业健康安全管理体系认证证书，每提供1个有效认证证书得1分，最高得3分。</w:t>
            </w:r>
          </w:p>
          <w:p>
            <w:pPr>
              <w:autoSpaceDE w:val="0"/>
              <w:autoSpaceDN w:val="0"/>
              <w:jc w:val="left"/>
              <w:rPr>
                <w:rFonts w:hint="eastAsia"/>
                <w:color w:val="auto"/>
                <w:szCs w:val="21"/>
                <w:highlight w:val="none"/>
              </w:rPr>
            </w:pPr>
            <w:r>
              <w:rPr>
                <w:rFonts w:hint="eastAsia"/>
                <w:color w:val="auto"/>
                <w:szCs w:val="21"/>
                <w:highlight w:val="none"/>
              </w:rPr>
              <w:t>（二）评分依据：</w:t>
            </w:r>
          </w:p>
          <w:p>
            <w:pPr>
              <w:autoSpaceDE w:val="0"/>
              <w:autoSpaceDN w:val="0"/>
              <w:jc w:val="left"/>
              <w:rPr>
                <w:rFonts w:hint="eastAsia"/>
                <w:color w:val="auto"/>
                <w:szCs w:val="21"/>
                <w:highlight w:val="none"/>
              </w:rPr>
            </w:pPr>
            <w:r>
              <w:rPr>
                <w:rFonts w:hint="eastAsia"/>
                <w:color w:val="auto"/>
                <w:szCs w:val="21"/>
                <w:highlight w:val="none"/>
              </w:rPr>
              <w:t>1. 提供有效认证证书（如认证证书注明年审要求的，必须按规定年审且证书在有效期内的方为有效；如未注明年审要求的，证书必须在有效期内的方为有效）；</w:t>
            </w:r>
          </w:p>
          <w:p>
            <w:pPr>
              <w:autoSpaceDE w:val="0"/>
              <w:autoSpaceDN w:val="0"/>
              <w:jc w:val="left"/>
              <w:rPr>
                <w:rFonts w:hint="eastAsia"/>
                <w:color w:val="auto"/>
                <w:szCs w:val="21"/>
                <w:highlight w:val="none"/>
              </w:rPr>
            </w:pPr>
            <w:r>
              <w:rPr>
                <w:rFonts w:hint="eastAsia"/>
                <w:color w:val="auto"/>
                <w:szCs w:val="21"/>
                <w:highlight w:val="none"/>
              </w:rPr>
              <w:t>2. 提供证书官网或权威机构【如：全国认证认可信息公共服务平台（cx.cnca.cn）】认证信息查询截图（截图需显示证书状态为有效）。相关证书在公开渠道无法查询的，投标人需提供颁发部门或者监管机构的证明材料，证明证书真实有效且为合法机构颁发；</w:t>
            </w:r>
          </w:p>
          <w:p>
            <w:pPr>
              <w:rPr>
                <w:rFonts w:hint="eastAsia"/>
                <w:color w:val="auto"/>
                <w:szCs w:val="21"/>
                <w:highlight w:val="none"/>
              </w:rPr>
            </w:pPr>
            <w:r>
              <w:rPr>
                <w:rFonts w:hint="eastAsia"/>
                <w:color w:val="auto"/>
                <w:szCs w:val="21"/>
                <w:highlight w:val="none"/>
              </w:rPr>
              <w:t>3. 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pPr>
              <w:jc w:val="center"/>
              <w:rPr>
                <w:rFonts w:hint="eastAsia"/>
                <w:color w:val="auto"/>
                <w:szCs w:val="21"/>
                <w:highlight w:val="none"/>
              </w:rPr>
            </w:pPr>
            <w:r>
              <w:rPr>
                <w:rFonts w:hint="eastAsia"/>
                <w:color w:val="auto"/>
                <w:szCs w:val="21"/>
                <w:highlight w:val="none"/>
              </w:rPr>
              <w:t>评委打分</w:t>
            </w:r>
          </w:p>
        </w:tc>
      </w:tr>
    </w:tbl>
    <w:p>
      <w:pPr>
        <w:tabs>
          <w:tab w:val="clear" w:pos="426"/>
        </w:tabs>
        <w:spacing w:line="240" w:lineRule="auto"/>
        <w:rPr>
          <w:rFonts w:hint="eastAsia"/>
          <w:highlight w:val="none"/>
        </w:rPr>
      </w:pPr>
      <w:r>
        <w:rPr>
          <w:rFonts w:hint="eastAsia"/>
          <w:highlight w:val="none"/>
        </w:rPr>
        <w:t>备注：</w:t>
      </w:r>
    </w:p>
    <w:p>
      <w:pPr>
        <w:tabs>
          <w:tab w:val="clear" w:pos="426"/>
        </w:tabs>
        <w:spacing w:line="240" w:lineRule="auto"/>
        <w:ind w:firstLine="420" w:firstLineChars="200"/>
        <w:rPr>
          <w:rFonts w:hint="eastAsia"/>
          <w:highlight w:val="none"/>
        </w:rPr>
      </w:pPr>
      <w:r>
        <w:rPr>
          <w:rFonts w:hint="eastAsia"/>
          <w:highlight w:val="none"/>
        </w:rPr>
        <w:t>1. 缺项则该项为0分或不合格为0分。</w:t>
      </w:r>
    </w:p>
    <w:p>
      <w:pPr>
        <w:tabs>
          <w:tab w:val="clear" w:pos="426"/>
        </w:tabs>
        <w:spacing w:line="240" w:lineRule="auto"/>
        <w:ind w:firstLine="420" w:firstLineChars="200"/>
        <w:rPr>
          <w:rFonts w:hint="eastAsia"/>
          <w:highlight w:val="none"/>
        </w:rPr>
      </w:pPr>
      <w:r>
        <w:rPr>
          <w:rFonts w:hint="eastAsia"/>
          <w:highlight w:val="none"/>
        </w:rPr>
        <w:t>2.</w:t>
      </w:r>
      <w:r>
        <w:rPr>
          <w:highlight w:val="none"/>
        </w:rPr>
        <w:t xml:space="preserve"> 价格、技术、商务部分为针对项目具体情况设置项目，累加满分为100分，固定额外加分部分为固定设置项，对涉及政策导向优先采购产品进行额外加分</w:t>
      </w:r>
      <w:r>
        <w:rPr>
          <w:rFonts w:hint="eastAsia"/>
          <w:highlight w:val="none"/>
        </w:rPr>
        <w:t>。</w:t>
      </w:r>
    </w:p>
    <w:p>
      <w:pPr>
        <w:tabs>
          <w:tab w:val="clear" w:pos="426"/>
        </w:tabs>
        <w:spacing w:line="240" w:lineRule="auto"/>
        <w:ind w:firstLine="420" w:firstLineChars="200"/>
        <w:rPr>
          <w:rFonts w:hint="eastAsia"/>
          <w:highlight w:val="none"/>
        </w:rPr>
      </w:pPr>
      <w:r>
        <w:rPr>
          <w:rFonts w:hint="eastAsia"/>
          <w:highlight w:val="none"/>
        </w:rPr>
        <w:t>3. 综合以上分析比较，评委会将对各投标文件进行书面的量化评定，得分</w:t>
      </w:r>
      <w:r>
        <w:rPr>
          <w:highlight w:val="none"/>
        </w:rPr>
        <w:t>精确到小数点后两位</w:t>
      </w:r>
      <w:r>
        <w:rPr>
          <w:rFonts w:hint="eastAsia"/>
          <w:highlight w:val="none"/>
        </w:rPr>
        <w:t>。</w:t>
      </w:r>
    </w:p>
    <w:p>
      <w:pPr>
        <w:tabs>
          <w:tab w:val="clear" w:pos="426"/>
        </w:tabs>
        <w:spacing w:line="240" w:lineRule="auto"/>
        <w:ind w:firstLine="420" w:firstLineChars="200"/>
        <w:rPr>
          <w:rFonts w:hint="eastAsia"/>
          <w:highlight w:val="none"/>
        </w:rPr>
      </w:pPr>
      <w:r>
        <w:rPr>
          <w:rFonts w:hint="eastAsia"/>
          <w:highlight w:val="none"/>
        </w:rPr>
        <w:t>4. 客观评分项，所有评审专家应当统一打分分值；主观评分项，评审专家应当按照打分标准独立打分。</w:t>
      </w:r>
    </w:p>
    <w:p>
      <w:pPr>
        <w:rPr>
          <w:rFonts w:hint="eastAsia"/>
          <w:highlight w:val="none"/>
        </w:rPr>
      </w:pPr>
    </w:p>
    <w:p>
      <w:pPr>
        <w:rPr>
          <w:rFonts w:hint="eastAsia"/>
          <w:highlight w:val="none"/>
        </w:rPr>
      </w:pPr>
    </w:p>
    <w:p>
      <w:pPr>
        <w:rPr>
          <w:rFonts w:hint="eastAsia"/>
          <w:highlight w:val="none"/>
        </w:rPr>
      </w:pPr>
      <w:r>
        <w:rPr>
          <w:rFonts w:hint="eastAsia"/>
          <w:highlight w:val="none"/>
        </w:rPr>
        <w:br w:type="page"/>
      </w:r>
    </w:p>
    <w:p>
      <w:pPr>
        <w:pStyle w:val="62"/>
        <w:rPr>
          <w:highlight w:val="none"/>
        </w:rPr>
      </w:pPr>
      <w:bookmarkStart w:id="59" w:name="_Toc26041"/>
      <w:r>
        <w:rPr>
          <w:rFonts w:hint="eastAsia"/>
          <w:highlight w:val="none"/>
        </w:rPr>
        <w:t>前附表（四）</w:t>
      </w:r>
      <w:bookmarkEnd w:id="59"/>
    </w:p>
    <w:p>
      <w:pPr>
        <w:adjustRightInd/>
        <w:snapToGrid/>
        <w:spacing w:before="280" w:after="290" w:line="377" w:lineRule="auto"/>
        <w:jc w:val="left"/>
        <w:outlineLvl w:val="2"/>
        <w:rPr>
          <w:rFonts w:hint="eastAsia"/>
          <w:b/>
          <w:sz w:val="24"/>
          <w:highlight w:val="none"/>
        </w:rPr>
      </w:pPr>
      <w:bookmarkStart w:id="60" w:name="_Toc12567"/>
      <w:r>
        <w:rPr>
          <w:rFonts w:hint="eastAsia"/>
          <w:b/>
          <w:sz w:val="24"/>
          <w:highlight w:val="none"/>
        </w:rPr>
        <w:t>1.资格审查</w:t>
      </w:r>
      <w:bookmarkEnd w:id="60"/>
    </w:p>
    <w:p>
      <w:pPr>
        <w:tabs>
          <w:tab w:val="clear" w:pos="426"/>
        </w:tabs>
        <w:spacing w:line="300" w:lineRule="auto"/>
        <w:ind w:firstLine="420" w:firstLineChars="200"/>
        <w:rPr>
          <w:rFonts w:hint="eastAsia"/>
          <w:highlight w:val="none"/>
        </w:rPr>
      </w:pPr>
      <w:r>
        <w:rPr>
          <w:rFonts w:hint="eastAsia"/>
          <w:highlight w:val="none"/>
        </w:rPr>
        <w:t>依据法律法规和招标文件的规定，对投标文件中的资格证明等进行审查，以确定投标供应商是否具备投标资格。审查内容请详见“前附表（一）资格审查表”。投标供应商若有一条审查不通过则按无效标处理。评标委员会对投标单位打√为通过审查，打×为未通过审查。</w:t>
      </w:r>
    </w:p>
    <w:p>
      <w:pPr>
        <w:adjustRightInd/>
        <w:snapToGrid/>
        <w:spacing w:before="280" w:after="290" w:line="377" w:lineRule="auto"/>
        <w:jc w:val="left"/>
        <w:outlineLvl w:val="2"/>
        <w:rPr>
          <w:rFonts w:hint="eastAsia"/>
          <w:b/>
          <w:sz w:val="24"/>
          <w:highlight w:val="none"/>
        </w:rPr>
      </w:pPr>
      <w:bookmarkStart w:id="61" w:name="_Toc1724"/>
      <w:r>
        <w:rPr>
          <w:rFonts w:hint="eastAsia"/>
          <w:b/>
          <w:sz w:val="24"/>
          <w:highlight w:val="none"/>
        </w:rPr>
        <w:t>2.评标方法</w:t>
      </w:r>
      <w:bookmarkEnd w:id="61"/>
    </w:p>
    <w:p>
      <w:pPr>
        <w:tabs>
          <w:tab w:val="clear" w:pos="426"/>
        </w:tabs>
        <w:spacing w:line="300" w:lineRule="auto"/>
        <w:ind w:firstLine="420" w:firstLineChars="200"/>
        <w:rPr>
          <w:rFonts w:hint="eastAsia"/>
          <w:highlight w:val="none"/>
        </w:rPr>
      </w:pPr>
      <w:r>
        <w:rPr>
          <w:rFonts w:hint="eastAsia"/>
          <w:highlight w:val="none"/>
        </w:rPr>
        <w:t>2.1本项目评标方法为：综合评分法</w:t>
      </w:r>
    </w:p>
    <w:p>
      <w:pPr>
        <w:tabs>
          <w:tab w:val="clear" w:pos="426"/>
        </w:tabs>
        <w:spacing w:line="300" w:lineRule="auto"/>
        <w:ind w:firstLine="420" w:firstLineChars="200"/>
        <w:rPr>
          <w:rFonts w:hint="eastAsia"/>
          <w:highlight w:val="none"/>
        </w:rPr>
      </w:pPr>
      <w:r>
        <w:rPr>
          <w:rFonts w:hint="eastAsia"/>
          <w:highlight w:val="none"/>
        </w:rPr>
        <w:t>中标人数量为：1家；中标候选人数量为：3家。</w:t>
      </w:r>
    </w:p>
    <w:p>
      <w:pPr>
        <w:tabs>
          <w:tab w:val="clear" w:pos="426"/>
        </w:tabs>
        <w:spacing w:line="300" w:lineRule="auto"/>
        <w:ind w:firstLine="420" w:firstLineChars="200"/>
        <w:rPr>
          <w:rFonts w:hint="eastAsia"/>
          <w:highlight w:val="none"/>
        </w:rPr>
      </w:pPr>
      <w:r>
        <w:rPr>
          <w:rFonts w:hint="eastAsia"/>
          <w:highlight w:val="none"/>
        </w:rPr>
        <w:t>综合评分法，是指投标文件满足招标文件全部实质性要求，且按照评审因素的量化指标评审得分最高的投标人为候选中标人的评标方法。</w:t>
      </w:r>
    </w:p>
    <w:p>
      <w:pPr>
        <w:tabs>
          <w:tab w:val="clear" w:pos="426"/>
        </w:tabs>
        <w:spacing w:line="300" w:lineRule="auto"/>
        <w:ind w:firstLine="420" w:firstLineChars="200"/>
        <w:rPr>
          <w:rFonts w:hint="eastAsia"/>
          <w:highlight w:val="none"/>
        </w:rPr>
      </w:pPr>
      <w:r>
        <w:rPr>
          <w:rFonts w:hint="eastAsia"/>
          <w:highlight w:val="none"/>
        </w:rPr>
        <w:t>2.2中标人放弃中标资格或者中标人的中标资格被依法确认无效的，将重新组织采购。因情况紧急，重新组织采购不能满足采购人要求的，采购人可以确定备选中标人为替补中标人。采购人确定备选中标人为替补中标人的，代理机构将替补中标人的情况予以公示，公示无异议的，确定新的中标人；公示有异议且异议成立的将重新组织采购。替补中标人放弃中标资格或者中标资格被依法确认无效的，将重新组织采购。</w:t>
      </w:r>
    </w:p>
    <w:p>
      <w:pPr>
        <w:tabs>
          <w:tab w:val="clear" w:pos="426"/>
        </w:tabs>
        <w:spacing w:line="300" w:lineRule="auto"/>
        <w:ind w:firstLine="422" w:firstLineChars="200"/>
        <w:rPr>
          <w:rFonts w:hint="eastAsia"/>
          <w:b/>
          <w:bCs/>
          <w:highlight w:val="none"/>
        </w:rPr>
      </w:pPr>
      <w:r>
        <w:rPr>
          <w:rFonts w:hint="eastAsia"/>
          <w:b/>
          <w:bCs/>
          <w:highlight w:val="none"/>
        </w:rPr>
        <w:t>2.3公开招标的货物、服务采购项目，招标过程中提交投标文件或者经评审实质性响应招标文件要求的供应商只有两家时，经评审委员会审核采购文件无歧视性、排他性等不合理条款，可现场直接转为与该两家供应商进行竞争性谈判采购。（《深圳海关非政府采购管理办法》第二十七条）</w:t>
      </w:r>
    </w:p>
    <w:p>
      <w:pPr>
        <w:tabs>
          <w:tab w:val="clear" w:pos="426"/>
        </w:tabs>
        <w:spacing w:line="300" w:lineRule="auto"/>
        <w:ind w:firstLine="420" w:firstLineChars="200"/>
        <w:rPr>
          <w:rFonts w:hint="eastAsia"/>
          <w:highlight w:val="none"/>
        </w:rPr>
      </w:pPr>
      <w:r>
        <w:rPr>
          <w:rFonts w:hint="eastAsia"/>
          <w:highlight w:val="none"/>
        </w:rPr>
        <w:t>2.4价格分计算方法</w:t>
      </w:r>
    </w:p>
    <w:p>
      <w:pPr>
        <w:tabs>
          <w:tab w:val="clear" w:pos="426"/>
        </w:tabs>
        <w:spacing w:line="300" w:lineRule="auto"/>
        <w:ind w:firstLine="420" w:firstLineChars="200"/>
        <w:rPr>
          <w:rFonts w:hint="eastAsia"/>
          <w:highlight w:val="none"/>
        </w:rPr>
      </w:pPr>
      <w:r>
        <w:rPr>
          <w:rFonts w:hint="eastAsia"/>
          <w:highlight w:val="none"/>
        </w:rPr>
        <w:t>满足招标文件要求且投标价格最低的投标报价为评标基准价，其价格分为满分。其他投标人的价格分统一按照下列公式计算：</w:t>
      </w:r>
    </w:p>
    <w:p>
      <w:pPr>
        <w:tabs>
          <w:tab w:val="clear" w:pos="426"/>
        </w:tabs>
        <w:spacing w:line="300" w:lineRule="auto"/>
        <w:ind w:firstLine="420" w:firstLineChars="200"/>
        <w:rPr>
          <w:rFonts w:hint="eastAsia"/>
          <w:highlight w:val="none"/>
        </w:rPr>
      </w:pPr>
      <w:r>
        <w:rPr>
          <w:rFonts w:hint="eastAsia"/>
          <w:highlight w:val="none"/>
        </w:rPr>
        <w:t>投标报价得分=(评标基准价／投标报价)×30</w:t>
      </w:r>
    </w:p>
    <w:p>
      <w:pPr>
        <w:tabs>
          <w:tab w:val="clear" w:pos="426"/>
        </w:tabs>
        <w:spacing w:line="300" w:lineRule="auto"/>
        <w:ind w:firstLine="420" w:firstLineChars="200"/>
        <w:rPr>
          <w:rFonts w:hint="eastAsia"/>
          <w:highlight w:val="none"/>
        </w:rPr>
      </w:pPr>
      <w:r>
        <w:rPr>
          <w:rFonts w:hint="eastAsia"/>
          <w:highlight w:val="none"/>
        </w:rPr>
        <w:t>2.5评标优惠政策</w:t>
      </w:r>
    </w:p>
    <w:p>
      <w:pPr>
        <w:tabs>
          <w:tab w:val="clear" w:pos="426"/>
        </w:tabs>
        <w:spacing w:line="300" w:lineRule="auto"/>
        <w:ind w:firstLine="422" w:firstLineChars="200"/>
        <w:rPr>
          <w:rFonts w:hint="eastAsia"/>
          <w:b/>
          <w:bCs/>
          <w:szCs w:val="21"/>
          <w:highlight w:val="none"/>
        </w:rPr>
      </w:pPr>
      <w:r>
        <w:rPr>
          <w:rFonts w:hint="eastAsia"/>
          <w:b/>
          <w:bCs/>
          <w:highlight w:val="none"/>
        </w:rPr>
        <w:t>本项目采购标的对应</w:t>
      </w:r>
      <w:r>
        <w:rPr>
          <w:rFonts w:hint="eastAsia"/>
          <w:b/>
          <w:bCs/>
          <w:szCs w:val="21"/>
          <w:highlight w:val="none"/>
        </w:rPr>
        <w:t>的中小企业划分标准所属行业为</w:t>
      </w:r>
      <w:r>
        <w:rPr>
          <w:rFonts w:hint="eastAsia"/>
          <w:b/>
          <w:bCs/>
          <w:szCs w:val="21"/>
          <w:highlight w:val="none"/>
          <w:u w:val="single"/>
        </w:rPr>
        <w:t>工业</w:t>
      </w:r>
      <w:r>
        <w:rPr>
          <w:rFonts w:hint="eastAsia"/>
          <w:b/>
          <w:bCs/>
          <w:szCs w:val="21"/>
          <w:highlight w:val="none"/>
        </w:rPr>
        <w:t>。</w:t>
      </w:r>
    </w:p>
    <w:p>
      <w:pPr>
        <w:tabs>
          <w:tab w:val="clear" w:pos="426"/>
        </w:tabs>
        <w:spacing w:line="300" w:lineRule="auto"/>
        <w:ind w:firstLine="420" w:firstLineChars="200"/>
        <w:rPr>
          <w:rFonts w:hint="eastAsia"/>
          <w:szCs w:val="21"/>
          <w:highlight w:val="none"/>
        </w:rPr>
      </w:pPr>
      <w:r>
        <w:rPr>
          <w:highlight w:val="none"/>
        </w:rPr>
        <w:t>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供应商企业类型声明函》、《残疾人福利性单位声明函》或省级以上监狱管理局、戒毒管理局（含新疆生产建设兵团）出具的属于监狱企业的证明文件的投标供应商，其投标报价</w:t>
      </w:r>
      <w:r>
        <w:rPr>
          <w:b/>
          <w:bCs/>
          <w:highlight w:val="none"/>
        </w:rPr>
        <w:t>扣除</w:t>
      </w:r>
      <w:r>
        <w:rPr>
          <w:rFonts w:hint="eastAsia"/>
          <w:b/>
          <w:bCs/>
          <w:highlight w:val="none"/>
          <w:u w:val="single"/>
          <w:lang w:val="en-US" w:eastAsia="zh-CN"/>
        </w:rPr>
        <w:t>10</w:t>
      </w:r>
      <w:r>
        <w:rPr>
          <w:b/>
          <w:bCs/>
          <w:highlight w:val="none"/>
          <w:u w:val="single"/>
        </w:rPr>
        <w:t>%</w:t>
      </w:r>
      <w:r>
        <w:rPr>
          <w:highlight w:val="none"/>
        </w:rPr>
        <w:t>后参与评审。对于同时属于小微企业、监狱</w:t>
      </w:r>
      <w:r>
        <w:rPr>
          <w:szCs w:val="21"/>
          <w:highlight w:val="none"/>
        </w:rPr>
        <w:t>企业或残疾人福利性</w:t>
      </w:r>
      <w:r>
        <w:rPr>
          <w:rFonts w:hint="eastAsia"/>
          <w:szCs w:val="21"/>
          <w:highlight w:val="none"/>
        </w:rPr>
        <w:t>单位的，不重复进行投标报价扣除。如有其它政策支持因素（如鼓励创新等）需一并列出。</w:t>
      </w:r>
    </w:p>
    <w:p>
      <w:pPr>
        <w:tabs>
          <w:tab w:val="clear" w:pos="426"/>
        </w:tabs>
        <w:spacing w:line="300" w:lineRule="auto"/>
        <w:ind w:firstLine="420" w:firstLineChars="200"/>
        <w:rPr>
          <w:rFonts w:hint="eastAsia"/>
          <w:szCs w:val="21"/>
          <w:highlight w:val="none"/>
        </w:rPr>
      </w:pPr>
      <w:r>
        <w:rPr>
          <w:rFonts w:hint="eastAsia"/>
          <w:szCs w:val="21"/>
          <w:highlight w:val="none"/>
        </w:rPr>
        <w:t>2.6</w:t>
      </w:r>
      <w:r>
        <w:rPr>
          <w:szCs w:val="21"/>
          <w:highlight w:val="none"/>
        </w:rPr>
        <w:t>其他需要落实的政府采购政策</w:t>
      </w:r>
    </w:p>
    <w:p>
      <w:pPr>
        <w:tabs>
          <w:tab w:val="clear" w:pos="426"/>
        </w:tabs>
        <w:spacing w:line="300" w:lineRule="auto"/>
        <w:ind w:firstLine="420" w:firstLineChars="200"/>
        <w:rPr>
          <w:rFonts w:hint="eastAsia"/>
          <w:szCs w:val="21"/>
          <w:highlight w:val="none"/>
        </w:rPr>
      </w:pPr>
      <w:r>
        <w:rPr>
          <w:szCs w:val="21"/>
          <w:highlight w:val="none"/>
        </w:rPr>
        <w:t>采购人拟采购的产品属于《关于调整优化节能产品环境标志产品政府采购执行机制的通知》（财库〔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pPr>
        <w:tabs>
          <w:tab w:val="clear" w:pos="426"/>
        </w:tabs>
        <w:spacing w:line="300" w:lineRule="auto"/>
        <w:ind w:firstLine="420" w:firstLineChars="200"/>
        <w:rPr>
          <w:rFonts w:hint="eastAsia"/>
          <w:szCs w:val="21"/>
          <w:highlight w:val="none"/>
        </w:rPr>
      </w:pPr>
      <w:r>
        <w:rPr>
          <w:szCs w:val="21"/>
          <w:highlight w:val="none"/>
        </w:rPr>
        <w:t>根据财政部《关于在政府采购活动中查询及使用信用记录有关问题的通知》（财库〔2016〕125号），供应商信用信息的查询渠道为“信用中国（https：//www.creditchina.gov.cn/）”中的“信用服务”栏的“重大税收违法案件当事人名单”“失信被执行人”、“中国政府采购网（http：//www.ccgp.gov.cn/）” 中的“政府采购严重违法失信行为记录名单”，相关信息以开标当日的查询结果为准。</w:t>
      </w:r>
    </w:p>
    <w:p>
      <w:pPr>
        <w:tabs>
          <w:tab w:val="clear" w:pos="426"/>
        </w:tabs>
        <w:spacing w:line="300" w:lineRule="auto"/>
        <w:ind w:firstLine="420" w:firstLineChars="200"/>
        <w:rPr>
          <w:rFonts w:hint="eastAsia"/>
          <w:szCs w:val="21"/>
          <w:highlight w:val="none"/>
        </w:rPr>
      </w:pPr>
      <w:r>
        <w:rPr>
          <w:rFonts w:hint="eastAsia"/>
          <w:szCs w:val="21"/>
          <w:highlight w:val="none"/>
        </w:rPr>
        <w:t>2.7</w:t>
      </w:r>
      <w:r>
        <w:rPr>
          <w:szCs w:val="21"/>
          <w:highlight w:val="none"/>
        </w:rPr>
        <w:t>评标专家应对通过投标文件初审进入评标程序的投标文件先评技术标、再评商务标；</w:t>
      </w:r>
    </w:p>
    <w:p>
      <w:pPr>
        <w:tabs>
          <w:tab w:val="clear" w:pos="426"/>
        </w:tabs>
        <w:spacing w:line="300" w:lineRule="auto"/>
        <w:ind w:firstLine="420" w:firstLineChars="200"/>
        <w:rPr>
          <w:rFonts w:hint="eastAsia"/>
          <w:szCs w:val="21"/>
          <w:highlight w:val="none"/>
        </w:rPr>
      </w:pPr>
      <w:r>
        <w:rPr>
          <w:rFonts w:hint="eastAsia"/>
          <w:szCs w:val="21"/>
          <w:highlight w:val="none"/>
        </w:rPr>
        <w:t>2.8</w:t>
      </w:r>
      <w:r>
        <w:rPr>
          <w:szCs w:val="21"/>
          <w:highlight w:val="none"/>
        </w:rPr>
        <w:t>评标专家需按招标文件规定的评审标准对投标</w:t>
      </w:r>
      <w:r>
        <w:rPr>
          <w:rFonts w:hint="eastAsia"/>
          <w:szCs w:val="21"/>
          <w:highlight w:val="none"/>
        </w:rPr>
        <w:t>供应商</w:t>
      </w:r>
      <w:r>
        <w:rPr>
          <w:szCs w:val="21"/>
          <w:highlight w:val="none"/>
        </w:rPr>
        <w:t>提交的投标文件进行评审，投标文件中与评审标准无关的内容不作为评审内容</w:t>
      </w:r>
      <w:r>
        <w:rPr>
          <w:rFonts w:hint="eastAsia"/>
          <w:szCs w:val="21"/>
          <w:highlight w:val="none"/>
        </w:rPr>
        <w:t>。</w:t>
      </w:r>
    </w:p>
    <w:p>
      <w:pPr>
        <w:tabs>
          <w:tab w:val="clear" w:pos="426"/>
        </w:tabs>
        <w:spacing w:line="300" w:lineRule="auto"/>
        <w:ind w:firstLine="420" w:firstLineChars="200"/>
        <w:rPr>
          <w:rFonts w:hint="eastAsia"/>
          <w:highlight w:val="none"/>
        </w:rPr>
      </w:pPr>
      <w:r>
        <w:rPr>
          <w:rFonts w:hint="eastAsia"/>
          <w:szCs w:val="21"/>
          <w:highlight w:val="none"/>
        </w:rPr>
        <w:t>2.9评标委员会在评标时，应按照“前附表（三）综合评分法评分因素和权重分值表”量化的评审因素，对各投标文件进行分析和比较。</w:t>
      </w:r>
    </w:p>
    <w:p>
      <w:pPr>
        <w:adjustRightInd/>
        <w:snapToGrid/>
        <w:spacing w:before="280" w:after="290" w:line="377" w:lineRule="auto"/>
        <w:jc w:val="left"/>
        <w:outlineLvl w:val="2"/>
        <w:rPr>
          <w:rFonts w:hint="eastAsia"/>
          <w:b/>
          <w:sz w:val="24"/>
          <w:highlight w:val="none"/>
        </w:rPr>
      </w:pPr>
      <w:bookmarkStart w:id="62" w:name="_Toc16831"/>
      <w:r>
        <w:rPr>
          <w:rFonts w:hint="eastAsia"/>
          <w:b/>
          <w:sz w:val="24"/>
          <w:highlight w:val="none"/>
        </w:rPr>
        <w:t>3.符合性审查</w:t>
      </w:r>
      <w:bookmarkEnd w:id="62"/>
    </w:p>
    <w:p>
      <w:pPr>
        <w:tabs>
          <w:tab w:val="clear" w:pos="426"/>
        </w:tabs>
        <w:spacing w:line="300" w:lineRule="auto"/>
        <w:ind w:firstLine="420" w:firstLineChars="200"/>
        <w:rPr>
          <w:rFonts w:hint="eastAsia"/>
          <w:highlight w:val="none"/>
        </w:rPr>
      </w:pPr>
      <w:r>
        <w:rPr>
          <w:rFonts w:hint="eastAsia"/>
          <w:highlight w:val="none"/>
        </w:rPr>
        <w:t>依据招标文件的规定，从投标文件的有效性、完整性和对招标文件的响应程度等进行审查，以确定是否对招标文件的实质性要求作出响应。审查内容请详见“前附表（二）符合性审查表”。投标供应商若有一条审查不通过则按无效标处理。评标委员会对投标单位打√为通过审查，打×为未通过审查。</w:t>
      </w:r>
    </w:p>
    <w:p>
      <w:pPr>
        <w:adjustRightInd/>
        <w:snapToGrid/>
        <w:spacing w:before="280" w:after="290" w:line="377" w:lineRule="auto"/>
        <w:jc w:val="left"/>
        <w:outlineLvl w:val="2"/>
        <w:rPr>
          <w:rFonts w:hint="eastAsia"/>
          <w:b/>
          <w:sz w:val="24"/>
          <w:highlight w:val="none"/>
        </w:rPr>
      </w:pPr>
      <w:bookmarkStart w:id="63" w:name="_Toc29518"/>
      <w:r>
        <w:rPr>
          <w:rFonts w:hint="eastAsia"/>
          <w:b/>
          <w:sz w:val="24"/>
          <w:highlight w:val="none"/>
        </w:rPr>
        <w:t>4.比较与评价</w:t>
      </w:r>
      <w:bookmarkEnd w:id="63"/>
    </w:p>
    <w:p>
      <w:pPr>
        <w:tabs>
          <w:tab w:val="clear" w:pos="426"/>
        </w:tabs>
        <w:spacing w:line="300" w:lineRule="auto"/>
        <w:ind w:firstLine="420" w:firstLineChars="200"/>
        <w:rPr>
          <w:rFonts w:hint="eastAsia"/>
          <w:highlight w:val="none"/>
        </w:rPr>
      </w:pPr>
      <w:r>
        <w:rPr>
          <w:rFonts w:hint="eastAsia"/>
          <w:highlight w:val="none"/>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评审总得分最高的前三名投标人将被推荐为中标候选人，并作出评审结论。经采购人同意后，确定排名第一的中标候选人为中标人。</w:t>
      </w:r>
    </w:p>
    <w:p>
      <w:pPr>
        <w:tabs>
          <w:tab w:val="clear" w:pos="426"/>
        </w:tabs>
        <w:spacing w:line="300" w:lineRule="auto"/>
        <w:ind w:firstLine="420" w:firstLineChars="200"/>
        <w:rPr>
          <w:rFonts w:hint="eastAsia"/>
          <w:highlight w:val="none"/>
        </w:rPr>
      </w:pPr>
      <w:r>
        <w:rPr>
          <w:rFonts w:hint="eastAsia"/>
          <w:highlight w:val="none"/>
        </w:rPr>
        <w:t>候选中标人按评审后得分由高到低顺序排列；得分相同的，按投标报价由低到高顺序排列；得分且投标报价相同的，按技术指标或服务方案优劣顺序排列。得分且投标报价相同的且技术指标或服务方案优劣相同的，采取随机抽取方式确定候选中标人推荐资格。</w:t>
      </w:r>
    </w:p>
    <w:p>
      <w:pPr>
        <w:tabs>
          <w:tab w:val="clear" w:pos="426"/>
        </w:tabs>
        <w:spacing w:line="300" w:lineRule="auto"/>
        <w:ind w:firstLine="420" w:firstLineChars="200"/>
        <w:rPr>
          <w:rFonts w:hint="eastAsia"/>
          <w:highlight w:val="none"/>
        </w:rPr>
      </w:pPr>
      <w:r>
        <w:rPr>
          <w:rFonts w:hint="eastAsia"/>
          <w:highlight w:val="none"/>
        </w:rPr>
        <w:t>评标委员会认为投标人的报价明显低于其他通过资格性检查和符合性检查的投标人的报价，有可能影响产品质量或者不能诚信履约的，应当要求其在评标现场合理的时间内提供书面说明，必要时提交相关证明材料；投标人不能证明其报价合理性的，评标委员会应当将其作为无效投标处理（若评审委员会成员对是否须由投标人作出报价合理性说明，以及书面说明是否采纳等判断不一致的，按照“少数服从多数”的原则确定评审委员会的意见）。</w:t>
      </w:r>
    </w:p>
    <w:p>
      <w:pPr>
        <w:adjustRightInd/>
        <w:snapToGrid/>
        <w:spacing w:before="280" w:after="290" w:line="377" w:lineRule="auto"/>
        <w:jc w:val="left"/>
        <w:outlineLvl w:val="2"/>
        <w:rPr>
          <w:rFonts w:hint="eastAsia"/>
          <w:b/>
          <w:sz w:val="24"/>
          <w:highlight w:val="none"/>
        </w:rPr>
      </w:pPr>
      <w:bookmarkStart w:id="64" w:name="_Toc13196"/>
      <w:r>
        <w:rPr>
          <w:rFonts w:hint="eastAsia"/>
          <w:b/>
          <w:sz w:val="24"/>
          <w:highlight w:val="none"/>
        </w:rPr>
        <w:t>5.编写评标报告</w:t>
      </w:r>
      <w:bookmarkEnd w:id="64"/>
    </w:p>
    <w:p>
      <w:pPr>
        <w:tabs>
          <w:tab w:val="clear" w:pos="426"/>
        </w:tabs>
        <w:spacing w:line="300" w:lineRule="auto"/>
        <w:ind w:firstLine="420" w:firstLineChars="200"/>
        <w:rPr>
          <w:rFonts w:hint="eastAsia"/>
          <w:highlight w:val="none"/>
        </w:rPr>
      </w:pPr>
      <w:r>
        <w:rPr>
          <w:rFonts w:hint="eastAsia"/>
          <w:highlight w:val="none"/>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rPr>
          <w:rFonts w:hint="eastAsia"/>
          <w:highlight w:val="none"/>
        </w:rPr>
      </w:pPr>
    </w:p>
    <w:p>
      <w:pPr>
        <w:adjustRightInd/>
        <w:snapToGrid/>
        <w:spacing w:before="280" w:after="290" w:line="377" w:lineRule="auto"/>
        <w:jc w:val="left"/>
        <w:outlineLvl w:val="2"/>
        <w:rPr>
          <w:rFonts w:hint="eastAsia"/>
          <w:b/>
          <w:sz w:val="24"/>
          <w:highlight w:val="none"/>
        </w:rPr>
      </w:pPr>
      <w:bookmarkStart w:id="65" w:name="_Toc15875"/>
      <w:r>
        <w:rPr>
          <w:rFonts w:hint="eastAsia"/>
          <w:b/>
          <w:sz w:val="24"/>
          <w:highlight w:val="none"/>
        </w:rPr>
        <w:t>6.评标委员会对招标失败的论证意见</w:t>
      </w:r>
      <w:bookmarkEnd w:id="65"/>
    </w:p>
    <w:p>
      <w:pPr>
        <w:tabs>
          <w:tab w:val="clear" w:pos="426"/>
        </w:tabs>
        <w:spacing w:line="300" w:lineRule="auto"/>
        <w:ind w:firstLine="422" w:firstLineChars="200"/>
        <w:rPr>
          <w:rFonts w:hint="eastAsia"/>
          <w:b/>
          <w:bCs/>
          <w:highlight w:val="none"/>
        </w:rPr>
      </w:pPr>
      <w:r>
        <w:rPr>
          <w:rFonts w:hint="eastAsia"/>
          <w:b/>
          <w:bCs/>
          <w:highlight w:val="none"/>
        </w:rPr>
        <w:t>根据《财库〔2012〕69号财政部关于进一步规范政府采购评审工作有关问题的通知》的规定，评审委员会要在采购项目招标失败时，出具招标文件是否存在不合理条款的论证意见，论证意见写进评审报告中。</w:t>
      </w:r>
      <w:bookmarkEnd w:id="57"/>
      <w:bookmarkStart w:id="66" w:name="_Toc432592812"/>
    </w:p>
    <w:bookmarkEnd w:id="66"/>
    <w:p>
      <w:pPr>
        <w:rPr>
          <w:rFonts w:hint="eastAsia"/>
          <w:highlight w:val="none"/>
        </w:rPr>
      </w:pPr>
      <w:bookmarkStart w:id="67" w:name="_Toc432592814"/>
      <w:r>
        <w:rPr>
          <w:highlight w:val="none"/>
        </w:rPr>
        <w:br w:type="page"/>
      </w:r>
      <w:bookmarkEnd w:id="67"/>
      <w:bookmarkStart w:id="68" w:name="_Toc530152519"/>
      <w:bookmarkStart w:id="69" w:name="_Toc398220525"/>
      <w:bookmarkStart w:id="70" w:name="_Toc432592816"/>
    </w:p>
    <w:bookmarkEnd w:id="68"/>
    <w:p>
      <w:pPr>
        <w:pStyle w:val="62"/>
        <w:rPr>
          <w:highlight w:val="none"/>
        </w:rPr>
      </w:pPr>
      <w:bookmarkStart w:id="71" w:name="_Toc7991"/>
      <w:r>
        <w:rPr>
          <w:rFonts w:hint="eastAsia"/>
          <w:highlight w:val="none"/>
        </w:rPr>
        <w:t>第五章 合同文本</w:t>
      </w:r>
      <w:bookmarkEnd w:id="71"/>
    </w:p>
    <w:bookmarkEnd w:id="69"/>
    <w:bookmarkEnd w:id="70"/>
    <w:p>
      <w:pPr>
        <w:pStyle w:val="425"/>
        <w:rPr>
          <w:rFonts w:hint="eastAsia" w:hAnsi="宋体"/>
          <w:b/>
          <w:bCs/>
          <w:color w:val="000000"/>
          <w:sz w:val="28"/>
          <w:szCs w:val="28"/>
          <w:highlight w:val="none"/>
        </w:rPr>
      </w:pPr>
      <w:bookmarkStart w:id="72" w:name="_Toc432592818"/>
      <w:bookmarkStart w:id="73" w:name="_Toc398220526"/>
      <w:r>
        <w:rPr>
          <w:rFonts w:hint="eastAsia" w:hAnsi="宋体"/>
          <w:b/>
          <w:bCs/>
          <w:color w:val="000000"/>
          <w:sz w:val="28"/>
          <w:szCs w:val="28"/>
          <w:highlight w:val="none"/>
        </w:rPr>
        <w:t>本合同实际签订将根据供应商响应情况对合同进行删减调整</w:t>
      </w:r>
    </w:p>
    <w:p>
      <w:pPr>
        <w:pStyle w:val="425"/>
        <w:rPr>
          <w:rFonts w:eastAsia="方正小标宋_GBK"/>
          <w:color w:val="000000"/>
          <w:sz w:val="36"/>
          <w:szCs w:val="36"/>
          <w:highlight w:val="none"/>
        </w:rPr>
      </w:pPr>
      <w:r>
        <w:rPr>
          <w:rFonts w:hint="eastAsia" w:eastAsia="方正小标宋_GBK"/>
          <w:color w:val="000000"/>
          <w:sz w:val="36"/>
          <w:szCs w:val="36"/>
          <w:highlight w:val="none"/>
        </w:rPr>
        <w:t>农兽残检测全流程全自动样品前处理系统设备采购项目</w:t>
      </w:r>
      <w:r>
        <w:rPr>
          <w:rFonts w:eastAsia="方正小标宋_GBK"/>
          <w:color w:val="000000"/>
          <w:sz w:val="36"/>
          <w:szCs w:val="36"/>
          <w:highlight w:val="none"/>
        </w:rPr>
        <w:t>合同书</w:t>
      </w:r>
    </w:p>
    <w:p>
      <w:pPr>
        <w:rPr>
          <w:rFonts w:hint="eastAsia"/>
          <w:color w:val="000000"/>
          <w:sz w:val="24"/>
          <w:highlight w:val="none"/>
        </w:rPr>
      </w:pPr>
    </w:p>
    <w:p>
      <w:pPr>
        <w:rPr>
          <w:rFonts w:hint="eastAsia"/>
          <w:color w:val="000000"/>
          <w:sz w:val="24"/>
          <w:highlight w:val="none"/>
        </w:rPr>
      </w:pPr>
      <w:r>
        <w:rPr>
          <w:color w:val="000000"/>
          <w:sz w:val="24"/>
          <w:highlight w:val="none"/>
        </w:rPr>
        <w:t>甲方（采购人）:</w:t>
      </w:r>
      <w:r>
        <w:rPr>
          <w:rFonts w:hint="eastAsia"/>
          <w:color w:val="000000"/>
          <w:sz w:val="24"/>
          <w:highlight w:val="none"/>
        </w:rPr>
        <w:t>深圳海关食品检验检疫技术中心</w:t>
      </w:r>
    </w:p>
    <w:p>
      <w:pPr>
        <w:rPr>
          <w:rFonts w:hint="eastAsia"/>
          <w:color w:val="000000"/>
          <w:sz w:val="24"/>
          <w:highlight w:val="none"/>
        </w:rPr>
      </w:pPr>
      <w:r>
        <w:rPr>
          <w:color w:val="000000"/>
          <w:sz w:val="24"/>
          <w:highlight w:val="none"/>
        </w:rPr>
        <w:t xml:space="preserve">乙方（供应商）:                                  </w:t>
      </w:r>
    </w:p>
    <w:p>
      <w:pPr>
        <w:widowControl w:val="0"/>
        <w:shd w:val="clear" w:color="auto" w:fill="auto"/>
        <w:tabs>
          <w:tab w:val="clear" w:pos="426"/>
        </w:tabs>
        <w:adjustRightInd/>
        <w:snapToGrid/>
        <w:spacing w:line="240" w:lineRule="auto"/>
        <w:ind w:firstLine="480" w:firstLineChars="200"/>
        <w:rPr>
          <w:rFonts w:hint="eastAsia"/>
          <w:color w:val="000000"/>
          <w:sz w:val="24"/>
          <w:highlight w:val="none"/>
        </w:rPr>
      </w:pPr>
      <w:r>
        <w:rPr>
          <w:color w:val="000000"/>
          <w:sz w:val="24"/>
          <w:highlight w:val="none"/>
        </w:rPr>
        <w:t>根据</w:t>
      </w:r>
      <w:r>
        <w:rPr>
          <w:snapToGrid w:val="0"/>
          <w:color w:val="000000"/>
          <w:sz w:val="24"/>
          <w:highlight w:val="none"/>
        </w:rPr>
        <w:t>《中华人民共和国民法典（合同编）》、</w:t>
      </w:r>
      <w:r>
        <w:rPr>
          <w:color w:val="000000"/>
          <w:sz w:val="24"/>
          <w:highlight w:val="none"/>
        </w:rPr>
        <w:t>《中华人民共和国政府采购法》等相关法律规定，甲方对</w:t>
      </w:r>
      <w:r>
        <w:rPr>
          <w:rFonts w:hint="eastAsia"/>
          <w:color w:val="000000"/>
          <w:sz w:val="24"/>
          <w:highlight w:val="none"/>
          <w:u w:val="single"/>
        </w:rPr>
        <w:t>农兽残检测全流程全自动样品前处理系统设备采购项目</w:t>
      </w:r>
      <w:r>
        <w:rPr>
          <w:color w:val="000000"/>
          <w:sz w:val="24"/>
          <w:highlight w:val="none"/>
        </w:rPr>
        <w:t>以</w:t>
      </w:r>
      <w:r>
        <w:rPr>
          <w:rFonts w:hint="eastAsia"/>
          <w:color w:val="000000"/>
          <w:sz w:val="24"/>
          <w:highlight w:val="none"/>
          <w:u w:val="single"/>
        </w:rPr>
        <w:t>公开招标</w:t>
      </w:r>
      <w:r>
        <w:rPr>
          <w:color w:val="000000"/>
          <w:sz w:val="24"/>
          <w:highlight w:val="none"/>
        </w:rPr>
        <w:t>方式进行采购</w:t>
      </w:r>
      <w:r>
        <w:rPr>
          <w:rFonts w:hint="eastAsia"/>
          <w:color w:val="000000"/>
          <w:sz w:val="24"/>
          <w:highlight w:val="none"/>
        </w:rPr>
        <w:t>，</w:t>
      </w:r>
      <w:r>
        <w:rPr>
          <w:color w:val="000000"/>
          <w:sz w:val="24"/>
          <w:highlight w:val="none"/>
        </w:rPr>
        <w:t>确定乙方为中标人（成交商），现依照招标文件、投标文件等相关文件的内容，双方达成如下协议：</w:t>
      </w:r>
    </w:p>
    <w:p>
      <w:pPr>
        <w:ind w:firstLine="482" w:firstLineChars="200"/>
        <w:rPr>
          <w:rFonts w:hint="eastAsia"/>
          <w:b/>
          <w:bCs/>
          <w:color w:val="000000"/>
          <w:sz w:val="24"/>
          <w:highlight w:val="none"/>
        </w:rPr>
      </w:pPr>
      <w:r>
        <w:rPr>
          <w:b/>
          <w:bCs/>
          <w:color w:val="000000"/>
          <w:sz w:val="24"/>
          <w:highlight w:val="none"/>
        </w:rPr>
        <w:t>第一条 采购货物清单</w:t>
      </w:r>
    </w:p>
    <w:tbl>
      <w:tblPr>
        <w:tblStyle w:val="85"/>
        <w:tblW w:w="90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93"/>
        <w:gridCol w:w="1144"/>
        <w:gridCol w:w="1219"/>
        <w:gridCol w:w="1013"/>
        <w:gridCol w:w="900"/>
        <w:gridCol w:w="1481"/>
        <w:gridCol w:w="15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93" w:type="dxa"/>
            <w:tcBorders>
              <w:top w:val="single" w:color="auto" w:sz="4" w:space="0"/>
              <w:left w:val="single" w:color="auto" w:sz="4" w:space="0"/>
              <w:bottom w:val="single" w:color="auto" w:sz="4" w:space="0"/>
              <w:right w:val="single" w:color="auto" w:sz="4" w:space="0"/>
            </w:tcBorders>
            <w:vAlign w:val="center"/>
          </w:tcPr>
          <w:p>
            <w:pPr>
              <w:pStyle w:val="584"/>
              <w:autoSpaceDN w:val="0"/>
              <w:jc w:val="center"/>
              <w:rPr>
                <w:rFonts w:ascii="Times New Roman"/>
                <w:b/>
                <w:bCs/>
                <w:color w:val="000000"/>
                <w:sz w:val="24"/>
                <w:szCs w:val="24"/>
                <w:highlight w:val="none"/>
              </w:rPr>
            </w:pPr>
            <w:r>
              <w:rPr>
                <w:rFonts w:ascii="Times New Roman"/>
                <w:b/>
                <w:bCs/>
                <w:color w:val="000000"/>
                <w:sz w:val="24"/>
                <w:szCs w:val="24"/>
                <w:highlight w:val="none"/>
              </w:rPr>
              <w:t>货物名称</w:t>
            </w:r>
          </w:p>
        </w:tc>
        <w:tc>
          <w:tcPr>
            <w:tcW w:w="1144" w:type="dxa"/>
            <w:tcBorders>
              <w:top w:val="single" w:color="auto" w:sz="4" w:space="0"/>
              <w:left w:val="single" w:color="auto" w:sz="4" w:space="0"/>
              <w:bottom w:val="single" w:color="auto" w:sz="4" w:space="0"/>
              <w:right w:val="single" w:color="auto" w:sz="4" w:space="0"/>
            </w:tcBorders>
            <w:vAlign w:val="center"/>
          </w:tcPr>
          <w:p>
            <w:pPr>
              <w:pStyle w:val="585"/>
              <w:autoSpaceDN w:val="0"/>
              <w:jc w:val="center"/>
              <w:rPr>
                <w:rFonts w:ascii="Times New Roman"/>
                <w:b/>
                <w:bCs/>
                <w:color w:val="000000"/>
                <w:sz w:val="24"/>
                <w:szCs w:val="24"/>
                <w:highlight w:val="none"/>
              </w:rPr>
            </w:pPr>
            <w:r>
              <w:rPr>
                <w:rFonts w:ascii="Times New Roman"/>
                <w:b/>
                <w:bCs/>
                <w:color w:val="000000"/>
                <w:sz w:val="24"/>
                <w:szCs w:val="24"/>
                <w:highlight w:val="none"/>
              </w:rPr>
              <w:t>品牌</w:t>
            </w:r>
          </w:p>
        </w:tc>
        <w:tc>
          <w:tcPr>
            <w:tcW w:w="1219" w:type="dxa"/>
            <w:tcBorders>
              <w:top w:val="single" w:color="auto" w:sz="4" w:space="0"/>
              <w:left w:val="single" w:color="auto" w:sz="4" w:space="0"/>
              <w:bottom w:val="single" w:color="auto" w:sz="4" w:space="0"/>
              <w:right w:val="single" w:color="auto" w:sz="4" w:space="0"/>
            </w:tcBorders>
            <w:vAlign w:val="center"/>
          </w:tcPr>
          <w:p>
            <w:pPr>
              <w:pStyle w:val="586"/>
              <w:autoSpaceDN w:val="0"/>
              <w:jc w:val="center"/>
              <w:rPr>
                <w:rFonts w:ascii="Times New Roman" w:hAnsi="Times New Roman"/>
                <w:b/>
                <w:bCs/>
                <w:color w:val="000000"/>
                <w:sz w:val="24"/>
                <w:szCs w:val="24"/>
                <w:highlight w:val="none"/>
              </w:rPr>
            </w:pPr>
            <w:r>
              <w:rPr>
                <w:rFonts w:ascii="Times New Roman" w:hAnsi="Times New Roman"/>
                <w:b/>
                <w:bCs/>
                <w:color w:val="000000"/>
                <w:sz w:val="24"/>
                <w:szCs w:val="24"/>
                <w:highlight w:val="none"/>
              </w:rPr>
              <w:t>规格型号</w:t>
            </w:r>
          </w:p>
        </w:tc>
        <w:tc>
          <w:tcPr>
            <w:tcW w:w="1013" w:type="dxa"/>
            <w:tcBorders>
              <w:top w:val="single" w:color="auto" w:sz="4" w:space="0"/>
              <w:left w:val="single" w:color="auto" w:sz="4" w:space="0"/>
              <w:bottom w:val="single" w:color="auto" w:sz="4" w:space="0"/>
              <w:right w:val="single" w:color="auto" w:sz="4" w:space="0"/>
            </w:tcBorders>
            <w:vAlign w:val="center"/>
          </w:tcPr>
          <w:p>
            <w:pPr>
              <w:pStyle w:val="587"/>
              <w:autoSpaceDN w:val="0"/>
              <w:jc w:val="center"/>
              <w:rPr>
                <w:rFonts w:ascii="Times New Roman"/>
                <w:b/>
                <w:bCs/>
                <w:color w:val="000000"/>
                <w:sz w:val="24"/>
                <w:szCs w:val="24"/>
                <w:highlight w:val="none"/>
              </w:rPr>
            </w:pPr>
            <w:r>
              <w:rPr>
                <w:rFonts w:ascii="Times New Roman"/>
                <w:b/>
                <w:bCs/>
                <w:color w:val="000000"/>
                <w:sz w:val="24"/>
                <w:szCs w:val="24"/>
                <w:highlight w:val="none"/>
              </w:rPr>
              <w:t>产地</w:t>
            </w:r>
          </w:p>
        </w:tc>
        <w:tc>
          <w:tcPr>
            <w:tcW w:w="900" w:type="dxa"/>
            <w:tcBorders>
              <w:top w:val="single" w:color="auto" w:sz="4" w:space="0"/>
              <w:left w:val="single" w:color="auto" w:sz="4" w:space="0"/>
              <w:bottom w:val="single" w:color="auto" w:sz="4" w:space="0"/>
              <w:right w:val="single" w:color="auto" w:sz="4" w:space="0"/>
            </w:tcBorders>
            <w:vAlign w:val="center"/>
          </w:tcPr>
          <w:p>
            <w:pPr>
              <w:pStyle w:val="587"/>
              <w:autoSpaceDN w:val="0"/>
              <w:jc w:val="center"/>
              <w:rPr>
                <w:rFonts w:ascii="Times New Roman"/>
                <w:b/>
                <w:bCs/>
                <w:color w:val="000000"/>
                <w:sz w:val="24"/>
                <w:szCs w:val="24"/>
                <w:highlight w:val="none"/>
              </w:rPr>
            </w:pPr>
            <w:r>
              <w:rPr>
                <w:rFonts w:ascii="Times New Roman"/>
                <w:b/>
                <w:bCs/>
                <w:color w:val="000000"/>
                <w:sz w:val="24"/>
                <w:szCs w:val="24"/>
                <w:highlight w:val="none"/>
              </w:rPr>
              <w:t>数量</w:t>
            </w:r>
          </w:p>
        </w:tc>
        <w:tc>
          <w:tcPr>
            <w:tcW w:w="1481" w:type="dxa"/>
            <w:tcBorders>
              <w:top w:val="single" w:color="auto" w:sz="4" w:space="0"/>
              <w:left w:val="single" w:color="auto" w:sz="4" w:space="0"/>
              <w:bottom w:val="single" w:color="auto" w:sz="4" w:space="0"/>
              <w:right w:val="single" w:color="auto" w:sz="4" w:space="0"/>
            </w:tcBorders>
            <w:vAlign w:val="center"/>
          </w:tcPr>
          <w:p>
            <w:pPr>
              <w:pStyle w:val="588"/>
              <w:autoSpaceDN w:val="0"/>
              <w:jc w:val="center"/>
              <w:rPr>
                <w:rFonts w:ascii="Times New Roman"/>
                <w:b/>
                <w:bCs/>
                <w:color w:val="000000"/>
                <w:sz w:val="24"/>
                <w:szCs w:val="24"/>
                <w:highlight w:val="none"/>
              </w:rPr>
            </w:pPr>
            <w:r>
              <w:rPr>
                <w:rFonts w:ascii="Times New Roman"/>
                <w:b/>
                <w:bCs/>
                <w:color w:val="000000"/>
                <w:sz w:val="24"/>
                <w:szCs w:val="24"/>
                <w:highlight w:val="none"/>
              </w:rPr>
              <w:t>单价（元）</w:t>
            </w:r>
          </w:p>
        </w:tc>
        <w:tc>
          <w:tcPr>
            <w:tcW w:w="1509" w:type="dxa"/>
            <w:tcBorders>
              <w:top w:val="single" w:color="auto" w:sz="4" w:space="0"/>
              <w:left w:val="single" w:color="auto" w:sz="4" w:space="0"/>
              <w:bottom w:val="single" w:color="auto" w:sz="4" w:space="0"/>
              <w:right w:val="single" w:color="auto" w:sz="4" w:space="0"/>
            </w:tcBorders>
            <w:vAlign w:val="center"/>
          </w:tcPr>
          <w:p>
            <w:pPr>
              <w:pStyle w:val="589"/>
              <w:autoSpaceDN w:val="0"/>
              <w:jc w:val="center"/>
              <w:rPr>
                <w:rFonts w:ascii="Times New Roman"/>
                <w:b/>
                <w:bCs/>
                <w:color w:val="000000"/>
                <w:sz w:val="24"/>
                <w:szCs w:val="24"/>
                <w:highlight w:val="none"/>
              </w:rPr>
            </w:pPr>
            <w:r>
              <w:rPr>
                <w:rFonts w:ascii="Times New Roman"/>
                <w:b/>
                <w:bCs/>
                <w:color w:val="000000"/>
                <w:sz w:val="24"/>
                <w:szCs w:val="24"/>
                <w:highlight w:val="none"/>
              </w:rPr>
              <w:t>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793" w:type="dxa"/>
            <w:tcBorders>
              <w:top w:val="single" w:color="auto" w:sz="4" w:space="0"/>
              <w:left w:val="single" w:color="auto" w:sz="4" w:space="0"/>
              <w:bottom w:val="single" w:color="auto" w:sz="4" w:space="0"/>
              <w:right w:val="single" w:color="auto" w:sz="4" w:space="0"/>
            </w:tcBorders>
            <w:vAlign w:val="center"/>
          </w:tcPr>
          <w:p>
            <w:pPr>
              <w:pStyle w:val="590"/>
              <w:autoSpaceDN w:val="0"/>
              <w:jc w:val="center"/>
              <w:rPr>
                <w:rFonts w:ascii="Times New Roman"/>
                <w:b/>
                <w:bCs/>
                <w:color w:val="000000"/>
                <w:sz w:val="24"/>
                <w:szCs w:val="24"/>
                <w:highlight w:val="none"/>
              </w:rPr>
            </w:pPr>
          </w:p>
        </w:tc>
        <w:tc>
          <w:tcPr>
            <w:tcW w:w="1144" w:type="dxa"/>
            <w:tcBorders>
              <w:top w:val="single" w:color="auto" w:sz="4" w:space="0"/>
              <w:left w:val="single" w:color="auto" w:sz="4" w:space="0"/>
              <w:bottom w:val="single" w:color="auto" w:sz="4" w:space="0"/>
              <w:right w:val="single" w:color="auto" w:sz="4" w:space="0"/>
            </w:tcBorders>
            <w:vAlign w:val="center"/>
          </w:tcPr>
          <w:p>
            <w:pPr>
              <w:pStyle w:val="591"/>
              <w:autoSpaceDN w:val="0"/>
              <w:jc w:val="center"/>
              <w:rPr>
                <w:rFonts w:ascii="Times New Roman"/>
                <w:b/>
                <w:bCs/>
                <w:color w:val="000000"/>
                <w:sz w:val="24"/>
                <w:szCs w:val="24"/>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pStyle w:val="592"/>
              <w:autoSpaceDN w:val="0"/>
              <w:jc w:val="center"/>
              <w:rPr>
                <w:rFonts w:ascii="Times New Roman"/>
                <w:b/>
                <w:bCs/>
                <w:color w:val="000000"/>
                <w:sz w:val="24"/>
                <w:szCs w:val="24"/>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593"/>
              <w:autoSpaceDN w:val="0"/>
              <w:jc w:val="center"/>
              <w:rPr>
                <w:rFonts w:ascii="Times New Roman"/>
                <w:b/>
                <w:bCs/>
                <w:color w:val="000000"/>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593"/>
              <w:autoSpaceDN w:val="0"/>
              <w:jc w:val="center"/>
              <w:rPr>
                <w:rFonts w:ascii="Times New Roman"/>
                <w:b/>
                <w:bCs/>
                <w:color w:val="000000"/>
                <w:sz w:val="24"/>
                <w:szCs w:val="24"/>
                <w:highlight w:val="none"/>
              </w:rPr>
            </w:pPr>
          </w:p>
        </w:tc>
        <w:tc>
          <w:tcPr>
            <w:tcW w:w="1481" w:type="dxa"/>
            <w:tcBorders>
              <w:top w:val="single" w:color="auto" w:sz="4" w:space="0"/>
              <w:left w:val="single" w:color="auto" w:sz="4" w:space="0"/>
              <w:bottom w:val="single" w:color="auto" w:sz="4" w:space="0"/>
              <w:right w:val="single" w:color="auto" w:sz="4" w:space="0"/>
            </w:tcBorders>
            <w:vAlign w:val="center"/>
          </w:tcPr>
          <w:p>
            <w:pPr>
              <w:pStyle w:val="594"/>
              <w:autoSpaceDN w:val="0"/>
              <w:jc w:val="center"/>
              <w:rPr>
                <w:rFonts w:ascii="Times New Roman"/>
                <w:b/>
                <w:bCs/>
                <w:color w:val="000000"/>
                <w:sz w:val="24"/>
                <w:szCs w:val="24"/>
                <w:highlight w:val="none"/>
              </w:rPr>
            </w:pPr>
          </w:p>
        </w:tc>
        <w:tc>
          <w:tcPr>
            <w:tcW w:w="1509" w:type="dxa"/>
            <w:tcBorders>
              <w:top w:val="single" w:color="auto" w:sz="4" w:space="0"/>
              <w:left w:val="single" w:color="auto" w:sz="4" w:space="0"/>
              <w:bottom w:val="single" w:color="auto" w:sz="4" w:space="0"/>
              <w:right w:val="single" w:color="auto" w:sz="4" w:space="0"/>
            </w:tcBorders>
            <w:vAlign w:val="center"/>
          </w:tcPr>
          <w:p>
            <w:pPr>
              <w:pStyle w:val="595"/>
              <w:autoSpaceDN w:val="0"/>
              <w:jc w:val="center"/>
              <w:rPr>
                <w:rFonts w:ascii="Times New Roman"/>
                <w:b/>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793" w:type="dxa"/>
            <w:tcBorders>
              <w:top w:val="single" w:color="auto" w:sz="4" w:space="0"/>
              <w:left w:val="single" w:color="auto" w:sz="4" w:space="0"/>
              <w:bottom w:val="single" w:color="auto" w:sz="4" w:space="0"/>
              <w:right w:val="single" w:color="auto" w:sz="4" w:space="0"/>
            </w:tcBorders>
            <w:vAlign w:val="center"/>
          </w:tcPr>
          <w:p>
            <w:pPr>
              <w:pStyle w:val="596"/>
              <w:autoSpaceDN w:val="0"/>
              <w:jc w:val="center"/>
              <w:rPr>
                <w:rFonts w:ascii="Times New Roman"/>
                <w:b/>
                <w:bCs/>
                <w:color w:val="000000"/>
                <w:sz w:val="24"/>
                <w:szCs w:val="24"/>
                <w:highlight w:val="none"/>
              </w:rPr>
            </w:pPr>
          </w:p>
        </w:tc>
        <w:tc>
          <w:tcPr>
            <w:tcW w:w="1144" w:type="dxa"/>
            <w:tcBorders>
              <w:top w:val="single" w:color="auto" w:sz="4" w:space="0"/>
              <w:left w:val="single" w:color="auto" w:sz="4" w:space="0"/>
              <w:bottom w:val="single" w:color="auto" w:sz="4" w:space="0"/>
              <w:right w:val="single" w:color="auto" w:sz="4" w:space="0"/>
            </w:tcBorders>
            <w:vAlign w:val="center"/>
          </w:tcPr>
          <w:p>
            <w:pPr>
              <w:pStyle w:val="597"/>
              <w:autoSpaceDN w:val="0"/>
              <w:jc w:val="center"/>
              <w:rPr>
                <w:rFonts w:ascii="Times New Roman"/>
                <w:b/>
                <w:bCs/>
                <w:color w:val="000000"/>
                <w:sz w:val="24"/>
                <w:szCs w:val="24"/>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pStyle w:val="598"/>
              <w:autoSpaceDN w:val="0"/>
              <w:jc w:val="center"/>
              <w:rPr>
                <w:rFonts w:ascii="Times New Roman"/>
                <w:b/>
                <w:bCs/>
                <w:color w:val="000000"/>
                <w:sz w:val="24"/>
                <w:szCs w:val="24"/>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599"/>
              <w:autoSpaceDN w:val="0"/>
              <w:jc w:val="center"/>
              <w:rPr>
                <w:rFonts w:ascii="Times New Roman"/>
                <w:b/>
                <w:bCs/>
                <w:color w:val="000000"/>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599"/>
              <w:autoSpaceDN w:val="0"/>
              <w:jc w:val="center"/>
              <w:rPr>
                <w:rFonts w:ascii="Times New Roman"/>
                <w:b/>
                <w:bCs/>
                <w:color w:val="000000"/>
                <w:sz w:val="24"/>
                <w:szCs w:val="24"/>
                <w:highlight w:val="none"/>
              </w:rPr>
            </w:pPr>
          </w:p>
        </w:tc>
        <w:tc>
          <w:tcPr>
            <w:tcW w:w="1481" w:type="dxa"/>
            <w:tcBorders>
              <w:top w:val="single" w:color="auto" w:sz="4" w:space="0"/>
              <w:left w:val="single" w:color="auto" w:sz="4" w:space="0"/>
              <w:bottom w:val="single" w:color="auto" w:sz="4" w:space="0"/>
              <w:right w:val="single" w:color="auto" w:sz="4" w:space="0"/>
            </w:tcBorders>
            <w:vAlign w:val="center"/>
          </w:tcPr>
          <w:p>
            <w:pPr>
              <w:pStyle w:val="600"/>
              <w:autoSpaceDN w:val="0"/>
              <w:jc w:val="center"/>
              <w:rPr>
                <w:rFonts w:ascii="Times New Roman"/>
                <w:b/>
                <w:bCs/>
                <w:color w:val="000000"/>
                <w:sz w:val="24"/>
                <w:szCs w:val="24"/>
                <w:highlight w:val="none"/>
              </w:rPr>
            </w:pPr>
          </w:p>
        </w:tc>
        <w:tc>
          <w:tcPr>
            <w:tcW w:w="1509" w:type="dxa"/>
            <w:tcBorders>
              <w:top w:val="single" w:color="auto" w:sz="4" w:space="0"/>
              <w:left w:val="single" w:color="auto" w:sz="4" w:space="0"/>
              <w:bottom w:val="single" w:color="auto" w:sz="4" w:space="0"/>
              <w:right w:val="single" w:color="auto" w:sz="4" w:space="0"/>
            </w:tcBorders>
            <w:vAlign w:val="center"/>
          </w:tcPr>
          <w:p>
            <w:pPr>
              <w:pStyle w:val="601"/>
              <w:autoSpaceDN w:val="0"/>
              <w:jc w:val="center"/>
              <w:rPr>
                <w:rFonts w:ascii="Times New Roman"/>
                <w:b/>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7550" w:type="dxa"/>
            <w:gridSpan w:val="6"/>
            <w:tcBorders>
              <w:top w:val="single" w:color="auto" w:sz="4" w:space="0"/>
              <w:left w:val="single" w:color="auto" w:sz="4" w:space="0"/>
              <w:bottom w:val="single" w:color="auto" w:sz="4" w:space="0"/>
              <w:right w:val="single" w:color="auto" w:sz="4" w:space="0"/>
            </w:tcBorders>
            <w:vAlign w:val="center"/>
          </w:tcPr>
          <w:p>
            <w:pPr>
              <w:pStyle w:val="602"/>
              <w:autoSpaceDN w:val="0"/>
              <w:jc w:val="center"/>
              <w:rPr>
                <w:rFonts w:ascii="Times New Roman"/>
                <w:b/>
                <w:bCs/>
                <w:color w:val="000000"/>
                <w:sz w:val="24"/>
                <w:szCs w:val="24"/>
                <w:highlight w:val="none"/>
              </w:rPr>
            </w:pPr>
            <w:r>
              <w:rPr>
                <w:rFonts w:ascii="Times New Roman"/>
                <w:b/>
                <w:bCs/>
                <w:color w:val="000000"/>
                <w:sz w:val="24"/>
                <w:szCs w:val="24"/>
                <w:highlight w:val="none"/>
              </w:rPr>
              <w:t xml:space="preserve">                                                    合同总价                                                    </w:t>
            </w:r>
          </w:p>
        </w:tc>
        <w:tc>
          <w:tcPr>
            <w:tcW w:w="1509" w:type="dxa"/>
            <w:tcBorders>
              <w:top w:val="single" w:color="auto" w:sz="4" w:space="0"/>
              <w:left w:val="single" w:color="auto" w:sz="4" w:space="0"/>
              <w:bottom w:val="single" w:color="auto" w:sz="4" w:space="0"/>
              <w:right w:val="single" w:color="auto" w:sz="4" w:space="0"/>
            </w:tcBorders>
            <w:vAlign w:val="center"/>
          </w:tcPr>
          <w:p>
            <w:pPr>
              <w:pStyle w:val="536"/>
              <w:autoSpaceDN w:val="0"/>
              <w:adjustRightInd w:val="0"/>
              <w:snapToGrid w:val="0"/>
              <w:spacing w:line="360" w:lineRule="auto"/>
              <w:jc w:val="center"/>
              <w:rPr>
                <w:b/>
                <w:bCs/>
                <w:color w:val="000000"/>
                <w:sz w:val="24"/>
                <w:highlight w:val="none"/>
              </w:rPr>
            </w:pPr>
          </w:p>
        </w:tc>
      </w:tr>
    </w:tbl>
    <w:p>
      <w:pPr>
        <w:ind w:firstLine="482" w:firstLineChars="200"/>
        <w:rPr>
          <w:rFonts w:hint="eastAsia"/>
          <w:b/>
          <w:bCs/>
          <w:color w:val="000000"/>
          <w:sz w:val="24"/>
          <w:highlight w:val="none"/>
        </w:rPr>
      </w:pPr>
      <w:r>
        <w:rPr>
          <w:b/>
          <w:bCs/>
          <w:color w:val="000000"/>
          <w:sz w:val="24"/>
          <w:highlight w:val="none"/>
        </w:rPr>
        <w:t>第二条 合同总价款</w:t>
      </w:r>
    </w:p>
    <w:p>
      <w:pPr>
        <w:pStyle w:val="620"/>
        <w:spacing w:line="360" w:lineRule="auto"/>
        <w:ind w:firstLine="480" w:firstLineChars="200"/>
        <w:rPr>
          <w:rFonts w:eastAsia="宋体"/>
          <w:color w:val="000000"/>
          <w:sz w:val="24"/>
          <w:szCs w:val="24"/>
          <w:highlight w:val="none"/>
        </w:rPr>
      </w:pPr>
      <w:r>
        <w:rPr>
          <w:rFonts w:eastAsia="宋体"/>
          <w:color w:val="000000"/>
          <w:sz w:val="24"/>
          <w:szCs w:val="24"/>
          <w:highlight w:val="none"/>
        </w:rPr>
        <w:t>甲方以支付总价款__________元，（人民币大写</w:t>
      </w:r>
      <w:r>
        <w:rPr>
          <w:rFonts w:hint="eastAsia" w:eastAsia="宋体"/>
          <w:color w:val="000000"/>
          <w:sz w:val="24"/>
          <w:szCs w:val="24"/>
          <w:highlight w:val="none"/>
        </w:rPr>
        <w:t xml:space="preserve">：         </w:t>
      </w:r>
      <w:r>
        <w:rPr>
          <w:rFonts w:eastAsia="宋体"/>
          <w:color w:val="000000"/>
          <w:sz w:val="24"/>
          <w:szCs w:val="24"/>
          <w:highlight w:val="none"/>
        </w:rPr>
        <w:t>）接受乙方对上述货物的供货和</w:t>
      </w:r>
      <w:r>
        <w:rPr>
          <w:rFonts w:hint="eastAsia" w:eastAsia="宋体"/>
          <w:color w:val="000000"/>
          <w:sz w:val="24"/>
          <w:szCs w:val="24"/>
          <w:highlight w:val="none"/>
        </w:rPr>
        <w:t>伴随</w:t>
      </w:r>
      <w:r>
        <w:rPr>
          <w:rFonts w:eastAsia="宋体"/>
          <w:color w:val="000000"/>
          <w:sz w:val="24"/>
          <w:szCs w:val="24"/>
          <w:highlight w:val="none"/>
        </w:rPr>
        <w:t>服务。包括乙方提供货物、包装、运输、货物的保险和储存、检测、验收、安装调试、保修服务、培训、资料及提供的伴随服务等所有成本、费用及税费，甲方（用户）无需再向乙方支付其他任何费用。详见附件分项报价表、设备配置清单和技术偏离表。</w:t>
      </w:r>
      <w:r>
        <w:rPr>
          <w:rFonts w:hint="eastAsia" w:eastAsia="宋体"/>
          <w:color w:val="000000"/>
          <w:sz w:val="24"/>
          <w:szCs w:val="24"/>
          <w:highlight w:val="none"/>
        </w:rPr>
        <w:t>（根据采购实际可自行调整。）</w:t>
      </w:r>
    </w:p>
    <w:p>
      <w:pPr>
        <w:pStyle w:val="621"/>
        <w:spacing w:line="360" w:lineRule="auto"/>
        <w:ind w:firstLine="482" w:firstLineChars="200"/>
        <w:rPr>
          <w:rFonts w:ascii="Times New Roman" w:eastAsia="宋体"/>
          <w:color w:val="000000"/>
          <w:sz w:val="24"/>
          <w:szCs w:val="24"/>
          <w:highlight w:val="none"/>
        </w:rPr>
      </w:pPr>
      <w:r>
        <w:rPr>
          <w:rFonts w:ascii="Times New Roman" w:eastAsia="宋体"/>
          <w:b/>
          <w:bCs/>
          <w:color w:val="000000"/>
          <w:sz w:val="24"/>
          <w:szCs w:val="24"/>
          <w:highlight w:val="none"/>
        </w:rPr>
        <w:t>第三条 付款条件</w:t>
      </w:r>
    </w:p>
    <w:p>
      <w:pPr>
        <w:ind w:firstLine="480" w:firstLineChars="200"/>
        <w:rPr>
          <w:rFonts w:hint="eastAsia"/>
          <w:color w:val="000000"/>
          <w:sz w:val="24"/>
          <w:highlight w:val="none"/>
        </w:rPr>
      </w:pPr>
      <w:r>
        <w:rPr>
          <w:color w:val="000000"/>
          <w:sz w:val="24"/>
          <w:highlight w:val="none"/>
        </w:rPr>
        <w:t>（一）本合同以人民币付款。</w:t>
      </w:r>
    </w:p>
    <w:p>
      <w:pPr>
        <w:ind w:firstLine="480" w:firstLineChars="200"/>
        <w:rPr>
          <w:rFonts w:hint="eastAsia"/>
          <w:color w:val="000000"/>
          <w:sz w:val="24"/>
          <w:highlight w:val="none"/>
        </w:rPr>
      </w:pPr>
      <w:r>
        <w:rPr>
          <w:color w:val="000000"/>
          <w:sz w:val="24"/>
          <w:highlight w:val="none"/>
        </w:rPr>
        <w:t>（二）付款办法：</w:t>
      </w:r>
    </w:p>
    <w:p>
      <w:pPr>
        <w:ind w:firstLine="480" w:firstLineChars="200"/>
        <w:rPr>
          <w:rFonts w:hint="eastAsia"/>
          <w:color w:val="000000"/>
          <w:sz w:val="24"/>
          <w:highlight w:val="none"/>
        </w:rPr>
      </w:pPr>
      <w:r>
        <w:rPr>
          <w:color w:val="000000"/>
          <w:sz w:val="24"/>
          <w:highlight w:val="none"/>
        </w:rPr>
        <w:t>1.乙方向甲方交付履约保</w:t>
      </w:r>
      <w:r>
        <w:rPr>
          <w:rFonts w:hint="eastAsia"/>
          <w:color w:val="000000"/>
          <w:sz w:val="24"/>
          <w:highlight w:val="none"/>
        </w:rPr>
        <w:t>函或保证金，比例等于合同金额的10%</w:t>
      </w:r>
      <w:r>
        <w:rPr>
          <w:color w:val="000000"/>
          <w:sz w:val="24"/>
          <w:highlight w:val="none"/>
        </w:rPr>
        <w:t>，并提交下列单据之日起10个工作日内，甲方向乙方支付合同总价</w:t>
      </w:r>
      <w:r>
        <w:rPr>
          <w:rFonts w:hint="eastAsia"/>
          <w:color w:val="000000"/>
          <w:sz w:val="24"/>
          <w:highlight w:val="none"/>
          <w:u w:val="single"/>
        </w:rPr>
        <w:t>50</w:t>
      </w:r>
      <w:r>
        <w:rPr>
          <w:color w:val="000000"/>
          <w:sz w:val="24"/>
          <w:highlight w:val="none"/>
        </w:rPr>
        <w:t>%合同款（金额</w:t>
      </w:r>
      <w:r>
        <w:rPr>
          <w:rFonts w:hint="eastAsia"/>
          <w:color w:val="000000"/>
          <w:sz w:val="24"/>
          <w:highlight w:val="none"/>
        </w:rPr>
        <w:t xml:space="preserve">大写：         </w:t>
      </w:r>
      <w:r>
        <w:rPr>
          <w:color w:val="000000"/>
          <w:sz w:val="24"/>
          <w:highlight w:val="none"/>
        </w:rPr>
        <w:t>）。</w:t>
      </w:r>
    </w:p>
    <w:p>
      <w:pPr>
        <w:ind w:firstLine="480" w:firstLineChars="200"/>
        <w:rPr>
          <w:rFonts w:hint="eastAsia"/>
          <w:color w:val="000000"/>
          <w:sz w:val="24"/>
          <w:highlight w:val="none"/>
        </w:rPr>
      </w:pPr>
      <w:r>
        <w:rPr>
          <w:color w:val="000000"/>
          <w:sz w:val="24"/>
          <w:highlight w:val="none"/>
        </w:rPr>
        <w:t>乙方提交单据：合同（正文部分复印件）、中标通知书（或成交通知书复印件）、发票（原件）、履约保</w:t>
      </w:r>
      <w:r>
        <w:rPr>
          <w:rFonts w:hint="eastAsia"/>
          <w:color w:val="000000"/>
          <w:sz w:val="24"/>
          <w:highlight w:val="none"/>
        </w:rPr>
        <w:t>函或保证金</w:t>
      </w:r>
      <w:r>
        <w:rPr>
          <w:color w:val="000000"/>
          <w:sz w:val="24"/>
          <w:highlight w:val="none"/>
        </w:rPr>
        <w:t>单据复印件</w:t>
      </w:r>
      <w:r>
        <w:rPr>
          <w:rFonts w:hint="eastAsia"/>
          <w:color w:val="000000"/>
          <w:sz w:val="24"/>
          <w:highlight w:val="none"/>
        </w:rPr>
        <w:t>（如有）</w:t>
      </w:r>
      <w:r>
        <w:rPr>
          <w:color w:val="000000"/>
          <w:sz w:val="24"/>
          <w:highlight w:val="none"/>
        </w:rPr>
        <w:t>。</w:t>
      </w:r>
    </w:p>
    <w:p>
      <w:pPr>
        <w:ind w:firstLine="480" w:firstLineChars="200"/>
        <w:rPr>
          <w:rFonts w:hint="eastAsia"/>
          <w:color w:val="000000"/>
          <w:sz w:val="24"/>
          <w:highlight w:val="none"/>
        </w:rPr>
      </w:pPr>
      <w:r>
        <w:rPr>
          <w:color w:val="000000"/>
          <w:sz w:val="24"/>
          <w:szCs w:val="24"/>
          <w:highlight w:val="none"/>
        </w:rPr>
        <w:t>2.</w:t>
      </w:r>
      <w:r>
        <w:rPr>
          <w:rFonts w:hint="eastAsia"/>
          <w:sz w:val="24"/>
          <w:szCs w:val="24"/>
          <w:highlight w:val="none"/>
        </w:rPr>
        <w:t xml:space="preserve"> 设备全部到货并经甲方（用户）签收后，乙方向甲方提交下列单据之日起10个工作日内，甲方向乙方支付合同总价</w:t>
      </w:r>
      <w:r>
        <w:rPr>
          <w:rFonts w:hint="eastAsia"/>
          <w:color w:val="000000"/>
          <w:sz w:val="24"/>
          <w:szCs w:val="24"/>
          <w:highlight w:val="none"/>
          <w:u w:val="single"/>
        </w:rPr>
        <w:t>50</w:t>
      </w:r>
      <w:r>
        <w:rPr>
          <w:color w:val="000000"/>
          <w:sz w:val="24"/>
          <w:szCs w:val="24"/>
          <w:highlight w:val="none"/>
        </w:rPr>
        <w:t>%</w:t>
      </w:r>
      <w:r>
        <w:rPr>
          <w:color w:val="000000"/>
          <w:sz w:val="24"/>
          <w:highlight w:val="none"/>
        </w:rPr>
        <w:t>合同款（金额</w:t>
      </w:r>
      <w:r>
        <w:rPr>
          <w:rFonts w:hint="eastAsia"/>
          <w:color w:val="000000"/>
          <w:sz w:val="24"/>
          <w:highlight w:val="none"/>
        </w:rPr>
        <w:t xml:space="preserve">大写：            </w:t>
      </w:r>
      <w:r>
        <w:rPr>
          <w:color w:val="000000"/>
          <w:sz w:val="24"/>
          <w:highlight w:val="none"/>
        </w:rPr>
        <w:t>）。</w:t>
      </w:r>
    </w:p>
    <w:p>
      <w:pPr>
        <w:ind w:firstLine="480" w:firstLineChars="200"/>
        <w:rPr>
          <w:rFonts w:hint="eastAsia"/>
          <w:color w:val="000000"/>
          <w:sz w:val="24"/>
          <w:highlight w:val="none"/>
        </w:rPr>
      </w:pPr>
      <w:r>
        <w:rPr>
          <w:color w:val="000000"/>
          <w:sz w:val="24"/>
          <w:highlight w:val="none"/>
        </w:rPr>
        <w:t>乙方提交单据：合同(正文部分复印件）、中标通知书（或成交通知书复印件）、发票（原件）、设备到</w:t>
      </w:r>
      <w:r>
        <w:rPr>
          <w:rFonts w:hint="eastAsia"/>
          <w:color w:val="000000"/>
          <w:sz w:val="24"/>
          <w:highlight w:val="none"/>
          <w:lang w:val="en-US" w:eastAsia="zh-CN"/>
        </w:rPr>
        <w:t>货</w:t>
      </w:r>
      <w:r>
        <w:rPr>
          <w:color w:val="000000"/>
          <w:sz w:val="24"/>
          <w:highlight w:val="none"/>
        </w:rPr>
        <w:t>签收单（复印件）。</w:t>
      </w:r>
    </w:p>
    <w:p>
      <w:pPr>
        <w:ind w:firstLine="480" w:firstLineChars="200"/>
        <w:rPr>
          <w:rFonts w:hint="eastAsia"/>
          <w:color w:val="000000"/>
          <w:sz w:val="24"/>
          <w:highlight w:val="none"/>
        </w:rPr>
      </w:pPr>
      <w:r>
        <w:rPr>
          <w:color w:val="000000"/>
          <w:sz w:val="24"/>
          <w:highlight w:val="none"/>
        </w:rPr>
        <w:t>3.设备全部安装调试，并经甲方（用户）验收合格后，乙方向甲方提交下列单据之日起</w:t>
      </w:r>
      <w:r>
        <w:rPr>
          <w:rFonts w:hint="eastAsia"/>
          <w:color w:val="000000"/>
          <w:sz w:val="24"/>
          <w:highlight w:val="none"/>
        </w:rPr>
        <w:t>30</w:t>
      </w:r>
      <w:r>
        <w:rPr>
          <w:color w:val="000000"/>
          <w:sz w:val="24"/>
          <w:highlight w:val="none"/>
        </w:rPr>
        <w:t>日内，甲方向乙方</w:t>
      </w:r>
      <w:r>
        <w:rPr>
          <w:rFonts w:hint="eastAsia"/>
          <w:color w:val="000000"/>
          <w:sz w:val="24"/>
          <w:highlight w:val="none"/>
        </w:rPr>
        <w:t>无息退还履约保函或保证金</w:t>
      </w:r>
      <w:r>
        <w:rPr>
          <w:color w:val="000000"/>
          <w:sz w:val="24"/>
          <w:highlight w:val="none"/>
        </w:rPr>
        <w:t>。</w:t>
      </w:r>
    </w:p>
    <w:p>
      <w:pPr>
        <w:ind w:firstLine="480" w:firstLineChars="200"/>
        <w:rPr>
          <w:rFonts w:hint="eastAsia"/>
          <w:color w:val="000000"/>
          <w:sz w:val="24"/>
          <w:highlight w:val="none"/>
        </w:rPr>
      </w:pPr>
      <w:r>
        <w:rPr>
          <w:color w:val="000000"/>
          <w:sz w:val="24"/>
          <w:highlight w:val="none"/>
        </w:rPr>
        <w:t>乙方提交单据：</w:t>
      </w:r>
      <w:r>
        <w:rPr>
          <w:rFonts w:hint="eastAsia"/>
          <w:color w:val="000000"/>
          <w:sz w:val="24"/>
          <w:highlight w:val="none"/>
        </w:rPr>
        <w:t>退还申请（原件）、</w:t>
      </w:r>
      <w:r>
        <w:rPr>
          <w:color w:val="000000"/>
          <w:sz w:val="24"/>
          <w:highlight w:val="none"/>
        </w:rPr>
        <w:t>安装调试验收合格报告（复印件）。</w:t>
      </w:r>
    </w:p>
    <w:p>
      <w:pPr>
        <w:ind w:firstLine="480" w:firstLineChars="200"/>
        <w:rPr>
          <w:rFonts w:hint="eastAsia"/>
          <w:color w:val="000000"/>
          <w:sz w:val="24"/>
          <w:highlight w:val="none"/>
        </w:rPr>
      </w:pPr>
      <w:r>
        <w:rPr>
          <w:color w:val="000000"/>
          <w:sz w:val="24"/>
          <w:highlight w:val="none"/>
        </w:rPr>
        <w:t>4.因财政集中支付延误时间不计算在内</w:t>
      </w:r>
      <w:r>
        <w:rPr>
          <w:rFonts w:hint="eastAsia"/>
          <w:color w:val="000000"/>
          <w:sz w:val="24"/>
          <w:highlight w:val="none"/>
        </w:rPr>
        <w:t>。</w:t>
      </w:r>
      <w:r>
        <w:rPr>
          <w:color w:val="000000"/>
          <w:sz w:val="24"/>
          <w:highlight w:val="none"/>
        </w:rPr>
        <w:t>乙方提交付款单据延迟、缺失及账户信息错误的，甲方有权相应顺延付款期限，且甲方不承担延误付款责任。</w:t>
      </w:r>
    </w:p>
    <w:p>
      <w:pPr>
        <w:pStyle w:val="603"/>
        <w:autoSpaceDN w:val="0"/>
        <w:ind w:firstLine="480" w:firstLineChars="200"/>
        <w:jc w:val="left"/>
        <w:rPr>
          <w:snapToGrid w:val="0"/>
          <w:sz w:val="24"/>
          <w:szCs w:val="24"/>
          <w:highlight w:val="none"/>
        </w:rPr>
      </w:pPr>
      <w:r>
        <w:rPr>
          <w:snapToGrid w:val="0"/>
          <w:sz w:val="24"/>
          <w:szCs w:val="24"/>
          <w:highlight w:val="none"/>
        </w:rPr>
        <w:t>乙方收取货款账户为：</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4" w:type="dxa"/>
            <w:vAlign w:val="center"/>
          </w:tcPr>
          <w:p>
            <w:pPr>
              <w:pStyle w:val="603"/>
              <w:autoSpaceDN w:val="0"/>
              <w:jc w:val="left"/>
              <w:rPr>
                <w:snapToGrid w:val="0"/>
                <w:sz w:val="24"/>
                <w:szCs w:val="24"/>
                <w:highlight w:val="none"/>
              </w:rPr>
            </w:pPr>
            <w:r>
              <w:rPr>
                <w:snapToGrid w:val="0"/>
                <w:sz w:val="24"/>
                <w:szCs w:val="24"/>
                <w:highlight w:val="none"/>
              </w:rPr>
              <w:t>乙方全称</w:t>
            </w:r>
          </w:p>
        </w:tc>
        <w:tc>
          <w:tcPr>
            <w:tcW w:w="6051" w:type="dxa"/>
            <w:vAlign w:val="center"/>
          </w:tcPr>
          <w:p>
            <w:pPr>
              <w:pStyle w:val="603"/>
              <w:autoSpaceDN w:val="0"/>
              <w:ind w:firstLine="480" w:firstLineChars="200"/>
              <w:jc w:val="left"/>
              <w:rPr>
                <w:snapToGrid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804" w:type="dxa"/>
            <w:vAlign w:val="center"/>
          </w:tcPr>
          <w:p>
            <w:pPr>
              <w:pStyle w:val="603"/>
              <w:autoSpaceDN w:val="0"/>
              <w:jc w:val="left"/>
              <w:rPr>
                <w:snapToGrid w:val="0"/>
                <w:sz w:val="24"/>
                <w:szCs w:val="24"/>
                <w:highlight w:val="none"/>
              </w:rPr>
            </w:pPr>
            <w:r>
              <w:rPr>
                <w:snapToGrid w:val="0"/>
                <w:sz w:val="24"/>
                <w:szCs w:val="24"/>
                <w:highlight w:val="none"/>
              </w:rPr>
              <w:t>开户银行</w:t>
            </w:r>
          </w:p>
        </w:tc>
        <w:tc>
          <w:tcPr>
            <w:tcW w:w="6051" w:type="dxa"/>
            <w:vAlign w:val="center"/>
          </w:tcPr>
          <w:p>
            <w:pPr>
              <w:pStyle w:val="603"/>
              <w:autoSpaceDN w:val="0"/>
              <w:ind w:firstLine="480" w:firstLineChars="200"/>
              <w:jc w:val="left"/>
              <w:rPr>
                <w:snapToGrid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804" w:type="dxa"/>
            <w:vAlign w:val="center"/>
          </w:tcPr>
          <w:p>
            <w:pPr>
              <w:pStyle w:val="603"/>
              <w:autoSpaceDN w:val="0"/>
              <w:jc w:val="left"/>
              <w:rPr>
                <w:snapToGrid w:val="0"/>
                <w:sz w:val="24"/>
                <w:szCs w:val="24"/>
                <w:highlight w:val="none"/>
              </w:rPr>
            </w:pPr>
            <w:r>
              <w:rPr>
                <w:snapToGrid w:val="0"/>
                <w:sz w:val="24"/>
                <w:szCs w:val="24"/>
                <w:highlight w:val="none"/>
              </w:rPr>
              <w:t>账号</w:t>
            </w:r>
          </w:p>
        </w:tc>
        <w:tc>
          <w:tcPr>
            <w:tcW w:w="6051" w:type="dxa"/>
            <w:vAlign w:val="center"/>
          </w:tcPr>
          <w:p>
            <w:pPr>
              <w:pStyle w:val="603"/>
              <w:autoSpaceDN w:val="0"/>
              <w:ind w:firstLine="480" w:firstLineChars="200"/>
              <w:jc w:val="left"/>
              <w:rPr>
                <w:snapToGrid w:val="0"/>
                <w:sz w:val="24"/>
                <w:szCs w:val="24"/>
                <w:highlight w:val="none"/>
              </w:rPr>
            </w:pPr>
          </w:p>
        </w:tc>
      </w:tr>
    </w:tbl>
    <w:p>
      <w:pPr>
        <w:ind w:firstLine="482" w:firstLineChars="200"/>
        <w:rPr>
          <w:rFonts w:hint="eastAsia"/>
          <w:b/>
          <w:bCs/>
          <w:color w:val="000000"/>
          <w:sz w:val="24"/>
          <w:highlight w:val="none"/>
        </w:rPr>
      </w:pPr>
      <w:r>
        <w:rPr>
          <w:b/>
          <w:bCs/>
          <w:color w:val="000000"/>
          <w:sz w:val="24"/>
          <w:highlight w:val="none"/>
        </w:rPr>
        <w:t>第四条 履约保证金</w:t>
      </w:r>
    </w:p>
    <w:p>
      <w:pPr>
        <w:pStyle w:val="622"/>
        <w:spacing w:line="360" w:lineRule="auto"/>
        <w:ind w:firstLine="480" w:firstLineChars="200"/>
        <w:rPr>
          <w:rFonts w:eastAsia="宋体"/>
          <w:color w:val="000000"/>
          <w:sz w:val="24"/>
          <w:szCs w:val="24"/>
          <w:highlight w:val="none"/>
        </w:rPr>
      </w:pPr>
      <w:r>
        <w:rPr>
          <w:rFonts w:eastAsia="宋体"/>
          <w:color w:val="000000"/>
          <w:sz w:val="24"/>
          <w:szCs w:val="24"/>
          <w:highlight w:val="none"/>
        </w:rPr>
        <w:t>（一）合同签订之日起</w:t>
      </w:r>
      <w:r>
        <w:rPr>
          <w:rFonts w:hint="eastAsia" w:eastAsia="宋体"/>
          <w:color w:val="000000"/>
          <w:sz w:val="24"/>
          <w:szCs w:val="24"/>
          <w:highlight w:val="none"/>
          <w:u w:val="single"/>
        </w:rPr>
        <w:t xml:space="preserve"> 20 </w:t>
      </w:r>
      <w:r>
        <w:rPr>
          <w:rFonts w:eastAsia="宋体"/>
          <w:color w:val="000000"/>
          <w:sz w:val="24"/>
          <w:szCs w:val="24"/>
          <w:highlight w:val="none"/>
        </w:rPr>
        <w:t>个工作日内，乙方须按合同金额的</w:t>
      </w:r>
      <w:r>
        <w:rPr>
          <w:rFonts w:hint="eastAsia" w:eastAsia="宋体"/>
          <w:color w:val="000000"/>
          <w:sz w:val="24"/>
          <w:szCs w:val="24"/>
          <w:highlight w:val="none"/>
          <w:u w:val="single"/>
        </w:rPr>
        <w:t xml:space="preserve"> 10  </w:t>
      </w:r>
      <w:r>
        <w:rPr>
          <w:rFonts w:eastAsia="宋体"/>
          <w:color w:val="000000"/>
          <w:sz w:val="24"/>
          <w:szCs w:val="24"/>
          <w:highlight w:val="none"/>
        </w:rPr>
        <w:t>%向甲方交纳履约保证金</w:t>
      </w:r>
      <w:r>
        <w:rPr>
          <w:rFonts w:hint="eastAsia" w:eastAsia="宋体"/>
          <w:color w:val="000000"/>
          <w:sz w:val="24"/>
          <w:szCs w:val="24"/>
          <w:highlight w:val="none"/>
        </w:rPr>
        <w:t>或保函</w:t>
      </w:r>
      <w:r>
        <w:rPr>
          <w:rFonts w:eastAsia="宋体"/>
          <w:color w:val="000000"/>
          <w:sz w:val="24"/>
          <w:szCs w:val="24"/>
          <w:highlight w:val="none"/>
        </w:rPr>
        <w:t>。如果乙方未按照约定时间交付履约保证金的，甲方有权单方面解除合同。</w:t>
      </w:r>
    </w:p>
    <w:p>
      <w:pPr>
        <w:pStyle w:val="623"/>
        <w:autoSpaceDN w:val="0"/>
        <w:spacing w:line="360" w:lineRule="auto"/>
        <w:ind w:firstLine="480" w:firstLineChars="200"/>
        <w:jc w:val="left"/>
        <w:rPr>
          <w:snapToGrid w:val="0"/>
          <w:kern w:val="0"/>
          <w:sz w:val="24"/>
          <w:szCs w:val="24"/>
          <w:highlight w:val="none"/>
        </w:rPr>
      </w:pPr>
      <w:r>
        <w:rPr>
          <w:snapToGrid w:val="0"/>
          <w:kern w:val="0"/>
          <w:sz w:val="24"/>
          <w:szCs w:val="24"/>
          <w:highlight w:val="none"/>
        </w:rPr>
        <w:t>甲方指定履约保证金收款账户为：</w:t>
      </w:r>
      <w:r>
        <w:rPr>
          <w:rFonts w:hint="eastAsia"/>
          <w:snapToGrid w:val="0"/>
          <w:kern w:val="0"/>
          <w:sz w:val="24"/>
          <w:szCs w:val="24"/>
          <w:highlight w:val="none"/>
        </w:rPr>
        <w:t>（如为保函，则无需填甲方收款账户）</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6"/>
        <w:gridCol w:w="5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vAlign w:val="center"/>
          </w:tcPr>
          <w:p>
            <w:pPr>
              <w:pStyle w:val="623"/>
              <w:autoSpaceDN w:val="0"/>
              <w:spacing w:line="360" w:lineRule="auto"/>
              <w:jc w:val="left"/>
              <w:rPr>
                <w:snapToGrid w:val="0"/>
                <w:kern w:val="0"/>
                <w:sz w:val="24"/>
                <w:szCs w:val="24"/>
                <w:highlight w:val="none"/>
              </w:rPr>
            </w:pPr>
            <w:r>
              <w:rPr>
                <w:snapToGrid w:val="0"/>
                <w:kern w:val="0"/>
                <w:sz w:val="24"/>
                <w:szCs w:val="24"/>
                <w:highlight w:val="none"/>
              </w:rPr>
              <w:t>收款单位全称</w:t>
            </w:r>
          </w:p>
        </w:tc>
        <w:tc>
          <w:tcPr>
            <w:tcW w:w="5469" w:type="dxa"/>
            <w:vAlign w:val="center"/>
          </w:tcPr>
          <w:p>
            <w:pPr>
              <w:pStyle w:val="623"/>
              <w:autoSpaceDN w:val="0"/>
              <w:spacing w:line="360" w:lineRule="auto"/>
              <w:ind w:firstLine="480" w:firstLineChars="200"/>
              <w:jc w:val="left"/>
              <w:rPr>
                <w:snapToGrid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386" w:type="dxa"/>
            <w:vAlign w:val="center"/>
          </w:tcPr>
          <w:p>
            <w:pPr>
              <w:pStyle w:val="623"/>
              <w:autoSpaceDN w:val="0"/>
              <w:spacing w:line="360" w:lineRule="auto"/>
              <w:jc w:val="left"/>
              <w:rPr>
                <w:snapToGrid w:val="0"/>
                <w:kern w:val="0"/>
                <w:sz w:val="24"/>
                <w:szCs w:val="24"/>
                <w:highlight w:val="none"/>
              </w:rPr>
            </w:pPr>
            <w:r>
              <w:rPr>
                <w:snapToGrid w:val="0"/>
                <w:kern w:val="0"/>
                <w:sz w:val="24"/>
                <w:szCs w:val="24"/>
                <w:highlight w:val="none"/>
              </w:rPr>
              <w:t>开户银行</w:t>
            </w:r>
          </w:p>
        </w:tc>
        <w:tc>
          <w:tcPr>
            <w:tcW w:w="5469" w:type="dxa"/>
            <w:vAlign w:val="center"/>
          </w:tcPr>
          <w:p>
            <w:pPr>
              <w:pStyle w:val="623"/>
              <w:autoSpaceDN w:val="0"/>
              <w:spacing w:line="360" w:lineRule="auto"/>
              <w:ind w:firstLine="480" w:firstLineChars="200"/>
              <w:jc w:val="left"/>
              <w:rPr>
                <w:snapToGrid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2386" w:type="dxa"/>
            <w:vAlign w:val="center"/>
          </w:tcPr>
          <w:p>
            <w:pPr>
              <w:pStyle w:val="623"/>
              <w:autoSpaceDN w:val="0"/>
              <w:spacing w:line="360" w:lineRule="auto"/>
              <w:jc w:val="left"/>
              <w:rPr>
                <w:snapToGrid w:val="0"/>
                <w:kern w:val="0"/>
                <w:sz w:val="24"/>
                <w:szCs w:val="24"/>
                <w:highlight w:val="none"/>
              </w:rPr>
            </w:pPr>
            <w:r>
              <w:rPr>
                <w:snapToGrid w:val="0"/>
                <w:kern w:val="0"/>
                <w:sz w:val="24"/>
                <w:szCs w:val="24"/>
                <w:highlight w:val="none"/>
              </w:rPr>
              <w:t>账号</w:t>
            </w:r>
          </w:p>
        </w:tc>
        <w:tc>
          <w:tcPr>
            <w:tcW w:w="5469" w:type="dxa"/>
            <w:vAlign w:val="center"/>
          </w:tcPr>
          <w:p>
            <w:pPr>
              <w:pStyle w:val="623"/>
              <w:autoSpaceDN w:val="0"/>
              <w:spacing w:line="360" w:lineRule="auto"/>
              <w:ind w:firstLine="480" w:firstLineChars="200"/>
              <w:jc w:val="left"/>
              <w:rPr>
                <w:snapToGrid w:val="0"/>
                <w:kern w:val="0"/>
                <w:sz w:val="24"/>
                <w:szCs w:val="24"/>
                <w:highlight w:val="none"/>
              </w:rPr>
            </w:pPr>
          </w:p>
        </w:tc>
      </w:tr>
    </w:tbl>
    <w:p>
      <w:pPr>
        <w:pStyle w:val="622"/>
        <w:spacing w:line="360" w:lineRule="auto"/>
        <w:ind w:firstLine="480" w:firstLineChars="200"/>
        <w:rPr>
          <w:rFonts w:eastAsia="宋体"/>
          <w:color w:val="000000"/>
          <w:sz w:val="24"/>
          <w:szCs w:val="24"/>
          <w:highlight w:val="none"/>
        </w:rPr>
      </w:pPr>
      <w:r>
        <w:rPr>
          <w:rFonts w:eastAsia="宋体"/>
          <w:color w:val="000000"/>
          <w:sz w:val="24"/>
          <w:szCs w:val="24"/>
          <w:highlight w:val="none"/>
        </w:rPr>
        <w:t>（二）履约保证金以银行保函、银行电汇向甲方提供。</w:t>
      </w:r>
    </w:p>
    <w:p>
      <w:pPr>
        <w:ind w:firstLine="480" w:firstLineChars="200"/>
        <w:rPr>
          <w:rFonts w:hint="eastAsia"/>
          <w:color w:val="000000"/>
          <w:sz w:val="24"/>
          <w:highlight w:val="none"/>
        </w:rPr>
      </w:pPr>
      <w:r>
        <w:rPr>
          <w:rFonts w:eastAsia="宋体"/>
          <w:color w:val="000000"/>
          <w:sz w:val="24"/>
          <w:szCs w:val="24"/>
          <w:highlight w:val="none"/>
        </w:rPr>
        <w:t>（三）</w:t>
      </w:r>
      <w:r>
        <w:rPr>
          <w:color w:val="000000"/>
          <w:sz w:val="24"/>
          <w:highlight w:val="none"/>
        </w:rPr>
        <w:t>如乙方未能履行合同规定的义务，甲方有权按照本合同的约定从履约保证金中进行相应扣除。乙方应在甲方扣除履约保证金之日起10个工作日内，及时补充扣除部分金额。</w:t>
      </w:r>
    </w:p>
    <w:p>
      <w:pPr>
        <w:ind w:firstLine="480" w:firstLineChars="200"/>
        <w:rPr>
          <w:rFonts w:hint="eastAsia"/>
          <w:color w:val="000000"/>
          <w:sz w:val="24"/>
          <w:highlight w:val="none"/>
        </w:rPr>
      </w:pPr>
      <w:r>
        <w:rPr>
          <w:color w:val="000000"/>
          <w:sz w:val="24"/>
          <w:highlight w:val="none"/>
        </w:rPr>
        <w:t>（</w:t>
      </w:r>
      <w:r>
        <w:rPr>
          <w:rFonts w:hint="eastAsia"/>
          <w:color w:val="000000"/>
          <w:sz w:val="24"/>
          <w:highlight w:val="none"/>
          <w:lang w:val="en-US" w:eastAsia="zh-CN"/>
        </w:rPr>
        <w:t>四</w:t>
      </w:r>
      <w:r>
        <w:rPr>
          <w:color w:val="000000"/>
          <w:sz w:val="24"/>
          <w:highlight w:val="none"/>
        </w:rPr>
        <w:t>）如乙方不履行合同，或履行合同义务不符合约定使得合同目的不能实现，履约保证金不予退还。</w:t>
      </w:r>
    </w:p>
    <w:p>
      <w:pPr>
        <w:ind w:firstLine="482" w:firstLineChars="200"/>
        <w:rPr>
          <w:rFonts w:hint="eastAsia"/>
          <w:b/>
          <w:bCs/>
          <w:color w:val="000000"/>
          <w:sz w:val="24"/>
          <w:highlight w:val="none"/>
        </w:rPr>
      </w:pPr>
      <w:r>
        <w:rPr>
          <w:b/>
          <w:bCs/>
          <w:color w:val="000000"/>
          <w:sz w:val="24"/>
          <w:highlight w:val="none"/>
        </w:rPr>
        <w:t>第五条 包装</w:t>
      </w:r>
    </w:p>
    <w:p>
      <w:pPr>
        <w:pStyle w:val="624"/>
        <w:spacing w:line="360" w:lineRule="auto"/>
        <w:ind w:firstLine="480" w:firstLineChars="200"/>
        <w:rPr>
          <w:rFonts w:eastAsia="宋体"/>
          <w:color w:val="000000"/>
          <w:sz w:val="24"/>
          <w:szCs w:val="24"/>
          <w:highlight w:val="none"/>
        </w:rPr>
      </w:pPr>
      <w:r>
        <w:rPr>
          <w:rFonts w:eastAsia="宋体"/>
          <w:color w:val="000000"/>
          <w:sz w:val="24"/>
          <w:szCs w:val="24"/>
          <w:highlight w:val="none"/>
        </w:rPr>
        <w:t>（一）除合同另有规定外，乙方提供的全部货物均应按标准</w:t>
      </w:r>
      <w:r>
        <w:rPr>
          <w:rFonts w:eastAsia="宋体"/>
          <w:snapToGrid w:val="0"/>
          <w:color w:val="000000"/>
          <w:kern w:val="0"/>
          <w:sz w:val="24"/>
          <w:szCs w:val="24"/>
          <w:highlight w:val="none"/>
        </w:rPr>
        <w:t>保护措施进行包装，这类包装应适应于远距离运输、防潮、防震、</w:t>
      </w:r>
      <w:r>
        <w:rPr>
          <w:rFonts w:eastAsia="宋体"/>
          <w:color w:val="000000"/>
          <w:sz w:val="24"/>
          <w:szCs w:val="24"/>
          <w:highlight w:val="none"/>
        </w:rPr>
        <w:t>防锈和防野蛮装卸，以确保货物安全无损运抵指定交货地点。</w:t>
      </w:r>
    </w:p>
    <w:p>
      <w:pPr>
        <w:pStyle w:val="624"/>
        <w:spacing w:line="360" w:lineRule="auto"/>
        <w:ind w:firstLine="480" w:firstLineChars="200"/>
        <w:rPr>
          <w:rFonts w:eastAsia="宋体"/>
          <w:color w:val="000000"/>
          <w:sz w:val="24"/>
          <w:szCs w:val="24"/>
          <w:highlight w:val="none"/>
        </w:rPr>
      </w:pPr>
      <w:r>
        <w:rPr>
          <w:rFonts w:eastAsia="宋体"/>
          <w:color w:val="000000"/>
          <w:sz w:val="24"/>
          <w:szCs w:val="24"/>
          <w:highlight w:val="none"/>
        </w:rPr>
        <w:t>（二）乙方应在包装箱外标明产品名称、型号，包装箱内随附一份详细装箱单和质量证书。</w:t>
      </w:r>
    </w:p>
    <w:p>
      <w:pPr>
        <w:ind w:firstLine="480" w:firstLineChars="200"/>
        <w:rPr>
          <w:rFonts w:hint="eastAsia"/>
          <w:color w:val="000000"/>
          <w:sz w:val="24"/>
          <w:highlight w:val="none"/>
        </w:rPr>
      </w:pPr>
      <w:r>
        <w:rPr>
          <w:color w:val="000000"/>
          <w:sz w:val="24"/>
          <w:highlight w:val="none"/>
        </w:rPr>
        <w:t>（三）乙方应承担由于其包装或防护措施不当而引起的货物损坏和丢失的任何损失责任和费用。</w:t>
      </w:r>
    </w:p>
    <w:p>
      <w:pPr>
        <w:ind w:firstLine="482" w:firstLineChars="200"/>
        <w:rPr>
          <w:rFonts w:hint="eastAsia"/>
          <w:b/>
          <w:bCs/>
          <w:color w:val="000000"/>
          <w:sz w:val="24"/>
          <w:highlight w:val="none"/>
        </w:rPr>
      </w:pPr>
      <w:r>
        <w:rPr>
          <w:b/>
          <w:bCs/>
          <w:color w:val="000000"/>
          <w:sz w:val="24"/>
          <w:highlight w:val="none"/>
        </w:rPr>
        <w:t>第六条 交货时间、地点、交货方法（运输方式）</w:t>
      </w:r>
    </w:p>
    <w:p>
      <w:pPr>
        <w:pStyle w:val="625"/>
        <w:spacing w:line="360" w:lineRule="auto"/>
        <w:ind w:firstLine="480" w:firstLineChars="200"/>
        <w:rPr>
          <w:rFonts w:eastAsia="宋体"/>
          <w:color w:val="000000"/>
          <w:sz w:val="24"/>
          <w:szCs w:val="24"/>
          <w:highlight w:val="none"/>
        </w:rPr>
      </w:pPr>
      <w:r>
        <w:rPr>
          <w:rFonts w:eastAsia="宋体"/>
          <w:color w:val="000000"/>
          <w:sz w:val="24"/>
          <w:szCs w:val="24"/>
          <w:highlight w:val="none"/>
        </w:rPr>
        <w:t>（一</w:t>
      </w:r>
      <w:r>
        <w:rPr>
          <w:rFonts w:eastAsia="宋体"/>
          <w:snapToGrid w:val="0"/>
          <w:color w:val="000000"/>
          <w:kern w:val="0"/>
          <w:sz w:val="24"/>
          <w:szCs w:val="24"/>
          <w:highlight w:val="none"/>
        </w:rPr>
        <w:t>）交</w:t>
      </w:r>
      <w:r>
        <w:rPr>
          <w:rFonts w:eastAsia="宋体"/>
          <w:color w:val="000000"/>
          <w:sz w:val="24"/>
          <w:szCs w:val="24"/>
          <w:highlight w:val="none"/>
        </w:rPr>
        <w:t>货时间：</w:t>
      </w:r>
      <w:r>
        <w:rPr>
          <w:rFonts w:hint="eastAsia" w:eastAsia="宋体"/>
          <w:color w:val="000000"/>
          <w:sz w:val="24"/>
          <w:szCs w:val="24"/>
          <w:highlight w:val="none"/>
        </w:rPr>
        <w:t>合同签订后90日内完成交货</w:t>
      </w:r>
      <w:r>
        <w:rPr>
          <w:rFonts w:eastAsia="宋体"/>
          <w:color w:val="000000"/>
          <w:sz w:val="24"/>
          <w:szCs w:val="24"/>
          <w:highlight w:val="none"/>
        </w:rPr>
        <w:t>。</w:t>
      </w:r>
    </w:p>
    <w:p>
      <w:pPr>
        <w:pStyle w:val="626"/>
        <w:spacing w:line="360" w:lineRule="auto"/>
        <w:ind w:firstLine="480" w:firstLineChars="200"/>
        <w:rPr>
          <w:rFonts w:eastAsia="宋体"/>
          <w:color w:val="000000"/>
          <w:sz w:val="24"/>
          <w:szCs w:val="24"/>
          <w:highlight w:val="none"/>
        </w:rPr>
      </w:pPr>
      <w:r>
        <w:rPr>
          <w:rFonts w:hint="eastAsia" w:eastAsia="宋体"/>
          <w:color w:val="000000"/>
          <w:sz w:val="24"/>
          <w:szCs w:val="24"/>
          <w:highlight w:val="none"/>
        </w:rPr>
        <w:t>（二）交货地点：深圳市福田区福强路</w:t>
      </w:r>
      <w:r>
        <w:rPr>
          <w:rFonts w:eastAsia="宋体"/>
          <w:color w:val="000000"/>
          <w:sz w:val="24"/>
          <w:szCs w:val="24"/>
          <w:highlight w:val="none"/>
        </w:rPr>
        <w:t>1011</w:t>
      </w:r>
      <w:r>
        <w:rPr>
          <w:rFonts w:hint="eastAsia" w:eastAsia="宋体"/>
          <w:color w:val="000000"/>
          <w:sz w:val="24"/>
          <w:szCs w:val="24"/>
          <w:highlight w:val="none"/>
        </w:rPr>
        <w:t>号深圳海关福强路办公区</w:t>
      </w:r>
      <w:r>
        <w:rPr>
          <w:rFonts w:eastAsia="宋体"/>
          <w:color w:val="000000"/>
          <w:sz w:val="24"/>
          <w:szCs w:val="24"/>
          <w:highlight w:val="none"/>
        </w:rPr>
        <w:t>A</w:t>
      </w:r>
      <w:r>
        <w:rPr>
          <w:rFonts w:hint="eastAsia" w:eastAsia="宋体"/>
          <w:color w:val="000000"/>
          <w:sz w:val="24"/>
          <w:szCs w:val="24"/>
          <w:highlight w:val="none"/>
        </w:rPr>
        <w:t>栋指定地点。</w:t>
      </w:r>
    </w:p>
    <w:p>
      <w:pPr>
        <w:pStyle w:val="627"/>
        <w:spacing w:line="360" w:lineRule="auto"/>
        <w:ind w:firstLine="480" w:firstLineChars="200"/>
        <w:rPr>
          <w:rFonts w:eastAsia="宋体"/>
          <w:color w:val="000000"/>
          <w:sz w:val="24"/>
          <w:szCs w:val="24"/>
          <w:highlight w:val="none"/>
        </w:rPr>
      </w:pPr>
      <w:r>
        <w:rPr>
          <w:rFonts w:eastAsia="宋体"/>
          <w:color w:val="000000"/>
          <w:sz w:val="24"/>
          <w:szCs w:val="24"/>
          <w:highlight w:val="none"/>
        </w:rPr>
        <w:t>（三）交货方法：由乙方负责采用适合的交通工具将采购货物及其附件运至交货现场并按甲方要求完成卸货，以双方签署设备到货验收签收单为准，交货时应一并交付货物的有关单证。货物从生产厂运至海关指定地点的运输、劳务及相关保险的办理由乙方负责并承担相应费用。</w:t>
      </w:r>
    </w:p>
    <w:p>
      <w:pPr>
        <w:pStyle w:val="628"/>
        <w:spacing w:line="360" w:lineRule="auto"/>
        <w:ind w:firstLine="480" w:firstLineChars="200"/>
        <w:rPr>
          <w:rFonts w:eastAsia="宋体"/>
          <w:color w:val="000000"/>
          <w:sz w:val="24"/>
          <w:szCs w:val="24"/>
          <w:highlight w:val="none"/>
        </w:rPr>
      </w:pPr>
      <w:r>
        <w:rPr>
          <w:rFonts w:eastAsia="宋体"/>
          <w:color w:val="000000"/>
          <w:sz w:val="24"/>
          <w:szCs w:val="24"/>
          <w:highlight w:val="none"/>
        </w:rPr>
        <w:t>（四）风险责任承担：货物的风险责任和所有权在双方签署设备到货验收签收单/安装调试验收合格报告后由甲方承担和享有，此前的风险责任由乙方承担。</w:t>
      </w:r>
    </w:p>
    <w:p>
      <w:pPr>
        <w:pStyle w:val="629"/>
        <w:spacing w:after="231" w:line="360" w:lineRule="auto"/>
        <w:ind w:firstLine="482" w:firstLineChars="200"/>
        <w:rPr>
          <w:color w:val="000000"/>
          <w:sz w:val="24"/>
          <w:szCs w:val="24"/>
          <w:highlight w:val="none"/>
        </w:rPr>
      </w:pPr>
      <w:r>
        <w:rPr>
          <w:b/>
          <w:bCs/>
          <w:color w:val="000000"/>
          <w:sz w:val="24"/>
          <w:szCs w:val="24"/>
          <w:highlight w:val="none"/>
        </w:rPr>
        <w:t>第七条 货物验收</w:t>
      </w:r>
    </w:p>
    <w:p>
      <w:pPr>
        <w:pStyle w:val="630"/>
        <w:ind w:firstLine="480" w:firstLineChars="200"/>
        <w:rPr>
          <w:color w:val="000000"/>
          <w:sz w:val="24"/>
          <w:szCs w:val="24"/>
          <w:highlight w:val="none"/>
        </w:rPr>
      </w:pPr>
      <w:r>
        <w:rPr>
          <w:color w:val="000000"/>
          <w:sz w:val="24"/>
          <w:szCs w:val="24"/>
          <w:highlight w:val="none"/>
        </w:rPr>
        <w:t>（一）货物运至甲方（用户）指定地点后，由甲乙双方指派人员按照本合同规定对货物进行验收，乙方应提供交货清单等文件供甲方（用户）审查，甲方（用户）将按合同清单进行规格、数量、外观的检查。</w:t>
      </w:r>
    </w:p>
    <w:p>
      <w:pPr>
        <w:pStyle w:val="631"/>
        <w:spacing w:line="360" w:lineRule="auto"/>
        <w:ind w:firstLine="480" w:firstLineChars="200"/>
        <w:rPr>
          <w:rFonts w:eastAsia="宋体"/>
          <w:color w:val="000000"/>
          <w:sz w:val="24"/>
          <w:szCs w:val="24"/>
          <w:highlight w:val="none"/>
        </w:rPr>
      </w:pPr>
      <w:r>
        <w:rPr>
          <w:rFonts w:eastAsia="宋体"/>
          <w:color w:val="000000"/>
          <w:sz w:val="24"/>
          <w:szCs w:val="24"/>
          <w:highlight w:val="none"/>
        </w:rPr>
        <w:t>（二）</w:t>
      </w:r>
      <w:r>
        <w:rPr>
          <w:rFonts w:hint="eastAsia" w:eastAsia="宋体"/>
          <w:color w:val="000000"/>
          <w:sz w:val="24"/>
          <w:szCs w:val="24"/>
          <w:highlight w:val="none"/>
        </w:rPr>
        <w:t>收货</w:t>
      </w:r>
      <w:r>
        <w:rPr>
          <w:rFonts w:eastAsia="宋体"/>
          <w:color w:val="000000"/>
          <w:sz w:val="24"/>
          <w:szCs w:val="24"/>
          <w:highlight w:val="none"/>
        </w:rPr>
        <w:t>后</w:t>
      </w:r>
      <w:r>
        <w:rPr>
          <w:rFonts w:hint="eastAsia" w:eastAsia="宋体"/>
          <w:color w:val="000000"/>
          <w:sz w:val="24"/>
          <w:szCs w:val="24"/>
          <w:highlight w:val="none"/>
          <w:u w:val="single"/>
        </w:rPr>
        <w:t xml:space="preserve"> 30 </w:t>
      </w:r>
      <w:r>
        <w:rPr>
          <w:rFonts w:eastAsia="宋体"/>
          <w:color w:val="000000"/>
          <w:sz w:val="24"/>
          <w:szCs w:val="24"/>
          <w:highlight w:val="none"/>
        </w:rPr>
        <w:t>个工作日内甲乙双方进行到货验收工作。如验收合格，甲方（用户）应及时履行验收手续，双方签署设备到货验收签收单；如验收不合格，甲方（用户）应以书面形式通知乙方原因，乙方收到通知后</w:t>
      </w:r>
      <w:r>
        <w:rPr>
          <w:rFonts w:hint="eastAsia" w:eastAsia="宋体"/>
          <w:color w:val="000000"/>
          <w:sz w:val="24"/>
          <w:szCs w:val="24"/>
          <w:highlight w:val="none"/>
          <w:u w:val="single"/>
        </w:rPr>
        <w:t xml:space="preserve"> 10  </w:t>
      </w:r>
      <w:r>
        <w:rPr>
          <w:rFonts w:eastAsia="宋体"/>
          <w:color w:val="000000"/>
          <w:sz w:val="24"/>
          <w:szCs w:val="24"/>
          <w:highlight w:val="none"/>
        </w:rPr>
        <w:t>个工作日内提供解决方案。</w:t>
      </w:r>
    </w:p>
    <w:p>
      <w:pPr>
        <w:pStyle w:val="630"/>
        <w:ind w:firstLine="480" w:firstLineChars="200"/>
        <w:rPr>
          <w:color w:val="000000"/>
          <w:sz w:val="24"/>
          <w:szCs w:val="24"/>
          <w:highlight w:val="none"/>
        </w:rPr>
      </w:pPr>
      <w:r>
        <w:rPr>
          <w:color w:val="000000"/>
          <w:sz w:val="24"/>
          <w:szCs w:val="24"/>
          <w:highlight w:val="none"/>
        </w:rPr>
        <w:t>（三）在验收工作中，发现数量不足或有质量、技术等问题，乙方应按照合同要求采取补足、更换或退货等处理措施，并承担由此发生的一切费用和损失。</w:t>
      </w:r>
    </w:p>
    <w:p>
      <w:pPr>
        <w:pStyle w:val="630"/>
        <w:ind w:firstLine="480" w:firstLineChars="200"/>
        <w:rPr>
          <w:color w:val="000000"/>
          <w:sz w:val="24"/>
          <w:szCs w:val="24"/>
          <w:highlight w:val="none"/>
        </w:rPr>
      </w:pPr>
      <w:r>
        <w:rPr>
          <w:color w:val="000000"/>
          <w:sz w:val="24"/>
          <w:szCs w:val="24"/>
          <w:highlight w:val="none"/>
        </w:rPr>
        <w:t>（四）涉及设备安装调试的，乙方负责在甲方（用户）配合下完成所供设备安装调试并保证与用户原有设备互联互通，有关技术问题由乙方和制造商协同解决。安装调试后，双方签署设备安装调试验收报告。</w:t>
      </w:r>
    </w:p>
    <w:p>
      <w:pPr>
        <w:pStyle w:val="632"/>
        <w:spacing w:line="360" w:lineRule="auto"/>
        <w:ind w:firstLine="480" w:firstLineChars="200"/>
        <w:rPr>
          <w:rFonts w:eastAsia="宋体"/>
          <w:color w:val="000000"/>
          <w:sz w:val="24"/>
          <w:szCs w:val="24"/>
          <w:highlight w:val="none"/>
        </w:rPr>
      </w:pPr>
      <w:r>
        <w:rPr>
          <w:rFonts w:eastAsia="宋体"/>
          <w:color w:val="000000"/>
          <w:sz w:val="24"/>
          <w:szCs w:val="24"/>
          <w:highlight w:val="none"/>
        </w:rPr>
        <w:t>（</w:t>
      </w:r>
      <w:r>
        <w:rPr>
          <w:rFonts w:hint="eastAsia" w:eastAsia="宋体"/>
          <w:color w:val="000000"/>
          <w:sz w:val="24"/>
          <w:szCs w:val="24"/>
          <w:highlight w:val="none"/>
        </w:rPr>
        <w:t>五</w:t>
      </w:r>
      <w:r>
        <w:rPr>
          <w:rFonts w:eastAsia="宋体"/>
          <w:color w:val="000000"/>
          <w:sz w:val="24"/>
          <w:szCs w:val="24"/>
          <w:highlight w:val="none"/>
        </w:rPr>
        <w:t>）甲方（用户）认为必要时，对大型或者复杂的货物采购项目，可以邀请国家认可的质量检测机构参加验收工作，相关验收意见作为验收报告的参考资料，相关费用由乙方承担。</w:t>
      </w:r>
    </w:p>
    <w:p>
      <w:pPr>
        <w:pStyle w:val="632"/>
        <w:spacing w:line="360" w:lineRule="auto"/>
        <w:ind w:firstLine="480" w:firstLineChars="200"/>
        <w:rPr>
          <w:rFonts w:eastAsia="宋体"/>
          <w:color w:val="000000"/>
          <w:sz w:val="24"/>
          <w:szCs w:val="24"/>
          <w:highlight w:val="none"/>
        </w:rPr>
      </w:pPr>
      <w:r>
        <w:rPr>
          <w:rFonts w:eastAsia="宋体"/>
          <w:color w:val="000000"/>
          <w:sz w:val="24"/>
          <w:szCs w:val="24"/>
          <w:highlight w:val="none"/>
        </w:rPr>
        <w:t>（</w:t>
      </w:r>
      <w:r>
        <w:rPr>
          <w:rFonts w:hint="eastAsia" w:eastAsia="宋体"/>
          <w:color w:val="000000"/>
          <w:sz w:val="24"/>
          <w:szCs w:val="24"/>
          <w:highlight w:val="none"/>
        </w:rPr>
        <w:t>六</w:t>
      </w:r>
      <w:r>
        <w:rPr>
          <w:rFonts w:eastAsia="宋体"/>
          <w:color w:val="000000"/>
          <w:sz w:val="24"/>
          <w:szCs w:val="24"/>
          <w:highlight w:val="none"/>
        </w:rPr>
        <w:t>）验收标准以双方达成的对质量和技术标准的约定、乙方承诺的质量和技术标准、国家或行业规定的相关质量和技术标准中最高者为准，且应充分满足甲方使用要求。</w:t>
      </w:r>
    </w:p>
    <w:p>
      <w:pPr>
        <w:pStyle w:val="630"/>
        <w:ind w:firstLine="482" w:firstLineChars="200"/>
        <w:rPr>
          <w:color w:val="000000"/>
          <w:sz w:val="24"/>
          <w:szCs w:val="24"/>
          <w:highlight w:val="none"/>
        </w:rPr>
      </w:pPr>
      <w:r>
        <w:rPr>
          <w:b/>
          <w:bCs/>
          <w:color w:val="000000"/>
          <w:sz w:val="24"/>
          <w:szCs w:val="24"/>
          <w:highlight w:val="none"/>
        </w:rPr>
        <w:t>第八条 质量保证</w:t>
      </w:r>
    </w:p>
    <w:p>
      <w:pPr>
        <w:ind w:firstLine="480" w:firstLineChars="200"/>
        <w:rPr>
          <w:rFonts w:hint="eastAsia"/>
          <w:color w:val="000000"/>
          <w:sz w:val="24"/>
          <w:highlight w:val="none"/>
        </w:rPr>
      </w:pPr>
      <w:r>
        <w:rPr>
          <w:color w:val="000000"/>
          <w:sz w:val="24"/>
          <w:highlight w:val="none"/>
        </w:rPr>
        <w:t>（一）乙方应保证所供货物为</w:t>
      </w:r>
      <w:r>
        <w:rPr>
          <w:rFonts w:hint="eastAsia"/>
          <w:color w:val="000000"/>
          <w:sz w:val="24"/>
          <w:highlight w:val="none"/>
          <w:u w:val="single"/>
        </w:rPr>
        <w:t xml:space="preserve">              </w:t>
      </w:r>
      <w:r>
        <w:rPr>
          <w:color w:val="000000"/>
          <w:sz w:val="24"/>
          <w:highlight w:val="none"/>
        </w:rPr>
        <w:t>公司制造生产、原包装、全新未使用过的产品，与投标文件/应答文件承诺一致，并完全符合或高于合同要求的质量、规格和技术性能。</w:t>
      </w:r>
    </w:p>
    <w:p>
      <w:pPr>
        <w:ind w:firstLine="480" w:firstLineChars="200"/>
        <w:rPr>
          <w:rFonts w:hint="eastAsia"/>
          <w:color w:val="000000"/>
          <w:sz w:val="24"/>
          <w:highlight w:val="none"/>
        </w:rPr>
      </w:pPr>
      <w:r>
        <w:rPr>
          <w:color w:val="000000"/>
          <w:sz w:val="24"/>
          <w:highlight w:val="none"/>
        </w:rPr>
        <w:t>（二）乙方应保证所供货物没有因乙方的行为或疏忽而产生材料或工艺上的缺陷，并保证其货物在正确安装、正常使用和保养条件下，在其使用寿命期内具有满意的性能。在货物最终交付验收后不少于合同规定或乙方承诺（两者以较长的为准）的质量保证期内，本保证保持有效。</w:t>
      </w:r>
    </w:p>
    <w:p>
      <w:pPr>
        <w:ind w:firstLine="480" w:firstLineChars="200"/>
        <w:rPr>
          <w:rFonts w:hint="eastAsia"/>
          <w:color w:val="000000"/>
          <w:sz w:val="24"/>
          <w:highlight w:val="none"/>
        </w:rPr>
      </w:pPr>
      <w:r>
        <w:rPr>
          <w:color w:val="000000"/>
          <w:sz w:val="24"/>
          <w:highlight w:val="none"/>
        </w:rPr>
        <w:t>（三）如果乙方所供货物质量与合同不符，或证实所供货物是有缺陷的，包括潜在的缺陷或使用不符合要求的材料等，由此引起的全部损失及费用由乙方承担。若以上原因导致或引起甲方（用户）损失及导致或引起第三方受到损害的，全部赔偿责任均应由乙方承担。</w:t>
      </w:r>
    </w:p>
    <w:p>
      <w:pPr>
        <w:ind w:firstLine="480" w:firstLineChars="200"/>
        <w:rPr>
          <w:rFonts w:hint="eastAsia"/>
          <w:color w:val="000000"/>
          <w:sz w:val="24"/>
          <w:highlight w:val="none"/>
        </w:rPr>
      </w:pPr>
      <w:r>
        <w:rPr>
          <w:color w:val="000000"/>
          <w:sz w:val="24"/>
          <w:highlight w:val="none"/>
        </w:rPr>
        <w:t>（四）在质量保证期内所发现的缺陷，甲方（用户）应尽快以书面形式通知乙方。乙方收到通知后应10日内维修或更换有缺陷的货物或部件。</w:t>
      </w:r>
    </w:p>
    <w:p>
      <w:pPr>
        <w:ind w:firstLine="480" w:firstLineChars="200"/>
        <w:rPr>
          <w:rFonts w:hint="eastAsia"/>
          <w:color w:val="000000"/>
          <w:sz w:val="24"/>
          <w:highlight w:val="none"/>
        </w:rPr>
      </w:pPr>
      <w:r>
        <w:rPr>
          <w:color w:val="000000"/>
          <w:sz w:val="24"/>
          <w:highlight w:val="none"/>
        </w:rPr>
        <w:t>（五）乙方在约定的时间内未能弥补缺陷，甲方（用户）可采取必要的补救措施，但其风险和费用将由乙方承担，甲方（用户）根据合同规定对乙方行使的其他权利不受影响。</w:t>
      </w:r>
    </w:p>
    <w:p>
      <w:pPr>
        <w:ind w:firstLine="480" w:firstLineChars="200"/>
        <w:rPr>
          <w:rFonts w:hint="eastAsia"/>
          <w:color w:val="000000"/>
          <w:sz w:val="24"/>
          <w:highlight w:val="none"/>
        </w:rPr>
      </w:pPr>
      <w:r>
        <w:rPr>
          <w:color w:val="000000"/>
          <w:sz w:val="24"/>
          <w:highlight w:val="none"/>
        </w:rPr>
        <w:t>（六）本合同项目所有货物质量保证期为：自双方签署设备验收合格报告之日起计算</w:t>
      </w:r>
      <w:r>
        <w:rPr>
          <w:rFonts w:hint="eastAsia"/>
          <w:color w:val="000000"/>
          <w:sz w:val="24"/>
          <w:highlight w:val="none"/>
          <w:u w:val="single"/>
        </w:rPr>
        <w:t>整机三</w:t>
      </w:r>
      <w:r>
        <w:rPr>
          <w:color w:val="000000"/>
          <w:sz w:val="24"/>
          <w:highlight w:val="none"/>
        </w:rPr>
        <w:t>年。</w:t>
      </w:r>
    </w:p>
    <w:p>
      <w:pPr>
        <w:ind w:firstLine="482" w:firstLineChars="200"/>
        <w:rPr>
          <w:rFonts w:hint="eastAsia"/>
          <w:b/>
          <w:bCs/>
          <w:color w:val="000000"/>
          <w:sz w:val="24"/>
          <w:highlight w:val="none"/>
        </w:rPr>
      </w:pPr>
      <w:r>
        <w:rPr>
          <w:b/>
          <w:bCs/>
          <w:color w:val="000000"/>
          <w:sz w:val="24"/>
          <w:highlight w:val="none"/>
        </w:rPr>
        <w:t>第九条 培训</w:t>
      </w:r>
    </w:p>
    <w:p>
      <w:pPr>
        <w:ind w:firstLine="480" w:firstLineChars="200"/>
        <w:rPr>
          <w:rFonts w:hint="eastAsia"/>
          <w:b/>
          <w:bCs/>
          <w:color w:val="000000"/>
          <w:sz w:val="24"/>
          <w:highlight w:val="none"/>
        </w:rPr>
      </w:pPr>
      <w:r>
        <w:rPr>
          <w:bCs/>
          <w:color w:val="000000"/>
          <w:sz w:val="24"/>
          <w:highlight w:val="none"/>
        </w:rPr>
        <w:t>本合同所包括的培训详见附件培训方案。</w:t>
      </w:r>
    </w:p>
    <w:p>
      <w:pPr>
        <w:ind w:firstLine="482" w:firstLineChars="200"/>
        <w:rPr>
          <w:rFonts w:hint="eastAsia"/>
          <w:b/>
          <w:bCs/>
          <w:color w:val="000000"/>
          <w:sz w:val="24"/>
          <w:highlight w:val="none"/>
        </w:rPr>
      </w:pPr>
      <w:r>
        <w:rPr>
          <w:b/>
          <w:bCs/>
          <w:color w:val="000000"/>
          <w:sz w:val="24"/>
          <w:highlight w:val="none"/>
        </w:rPr>
        <w:t>第十条 售后服务</w:t>
      </w:r>
    </w:p>
    <w:p>
      <w:pPr>
        <w:ind w:firstLine="480" w:firstLineChars="200"/>
        <w:rPr>
          <w:rFonts w:hint="eastAsia"/>
          <w:color w:val="000000"/>
          <w:sz w:val="24"/>
          <w:highlight w:val="none"/>
        </w:rPr>
      </w:pPr>
      <w:r>
        <w:rPr>
          <w:color w:val="000000"/>
          <w:sz w:val="24"/>
          <w:highlight w:val="none"/>
        </w:rPr>
        <w:t>（一）供应商（制造商）在质量保证期内提供</w:t>
      </w:r>
      <w:r>
        <w:rPr>
          <w:rFonts w:hint="eastAsia"/>
          <w:color w:val="000000"/>
          <w:sz w:val="24"/>
          <w:highlight w:val="none"/>
          <w:u w:val="single"/>
        </w:rPr>
        <w:t xml:space="preserve"> 7*24 </w:t>
      </w:r>
      <w:r>
        <w:rPr>
          <w:color w:val="000000"/>
          <w:sz w:val="24"/>
          <w:highlight w:val="none"/>
        </w:rPr>
        <w:t>小时的技术支持与售后服务，提供专线电话支持服务，</w:t>
      </w:r>
      <w:r>
        <w:rPr>
          <w:rFonts w:hint="eastAsia"/>
          <w:color w:val="000000"/>
          <w:sz w:val="24"/>
          <w:highlight w:val="none"/>
          <w:u w:val="single"/>
        </w:rPr>
        <w:t xml:space="preserve"> 2 </w:t>
      </w:r>
      <w:r>
        <w:rPr>
          <w:color w:val="000000"/>
          <w:sz w:val="24"/>
          <w:highlight w:val="none"/>
        </w:rPr>
        <w:t>小时内响应，保证_</w:t>
      </w:r>
      <w:r>
        <w:rPr>
          <w:rFonts w:hint="eastAsia"/>
          <w:color w:val="000000"/>
          <w:sz w:val="24"/>
          <w:highlight w:val="none"/>
          <w:u w:val="single"/>
        </w:rPr>
        <w:t>48</w:t>
      </w:r>
      <w:r>
        <w:rPr>
          <w:color w:val="000000"/>
          <w:sz w:val="24"/>
          <w:highlight w:val="none"/>
          <w:u w:val="single"/>
        </w:rPr>
        <w:t>_</w:t>
      </w:r>
      <w:r>
        <w:rPr>
          <w:color w:val="000000"/>
          <w:sz w:val="24"/>
          <w:highlight w:val="none"/>
        </w:rPr>
        <w:t>_小时内到达现场并解决故障</w:t>
      </w:r>
      <w:r>
        <w:rPr>
          <w:rFonts w:hint="eastAsia"/>
          <w:color w:val="000000"/>
          <w:sz w:val="24"/>
          <w:highlight w:val="none"/>
        </w:rPr>
        <w:t>（不额外收费）</w:t>
      </w:r>
      <w:r>
        <w:rPr>
          <w:color w:val="000000"/>
          <w:sz w:val="24"/>
          <w:highlight w:val="none"/>
        </w:rPr>
        <w:t>。</w:t>
      </w:r>
    </w:p>
    <w:p>
      <w:pPr>
        <w:ind w:firstLine="480" w:firstLineChars="200"/>
        <w:rPr>
          <w:rFonts w:hint="eastAsia"/>
          <w:color w:val="000000"/>
          <w:sz w:val="24"/>
          <w:highlight w:val="none"/>
        </w:rPr>
      </w:pPr>
      <w:r>
        <w:rPr>
          <w:color w:val="000000"/>
          <w:sz w:val="24"/>
          <w:highlight w:val="none"/>
        </w:rPr>
        <w:t>（二）本合同所包含的售后服务，包含制造商售后服务和代理商售后服务，具体见附件技术支持及售后服务方案。</w:t>
      </w:r>
    </w:p>
    <w:p>
      <w:pPr>
        <w:ind w:firstLine="482" w:firstLineChars="200"/>
        <w:rPr>
          <w:rFonts w:hint="eastAsia"/>
          <w:b/>
          <w:bCs/>
          <w:color w:val="000000"/>
          <w:sz w:val="24"/>
          <w:highlight w:val="none"/>
        </w:rPr>
      </w:pPr>
      <w:r>
        <w:rPr>
          <w:b/>
          <w:bCs/>
          <w:color w:val="000000"/>
          <w:sz w:val="24"/>
          <w:highlight w:val="none"/>
        </w:rPr>
        <w:t>第十一条 违约责任</w:t>
      </w:r>
    </w:p>
    <w:p>
      <w:pPr>
        <w:ind w:firstLine="480" w:firstLineChars="200"/>
        <w:rPr>
          <w:rFonts w:hint="eastAsia"/>
          <w:color w:val="000000"/>
          <w:sz w:val="24"/>
          <w:highlight w:val="none"/>
        </w:rPr>
      </w:pPr>
      <w:r>
        <w:rPr>
          <w:color w:val="000000"/>
          <w:sz w:val="24"/>
          <w:highlight w:val="none"/>
        </w:rPr>
        <w:t>（一）因乙方原因未能按照本合同要求交付合格的货物或提供相关服务的违约责任。</w:t>
      </w:r>
    </w:p>
    <w:p>
      <w:pPr>
        <w:ind w:firstLine="480" w:firstLineChars="200"/>
        <w:rPr>
          <w:rFonts w:hint="eastAsia"/>
          <w:color w:val="000000"/>
          <w:sz w:val="24"/>
          <w:highlight w:val="none"/>
        </w:rPr>
      </w:pPr>
      <w:r>
        <w:rPr>
          <w:color w:val="000000"/>
          <w:sz w:val="24"/>
          <w:highlight w:val="none"/>
        </w:rPr>
        <w:t>1.对于货物被证实存在缺陷（包括潜在的缺陷）或者不符合合同要求的，或原材料、技术标准、尺寸、颜色等存在质量问题，在合同条款规定的检验、安装、调试、验收和质量保证期内，甲方有权要求退货、退货重新制作、新货替换。乙方应按照甲方意见，用以下一种或几种方式结合解决：</w:t>
      </w:r>
    </w:p>
    <w:p>
      <w:pPr>
        <w:ind w:firstLine="480" w:firstLineChars="200"/>
        <w:rPr>
          <w:rFonts w:hint="eastAsia"/>
          <w:color w:val="000000"/>
          <w:sz w:val="24"/>
          <w:highlight w:val="none"/>
        </w:rPr>
      </w:pPr>
      <w:r>
        <w:rPr>
          <w:color w:val="000000"/>
          <w:sz w:val="24"/>
          <w:highlight w:val="none"/>
        </w:rPr>
        <w:t>（1）退货：甲方将货物退回乙方，乙方将合同货款退还给甲方，并承担由此发生的一切损失和费用。</w:t>
      </w:r>
    </w:p>
    <w:p>
      <w:pPr>
        <w:ind w:firstLine="480" w:firstLineChars="200"/>
        <w:rPr>
          <w:rFonts w:hint="eastAsia"/>
          <w:color w:val="000000"/>
          <w:sz w:val="24"/>
          <w:highlight w:val="none"/>
        </w:rPr>
      </w:pPr>
      <w:r>
        <w:rPr>
          <w:color w:val="000000"/>
          <w:sz w:val="24"/>
          <w:highlight w:val="none"/>
        </w:rPr>
        <w:t>（2）退货重新制作：甲方将货物退回乙方，乙方按照技术标准要求重新制作，并承担由此发生的一切损失和费用。</w:t>
      </w:r>
    </w:p>
    <w:p>
      <w:pPr>
        <w:ind w:firstLine="480" w:firstLineChars="200"/>
        <w:rPr>
          <w:rFonts w:hint="eastAsia"/>
          <w:color w:val="000000"/>
          <w:sz w:val="24"/>
          <w:highlight w:val="none"/>
        </w:rPr>
      </w:pPr>
      <w:r>
        <w:rPr>
          <w:color w:val="000000"/>
          <w:sz w:val="24"/>
          <w:highlight w:val="none"/>
        </w:rPr>
        <w:t>（3）新货替换：乙方用满足技术标准要求的货物替换存在缺陷的产品，承担甲方蒙受的全部损失和费用，并承担由此引发的一切风险，且相应延长所换货物的质量保证期。</w:t>
      </w:r>
    </w:p>
    <w:p>
      <w:pPr>
        <w:ind w:firstLine="480" w:firstLineChars="200"/>
        <w:rPr>
          <w:rFonts w:hint="eastAsia"/>
          <w:color w:val="000000"/>
          <w:sz w:val="24"/>
          <w:highlight w:val="none"/>
        </w:rPr>
      </w:pPr>
      <w:r>
        <w:rPr>
          <w:color w:val="000000"/>
          <w:sz w:val="24"/>
          <w:highlight w:val="none"/>
        </w:rPr>
        <w:t>2.</w:t>
      </w:r>
      <w:r>
        <w:rPr>
          <w:bCs/>
          <w:color w:val="000000"/>
          <w:sz w:val="24"/>
          <w:highlight w:val="none"/>
        </w:rPr>
        <w:t>如果乙方</w:t>
      </w:r>
      <w:r>
        <w:rPr>
          <w:color w:val="000000"/>
          <w:sz w:val="24"/>
          <w:highlight w:val="none"/>
        </w:rPr>
        <w:t>未在甲方要求的10日内或甲方同意的期限内，按照上述任何一种方式采取补救措施，甲方有权解除合同，扣除全部履约保证金并要求乙方退回甲方已支付的货款，并视损失情况根据《中华人民共和国民法典（合同编）》有关规定追究其相关责任，赔偿甲方（用户）的全部损失。</w:t>
      </w:r>
    </w:p>
    <w:p>
      <w:pPr>
        <w:pStyle w:val="633"/>
        <w:spacing w:line="360" w:lineRule="auto"/>
        <w:ind w:firstLine="480" w:firstLineChars="200"/>
        <w:rPr>
          <w:rFonts w:eastAsia="宋体"/>
          <w:color w:val="000000"/>
          <w:sz w:val="24"/>
          <w:szCs w:val="24"/>
          <w:highlight w:val="none"/>
        </w:rPr>
      </w:pPr>
      <w:r>
        <w:rPr>
          <w:rFonts w:eastAsia="宋体"/>
          <w:color w:val="000000"/>
          <w:sz w:val="24"/>
          <w:szCs w:val="24"/>
          <w:highlight w:val="none"/>
        </w:rPr>
        <w:t>3.对于未能按合同要求提供服务或被证实未提供应当承担的服务的，甲方有权要求限期整改。无合理理由不进行整改的视为根本违约。</w:t>
      </w:r>
    </w:p>
    <w:p>
      <w:pPr>
        <w:ind w:firstLine="480" w:firstLineChars="200"/>
        <w:rPr>
          <w:rFonts w:hint="eastAsia"/>
          <w:color w:val="000000"/>
          <w:sz w:val="24"/>
          <w:highlight w:val="none"/>
        </w:rPr>
      </w:pPr>
      <w:r>
        <w:rPr>
          <w:color w:val="000000"/>
          <w:sz w:val="24"/>
          <w:highlight w:val="none"/>
        </w:rPr>
        <w:t>（二）乙方未按照本合同规定的时间交货和提供服务的违约责任。</w:t>
      </w:r>
    </w:p>
    <w:p>
      <w:pPr>
        <w:pStyle w:val="634"/>
        <w:spacing w:line="360" w:lineRule="auto"/>
        <w:ind w:firstLine="480" w:firstLineChars="200"/>
        <w:rPr>
          <w:rFonts w:eastAsia="宋体"/>
          <w:color w:val="000000"/>
          <w:sz w:val="24"/>
          <w:szCs w:val="24"/>
          <w:highlight w:val="none"/>
        </w:rPr>
      </w:pPr>
      <w:r>
        <w:rPr>
          <w:rFonts w:eastAsia="宋体"/>
          <w:color w:val="000000"/>
          <w:sz w:val="24"/>
          <w:szCs w:val="24"/>
          <w:highlight w:val="none"/>
        </w:rPr>
        <w:t>1.在履行合同过程中，如果乙方遇到可能妨碍按时交货和提供服务的情形时，应及时以书面形式将延迟的事实、可能延迟的期限和理由通知甲方（用户）。甲方（用户）在收到乙方通知后，应尽快对情况进行评价，并确定是否同意延迟交货时间或延期提供服务，如甲方（用户）不同意延期，乙方仍应当按照约定的时间完成交货义务，如甲方（用户）同意延期，必须以双方签订的补充协议为准。</w:t>
      </w:r>
    </w:p>
    <w:p>
      <w:pPr>
        <w:pStyle w:val="634"/>
        <w:spacing w:line="360" w:lineRule="auto"/>
        <w:ind w:firstLine="480" w:firstLineChars="200"/>
        <w:rPr>
          <w:rFonts w:eastAsia="宋体"/>
          <w:color w:val="000000"/>
          <w:sz w:val="24"/>
          <w:szCs w:val="24"/>
          <w:highlight w:val="none"/>
        </w:rPr>
      </w:pPr>
      <w:r>
        <w:rPr>
          <w:rFonts w:eastAsia="宋体"/>
          <w:color w:val="000000"/>
          <w:sz w:val="24"/>
          <w:szCs w:val="24"/>
          <w:highlight w:val="none"/>
        </w:rPr>
        <w:t>2.除甲乙双方另有约定外，如果乙方没有按照合同规定的时间交货和提供服务，甲方有权在不影响合同项下其他补救措施的情况下，要求乙方支付误期赔偿费，或从合同货款、履约保证金中扣除误期赔偿费。赔偿费按每周迟交货物价格或未提供服务费用的百分之零点五（0.5%）计收，直到交货或提供服务为止。但误期赔偿费的最高限额不超过误期货物或服务合同价格的百分之十（10%）。一周按七（7）天计算，不足七（7）天按一周计算。</w:t>
      </w:r>
    </w:p>
    <w:p>
      <w:pPr>
        <w:pStyle w:val="634"/>
        <w:spacing w:line="360" w:lineRule="auto"/>
        <w:ind w:firstLine="480" w:firstLineChars="200"/>
        <w:rPr>
          <w:rFonts w:eastAsia="宋体"/>
          <w:color w:val="000000"/>
          <w:sz w:val="24"/>
          <w:szCs w:val="24"/>
          <w:highlight w:val="none"/>
        </w:rPr>
      </w:pPr>
      <w:r>
        <w:rPr>
          <w:rFonts w:eastAsia="宋体"/>
          <w:color w:val="000000"/>
          <w:sz w:val="24"/>
          <w:szCs w:val="24"/>
          <w:highlight w:val="none"/>
        </w:rPr>
        <w:t>3.出现上述没有按照合同规定的时间交货和提供服务的情形时，甲方也可以选择解除合同，要求乙方退回甲方已支付货款、扣除履约保证金并追究乙方相应违约责任、赔偿甲方（用户）的全部损失。</w:t>
      </w:r>
    </w:p>
    <w:p>
      <w:pPr>
        <w:pStyle w:val="634"/>
        <w:spacing w:line="360" w:lineRule="auto"/>
        <w:ind w:firstLine="480" w:firstLineChars="200"/>
        <w:rPr>
          <w:rFonts w:eastAsia="宋体"/>
          <w:color w:val="000000"/>
          <w:sz w:val="24"/>
          <w:szCs w:val="24"/>
          <w:highlight w:val="none"/>
        </w:rPr>
      </w:pPr>
      <w:r>
        <w:rPr>
          <w:rFonts w:eastAsia="宋体"/>
          <w:color w:val="000000"/>
          <w:sz w:val="24"/>
          <w:szCs w:val="24"/>
          <w:highlight w:val="none"/>
        </w:rPr>
        <w:t>4.如合同被全部或部分解除，甲方可依其认为适当的条款和方法购买与未交货类似的货物，乙方应对购买类似货物所超出的那部分费用负责。同时，乙方应继续执行合同中未解除的部分。如乙方违约并经同意延期仍不能履行合同时，甲方有权解除合同，扣除履约保证金，且乙方应赔偿由此给甲方造成的损失。</w:t>
      </w:r>
    </w:p>
    <w:p>
      <w:pPr>
        <w:pStyle w:val="634"/>
        <w:spacing w:line="360" w:lineRule="auto"/>
        <w:ind w:firstLine="480" w:firstLineChars="200"/>
        <w:rPr>
          <w:rFonts w:eastAsia="宋体"/>
          <w:color w:val="000000"/>
          <w:sz w:val="24"/>
          <w:szCs w:val="24"/>
          <w:highlight w:val="none"/>
        </w:rPr>
      </w:pPr>
      <w:r>
        <w:rPr>
          <w:rFonts w:eastAsia="宋体"/>
          <w:color w:val="000000"/>
          <w:sz w:val="24"/>
          <w:szCs w:val="24"/>
          <w:highlight w:val="none"/>
        </w:rPr>
        <w:t>（三）因乙方或乙方工作人员或乙方相关方的作为或不作为行为致使甲方或第三方遭受人员人身伤害或财产损失的，乙方应承担全部赔偿责任，赔偿全部损失，且甲方有权以全部履约保证金作为违约金，解除本合同。</w:t>
      </w:r>
    </w:p>
    <w:p>
      <w:pPr>
        <w:pStyle w:val="635"/>
        <w:spacing w:line="360" w:lineRule="auto"/>
        <w:ind w:firstLine="480" w:firstLineChars="200"/>
        <w:rPr>
          <w:rFonts w:eastAsia="宋体"/>
          <w:color w:val="000000"/>
          <w:sz w:val="24"/>
          <w:szCs w:val="24"/>
          <w:highlight w:val="none"/>
        </w:rPr>
      </w:pPr>
      <w:r>
        <w:rPr>
          <w:rFonts w:eastAsia="宋体"/>
          <w:color w:val="000000"/>
          <w:sz w:val="24"/>
          <w:szCs w:val="24"/>
          <w:highlight w:val="none"/>
        </w:rPr>
        <w:t>（四）在本合同履行过程中，如果有证据证明乙方根本无法履行合同的，甲方可以行使不安抗辩权，有权解除合同，并扣除履约保证金，如因乙方不能履行给甲方造成其他损失的，乙方应继续承担赔偿责任。</w:t>
      </w:r>
    </w:p>
    <w:p>
      <w:pPr>
        <w:pStyle w:val="636"/>
        <w:spacing w:line="360" w:lineRule="auto"/>
        <w:ind w:firstLine="482" w:firstLineChars="200"/>
        <w:rPr>
          <w:rFonts w:eastAsia="宋体"/>
          <w:b/>
          <w:bCs/>
          <w:color w:val="000000"/>
          <w:sz w:val="24"/>
          <w:szCs w:val="24"/>
          <w:highlight w:val="none"/>
        </w:rPr>
      </w:pPr>
      <w:r>
        <w:rPr>
          <w:rFonts w:eastAsia="宋体"/>
          <w:b/>
          <w:bCs/>
          <w:color w:val="000000"/>
          <w:sz w:val="24"/>
          <w:szCs w:val="24"/>
          <w:highlight w:val="none"/>
        </w:rPr>
        <w:t>第十二条 异议的期限和方法</w:t>
      </w:r>
    </w:p>
    <w:p>
      <w:pPr>
        <w:pStyle w:val="636"/>
        <w:spacing w:line="360" w:lineRule="auto"/>
        <w:ind w:firstLine="480" w:firstLineChars="200"/>
        <w:rPr>
          <w:rFonts w:eastAsia="宋体"/>
          <w:color w:val="000000"/>
          <w:sz w:val="24"/>
          <w:szCs w:val="24"/>
          <w:highlight w:val="none"/>
        </w:rPr>
      </w:pPr>
      <w:r>
        <w:rPr>
          <w:rFonts w:eastAsia="宋体"/>
          <w:color w:val="000000"/>
          <w:sz w:val="24"/>
          <w:szCs w:val="24"/>
          <w:highlight w:val="none"/>
        </w:rPr>
        <w:t>（一）异议期限自质量保证期开始之日起3个月内。如果属于产品设计、材料、工艺或其他潜在的质量缺陷，甲方（用户）以书面形式提出异议及其处理意见。</w:t>
      </w:r>
    </w:p>
    <w:p>
      <w:pPr>
        <w:pStyle w:val="636"/>
        <w:spacing w:line="360" w:lineRule="auto"/>
        <w:ind w:firstLine="480" w:firstLineChars="200"/>
        <w:rPr>
          <w:rFonts w:eastAsia="宋体"/>
          <w:color w:val="000000"/>
          <w:sz w:val="24"/>
          <w:szCs w:val="24"/>
          <w:highlight w:val="none"/>
        </w:rPr>
      </w:pPr>
      <w:r>
        <w:rPr>
          <w:rFonts w:eastAsia="宋体"/>
          <w:color w:val="000000"/>
          <w:sz w:val="24"/>
          <w:szCs w:val="24"/>
          <w:highlight w:val="none"/>
        </w:rPr>
        <w:t>（二）乙方接到甲方（用户）书面异议及其处理意见后，应在10日内到甲方（用户）项目现场处理，否则即视为默认甲方（用户）提出的异议和处理意见。</w:t>
      </w:r>
    </w:p>
    <w:p>
      <w:pPr>
        <w:pStyle w:val="636"/>
        <w:spacing w:line="360" w:lineRule="auto"/>
        <w:ind w:firstLine="482" w:firstLineChars="200"/>
        <w:rPr>
          <w:rFonts w:eastAsia="宋体"/>
          <w:b/>
          <w:bCs/>
          <w:color w:val="000000"/>
          <w:sz w:val="24"/>
          <w:szCs w:val="24"/>
          <w:highlight w:val="none"/>
        </w:rPr>
      </w:pPr>
      <w:r>
        <w:rPr>
          <w:rFonts w:eastAsia="宋体"/>
          <w:b/>
          <w:bCs/>
          <w:color w:val="000000"/>
          <w:sz w:val="24"/>
          <w:szCs w:val="24"/>
          <w:highlight w:val="none"/>
        </w:rPr>
        <w:t>第十三条 使用合同文件和资料</w:t>
      </w:r>
    </w:p>
    <w:p>
      <w:pPr>
        <w:pStyle w:val="636"/>
        <w:spacing w:line="360" w:lineRule="auto"/>
        <w:ind w:firstLine="480" w:firstLineChars="200"/>
        <w:rPr>
          <w:rFonts w:eastAsia="宋体"/>
          <w:color w:val="000000"/>
          <w:sz w:val="24"/>
          <w:szCs w:val="24"/>
          <w:highlight w:val="none"/>
        </w:rPr>
      </w:pPr>
      <w:r>
        <w:rPr>
          <w:rFonts w:eastAsia="宋体"/>
          <w:color w:val="000000"/>
          <w:sz w:val="24"/>
          <w:szCs w:val="24"/>
          <w:highlight w:val="none"/>
        </w:rPr>
        <w:t>（一）没有甲方（用户）事先书面同意，乙方不得将由甲方或代表甲方提供的有关合同或任何合同条文、规格或资料等提供给乙方雇佣于履行本合同以外的任何其他人。即使向本合同的雇员提供，也应注意保密并限于履行本合同必须的范围。</w:t>
      </w:r>
    </w:p>
    <w:p>
      <w:pPr>
        <w:pStyle w:val="636"/>
        <w:spacing w:line="360" w:lineRule="auto"/>
        <w:ind w:firstLine="480" w:firstLineChars="200"/>
        <w:rPr>
          <w:rFonts w:eastAsia="宋体"/>
          <w:color w:val="000000"/>
          <w:sz w:val="24"/>
          <w:szCs w:val="24"/>
          <w:highlight w:val="none"/>
        </w:rPr>
      </w:pPr>
      <w:r>
        <w:rPr>
          <w:rFonts w:eastAsia="宋体"/>
          <w:color w:val="000000"/>
          <w:sz w:val="24"/>
          <w:szCs w:val="24"/>
          <w:highlight w:val="none"/>
        </w:rPr>
        <w:t>（二）没有甲方（用户）事先书面同意，除了履行本合同之外，乙方不应使用、传播与本合同相关的任何文件、资料。</w:t>
      </w:r>
    </w:p>
    <w:p>
      <w:pPr>
        <w:ind w:firstLine="482" w:firstLineChars="200"/>
        <w:rPr>
          <w:rFonts w:hint="eastAsia"/>
          <w:b/>
          <w:bCs/>
          <w:color w:val="000000"/>
          <w:sz w:val="24"/>
          <w:highlight w:val="none"/>
        </w:rPr>
      </w:pPr>
      <w:r>
        <w:rPr>
          <w:b/>
          <w:bCs/>
          <w:color w:val="000000"/>
          <w:sz w:val="24"/>
          <w:highlight w:val="none"/>
        </w:rPr>
        <w:t>第十四条 知识产权</w:t>
      </w:r>
    </w:p>
    <w:p>
      <w:pPr>
        <w:ind w:firstLine="480" w:firstLineChars="200"/>
        <w:rPr>
          <w:rFonts w:hint="eastAsia"/>
          <w:color w:val="000000"/>
          <w:sz w:val="24"/>
          <w:highlight w:val="none"/>
        </w:rPr>
      </w:pPr>
      <w:r>
        <w:rPr>
          <w:color w:val="000000"/>
          <w:sz w:val="24"/>
          <w:highlight w:val="none"/>
        </w:rPr>
        <w:t>（一）乙方应保证所提供的货物及服务不侵犯任何第三方的知识产权(专利权、商标权、版权等)及其他任何合法权益。如果甲方（用户）在使用乙方货物或服务的任何一部分过程中，遭致第三方索赔或主张权利的，乙方应当修正以避免侵权。</w:t>
      </w:r>
    </w:p>
    <w:p>
      <w:pPr>
        <w:ind w:firstLine="480" w:firstLineChars="200"/>
        <w:rPr>
          <w:rFonts w:hint="eastAsia"/>
          <w:color w:val="000000"/>
          <w:sz w:val="24"/>
          <w:highlight w:val="none"/>
        </w:rPr>
      </w:pPr>
      <w:r>
        <w:rPr>
          <w:color w:val="000000"/>
          <w:sz w:val="24"/>
          <w:highlight w:val="none"/>
        </w:rPr>
        <w:t>（二）如果甲方（用户）在使用乙方货物或货物的任何一部分过程中，因侵犯第三方合法权益（包括但不限于知识产权）而遭致第三方索赔或主张权利的，乙方将自费为甲方（用户）应诉，并支付法院最终判决的甲方（用户）应支付第三方的一切费用、并赔偿甲方（用户）由此遭受的全部损失及支出的合理费用。</w:t>
      </w:r>
    </w:p>
    <w:p>
      <w:pPr>
        <w:ind w:firstLine="480" w:firstLineChars="200"/>
        <w:rPr>
          <w:rFonts w:hint="eastAsia"/>
          <w:color w:val="000000"/>
          <w:sz w:val="24"/>
          <w:highlight w:val="none"/>
        </w:rPr>
      </w:pPr>
      <w:r>
        <w:rPr>
          <w:color w:val="000000"/>
          <w:sz w:val="24"/>
          <w:highlight w:val="none"/>
        </w:rPr>
        <w:t>（三）如乙方提供的货物或服务确实侵犯了第三方合法权益（包括但不限于知识产权）的，甲方有权解除合同，没收履约保证金，要求乙方退回已支付的全部货款，并赔偿甲方的全部损失及支出的合理费用。</w:t>
      </w:r>
    </w:p>
    <w:p>
      <w:pPr>
        <w:ind w:firstLine="482" w:firstLineChars="200"/>
        <w:rPr>
          <w:rFonts w:hint="eastAsia"/>
          <w:b/>
          <w:bCs/>
          <w:color w:val="000000"/>
          <w:sz w:val="24"/>
          <w:highlight w:val="none"/>
        </w:rPr>
      </w:pPr>
      <w:r>
        <w:rPr>
          <w:b/>
          <w:bCs/>
          <w:color w:val="000000"/>
          <w:sz w:val="24"/>
          <w:highlight w:val="none"/>
        </w:rPr>
        <w:t>第十五条 权利瑕疵担保</w:t>
      </w:r>
    </w:p>
    <w:p>
      <w:pPr>
        <w:ind w:firstLine="480" w:firstLineChars="200"/>
        <w:rPr>
          <w:rFonts w:hint="eastAsia"/>
          <w:color w:val="000000"/>
          <w:sz w:val="24"/>
          <w:highlight w:val="none"/>
        </w:rPr>
      </w:pPr>
      <w:r>
        <w:rPr>
          <w:color w:val="000000"/>
          <w:sz w:val="24"/>
          <w:highlight w:val="none"/>
        </w:rPr>
        <w:t>（一）乙方保证对其所提供的货物享有完全的所有权等合法权利，不存在任何未曾向甲方（用户）透露的担保物权（如抵押权、质押权、留置权等）或其他任何权利负担或争议。</w:t>
      </w:r>
    </w:p>
    <w:p>
      <w:pPr>
        <w:pStyle w:val="637"/>
        <w:spacing w:line="360" w:lineRule="auto"/>
        <w:ind w:firstLine="480" w:firstLineChars="200"/>
        <w:rPr>
          <w:rFonts w:eastAsia="宋体"/>
          <w:color w:val="000000"/>
          <w:sz w:val="24"/>
          <w:szCs w:val="24"/>
          <w:highlight w:val="none"/>
        </w:rPr>
      </w:pPr>
      <w:r>
        <w:rPr>
          <w:rFonts w:eastAsia="宋体"/>
          <w:color w:val="000000"/>
          <w:sz w:val="24"/>
          <w:szCs w:val="24"/>
          <w:highlight w:val="none"/>
        </w:rPr>
        <w:t>（二）乙方应保证所提供的货物免受第三方提出的任何权利主张，如因第三方提出权利主张给甲方（用户）造成损失的，乙方应予以赔偿。</w:t>
      </w:r>
    </w:p>
    <w:p>
      <w:pPr>
        <w:ind w:firstLine="480" w:firstLineChars="200"/>
        <w:rPr>
          <w:rFonts w:hint="eastAsia"/>
          <w:color w:val="000000"/>
          <w:sz w:val="24"/>
          <w:highlight w:val="none"/>
        </w:rPr>
      </w:pPr>
      <w:r>
        <w:rPr>
          <w:color w:val="000000"/>
          <w:sz w:val="24"/>
          <w:highlight w:val="none"/>
        </w:rPr>
        <w:t>（三）如乙方所提供的货物存在前述担保货物或权利负担，甲方（用户）有权解除合同、没收履约保证金，并要求乙方退还已支付的全部货款，赔偿甲方（用户）的全部损失及支出的合理费用。</w:t>
      </w:r>
    </w:p>
    <w:p>
      <w:pPr>
        <w:ind w:firstLine="482" w:firstLineChars="200"/>
        <w:rPr>
          <w:rFonts w:hint="eastAsia"/>
          <w:b/>
          <w:bCs/>
          <w:color w:val="000000"/>
          <w:sz w:val="24"/>
          <w:highlight w:val="none"/>
        </w:rPr>
      </w:pPr>
      <w:r>
        <w:rPr>
          <w:b/>
          <w:bCs/>
          <w:color w:val="000000"/>
          <w:sz w:val="24"/>
          <w:highlight w:val="none"/>
        </w:rPr>
        <w:t>第十六条 不可抗力及其免责</w:t>
      </w:r>
    </w:p>
    <w:p>
      <w:pPr>
        <w:ind w:firstLine="480" w:firstLineChars="200"/>
        <w:rPr>
          <w:rFonts w:hint="eastAsia"/>
          <w:color w:val="000000"/>
          <w:sz w:val="24"/>
          <w:highlight w:val="none"/>
        </w:rPr>
      </w:pPr>
      <w:r>
        <w:rPr>
          <w:color w:val="000000"/>
          <w:sz w:val="24"/>
          <w:highlight w:val="none"/>
        </w:rPr>
        <w:t>（一）如果乙方因不可抗力而导致合同实施延误或不能履行合同义务时，在不可抗力影响的范围内不应该被没收履约保证金，也不承担误期赔偿或终止合同的责任。</w:t>
      </w:r>
    </w:p>
    <w:p>
      <w:pPr>
        <w:ind w:firstLine="480" w:firstLineChars="200"/>
        <w:rPr>
          <w:rFonts w:hint="eastAsia"/>
          <w:color w:val="000000"/>
          <w:sz w:val="24"/>
          <w:highlight w:val="none"/>
        </w:rPr>
      </w:pPr>
      <w:r>
        <w:rPr>
          <w:color w:val="000000"/>
          <w:sz w:val="24"/>
          <w:highlight w:val="none"/>
        </w:rPr>
        <w:t>（二）在不可抗力事件发生后，乙方应尽快以书面形式将不可抗力的情况和原因通知甲方，除甲方（用户）书面另行要求外，乙方应尽实际可能继续履行合同义务，以及寻求采取合理的方案履行不受不可抗力影响的其他事项。如果不可抗力事件影响延续超过一百二十天，双方应通过友好协商在合理的时间内就进一步实施合同达成协议。</w:t>
      </w:r>
    </w:p>
    <w:p>
      <w:pPr>
        <w:ind w:firstLine="480" w:firstLineChars="200"/>
        <w:rPr>
          <w:rFonts w:hint="eastAsia"/>
          <w:color w:val="000000"/>
          <w:sz w:val="24"/>
          <w:highlight w:val="none"/>
        </w:rPr>
      </w:pPr>
      <w:r>
        <w:rPr>
          <w:color w:val="000000"/>
          <w:sz w:val="24"/>
          <w:highlight w:val="none"/>
        </w:rPr>
        <w:t>（三）乙方在延迟履行合同期间由于不可抗力而不能履行合同的，不能被免除责任。</w:t>
      </w:r>
    </w:p>
    <w:p>
      <w:pPr>
        <w:ind w:firstLine="480" w:firstLineChars="200"/>
        <w:rPr>
          <w:rFonts w:hint="eastAsia"/>
          <w:color w:val="000000"/>
          <w:sz w:val="24"/>
          <w:highlight w:val="none"/>
        </w:rPr>
      </w:pPr>
      <w:r>
        <w:rPr>
          <w:color w:val="000000"/>
          <w:sz w:val="24"/>
          <w:highlight w:val="none"/>
        </w:rPr>
        <w:t>（四）甲方（用户）如遇不可抗力，应尽快以书面形式通知乙方，并尽实际可能履行不受不可抗力影响的其他事项。甲方（用户）不承担因不可抗力不能履行合同所造成的损失。</w:t>
      </w:r>
    </w:p>
    <w:p>
      <w:pPr>
        <w:ind w:firstLine="480" w:firstLineChars="200"/>
        <w:rPr>
          <w:rFonts w:hint="eastAsia"/>
          <w:color w:val="000000"/>
          <w:sz w:val="24"/>
          <w:highlight w:val="none"/>
        </w:rPr>
      </w:pPr>
      <w:r>
        <w:rPr>
          <w:color w:val="000000"/>
          <w:sz w:val="24"/>
          <w:highlight w:val="none"/>
        </w:rPr>
        <w:t>（五）本条所述的“不可抗力”指那些不能预见、不能避免并不能克服的客观情况，包括但不限于战争、动乱、严重火灾、洪水、台风、地震等及其他双方同意的情况，但不包括违约或疏忽。</w:t>
      </w:r>
    </w:p>
    <w:p>
      <w:pPr>
        <w:ind w:firstLine="482" w:firstLineChars="200"/>
        <w:rPr>
          <w:rFonts w:hint="eastAsia"/>
          <w:b/>
          <w:bCs/>
          <w:color w:val="000000"/>
          <w:sz w:val="24"/>
          <w:highlight w:val="none"/>
        </w:rPr>
      </w:pPr>
      <w:r>
        <w:rPr>
          <w:b/>
          <w:bCs/>
          <w:color w:val="000000"/>
          <w:sz w:val="24"/>
          <w:highlight w:val="none"/>
        </w:rPr>
        <w:t>第十七条 争议的解决</w:t>
      </w:r>
    </w:p>
    <w:p>
      <w:pPr>
        <w:ind w:firstLine="480" w:firstLineChars="200"/>
        <w:rPr>
          <w:rFonts w:hint="eastAsia"/>
          <w:color w:val="000000"/>
          <w:sz w:val="24"/>
          <w:highlight w:val="none"/>
        </w:rPr>
      </w:pPr>
      <w:r>
        <w:rPr>
          <w:color w:val="000000"/>
          <w:sz w:val="24"/>
          <w:highlight w:val="none"/>
        </w:rPr>
        <w:t>合同实施或与合同有关的一切争议应通过双方友好协商解决。如果友好协商还不能解决，</w:t>
      </w:r>
      <w:r>
        <w:rPr>
          <w:rFonts w:hint="eastAsia"/>
          <w:color w:val="000000"/>
          <w:sz w:val="24"/>
          <w:highlight w:val="none"/>
        </w:rPr>
        <w:t>合同双方均可向甲方所在地人民法院提起诉讼。</w:t>
      </w:r>
      <w:r>
        <w:rPr>
          <w:color w:val="000000"/>
          <w:sz w:val="24"/>
          <w:highlight w:val="none"/>
        </w:rPr>
        <w:t>在</w:t>
      </w:r>
      <w:r>
        <w:rPr>
          <w:rFonts w:hint="eastAsia"/>
          <w:color w:val="000000"/>
          <w:sz w:val="24"/>
          <w:highlight w:val="none"/>
        </w:rPr>
        <w:t>诉讼</w:t>
      </w:r>
      <w:r>
        <w:rPr>
          <w:color w:val="000000"/>
          <w:sz w:val="24"/>
          <w:highlight w:val="none"/>
        </w:rPr>
        <w:t>期间，除正在进行</w:t>
      </w:r>
      <w:r>
        <w:rPr>
          <w:rFonts w:hint="eastAsia"/>
          <w:color w:val="000000"/>
          <w:sz w:val="24"/>
          <w:highlight w:val="none"/>
        </w:rPr>
        <w:t>诉讼</w:t>
      </w:r>
      <w:r>
        <w:rPr>
          <w:color w:val="000000"/>
          <w:sz w:val="24"/>
          <w:highlight w:val="none"/>
        </w:rPr>
        <w:t>的部分外，本合同其他部分应继续履行。</w:t>
      </w:r>
    </w:p>
    <w:p>
      <w:pPr>
        <w:ind w:firstLine="482" w:firstLineChars="200"/>
        <w:rPr>
          <w:rFonts w:hint="eastAsia"/>
          <w:b/>
          <w:bCs/>
          <w:color w:val="000000"/>
          <w:sz w:val="24"/>
          <w:highlight w:val="none"/>
        </w:rPr>
      </w:pPr>
      <w:r>
        <w:rPr>
          <w:b/>
          <w:bCs/>
          <w:color w:val="000000"/>
          <w:sz w:val="24"/>
          <w:highlight w:val="none"/>
        </w:rPr>
        <w:t>第十八条 合同修改或变更</w:t>
      </w:r>
    </w:p>
    <w:p>
      <w:pPr>
        <w:ind w:firstLine="480" w:firstLineChars="200"/>
        <w:rPr>
          <w:rFonts w:hint="eastAsia"/>
          <w:color w:val="000000"/>
          <w:sz w:val="24"/>
          <w:highlight w:val="none"/>
        </w:rPr>
      </w:pPr>
      <w:r>
        <w:rPr>
          <w:color w:val="000000"/>
          <w:sz w:val="24"/>
          <w:highlight w:val="none"/>
        </w:rPr>
        <w:t>（一）如无重大变故，甲乙双方不得擅自变更合同。</w:t>
      </w:r>
    </w:p>
    <w:p>
      <w:pPr>
        <w:ind w:firstLine="480" w:firstLineChars="200"/>
        <w:rPr>
          <w:rFonts w:hint="eastAsia"/>
          <w:color w:val="000000"/>
          <w:sz w:val="24"/>
          <w:highlight w:val="none"/>
        </w:rPr>
      </w:pPr>
      <w:r>
        <w:rPr>
          <w:color w:val="000000"/>
          <w:sz w:val="24"/>
          <w:highlight w:val="none"/>
        </w:rPr>
        <w:t>（二）如确需变更合同，甲乙双方应签署书面变更协议。变更协议为本合同不可分割的一部分。</w:t>
      </w:r>
    </w:p>
    <w:p>
      <w:pPr>
        <w:ind w:firstLine="480" w:firstLineChars="200"/>
        <w:rPr>
          <w:rFonts w:hint="eastAsia"/>
          <w:color w:val="000000"/>
          <w:sz w:val="24"/>
          <w:highlight w:val="none"/>
        </w:rPr>
      </w:pPr>
      <w:r>
        <w:rPr>
          <w:color w:val="000000"/>
          <w:sz w:val="24"/>
          <w:highlight w:val="none"/>
        </w:rPr>
        <w:t>（三）在不改变合同其他条款的前提下，甲方（用户）有权在合同价款10%的范围内追加与合同标的相同的货物或服务，并就此与乙方签订补充合同，乙方不得拒绝。</w:t>
      </w:r>
    </w:p>
    <w:p>
      <w:pPr>
        <w:ind w:firstLine="482" w:firstLineChars="200"/>
        <w:rPr>
          <w:rFonts w:hint="eastAsia"/>
          <w:b/>
          <w:bCs/>
          <w:color w:val="000000"/>
          <w:sz w:val="24"/>
          <w:highlight w:val="none"/>
        </w:rPr>
      </w:pPr>
      <w:r>
        <w:rPr>
          <w:b/>
          <w:bCs/>
          <w:color w:val="000000"/>
          <w:sz w:val="24"/>
          <w:highlight w:val="none"/>
        </w:rPr>
        <w:t>第十九条 合同中止</w:t>
      </w:r>
    </w:p>
    <w:p>
      <w:pPr>
        <w:ind w:firstLine="480" w:firstLineChars="200"/>
        <w:rPr>
          <w:rFonts w:hint="eastAsia"/>
          <w:color w:val="000000"/>
          <w:sz w:val="24"/>
          <w:highlight w:val="none"/>
        </w:rPr>
      </w:pPr>
      <w:r>
        <w:rPr>
          <w:color w:val="000000"/>
          <w:sz w:val="24"/>
          <w:highlight w:val="none"/>
        </w:rPr>
        <w:t>（一）合同在履行过程中，因采购计划调整，甲方（用户）可以要求中止履行，待计划确定后继续履行。</w:t>
      </w:r>
    </w:p>
    <w:p>
      <w:pPr>
        <w:ind w:firstLine="480" w:firstLineChars="200"/>
        <w:rPr>
          <w:rFonts w:hint="eastAsia"/>
          <w:color w:val="000000"/>
          <w:sz w:val="24"/>
          <w:highlight w:val="none"/>
        </w:rPr>
      </w:pPr>
      <w:r>
        <w:rPr>
          <w:color w:val="000000"/>
          <w:sz w:val="24"/>
          <w:highlight w:val="none"/>
        </w:rPr>
        <w:t>（二）合同签订或履行过程中因其他供应商就采购过程或结果提起质疑、投诉、行政复议、行政诉讼的，甲方（用户）认为有必要或财政部责令中止的，应当中止合同的履行。</w:t>
      </w:r>
    </w:p>
    <w:p>
      <w:pPr>
        <w:ind w:firstLine="482" w:firstLineChars="200"/>
        <w:rPr>
          <w:rFonts w:hint="eastAsia"/>
          <w:b/>
          <w:bCs/>
          <w:color w:val="000000"/>
          <w:sz w:val="24"/>
          <w:highlight w:val="none"/>
        </w:rPr>
      </w:pPr>
      <w:r>
        <w:rPr>
          <w:b/>
          <w:bCs/>
          <w:color w:val="000000"/>
          <w:sz w:val="24"/>
          <w:highlight w:val="none"/>
        </w:rPr>
        <w:t>第二十条 合同解除</w:t>
      </w:r>
    </w:p>
    <w:p>
      <w:pPr>
        <w:ind w:firstLine="480" w:firstLineChars="200"/>
        <w:rPr>
          <w:rFonts w:hint="eastAsia"/>
          <w:color w:val="000000"/>
          <w:sz w:val="24"/>
          <w:highlight w:val="none"/>
        </w:rPr>
      </w:pPr>
      <w:r>
        <w:rPr>
          <w:color w:val="000000"/>
          <w:sz w:val="24"/>
          <w:highlight w:val="none"/>
        </w:rPr>
        <w:t>由于合同一方不履行合同或严重违反合同，造成合同部分或全部无法履行时，对方除有权向违约方索赔外，并有权部分或全部解除合同。对于部分解除的合同，违约方除应承担规定的责任外，还应继续履行合同的剩余部分。</w:t>
      </w:r>
    </w:p>
    <w:p>
      <w:pPr>
        <w:ind w:firstLine="480" w:firstLineChars="200"/>
        <w:rPr>
          <w:rFonts w:hint="eastAsia"/>
          <w:color w:val="000000"/>
          <w:sz w:val="24"/>
          <w:highlight w:val="none"/>
        </w:rPr>
      </w:pPr>
      <w:r>
        <w:rPr>
          <w:color w:val="000000"/>
          <w:sz w:val="24"/>
          <w:highlight w:val="none"/>
        </w:rPr>
        <w:t>（一）因违约解除合同</w:t>
      </w:r>
    </w:p>
    <w:p>
      <w:pPr>
        <w:ind w:firstLine="480" w:firstLineChars="200"/>
        <w:rPr>
          <w:rFonts w:hint="eastAsia"/>
          <w:color w:val="000000"/>
          <w:sz w:val="24"/>
          <w:highlight w:val="none"/>
        </w:rPr>
      </w:pPr>
      <w:r>
        <w:rPr>
          <w:color w:val="000000"/>
          <w:sz w:val="24"/>
          <w:highlight w:val="none"/>
        </w:rPr>
        <w:t>1.在甲方（用户）对乙方违约而采取的任何补救措施不受影响的情况下，甲方（用户）可向乙方发出书面违约通知书，提出解除部分或全部合同：</w:t>
      </w:r>
    </w:p>
    <w:p>
      <w:pPr>
        <w:ind w:firstLine="480" w:firstLineChars="200"/>
        <w:rPr>
          <w:rFonts w:hint="eastAsia"/>
          <w:color w:val="000000"/>
          <w:sz w:val="24"/>
          <w:highlight w:val="none"/>
        </w:rPr>
      </w:pPr>
      <w:r>
        <w:rPr>
          <w:color w:val="000000"/>
          <w:sz w:val="24"/>
          <w:highlight w:val="none"/>
        </w:rPr>
        <w:t>（1）如果乙方未能在合同规定的期限或甲方（用户）根据合同条款的规定同意延长的限期内提供部分或全部的货物或服务，达到合同所规定的要求；</w:t>
      </w:r>
    </w:p>
    <w:p>
      <w:pPr>
        <w:pStyle w:val="638"/>
        <w:spacing w:line="360" w:lineRule="auto"/>
        <w:ind w:firstLine="480" w:firstLineChars="200"/>
        <w:rPr>
          <w:rFonts w:eastAsia="宋体"/>
          <w:color w:val="000000"/>
          <w:sz w:val="24"/>
          <w:szCs w:val="24"/>
          <w:highlight w:val="none"/>
        </w:rPr>
      </w:pPr>
      <w:r>
        <w:rPr>
          <w:rFonts w:eastAsia="宋体"/>
          <w:color w:val="000000"/>
          <w:sz w:val="24"/>
          <w:szCs w:val="24"/>
          <w:highlight w:val="none"/>
        </w:rPr>
        <w:t>（2）如果甲方（用户）发现乙方在本合同的竞争或实施中有欺诈行为。</w:t>
      </w:r>
    </w:p>
    <w:p>
      <w:pPr>
        <w:ind w:firstLine="480" w:firstLineChars="200"/>
        <w:rPr>
          <w:rFonts w:hint="eastAsia"/>
          <w:color w:val="000000"/>
          <w:sz w:val="24"/>
          <w:highlight w:val="none"/>
        </w:rPr>
      </w:pPr>
      <w:r>
        <w:rPr>
          <w:color w:val="000000"/>
          <w:sz w:val="24"/>
          <w:highlight w:val="none"/>
        </w:rPr>
        <w:t>（3）如果乙方未能履行合同规定的其他任何义务。</w:t>
      </w:r>
    </w:p>
    <w:p>
      <w:pPr>
        <w:ind w:firstLine="480" w:firstLineChars="200"/>
        <w:rPr>
          <w:rFonts w:hint="eastAsia"/>
          <w:color w:val="000000"/>
          <w:sz w:val="24"/>
          <w:highlight w:val="none"/>
        </w:rPr>
      </w:pPr>
      <w:r>
        <w:rPr>
          <w:color w:val="000000"/>
          <w:sz w:val="24"/>
          <w:highlight w:val="none"/>
        </w:rPr>
        <w:t>2.如果甲方（用户）根据上述规定与乙方全部或部分解除合同，</w:t>
      </w:r>
      <w:r>
        <w:rPr>
          <w:bCs/>
          <w:color w:val="000000"/>
          <w:sz w:val="24"/>
          <w:highlight w:val="none"/>
        </w:rPr>
        <w:t>甲方（用户）可以依其认为适当的条件和方法购买乙方未能提供的货物或服务，乙方应对甲方购买类似货物或服务所超出的费用负责</w:t>
      </w:r>
      <w:r>
        <w:rPr>
          <w:color w:val="000000"/>
          <w:sz w:val="24"/>
          <w:highlight w:val="none"/>
        </w:rPr>
        <w:t>。</w:t>
      </w:r>
      <w:r>
        <w:rPr>
          <w:bCs/>
          <w:color w:val="000000"/>
          <w:sz w:val="24"/>
          <w:highlight w:val="none"/>
        </w:rPr>
        <w:t>同时，乙方应继续执行合同中未解除的部分。</w:t>
      </w:r>
    </w:p>
    <w:p>
      <w:pPr>
        <w:ind w:firstLine="480" w:firstLineChars="200"/>
        <w:rPr>
          <w:rFonts w:hint="eastAsia"/>
          <w:color w:val="000000"/>
          <w:sz w:val="24"/>
          <w:highlight w:val="none"/>
        </w:rPr>
      </w:pPr>
      <w:r>
        <w:rPr>
          <w:color w:val="000000"/>
          <w:sz w:val="24"/>
          <w:highlight w:val="none"/>
        </w:rPr>
        <w:t>（二）因破产而解除合同</w:t>
      </w:r>
    </w:p>
    <w:p>
      <w:pPr>
        <w:ind w:firstLine="480" w:firstLineChars="200"/>
        <w:rPr>
          <w:rFonts w:hint="eastAsia"/>
          <w:color w:val="000000"/>
          <w:sz w:val="24"/>
          <w:highlight w:val="none"/>
        </w:rPr>
      </w:pPr>
      <w:r>
        <w:rPr>
          <w:color w:val="000000"/>
          <w:sz w:val="24"/>
          <w:highlight w:val="none"/>
        </w:rPr>
        <w:t>1.如果乙方破产或无清偿能力，甲方（用户）可在任何时候以书面形式通知乙方，提出解除合同而不给乙方补偿，并有权要求乙方退回甲方（用户）已支付的合同货款。</w:t>
      </w:r>
    </w:p>
    <w:p>
      <w:pPr>
        <w:ind w:firstLine="480" w:firstLineChars="200"/>
        <w:rPr>
          <w:rFonts w:hint="eastAsia"/>
          <w:color w:val="000000"/>
          <w:sz w:val="24"/>
          <w:highlight w:val="none"/>
        </w:rPr>
      </w:pPr>
      <w:r>
        <w:rPr>
          <w:color w:val="000000"/>
          <w:sz w:val="24"/>
          <w:highlight w:val="none"/>
        </w:rPr>
        <w:t>2.该解除合同将不损害或影响甲方已经采取或将要采取的任何行动或补救措施的权利。</w:t>
      </w:r>
    </w:p>
    <w:p>
      <w:pPr>
        <w:ind w:firstLine="480" w:firstLineChars="200"/>
        <w:rPr>
          <w:rFonts w:hint="eastAsia"/>
          <w:color w:val="000000"/>
          <w:sz w:val="24"/>
          <w:highlight w:val="none"/>
        </w:rPr>
      </w:pPr>
      <w:r>
        <w:rPr>
          <w:color w:val="000000"/>
          <w:sz w:val="24"/>
          <w:highlight w:val="none"/>
        </w:rPr>
        <w:t>（三）其他解除合同情况</w:t>
      </w:r>
    </w:p>
    <w:p>
      <w:pPr>
        <w:ind w:firstLine="480" w:firstLineChars="200"/>
        <w:rPr>
          <w:rFonts w:hint="eastAsia"/>
          <w:color w:val="000000"/>
          <w:sz w:val="24"/>
          <w:highlight w:val="none"/>
        </w:rPr>
      </w:pPr>
      <w:r>
        <w:rPr>
          <w:color w:val="000000"/>
          <w:sz w:val="24"/>
          <w:highlight w:val="none"/>
        </w:rPr>
        <w:t>1.若合同继续履行将给甲方造成重大损失的，甲方（用户）可以解除合同而不给予乙方任何补偿。</w:t>
      </w:r>
    </w:p>
    <w:p>
      <w:pPr>
        <w:ind w:firstLine="480" w:firstLineChars="200"/>
        <w:rPr>
          <w:rFonts w:hint="eastAsia"/>
          <w:color w:val="000000"/>
          <w:sz w:val="24"/>
          <w:highlight w:val="none"/>
        </w:rPr>
      </w:pPr>
      <w:r>
        <w:rPr>
          <w:color w:val="000000"/>
          <w:sz w:val="24"/>
          <w:highlight w:val="none"/>
        </w:rPr>
        <w:t>2.乙方在执行合同的过程中发生重大变故，对履行合同有影响的，甲方（用户）可以解除合同而不给予乙方任何补偿。</w:t>
      </w:r>
    </w:p>
    <w:p>
      <w:pPr>
        <w:ind w:firstLine="480" w:firstLineChars="200"/>
        <w:rPr>
          <w:rFonts w:hint="eastAsia"/>
          <w:color w:val="000000"/>
          <w:sz w:val="24"/>
          <w:highlight w:val="none"/>
        </w:rPr>
      </w:pPr>
      <w:r>
        <w:rPr>
          <w:color w:val="000000"/>
          <w:sz w:val="24"/>
          <w:highlight w:val="none"/>
        </w:rPr>
        <w:t>3.甲方（用户）因重大变故取消或部分取消原来的采购任务，导致合同全部或部分内容无需继续履行的，可以解除合同而不给予乙方任何补偿。</w:t>
      </w:r>
    </w:p>
    <w:p>
      <w:pPr>
        <w:ind w:firstLine="482" w:firstLineChars="200"/>
        <w:rPr>
          <w:rFonts w:hint="eastAsia"/>
          <w:b/>
          <w:bCs/>
          <w:color w:val="000000"/>
          <w:sz w:val="24"/>
          <w:highlight w:val="none"/>
        </w:rPr>
      </w:pPr>
      <w:r>
        <w:rPr>
          <w:b/>
          <w:bCs/>
          <w:color w:val="000000"/>
          <w:sz w:val="24"/>
          <w:highlight w:val="none"/>
        </w:rPr>
        <w:t>第二十一条 合同终止</w:t>
      </w:r>
    </w:p>
    <w:p>
      <w:pPr>
        <w:pStyle w:val="639"/>
        <w:autoSpaceDN w:val="0"/>
        <w:spacing w:line="360" w:lineRule="auto"/>
        <w:ind w:firstLine="480" w:firstLineChars="200"/>
        <w:jc w:val="left"/>
        <w:rPr>
          <w:snapToGrid w:val="0"/>
          <w:kern w:val="0"/>
          <w:sz w:val="24"/>
          <w:szCs w:val="24"/>
          <w:highlight w:val="none"/>
        </w:rPr>
      </w:pPr>
      <w:r>
        <w:rPr>
          <w:snapToGrid w:val="0"/>
          <w:kern w:val="0"/>
          <w:sz w:val="24"/>
          <w:szCs w:val="24"/>
          <w:highlight w:val="none"/>
        </w:rPr>
        <w:t>（一）本合同因下列原因而终止：</w:t>
      </w:r>
    </w:p>
    <w:p>
      <w:pPr>
        <w:pStyle w:val="639"/>
        <w:autoSpaceDN w:val="0"/>
        <w:spacing w:line="360" w:lineRule="auto"/>
        <w:ind w:firstLine="480" w:firstLineChars="200"/>
        <w:jc w:val="left"/>
        <w:rPr>
          <w:snapToGrid w:val="0"/>
          <w:kern w:val="0"/>
          <w:sz w:val="24"/>
          <w:szCs w:val="24"/>
          <w:highlight w:val="none"/>
        </w:rPr>
      </w:pPr>
      <w:r>
        <w:rPr>
          <w:snapToGrid w:val="0"/>
          <w:kern w:val="0"/>
          <w:sz w:val="24"/>
          <w:szCs w:val="24"/>
          <w:highlight w:val="none"/>
        </w:rPr>
        <w:t>1.本合同正常履行完毕；</w:t>
      </w:r>
    </w:p>
    <w:p>
      <w:pPr>
        <w:pStyle w:val="639"/>
        <w:autoSpaceDN w:val="0"/>
        <w:spacing w:line="360" w:lineRule="auto"/>
        <w:ind w:firstLine="480" w:firstLineChars="200"/>
        <w:jc w:val="left"/>
        <w:rPr>
          <w:snapToGrid w:val="0"/>
          <w:kern w:val="0"/>
          <w:sz w:val="24"/>
          <w:szCs w:val="24"/>
          <w:highlight w:val="none"/>
        </w:rPr>
      </w:pPr>
      <w:r>
        <w:rPr>
          <w:snapToGrid w:val="0"/>
          <w:kern w:val="0"/>
          <w:sz w:val="24"/>
          <w:szCs w:val="24"/>
          <w:highlight w:val="none"/>
        </w:rPr>
        <w:t>2.合同双方协议终止本合同的履行；</w:t>
      </w:r>
    </w:p>
    <w:p>
      <w:pPr>
        <w:pStyle w:val="639"/>
        <w:autoSpaceDN w:val="0"/>
        <w:spacing w:line="360" w:lineRule="auto"/>
        <w:ind w:firstLine="480" w:firstLineChars="200"/>
        <w:jc w:val="left"/>
        <w:rPr>
          <w:snapToGrid w:val="0"/>
          <w:kern w:val="0"/>
          <w:sz w:val="24"/>
          <w:szCs w:val="24"/>
          <w:highlight w:val="none"/>
        </w:rPr>
      </w:pPr>
      <w:r>
        <w:rPr>
          <w:snapToGrid w:val="0"/>
          <w:kern w:val="0"/>
          <w:sz w:val="24"/>
          <w:szCs w:val="24"/>
          <w:highlight w:val="none"/>
        </w:rPr>
        <w:t>3.不可抗力事件导致本合同无法履行或履行不必要；</w:t>
      </w:r>
    </w:p>
    <w:p>
      <w:pPr>
        <w:pStyle w:val="639"/>
        <w:autoSpaceDN w:val="0"/>
        <w:spacing w:line="360" w:lineRule="auto"/>
        <w:ind w:firstLine="480" w:firstLineChars="200"/>
        <w:jc w:val="left"/>
        <w:rPr>
          <w:snapToGrid w:val="0"/>
          <w:kern w:val="0"/>
          <w:sz w:val="24"/>
          <w:szCs w:val="24"/>
          <w:highlight w:val="none"/>
        </w:rPr>
      </w:pPr>
      <w:r>
        <w:rPr>
          <w:snapToGrid w:val="0"/>
          <w:kern w:val="0"/>
          <w:sz w:val="24"/>
          <w:szCs w:val="24"/>
          <w:highlight w:val="none"/>
        </w:rPr>
        <w:t>4.任何一方行使解除权，解除本合同；</w:t>
      </w:r>
    </w:p>
    <w:p>
      <w:pPr>
        <w:pStyle w:val="639"/>
        <w:autoSpaceDN w:val="0"/>
        <w:spacing w:line="360" w:lineRule="auto"/>
        <w:ind w:firstLine="480" w:firstLineChars="200"/>
        <w:jc w:val="left"/>
        <w:rPr>
          <w:snapToGrid w:val="0"/>
          <w:kern w:val="0"/>
          <w:sz w:val="24"/>
          <w:szCs w:val="24"/>
          <w:highlight w:val="none"/>
        </w:rPr>
      </w:pPr>
      <w:r>
        <w:rPr>
          <w:snapToGrid w:val="0"/>
          <w:kern w:val="0"/>
          <w:sz w:val="24"/>
          <w:szCs w:val="24"/>
          <w:highlight w:val="none"/>
        </w:rPr>
        <w:t>（二）对本合同终止有过错的一方应赔偿另一方因合同终止而受到的损失。</w:t>
      </w:r>
    </w:p>
    <w:p>
      <w:pPr>
        <w:ind w:firstLine="482" w:firstLineChars="200"/>
        <w:rPr>
          <w:rFonts w:hint="eastAsia"/>
          <w:b/>
          <w:bCs/>
          <w:color w:val="000000"/>
          <w:sz w:val="24"/>
          <w:highlight w:val="none"/>
        </w:rPr>
      </w:pPr>
      <w:r>
        <w:rPr>
          <w:b/>
          <w:bCs/>
          <w:color w:val="000000"/>
          <w:sz w:val="24"/>
          <w:highlight w:val="none"/>
        </w:rPr>
        <w:t>第二十二条 其他</w:t>
      </w:r>
    </w:p>
    <w:p>
      <w:pPr>
        <w:ind w:firstLine="480" w:firstLineChars="200"/>
        <w:rPr>
          <w:rFonts w:hint="eastAsia"/>
          <w:color w:val="000000"/>
          <w:sz w:val="24"/>
          <w:highlight w:val="none"/>
        </w:rPr>
      </w:pPr>
      <w:r>
        <w:rPr>
          <w:color w:val="000000"/>
          <w:sz w:val="24"/>
          <w:highlight w:val="none"/>
        </w:rPr>
        <w:t>中标通知书（成交通知书）、中标人的投标文件/应答文件、招标文件/谈判文件/询价通知书/磋商文件/单一来源、合同条款、合同附件（协商、变更的，明确双方权利义务的，以书面形式而表现出来的协议或书面通知或确认书等）是本合同不可分割的部分，与本合同具有同等法律效力。</w:t>
      </w:r>
    </w:p>
    <w:p>
      <w:pPr>
        <w:ind w:firstLine="482" w:firstLineChars="200"/>
        <w:rPr>
          <w:rFonts w:hint="eastAsia"/>
          <w:b/>
          <w:bCs/>
          <w:color w:val="000000"/>
          <w:sz w:val="24"/>
          <w:highlight w:val="none"/>
        </w:rPr>
      </w:pPr>
      <w:r>
        <w:rPr>
          <w:b/>
          <w:bCs/>
          <w:color w:val="000000"/>
          <w:sz w:val="24"/>
          <w:highlight w:val="none"/>
        </w:rPr>
        <w:t>第二十四条 合同生效</w:t>
      </w:r>
    </w:p>
    <w:p>
      <w:pPr>
        <w:ind w:firstLine="480" w:firstLineChars="200"/>
        <w:rPr>
          <w:rFonts w:hint="eastAsia"/>
          <w:color w:val="000000"/>
          <w:sz w:val="24"/>
          <w:highlight w:val="none"/>
        </w:rPr>
      </w:pPr>
      <w:r>
        <w:rPr>
          <w:color w:val="000000"/>
          <w:sz w:val="24"/>
          <w:highlight w:val="none"/>
        </w:rPr>
        <w:t>本合同一式___份，甲方执___份，乙方执___份；自甲乙双方签字盖章之日起生效。对本合同的任何更改及补充，均需双方共同协商，并以书面形式盖章确认。</w:t>
      </w:r>
    </w:p>
    <w:p>
      <w:pPr>
        <w:rPr>
          <w:rFonts w:hint="eastAsia"/>
          <w:color w:val="000000"/>
          <w:sz w:val="24"/>
          <w:highlight w:val="none"/>
        </w:rPr>
      </w:pPr>
    </w:p>
    <w:p>
      <w:pPr>
        <w:rPr>
          <w:rFonts w:hint="eastAsia"/>
          <w:color w:val="000000"/>
          <w:sz w:val="24"/>
          <w:highlight w:val="none"/>
        </w:rPr>
      </w:pPr>
      <w:r>
        <w:rPr>
          <w:color w:val="000000"/>
          <w:sz w:val="24"/>
          <w:highlight w:val="none"/>
        </w:rPr>
        <w:t>甲方（公章</w:t>
      </w:r>
      <w:r>
        <w:rPr>
          <w:snapToGrid w:val="0"/>
          <w:sz w:val="24"/>
          <w:highlight w:val="none"/>
        </w:rPr>
        <w:t>或合同章</w:t>
      </w:r>
      <w:r>
        <w:rPr>
          <w:color w:val="000000"/>
          <w:sz w:val="24"/>
          <w:highlight w:val="none"/>
        </w:rPr>
        <w:t>）：            乙方（公章</w:t>
      </w:r>
      <w:r>
        <w:rPr>
          <w:snapToGrid w:val="0"/>
          <w:sz w:val="24"/>
          <w:highlight w:val="none"/>
        </w:rPr>
        <w:t>或合同章</w:t>
      </w:r>
      <w:r>
        <w:rPr>
          <w:color w:val="000000"/>
          <w:sz w:val="24"/>
          <w:highlight w:val="none"/>
        </w:rPr>
        <w:t>）：</w:t>
      </w:r>
    </w:p>
    <w:p>
      <w:pPr>
        <w:rPr>
          <w:rFonts w:hint="eastAsia"/>
          <w:color w:val="000000"/>
          <w:sz w:val="24"/>
          <w:highlight w:val="none"/>
        </w:rPr>
      </w:pPr>
      <w:r>
        <w:rPr>
          <w:rFonts w:hint="eastAsia"/>
          <w:color w:val="000000"/>
          <w:sz w:val="24"/>
          <w:highlight w:val="none"/>
        </w:rPr>
        <w:t>甲方代表</w:t>
      </w:r>
      <w:r>
        <w:rPr>
          <w:color w:val="000000"/>
          <w:sz w:val="24"/>
          <w:highlight w:val="none"/>
        </w:rPr>
        <w:t xml:space="preserve">或授权人签字：            </w:t>
      </w:r>
      <w:r>
        <w:rPr>
          <w:rFonts w:hint="eastAsia"/>
          <w:color w:val="000000"/>
          <w:sz w:val="24"/>
          <w:highlight w:val="none"/>
        </w:rPr>
        <w:t>乙方代表</w:t>
      </w:r>
      <w:r>
        <w:rPr>
          <w:color w:val="000000"/>
          <w:sz w:val="24"/>
          <w:highlight w:val="none"/>
        </w:rPr>
        <w:t>或授权人签字：</w:t>
      </w:r>
    </w:p>
    <w:p>
      <w:pPr>
        <w:rPr>
          <w:rFonts w:hint="eastAsia"/>
          <w:color w:val="000000"/>
          <w:sz w:val="24"/>
          <w:highlight w:val="none"/>
        </w:rPr>
      </w:pPr>
      <w:r>
        <w:rPr>
          <w:color w:val="000000"/>
          <w:sz w:val="24"/>
          <w:highlight w:val="none"/>
        </w:rPr>
        <w:t xml:space="preserve">日期： 年  月  日                 日期：   年   月   日    </w:t>
      </w:r>
    </w:p>
    <w:p>
      <w:pPr>
        <w:rPr>
          <w:rFonts w:hint="eastAsia"/>
          <w:color w:val="000000"/>
          <w:sz w:val="24"/>
          <w:highlight w:val="none"/>
        </w:rPr>
      </w:pPr>
      <w:r>
        <w:rPr>
          <w:color w:val="000000"/>
          <w:sz w:val="24"/>
          <w:highlight w:val="none"/>
        </w:rPr>
        <w:t>联系人:                           联系人：</w:t>
      </w:r>
    </w:p>
    <w:p>
      <w:pPr>
        <w:rPr>
          <w:rFonts w:hint="eastAsia"/>
          <w:color w:val="000000"/>
          <w:sz w:val="24"/>
          <w:highlight w:val="none"/>
        </w:rPr>
      </w:pPr>
      <w:r>
        <w:rPr>
          <w:color w:val="000000"/>
          <w:sz w:val="24"/>
          <w:highlight w:val="none"/>
        </w:rPr>
        <w:t>电话:                             电话：</w:t>
      </w:r>
    </w:p>
    <w:p>
      <w:pPr>
        <w:rPr>
          <w:rFonts w:hint="eastAsia"/>
          <w:color w:val="000000"/>
          <w:sz w:val="24"/>
          <w:highlight w:val="none"/>
        </w:rPr>
      </w:pPr>
      <w:r>
        <w:rPr>
          <w:color w:val="000000"/>
          <w:sz w:val="24"/>
          <w:highlight w:val="none"/>
        </w:rPr>
        <w:t>地址：                            地址：</w:t>
      </w:r>
    </w:p>
    <w:p>
      <w:pPr>
        <w:jc w:val="left"/>
        <w:rPr>
          <w:szCs w:val="21"/>
          <w:highlight w:val="none"/>
        </w:rPr>
      </w:pPr>
      <w:r>
        <w:rPr>
          <w:rFonts w:hint="eastAsia"/>
          <w:szCs w:val="21"/>
          <w:highlight w:val="none"/>
        </w:rPr>
        <w:br w:type="page"/>
      </w:r>
    </w:p>
    <w:p>
      <w:pPr>
        <w:pStyle w:val="62"/>
        <w:jc w:val="left"/>
        <w:rPr>
          <w:b w:val="0"/>
          <w:bCs w:val="0"/>
          <w:sz w:val="21"/>
          <w:szCs w:val="21"/>
          <w:highlight w:val="none"/>
        </w:rPr>
      </w:pPr>
      <w:r>
        <w:rPr>
          <w:rFonts w:hint="eastAsia"/>
          <w:b w:val="0"/>
          <w:bCs w:val="0"/>
          <w:sz w:val="21"/>
          <w:szCs w:val="21"/>
          <w:highlight w:val="none"/>
        </w:rPr>
        <w:t>附件1：分项报价表、设备配置清单和技术偏离表</w:t>
      </w:r>
    </w:p>
    <w:p>
      <w:pPr>
        <w:rPr>
          <w:rFonts w:hint="eastAsia"/>
          <w:szCs w:val="21"/>
          <w:highlight w:val="none"/>
        </w:rPr>
      </w:pPr>
      <w:r>
        <w:rPr>
          <w:rFonts w:hint="eastAsia"/>
          <w:szCs w:val="21"/>
          <w:highlight w:val="none"/>
        </w:rPr>
        <w:br w:type="page"/>
      </w:r>
    </w:p>
    <w:p>
      <w:pPr>
        <w:pStyle w:val="62"/>
        <w:shd w:val="clear" w:color="auto" w:fill="FFFFFF"/>
        <w:jc w:val="left"/>
        <w:rPr>
          <w:rFonts w:hint="eastAsia"/>
          <w:b w:val="0"/>
          <w:bCs w:val="0"/>
          <w:sz w:val="21"/>
          <w:szCs w:val="21"/>
          <w:highlight w:val="none"/>
        </w:rPr>
      </w:pPr>
      <w:r>
        <w:rPr>
          <w:rFonts w:hint="eastAsia"/>
          <w:b w:val="0"/>
          <w:bCs w:val="0"/>
          <w:sz w:val="21"/>
          <w:szCs w:val="21"/>
          <w:highlight w:val="none"/>
        </w:rPr>
        <w:t>附件2：培训方案</w:t>
      </w:r>
    </w:p>
    <w:p>
      <w:pPr>
        <w:rPr>
          <w:rFonts w:hint="eastAsia"/>
          <w:szCs w:val="21"/>
          <w:highlight w:val="none"/>
        </w:rPr>
      </w:pPr>
      <w:r>
        <w:rPr>
          <w:rFonts w:hint="eastAsia"/>
          <w:szCs w:val="21"/>
          <w:highlight w:val="none"/>
        </w:rPr>
        <w:br w:type="page"/>
      </w:r>
    </w:p>
    <w:p>
      <w:pPr>
        <w:pStyle w:val="62"/>
        <w:shd w:val="clear" w:color="auto" w:fill="FFFFFF"/>
        <w:jc w:val="left"/>
        <w:rPr>
          <w:rFonts w:hint="eastAsia"/>
          <w:b w:val="0"/>
          <w:bCs w:val="0"/>
          <w:sz w:val="21"/>
          <w:szCs w:val="21"/>
          <w:highlight w:val="none"/>
        </w:rPr>
      </w:pPr>
      <w:r>
        <w:rPr>
          <w:rFonts w:hint="eastAsia"/>
          <w:b w:val="0"/>
          <w:bCs w:val="0"/>
          <w:sz w:val="21"/>
          <w:szCs w:val="21"/>
          <w:highlight w:val="none"/>
        </w:rPr>
        <w:t>附件3：技术支持及售后服务方案</w:t>
      </w:r>
    </w:p>
    <w:p>
      <w:pPr>
        <w:widowControl w:val="0"/>
        <w:shd w:val="clear" w:color="auto" w:fill="auto"/>
        <w:tabs>
          <w:tab w:val="clear" w:pos="426"/>
        </w:tabs>
        <w:adjustRightInd/>
        <w:snapToGrid/>
        <w:spacing w:line="240" w:lineRule="auto"/>
        <w:rPr>
          <w:rFonts w:ascii="Calibri" w:hAnsi="Calibri" w:cs="Times New Roman"/>
          <w:kern w:val="2"/>
          <w:highlight w:val="none"/>
        </w:rPr>
      </w:pPr>
    </w:p>
    <w:p>
      <w:pPr>
        <w:pStyle w:val="62"/>
        <w:rPr>
          <w:highlight w:val="none"/>
        </w:rPr>
      </w:pPr>
      <w:r>
        <w:rPr>
          <w:highlight w:val="none"/>
        </w:rPr>
        <w:br w:type="page"/>
      </w:r>
      <w:bookmarkEnd w:id="72"/>
      <w:bookmarkEnd w:id="73"/>
      <w:bookmarkStart w:id="74" w:name="_Toc4933"/>
      <w:r>
        <w:rPr>
          <w:rFonts w:hint="eastAsia"/>
          <w:highlight w:val="none"/>
        </w:rPr>
        <w:t>第六章 投标资料表</w:t>
      </w:r>
      <w:bookmarkEnd w:id="74"/>
    </w:p>
    <w:p>
      <w:pPr>
        <w:tabs>
          <w:tab w:val="clear" w:pos="426"/>
        </w:tabs>
        <w:spacing w:line="276" w:lineRule="auto"/>
        <w:rPr>
          <w:rFonts w:hint="eastAsia" w:asciiTheme="minorEastAsia" w:hAnsiTheme="minorEastAsia" w:eastAsiaTheme="minorEastAsia"/>
          <w:highlight w:val="none"/>
        </w:rPr>
      </w:pPr>
    </w:p>
    <w:p>
      <w:pPr>
        <w:tabs>
          <w:tab w:val="clear" w:pos="426"/>
        </w:tabs>
        <w:spacing w:line="276" w:lineRule="auto"/>
        <w:rPr>
          <w:rFonts w:hint="eastAsia" w:asciiTheme="minorEastAsia" w:hAnsiTheme="minorEastAsia" w:eastAsiaTheme="minorEastAsia"/>
          <w:highlight w:val="none"/>
        </w:rPr>
      </w:pPr>
    </w:p>
    <w:p>
      <w:pPr>
        <w:tabs>
          <w:tab w:val="clear" w:pos="426"/>
        </w:tabs>
        <w:spacing w:line="276" w:lineRule="auto"/>
        <w:rPr>
          <w:rFonts w:hint="eastAsia" w:asciiTheme="minorEastAsia" w:hAnsiTheme="minorEastAsia" w:eastAsiaTheme="minorEastAsia"/>
          <w:highlight w:val="none"/>
        </w:rPr>
      </w:pPr>
      <w:r>
        <w:rPr>
          <w:rFonts w:hint="eastAsia" w:asciiTheme="minorEastAsia" w:hAnsiTheme="minorEastAsia" w:eastAsiaTheme="minorEastAsia"/>
          <w:highlight w:val="none"/>
        </w:rPr>
        <w:t>投标文件组成：</w:t>
      </w:r>
    </w:p>
    <w:p>
      <w:pPr>
        <w:tabs>
          <w:tab w:val="clear" w:pos="426"/>
        </w:tabs>
        <w:spacing w:line="276" w:lineRule="auto"/>
        <w:rPr>
          <w:rFonts w:hint="eastAsia" w:asciiTheme="minorEastAsia" w:hAnsiTheme="minorEastAsia" w:eastAsiaTheme="minorEastAsia"/>
          <w:highlight w:val="none"/>
        </w:rPr>
      </w:pPr>
    </w:p>
    <w:p>
      <w:pPr>
        <w:tabs>
          <w:tab w:val="clear" w:pos="426"/>
        </w:tabs>
        <w:spacing w:line="276" w:lineRule="auto"/>
        <w:rPr>
          <w:rFonts w:hint="eastAsia" w:asciiTheme="minorEastAsia" w:hAnsiTheme="minorEastAsia" w:eastAsiaTheme="minorEastAsia"/>
          <w:highlight w:val="none"/>
        </w:rPr>
      </w:pPr>
      <w:r>
        <w:rPr>
          <w:rFonts w:hint="eastAsia" w:asciiTheme="minorEastAsia" w:hAnsiTheme="minorEastAsia" w:eastAsiaTheme="minorEastAsia"/>
          <w:highlight w:val="none"/>
        </w:rPr>
        <w:t>密封袋封条格式</w:t>
      </w:r>
    </w:p>
    <w:p>
      <w:pPr>
        <w:tabs>
          <w:tab w:val="clear" w:pos="426"/>
        </w:tabs>
        <w:spacing w:line="276" w:lineRule="auto"/>
        <w:rPr>
          <w:rFonts w:hint="eastAsia" w:asciiTheme="minorEastAsia" w:hAnsiTheme="minorEastAsia" w:eastAsiaTheme="minorEastAsia"/>
          <w:highlight w:val="none"/>
        </w:rPr>
      </w:pPr>
      <w:r>
        <w:rPr>
          <w:rFonts w:hint="eastAsia" w:asciiTheme="minorEastAsia" w:hAnsiTheme="minorEastAsia" w:eastAsiaTheme="minorEastAsia"/>
          <w:highlight w:val="none"/>
        </w:rPr>
        <w:t>投标文件封面格式</w:t>
      </w:r>
    </w:p>
    <w:p>
      <w:pPr>
        <w:tabs>
          <w:tab w:val="clear" w:pos="426"/>
        </w:tabs>
        <w:spacing w:line="276" w:lineRule="auto"/>
        <w:rPr>
          <w:rFonts w:hint="eastAsia" w:asciiTheme="minorEastAsia" w:hAnsiTheme="minorEastAsia" w:eastAsiaTheme="minorEastAsia"/>
          <w:highlight w:val="none"/>
        </w:rPr>
      </w:pPr>
      <w:r>
        <w:rPr>
          <w:rFonts w:hint="eastAsia" w:asciiTheme="minorEastAsia" w:hAnsiTheme="minorEastAsia" w:eastAsiaTheme="minorEastAsia"/>
          <w:highlight w:val="none"/>
        </w:rPr>
        <w:t>目录（目录格式自定）</w:t>
      </w:r>
    </w:p>
    <w:p>
      <w:pPr>
        <w:tabs>
          <w:tab w:val="clear" w:pos="426"/>
        </w:tabs>
        <w:spacing w:line="276" w:lineRule="auto"/>
        <w:rPr>
          <w:rFonts w:hint="eastAsia" w:asciiTheme="minorEastAsia" w:hAnsiTheme="minorEastAsia" w:eastAsiaTheme="minorEastAsia"/>
          <w:highlight w:val="none"/>
        </w:rPr>
      </w:pPr>
      <w:r>
        <w:rPr>
          <w:rFonts w:hint="eastAsia" w:asciiTheme="minorEastAsia" w:hAnsiTheme="minorEastAsia" w:eastAsiaTheme="minorEastAsia"/>
          <w:highlight w:val="none"/>
        </w:rPr>
        <w:t>评标指引表</w:t>
      </w:r>
    </w:p>
    <w:p>
      <w:pPr>
        <w:pStyle w:val="315"/>
        <w:numPr>
          <w:ilvl w:val="255"/>
          <w:numId w:val="0"/>
        </w:numPr>
        <w:spacing w:line="240" w:lineRule="auto"/>
        <w:ind w:left="567" w:leftChars="270"/>
        <w:rPr>
          <w:rFonts w:hint="eastAsia" w:asciiTheme="minorEastAsia" w:hAnsiTheme="minorEastAsia" w:eastAsiaTheme="minorEastAsia"/>
          <w:bCs/>
          <w:sz w:val="21"/>
          <w:szCs w:val="21"/>
          <w:highlight w:val="none"/>
        </w:rPr>
      </w:pPr>
      <w:r>
        <w:rPr>
          <w:rFonts w:hint="eastAsia" w:asciiTheme="minorEastAsia" w:hAnsiTheme="minorEastAsia" w:eastAsiaTheme="minorEastAsia"/>
          <w:sz w:val="21"/>
          <w:szCs w:val="21"/>
          <w:highlight w:val="none"/>
        </w:rPr>
        <w:t>格式1：投标函</w:t>
      </w:r>
      <w:r>
        <w:rPr>
          <w:rFonts w:hint="eastAsia" w:asciiTheme="minorEastAsia" w:hAnsiTheme="minorEastAsia" w:eastAsiaTheme="minorEastAsia"/>
          <w:sz w:val="21"/>
          <w:szCs w:val="21"/>
          <w:highlight w:val="none"/>
        </w:rPr>
        <w:cr/>
      </w:r>
      <w:r>
        <w:rPr>
          <w:rFonts w:hint="eastAsia" w:asciiTheme="minorEastAsia" w:hAnsiTheme="minorEastAsia" w:eastAsiaTheme="minorEastAsia"/>
          <w:sz w:val="21"/>
          <w:szCs w:val="21"/>
          <w:highlight w:val="none"/>
        </w:rPr>
        <w:t>格式2：法定代表人（单位负责人）证明书</w:t>
      </w:r>
      <w:r>
        <w:rPr>
          <w:rFonts w:hint="eastAsia" w:asciiTheme="minorEastAsia" w:hAnsiTheme="minorEastAsia" w:eastAsiaTheme="minorEastAsia"/>
          <w:sz w:val="21"/>
          <w:szCs w:val="21"/>
          <w:highlight w:val="none"/>
        </w:rPr>
        <w:cr/>
      </w:r>
      <w:r>
        <w:rPr>
          <w:rFonts w:hint="eastAsia" w:asciiTheme="minorEastAsia" w:hAnsiTheme="minorEastAsia" w:eastAsiaTheme="minorEastAsia"/>
          <w:sz w:val="21"/>
          <w:szCs w:val="21"/>
          <w:highlight w:val="none"/>
        </w:rPr>
        <w:t>格式3：授权委托书</w:t>
      </w:r>
      <w:r>
        <w:rPr>
          <w:rFonts w:hint="eastAsia" w:asciiTheme="minorEastAsia" w:hAnsiTheme="minorEastAsia" w:eastAsiaTheme="minorEastAsia"/>
          <w:sz w:val="21"/>
          <w:szCs w:val="21"/>
          <w:highlight w:val="none"/>
        </w:rPr>
        <w:cr/>
      </w:r>
      <w:r>
        <w:rPr>
          <w:rFonts w:hint="eastAsia" w:asciiTheme="minorEastAsia" w:hAnsiTheme="minorEastAsia" w:eastAsiaTheme="minorEastAsia"/>
          <w:sz w:val="21"/>
          <w:szCs w:val="21"/>
          <w:highlight w:val="none"/>
        </w:rPr>
        <w:t>格式4：资格条款偏离表</w:t>
      </w:r>
      <w:r>
        <w:rPr>
          <w:rFonts w:hint="eastAsia" w:asciiTheme="minorEastAsia" w:hAnsiTheme="minorEastAsia" w:eastAsiaTheme="minorEastAsia"/>
          <w:sz w:val="21"/>
          <w:szCs w:val="21"/>
          <w:highlight w:val="none"/>
        </w:rPr>
        <w:cr/>
      </w:r>
      <w:r>
        <w:rPr>
          <w:rFonts w:hint="eastAsia" w:asciiTheme="minorEastAsia" w:hAnsiTheme="minorEastAsia" w:eastAsiaTheme="minorEastAsia"/>
          <w:sz w:val="21"/>
          <w:szCs w:val="21"/>
          <w:highlight w:val="none"/>
        </w:rPr>
        <w:t>格式5：法人或者其他组织的营业执照等证明文件</w:t>
      </w:r>
      <w:r>
        <w:rPr>
          <w:rFonts w:hint="eastAsia" w:asciiTheme="minorEastAsia" w:hAnsiTheme="minorEastAsia" w:eastAsiaTheme="minorEastAsia"/>
          <w:sz w:val="21"/>
          <w:szCs w:val="21"/>
          <w:highlight w:val="none"/>
        </w:rPr>
        <w:cr/>
      </w:r>
      <w:r>
        <w:rPr>
          <w:rFonts w:hint="eastAsia" w:asciiTheme="minorEastAsia" w:hAnsiTheme="minorEastAsia" w:eastAsiaTheme="minorEastAsia"/>
          <w:sz w:val="21"/>
          <w:szCs w:val="21"/>
          <w:highlight w:val="none"/>
        </w:rPr>
        <w:t>格式6：投标人资格声明函</w:t>
      </w:r>
      <w:r>
        <w:rPr>
          <w:rFonts w:hint="eastAsia" w:asciiTheme="minorEastAsia" w:hAnsiTheme="minorEastAsia" w:eastAsiaTheme="minorEastAsia"/>
          <w:sz w:val="21"/>
          <w:szCs w:val="21"/>
          <w:highlight w:val="none"/>
        </w:rPr>
        <w:cr/>
      </w:r>
      <w:r>
        <w:rPr>
          <w:rFonts w:hint="eastAsia" w:asciiTheme="minorEastAsia" w:hAnsiTheme="minorEastAsia" w:eastAsiaTheme="minorEastAsia"/>
          <w:sz w:val="21"/>
          <w:szCs w:val="21"/>
          <w:highlight w:val="none"/>
        </w:rPr>
        <w:t>格式7：开标一览表</w:t>
      </w:r>
      <w:r>
        <w:rPr>
          <w:rFonts w:hint="eastAsia" w:asciiTheme="minorEastAsia" w:hAnsiTheme="minorEastAsia" w:eastAsiaTheme="minorEastAsia"/>
          <w:sz w:val="21"/>
          <w:szCs w:val="21"/>
          <w:highlight w:val="none"/>
        </w:rPr>
        <w:cr/>
      </w:r>
      <w:r>
        <w:rPr>
          <w:rFonts w:hint="eastAsia" w:asciiTheme="minorEastAsia" w:hAnsiTheme="minorEastAsia" w:eastAsiaTheme="minorEastAsia"/>
          <w:sz w:val="21"/>
          <w:szCs w:val="21"/>
          <w:highlight w:val="none"/>
        </w:rPr>
        <w:t>格式8：投标分项报价表</w:t>
      </w:r>
      <w:r>
        <w:rPr>
          <w:rFonts w:hint="eastAsia" w:asciiTheme="minorEastAsia" w:hAnsiTheme="minorEastAsia" w:eastAsiaTheme="minorEastAsia"/>
          <w:sz w:val="21"/>
          <w:szCs w:val="21"/>
          <w:highlight w:val="none"/>
        </w:rPr>
        <w:cr/>
      </w:r>
      <w:r>
        <w:rPr>
          <w:rFonts w:hint="eastAsia" w:asciiTheme="minorEastAsia" w:hAnsiTheme="minorEastAsia" w:eastAsiaTheme="minorEastAsia"/>
          <w:sz w:val="21"/>
          <w:szCs w:val="21"/>
          <w:highlight w:val="none"/>
        </w:rPr>
        <w:t>格式9：技术规格偏离表</w:t>
      </w:r>
      <w:r>
        <w:rPr>
          <w:rFonts w:hint="eastAsia" w:asciiTheme="minorEastAsia" w:hAnsiTheme="minorEastAsia" w:eastAsiaTheme="minorEastAsia"/>
          <w:sz w:val="21"/>
          <w:szCs w:val="21"/>
          <w:highlight w:val="none"/>
        </w:rPr>
        <w:cr/>
      </w:r>
      <w:r>
        <w:rPr>
          <w:rFonts w:hint="eastAsia" w:asciiTheme="minorEastAsia" w:hAnsiTheme="minorEastAsia" w:eastAsiaTheme="minorEastAsia"/>
          <w:sz w:val="21"/>
          <w:szCs w:val="21"/>
          <w:highlight w:val="none"/>
        </w:rPr>
        <w:t>格式10：技术保障措施</w:t>
      </w:r>
      <w:r>
        <w:rPr>
          <w:rFonts w:hint="eastAsia" w:asciiTheme="minorEastAsia" w:hAnsiTheme="minorEastAsia" w:eastAsiaTheme="minorEastAsia"/>
          <w:sz w:val="21"/>
          <w:szCs w:val="21"/>
          <w:highlight w:val="none"/>
        </w:rPr>
        <w:cr/>
      </w:r>
      <w:r>
        <w:rPr>
          <w:rFonts w:hint="eastAsia" w:asciiTheme="minorEastAsia" w:hAnsiTheme="minorEastAsia" w:eastAsiaTheme="minorEastAsia"/>
          <w:sz w:val="21"/>
          <w:szCs w:val="21"/>
          <w:highlight w:val="none"/>
        </w:rPr>
        <w:t>格式11：售后服务方案</w:t>
      </w:r>
      <w:r>
        <w:rPr>
          <w:rFonts w:hint="eastAsia" w:asciiTheme="minorEastAsia" w:hAnsiTheme="minorEastAsia" w:eastAsiaTheme="minorEastAsia"/>
          <w:sz w:val="21"/>
          <w:szCs w:val="21"/>
          <w:highlight w:val="none"/>
        </w:rPr>
        <w:cr/>
      </w:r>
      <w:r>
        <w:rPr>
          <w:rFonts w:hint="eastAsia" w:asciiTheme="minorEastAsia" w:hAnsiTheme="minorEastAsia" w:eastAsiaTheme="minorEastAsia"/>
          <w:sz w:val="21"/>
          <w:szCs w:val="21"/>
          <w:highlight w:val="none"/>
        </w:rPr>
        <w:t>格式12：商务条款偏离表</w:t>
      </w:r>
      <w:r>
        <w:rPr>
          <w:rFonts w:hint="eastAsia" w:asciiTheme="minorEastAsia" w:hAnsiTheme="minorEastAsia" w:eastAsiaTheme="minorEastAsia"/>
          <w:sz w:val="21"/>
          <w:szCs w:val="21"/>
          <w:highlight w:val="none"/>
        </w:rPr>
        <w:cr/>
      </w:r>
      <w:r>
        <w:rPr>
          <w:rFonts w:hint="eastAsia" w:asciiTheme="minorEastAsia" w:hAnsiTheme="minorEastAsia" w:eastAsiaTheme="minorEastAsia"/>
          <w:sz w:val="21"/>
          <w:szCs w:val="21"/>
          <w:highlight w:val="none"/>
        </w:rPr>
        <w:t>格式13：投标人综合概况简表</w:t>
      </w:r>
      <w:r>
        <w:rPr>
          <w:rFonts w:hint="eastAsia" w:asciiTheme="minorEastAsia" w:hAnsiTheme="minorEastAsia" w:eastAsiaTheme="minorEastAsia"/>
          <w:sz w:val="21"/>
          <w:szCs w:val="21"/>
          <w:highlight w:val="none"/>
        </w:rPr>
        <w:cr/>
      </w:r>
      <w:r>
        <w:rPr>
          <w:rFonts w:hint="eastAsia" w:asciiTheme="minorEastAsia" w:hAnsiTheme="minorEastAsia" w:eastAsiaTheme="minorEastAsia"/>
          <w:sz w:val="21"/>
          <w:szCs w:val="21"/>
          <w:highlight w:val="none"/>
        </w:rPr>
        <w:t>格式14：企业类型声明函（可选）</w:t>
      </w:r>
      <w:r>
        <w:rPr>
          <w:rFonts w:hint="eastAsia" w:asciiTheme="minorEastAsia" w:hAnsiTheme="minorEastAsia" w:eastAsiaTheme="minorEastAsia"/>
          <w:sz w:val="21"/>
          <w:szCs w:val="21"/>
          <w:highlight w:val="none"/>
        </w:rPr>
        <w:cr/>
      </w:r>
      <w:r>
        <w:rPr>
          <w:rFonts w:hint="eastAsia" w:asciiTheme="minorEastAsia" w:hAnsiTheme="minorEastAsia" w:eastAsiaTheme="minorEastAsia"/>
          <w:sz w:val="21"/>
          <w:szCs w:val="21"/>
          <w:highlight w:val="none"/>
        </w:rPr>
        <w:t>格式15：残疾人福利性单位声明函（可选）</w:t>
      </w:r>
      <w:r>
        <w:rPr>
          <w:rFonts w:hint="eastAsia" w:asciiTheme="minorEastAsia" w:hAnsiTheme="minorEastAsia" w:eastAsiaTheme="minorEastAsia"/>
          <w:sz w:val="21"/>
          <w:szCs w:val="21"/>
          <w:highlight w:val="none"/>
        </w:rPr>
        <w:cr/>
      </w:r>
      <w:r>
        <w:rPr>
          <w:rFonts w:hint="eastAsia" w:asciiTheme="minorEastAsia" w:hAnsiTheme="minorEastAsia" w:eastAsiaTheme="minorEastAsia"/>
          <w:sz w:val="21"/>
          <w:szCs w:val="21"/>
          <w:highlight w:val="none"/>
        </w:rPr>
        <w:t>格式16：同类项目业绩情况</w:t>
      </w:r>
      <w:r>
        <w:rPr>
          <w:rFonts w:hint="eastAsia" w:asciiTheme="minorEastAsia" w:hAnsiTheme="minorEastAsia" w:eastAsiaTheme="minorEastAsia"/>
          <w:sz w:val="21"/>
          <w:szCs w:val="21"/>
          <w:highlight w:val="none"/>
        </w:rPr>
        <w:cr/>
      </w:r>
      <w:r>
        <w:rPr>
          <w:rFonts w:hint="eastAsia" w:asciiTheme="minorEastAsia" w:hAnsiTheme="minorEastAsia" w:eastAsiaTheme="minorEastAsia"/>
          <w:sz w:val="21"/>
          <w:szCs w:val="21"/>
          <w:highlight w:val="none"/>
        </w:rPr>
        <w:t>格式17：相关认证情况</w:t>
      </w:r>
      <w:r>
        <w:rPr>
          <w:rFonts w:hint="eastAsia" w:asciiTheme="minorEastAsia" w:hAnsiTheme="minorEastAsia" w:eastAsiaTheme="minorEastAsia"/>
          <w:sz w:val="21"/>
          <w:szCs w:val="21"/>
          <w:highlight w:val="none"/>
        </w:rPr>
        <w:cr/>
      </w:r>
    </w:p>
    <w:p>
      <w:pPr>
        <w:adjustRightInd/>
        <w:snapToGrid/>
        <w:spacing w:before="280" w:after="290" w:line="377" w:lineRule="auto"/>
        <w:jc w:val="center"/>
        <w:rPr>
          <w:rFonts w:hint="eastAsia"/>
          <w:highlight w:val="none"/>
        </w:rPr>
      </w:pPr>
      <w:r>
        <w:rPr>
          <w:highlight w:val="none"/>
        </w:rPr>
        <w:br w:type="page"/>
      </w:r>
      <w:bookmarkStart w:id="75" w:name="_Toc528170806"/>
      <w:bookmarkStart w:id="76" w:name="_Toc518464366"/>
      <w:bookmarkStart w:id="77" w:name="_Toc528675178"/>
    </w:p>
    <w:p>
      <w:pPr>
        <w:pStyle w:val="62"/>
        <w:rPr>
          <w:highlight w:val="none"/>
        </w:rPr>
      </w:pPr>
      <w:bookmarkStart w:id="78" w:name="_Toc25551"/>
      <w:r>
        <w:rPr>
          <w:rFonts w:hint="eastAsia"/>
          <w:highlight w:val="none"/>
        </w:rPr>
        <w:t>第七章 投标文件格式</w:t>
      </w:r>
      <w:bookmarkEnd w:id="78"/>
    </w:p>
    <w:p>
      <w:pPr>
        <w:adjustRightInd/>
        <w:snapToGrid/>
        <w:spacing w:before="280" w:after="290" w:line="377" w:lineRule="auto"/>
        <w:jc w:val="center"/>
        <w:outlineLvl w:val="2"/>
        <w:rPr>
          <w:rFonts w:hint="eastAsia"/>
          <w:b/>
          <w:sz w:val="24"/>
          <w:highlight w:val="none"/>
        </w:rPr>
      </w:pPr>
      <w:bookmarkStart w:id="79" w:name="_Toc20740"/>
      <w:r>
        <w:rPr>
          <w:rFonts w:hint="eastAsia"/>
          <w:b/>
          <w:sz w:val="24"/>
          <w:highlight w:val="none"/>
        </w:rPr>
        <w:t>投标文件编制说明</w:t>
      </w:r>
      <w:bookmarkEnd w:id="79"/>
    </w:p>
    <w:p>
      <w:pPr>
        <w:tabs>
          <w:tab w:val="clear" w:pos="426"/>
        </w:tabs>
        <w:spacing w:line="276" w:lineRule="auto"/>
        <w:ind w:firstLine="420" w:firstLineChars="200"/>
        <w:rPr>
          <w:rFonts w:hint="eastAsia"/>
          <w:highlight w:val="none"/>
        </w:rPr>
      </w:pPr>
      <w:r>
        <w:rPr>
          <w:rFonts w:hint="eastAsia"/>
          <w:highlight w:val="none"/>
        </w:rPr>
        <w:t>投标供应商在编辑投标文件时，应严格按照招标文件提供的格式进行编写，因未按要求编写导致投标文件不予受理、无效标或废标的，一切后果由供应商自行承担。</w:t>
      </w:r>
    </w:p>
    <w:p>
      <w:pPr>
        <w:adjustRightInd/>
        <w:snapToGrid/>
        <w:spacing w:before="280" w:after="290" w:line="377" w:lineRule="auto"/>
        <w:jc w:val="center"/>
        <w:rPr>
          <w:rFonts w:hint="eastAsia"/>
          <w:b/>
          <w:sz w:val="24"/>
          <w:highlight w:val="none"/>
        </w:rPr>
      </w:pPr>
    </w:p>
    <w:p>
      <w:pPr>
        <w:rPr>
          <w:rFonts w:hint="eastAsia"/>
          <w:b/>
          <w:sz w:val="24"/>
          <w:highlight w:val="none"/>
        </w:rPr>
      </w:pPr>
      <w:r>
        <w:rPr>
          <w:rFonts w:hint="eastAsia"/>
          <w:b/>
          <w:sz w:val="24"/>
          <w:highlight w:val="none"/>
        </w:rPr>
        <w:br w:type="page"/>
      </w:r>
    </w:p>
    <w:p>
      <w:pPr>
        <w:adjustRightInd/>
        <w:snapToGrid/>
        <w:spacing w:before="280" w:after="290" w:line="377" w:lineRule="auto"/>
        <w:jc w:val="center"/>
        <w:rPr>
          <w:rFonts w:hint="eastAsia"/>
          <w:b/>
          <w:sz w:val="24"/>
          <w:highlight w:val="none"/>
        </w:rPr>
      </w:pPr>
      <w:r>
        <w:rPr>
          <w:rFonts w:hint="eastAsia"/>
          <w:b/>
          <w:sz w:val="24"/>
          <w:highlight w:val="none"/>
        </w:rPr>
        <w:t>密封袋封条格式</w:t>
      </w:r>
      <w:bookmarkEnd w:id="75"/>
      <w:bookmarkEnd w:id="76"/>
      <w:bookmarkEnd w:id="77"/>
    </w:p>
    <w:p>
      <w:pPr>
        <w:tabs>
          <w:tab w:val="clear" w:pos="426"/>
        </w:tabs>
        <w:jc w:val="center"/>
        <w:rPr>
          <w:rFonts w:hint="eastAsia"/>
          <w:sz w:val="44"/>
          <w:szCs w:val="44"/>
          <w:highlight w:val="none"/>
          <w:u w:val="single"/>
        </w:rPr>
      </w:pPr>
    </w:p>
    <w:p>
      <w:pPr>
        <w:tabs>
          <w:tab w:val="clear" w:pos="426"/>
        </w:tabs>
        <w:jc w:val="center"/>
        <w:rPr>
          <w:rFonts w:hint="eastAsia"/>
          <w:sz w:val="44"/>
          <w:szCs w:val="44"/>
          <w:highlight w:val="none"/>
        </w:rPr>
      </w:pPr>
      <w:r>
        <w:rPr>
          <w:rFonts w:hint="eastAsia"/>
          <w:sz w:val="44"/>
          <w:szCs w:val="44"/>
          <w:highlight w:val="none"/>
          <w:u w:val="single"/>
        </w:rPr>
        <w:t>农兽残检测全流程全自动样品前处理系统设备采购项目</w:t>
      </w:r>
    </w:p>
    <w:p>
      <w:pPr>
        <w:tabs>
          <w:tab w:val="clear" w:pos="426"/>
        </w:tabs>
        <w:jc w:val="center"/>
        <w:rPr>
          <w:rFonts w:hint="eastAsia"/>
          <w:highlight w:val="none"/>
        </w:rPr>
      </w:pPr>
    </w:p>
    <w:p>
      <w:pPr>
        <w:tabs>
          <w:tab w:val="clear" w:pos="426"/>
        </w:tabs>
        <w:jc w:val="center"/>
        <w:rPr>
          <w:rFonts w:hint="eastAsia"/>
          <w:highlight w:val="none"/>
        </w:rPr>
      </w:pPr>
    </w:p>
    <w:p>
      <w:pPr>
        <w:tabs>
          <w:tab w:val="clear" w:pos="426"/>
        </w:tabs>
        <w:jc w:val="center"/>
        <w:rPr>
          <w:rFonts w:hint="eastAsia"/>
          <w:sz w:val="52"/>
          <w:szCs w:val="52"/>
          <w:highlight w:val="none"/>
        </w:rPr>
      </w:pPr>
      <w:r>
        <w:rPr>
          <w:rFonts w:hint="eastAsia"/>
          <w:sz w:val="52"/>
          <w:szCs w:val="52"/>
          <w:highlight w:val="none"/>
        </w:rPr>
        <w:t>□投标文件</w:t>
      </w:r>
    </w:p>
    <w:p>
      <w:pPr>
        <w:tabs>
          <w:tab w:val="clear" w:pos="426"/>
        </w:tabs>
        <w:jc w:val="center"/>
        <w:rPr>
          <w:rFonts w:hint="eastAsia"/>
          <w:sz w:val="52"/>
          <w:szCs w:val="52"/>
          <w:highlight w:val="none"/>
        </w:rPr>
      </w:pPr>
      <w:r>
        <w:rPr>
          <w:rFonts w:hint="eastAsia"/>
          <w:sz w:val="52"/>
          <w:szCs w:val="52"/>
          <w:highlight w:val="none"/>
        </w:rPr>
        <w:t>□开标信封</w:t>
      </w:r>
    </w:p>
    <w:p>
      <w:pPr>
        <w:tabs>
          <w:tab w:val="clear" w:pos="426"/>
        </w:tabs>
        <w:rPr>
          <w:rFonts w:hint="eastAsia"/>
          <w:highlight w:val="none"/>
        </w:rPr>
      </w:pPr>
    </w:p>
    <w:p>
      <w:pPr>
        <w:tabs>
          <w:tab w:val="clear" w:pos="426"/>
        </w:tabs>
        <w:rPr>
          <w:rFonts w:hint="eastAsia"/>
          <w:highlight w:val="none"/>
        </w:rPr>
      </w:pPr>
    </w:p>
    <w:p>
      <w:pPr>
        <w:tabs>
          <w:tab w:val="clear" w:pos="426"/>
        </w:tabs>
        <w:rPr>
          <w:rFonts w:hint="eastAsia"/>
          <w:highlight w:val="none"/>
        </w:rPr>
      </w:pPr>
    </w:p>
    <w:p>
      <w:pPr>
        <w:tabs>
          <w:tab w:val="clear" w:pos="426"/>
        </w:tabs>
        <w:rPr>
          <w:rFonts w:hint="eastAsia"/>
          <w:highlight w:val="none"/>
        </w:rPr>
      </w:pPr>
    </w:p>
    <w:p>
      <w:pPr>
        <w:tabs>
          <w:tab w:val="clear" w:pos="426"/>
        </w:tabs>
        <w:rPr>
          <w:rFonts w:hint="eastAsia"/>
          <w:highlight w:val="none"/>
        </w:rPr>
      </w:pPr>
    </w:p>
    <w:p>
      <w:pPr>
        <w:tabs>
          <w:tab w:val="clear" w:pos="426"/>
        </w:tabs>
        <w:rPr>
          <w:rFonts w:hint="eastAsia"/>
          <w:highlight w:val="none"/>
        </w:rPr>
      </w:pPr>
    </w:p>
    <w:p>
      <w:pPr>
        <w:tabs>
          <w:tab w:val="clear" w:pos="426"/>
        </w:tabs>
        <w:ind w:left="708" w:leftChars="337" w:right="706" w:rightChars="336"/>
        <w:rPr>
          <w:rFonts w:hint="eastAsia"/>
          <w:sz w:val="28"/>
          <w:szCs w:val="28"/>
          <w:highlight w:val="none"/>
        </w:rPr>
      </w:pPr>
      <w:r>
        <w:rPr>
          <w:rFonts w:hint="eastAsia"/>
          <w:sz w:val="28"/>
          <w:szCs w:val="28"/>
          <w:highlight w:val="none"/>
        </w:rPr>
        <w:t>项目编号：</w:t>
      </w:r>
    </w:p>
    <w:p>
      <w:pPr>
        <w:tabs>
          <w:tab w:val="clear" w:pos="426"/>
        </w:tabs>
        <w:ind w:left="708" w:leftChars="337"/>
        <w:rPr>
          <w:rFonts w:hint="eastAsia"/>
          <w:sz w:val="28"/>
          <w:szCs w:val="28"/>
          <w:highlight w:val="none"/>
        </w:rPr>
      </w:pPr>
      <w:r>
        <w:rPr>
          <w:rFonts w:hint="eastAsia"/>
          <w:sz w:val="28"/>
          <w:szCs w:val="28"/>
          <w:highlight w:val="none"/>
        </w:rPr>
        <w:t>投标供应商名称（公章)：</w:t>
      </w:r>
    </w:p>
    <w:p>
      <w:pPr>
        <w:tabs>
          <w:tab w:val="clear" w:pos="426"/>
        </w:tabs>
        <w:ind w:left="708" w:leftChars="337"/>
        <w:rPr>
          <w:rFonts w:hint="eastAsia"/>
          <w:sz w:val="28"/>
          <w:szCs w:val="28"/>
          <w:highlight w:val="none"/>
        </w:rPr>
      </w:pPr>
      <w:r>
        <w:rPr>
          <w:rFonts w:hint="eastAsia"/>
          <w:sz w:val="28"/>
          <w:szCs w:val="28"/>
          <w:highlight w:val="none"/>
        </w:rPr>
        <w:t>投标供应商代表（签字或盖章）：</w:t>
      </w:r>
    </w:p>
    <w:p>
      <w:pPr>
        <w:tabs>
          <w:tab w:val="clear" w:pos="426"/>
        </w:tabs>
        <w:ind w:left="708" w:leftChars="337"/>
        <w:rPr>
          <w:rFonts w:hint="eastAsia"/>
          <w:sz w:val="28"/>
          <w:szCs w:val="28"/>
          <w:highlight w:val="none"/>
        </w:rPr>
      </w:pPr>
      <w:r>
        <w:rPr>
          <w:rFonts w:hint="eastAsia"/>
          <w:sz w:val="28"/>
          <w:szCs w:val="28"/>
          <w:highlight w:val="none"/>
        </w:rPr>
        <w:t>投标截止日期：_</w:t>
      </w:r>
      <w:r>
        <w:rPr>
          <w:sz w:val="28"/>
          <w:szCs w:val="28"/>
          <w:highlight w:val="none"/>
        </w:rPr>
        <w:t>___</w:t>
      </w:r>
      <w:r>
        <w:rPr>
          <w:rFonts w:hint="eastAsia"/>
          <w:sz w:val="28"/>
          <w:szCs w:val="28"/>
          <w:highlight w:val="none"/>
        </w:rPr>
        <w:t>______年____月____日____时____分（</w:t>
      </w:r>
      <w:r>
        <w:rPr>
          <w:sz w:val="28"/>
          <w:szCs w:val="28"/>
          <w:highlight w:val="none"/>
        </w:rPr>
        <w:t>前不得开封</w:t>
      </w:r>
      <w:r>
        <w:rPr>
          <w:rFonts w:hint="eastAsia"/>
          <w:sz w:val="28"/>
          <w:szCs w:val="28"/>
          <w:highlight w:val="none"/>
        </w:rPr>
        <w:t>）</w:t>
      </w:r>
    </w:p>
    <w:p>
      <w:pPr>
        <w:adjustRightInd/>
        <w:snapToGrid/>
        <w:spacing w:before="280" w:after="290" w:line="377" w:lineRule="auto"/>
        <w:jc w:val="center"/>
        <w:rPr>
          <w:rFonts w:hint="eastAsia"/>
          <w:b/>
          <w:sz w:val="24"/>
          <w:highlight w:val="none"/>
        </w:rPr>
      </w:pPr>
      <w:r>
        <w:rPr>
          <w:highlight w:val="none"/>
        </w:rPr>
        <w:br w:type="page"/>
      </w:r>
      <w:bookmarkStart w:id="80" w:name="_Toc528675179"/>
      <w:bookmarkStart w:id="81" w:name="_Toc528170807"/>
      <w:bookmarkStart w:id="82" w:name="_Toc518464367"/>
      <w:r>
        <w:rPr>
          <w:rFonts w:hint="eastAsia"/>
          <w:b/>
          <w:sz w:val="24"/>
          <w:highlight w:val="none"/>
        </w:rPr>
        <w:t>投标文件封面格式</w:t>
      </w:r>
      <w:bookmarkEnd w:id="80"/>
      <w:bookmarkEnd w:id="81"/>
      <w:bookmarkEnd w:id="82"/>
    </w:p>
    <w:p>
      <w:pPr>
        <w:tabs>
          <w:tab w:val="clear" w:pos="426"/>
        </w:tabs>
        <w:jc w:val="right"/>
        <w:rPr>
          <w:rFonts w:hint="eastAsia"/>
          <w:sz w:val="44"/>
          <w:szCs w:val="44"/>
          <w:highlight w:val="none"/>
          <w:u w:val="single"/>
        </w:rPr>
      </w:pPr>
      <w:r>
        <w:rPr>
          <w:rFonts w:hint="eastAsia"/>
          <w:sz w:val="44"/>
          <w:szCs w:val="44"/>
          <w:highlight w:val="none"/>
          <w:u w:val="single"/>
        </w:rPr>
        <w:t>正/副本</w:t>
      </w:r>
    </w:p>
    <w:p>
      <w:pPr>
        <w:tabs>
          <w:tab w:val="clear" w:pos="426"/>
        </w:tabs>
        <w:jc w:val="center"/>
        <w:rPr>
          <w:rFonts w:hint="eastAsia"/>
          <w:sz w:val="44"/>
          <w:szCs w:val="44"/>
          <w:highlight w:val="none"/>
          <w:u w:val="single"/>
        </w:rPr>
      </w:pPr>
    </w:p>
    <w:p>
      <w:pPr>
        <w:tabs>
          <w:tab w:val="clear" w:pos="426"/>
        </w:tabs>
        <w:jc w:val="center"/>
        <w:rPr>
          <w:rFonts w:hint="eastAsia"/>
          <w:sz w:val="44"/>
          <w:szCs w:val="44"/>
          <w:highlight w:val="none"/>
        </w:rPr>
      </w:pPr>
      <w:r>
        <w:rPr>
          <w:rFonts w:hint="eastAsia"/>
          <w:sz w:val="44"/>
          <w:szCs w:val="44"/>
          <w:highlight w:val="none"/>
          <w:u w:val="single"/>
        </w:rPr>
        <w:t>农兽残检测全流程全自动样品前处理系统设备采购项目</w:t>
      </w:r>
    </w:p>
    <w:p>
      <w:pPr>
        <w:tabs>
          <w:tab w:val="clear" w:pos="426"/>
        </w:tabs>
        <w:jc w:val="center"/>
        <w:rPr>
          <w:rFonts w:hint="eastAsia"/>
          <w:highlight w:val="none"/>
        </w:rPr>
      </w:pPr>
    </w:p>
    <w:p>
      <w:pPr>
        <w:tabs>
          <w:tab w:val="clear" w:pos="426"/>
        </w:tabs>
        <w:jc w:val="center"/>
        <w:rPr>
          <w:rFonts w:hint="eastAsia"/>
          <w:highlight w:val="none"/>
        </w:rPr>
      </w:pPr>
    </w:p>
    <w:p>
      <w:pPr>
        <w:tabs>
          <w:tab w:val="clear" w:pos="426"/>
        </w:tabs>
        <w:jc w:val="center"/>
        <w:rPr>
          <w:rFonts w:hint="eastAsia"/>
          <w:sz w:val="52"/>
          <w:szCs w:val="52"/>
          <w:highlight w:val="none"/>
        </w:rPr>
      </w:pPr>
      <w:r>
        <w:rPr>
          <w:rFonts w:hint="eastAsia"/>
          <w:sz w:val="52"/>
          <w:szCs w:val="52"/>
          <w:highlight w:val="none"/>
        </w:rPr>
        <w:t>投标文件</w:t>
      </w:r>
    </w:p>
    <w:p>
      <w:pPr>
        <w:tabs>
          <w:tab w:val="clear" w:pos="426"/>
        </w:tabs>
        <w:jc w:val="center"/>
        <w:rPr>
          <w:rFonts w:hint="eastAsia"/>
          <w:highlight w:val="none"/>
        </w:rPr>
      </w:pPr>
    </w:p>
    <w:p>
      <w:pPr>
        <w:tabs>
          <w:tab w:val="clear" w:pos="426"/>
        </w:tabs>
        <w:jc w:val="center"/>
        <w:rPr>
          <w:rFonts w:hint="eastAsia"/>
          <w:highlight w:val="none"/>
        </w:rPr>
      </w:pPr>
    </w:p>
    <w:p>
      <w:pPr>
        <w:tabs>
          <w:tab w:val="clear" w:pos="426"/>
        </w:tabs>
        <w:rPr>
          <w:rFonts w:hint="eastAsia"/>
          <w:highlight w:val="none"/>
        </w:rPr>
      </w:pPr>
    </w:p>
    <w:p>
      <w:pPr>
        <w:tabs>
          <w:tab w:val="clear" w:pos="426"/>
        </w:tabs>
        <w:rPr>
          <w:rFonts w:hint="eastAsia"/>
          <w:highlight w:val="none"/>
        </w:rPr>
      </w:pPr>
    </w:p>
    <w:p>
      <w:pPr>
        <w:tabs>
          <w:tab w:val="clear" w:pos="426"/>
        </w:tabs>
        <w:rPr>
          <w:rFonts w:hint="eastAsia"/>
          <w:highlight w:val="none"/>
        </w:rPr>
      </w:pPr>
    </w:p>
    <w:p>
      <w:pPr>
        <w:tabs>
          <w:tab w:val="clear" w:pos="426"/>
        </w:tabs>
        <w:rPr>
          <w:rFonts w:hint="eastAsia"/>
          <w:highlight w:val="none"/>
        </w:rPr>
      </w:pPr>
    </w:p>
    <w:p>
      <w:pPr>
        <w:tabs>
          <w:tab w:val="clear" w:pos="426"/>
        </w:tabs>
        <w:ind w:left="1275" w:leftChars="607"/>
        <w:rPr>
          <w:rFonts w:hint="eastAsia"/>
          <w:sz w:val="28"/>
          <w:szCs w:val="28"/>
          <w:highlight w:val="none"/>
        </w:rPr>
      </w:pPr>
      <w:r>
        <w:rPr>
          <w:rFonts w:hint="eastAsia"/>
          <w:sz w:val="28"/>
          <w:szCs w:val="28"/>
          <w:highlight w:val="none"/>
        </w:rPr>
        <w:t>项目编号：</w:t>
      </w:r>
    </w:p>
    <w:p>
      <w:pPr>
        <w:tabs>
          <w:tab w:val="clear" w:pos="426"/>
        </w:tabs>
        <w:ind w:left="1275" w:leftChars="607"/>
        <w:rPr>
          <w:rFonts w:hint="eastAsia"/>
          <w:sz w:val="28"/>
          <w:szCs w:val="28"/>
          <w:highlight w:val="none"/>
        </w:rPr>
      </w:pPr>
      <w:r>
        <w:rPr>
          <w:rFonts w:hint="eastAsia"/>
          <w:sz w:val="28"/>
          <w:szCs w:val="28"/>
          <w:highlight w:val="none"/>
        </w:rPr>
        <w:t>投标供应商名称（公章)：</w:t>
      </w:r>
    </w:p>
    <w:p>
      <w:pPr>
        <w:tabs>
          <w:tab w:val="clear" w:pos="426"/>
        </w:tabs>
        <w:ind w:left="1275" w:leftChars="607"/>
        <w:rPr>
          <w:rFonts w:hint="eastAsia"/>
          <w:sz w:val="28"/>
          <w:szCs w:val="28"/>
          <w:highlight w:val="none"/>
        </w:rPr>
      </w:pPr>
      <w:r>
        <w:rPr>
          <w:rFonts w:hint="eastAsia"/>
          <w:sz w:val="28"/>
          <w:szCs w:val="28"/>
          <w:highlight w:val="none"/>
        </w:rPr>
        <w:t>投标供应商代表（签字或盖章）：</w:t>
      </w:r>
    </w:p>
    <w:p>
      <w:pPr>
        <w:tabs>
          <w:tab w:val="clear" w:pos="426"/>
        </w:tabs>
        <w:ind w:left="1275" w:leftChars="607"/>
        <w:rPr>
          <w:rFonts w:hint="eastAsia"/>
          <w:sz w:val="28"/>
          <w:szCs w:val="28"/>
          <w:highlight w:val="none"/>
        </w:rPr>
      </w:pPr>
      <w:r>
        <w:rPr>
          <w:rFonts w:hint="eastAsia"/>
          <w:sz w:val="28"/>
          <w:szCs w:val="28"/>
          <w:highlight w:val="none"/>
        </w:rPr>
        <w:t>投标日期：_</w:t>
      </w:r>
      <w:r>
        <w:rPr>
          <w:sz w:val="28"/>
          <w:szCs w:val="28"/>
          <w:highlight w:val="none"/>
        </w:rPr>
        <w:t>___</w:t>
      </w:r>
      <w:r>
        <w:rPr>
          <w:rFonts w:hint="eastAsia"/>
          <w:sz w:val="28"/>
          <w:szCs w:val="28"/>
          <w:highlight w:val="none"/>
        </w:rPr>
        <w:t>______年____月____日</w:t>
      </w:r>
    </w:p>
    <w:p>
      <w:pPr>
        <w:tabs>
          <w:tab w:val="clear" w:pos="426"/>
        </w:tabs>
        <w:rPr>
          <w:rFonts w:hint="eastAsia"/>
          <w:highlight w:val="none"/>
        </w:rPr>
      </w:pPr>
    </w:p>
    <w:p>
      <w:pPr>
        <w:adjustRightInd/>
        <w:snapToGrid/>
        <w:spacing w:before="280" w:after="290" w:line="377" w:lineRule="auto"/>
        <w:jc w:val="center"/>
        <w:rPr>
          <w:rFonts w:hint="eastAsia"/>
          <w:b/>
          <w:sz w:val="24"/>
          <w:highlight w:val="none"/>
        </w:rPr>
      </w:pPr>
      <w:r>
        <w:rPr>
          <w:highlight w:val="none"/>
        </w:rPr>
        <w:br w:type="page"/>
      </w:r>
      <w:bookmarkStart w:id="83" w:name="_Toc528675180"/>
      <w:bookmarkStart w:id="84" w:name="_Toc528170808"/>
      <w:bookmarkStart w:id="85" w:name="_Toc518464368"/>
      <w:r>
        <w:rPr>
          <w:rFonts w:hint="eastAsia"/>
          <w:b/>
          <w:sz w:val="24"/>
          <w:highlight w:val="none"/>
        </w:rPr>
        <w:t>投标文件目录（目录格式自定）</w:t>
      </w:r>
      <w:bookmarkEnd w:id="83"/>
      <w:bookmarkEnd w:id="84"/>
      <w:bookmarkEnd w:id="85"/>
    </w:p>
    <w:p>
      <w:pPr>
        <w:tabs>
          <w:tab w:val="clear" w:pos="426"/>
        </w:tabs>
        <w:rPr>
          <w:rFonts w:hint="eastAsia"/>
          <w:highlight w:val="none"/>
        </w:rPr>
      </w:pPr>
      <w:r>
        <w:rPr>
          <w:rFonts w:hint="eastAsia"/>
          <w:highlight w:val="none"/>
        </w:rPr>
        <w:t>按照招标文件的要求编制投标文件相应内容，请标明各部分内容的页码。</w:t>
      </w:r>
    </w:p>
    <w:p>
      <w:pPr>
        <w:tabs>
          <w:tab w:val="clear" w:pos="426"/>
        </w:tabs>
        <w:rPr>
          <w:rFonts w:hint="eastAsia"/>
          <w:highlight w:val="none"/>
        </w:rPr>
      </w:pPr>
    </w:p>
    <w:p>
      <w:pPr>
        <w:tabs>
          <w:tab w:val="clear" w:pos="426"/>
        </w:tabs>
        <w:rPr>
          <w:rFonts w:hint="eastAsia"/>
          <w:highlight w:val="none"/>
        </w:rPr>
      </w:pPr>
    </w:p>
    <w:p>
      <w:pPr>
        <w:adjustRightInd/>
        <w:snapToGrid/>
        <w:spacing w:before="280" w:after="290" w:line="377" w:lineRule="auto"/>
        <w:jc w:val="center"/>
        <w:rPr>
          <w:rFonts w:hint="eastAsia"/>
          <w:b/>
          <w:sz w:val="24"/>
          <w:highlight w:val="none"/>
        </w:rPr>
      </w:pPr>
      <w:r>
        <w:rPr>
          <w:highlight w:val="none"/>
        </w:rPr>
        <w:br w:type="page"/>
      </w:r>
      <w:bookmarkStart w:id="86" w:name="_Toc528170809"/>
      <w:bookmarkStart w:id="87" w:name="_Toc528675181"/>
      <w:bookmarkStart w:id="88" w:name="_Toc518464369"/>
      <w:r>
        <w:rPr>
          <w:rFonts w:hint="eastAsia"/>
          <w:b/>
          <w:sz w:val="24"/>
          <w:highlight w:val="none"/>
        </w:rPr>
        <w:t>评标指引表</w:t>
      </w:r>
      <w:bookmarkEnd w:id="86"/>
      <w:bookmarkEnd w:id="87"/>
      <w:bookmarkEnd w:id="88"/>
    </w:p>
    <w:p>
      <w:pPr>
        <w:tabs>
          <w:tab w:val="clear" w:pos="426"/>
        </w:tabs>
        <w:jc w:val="center"/>
        <w:rPr>
          <w:rFonts w:hint="eastAsia"/>
          <w:b/>
          <w:highlight w:val="none"/>
        </w:rPr>
      </w:pPr>
      <w:r>
        <w:rPr>
          <w:rFonts w:hint="eastAsia"/>
          <w:b/>
          <w:highlight w:val="none"/>
        </w:rPr>
        <w:t>（置于投标文件的首页）</w:t>
      </w:r>
    </w:p>
    <w:p>
      <w:pPr>
        <w:tabs>
          <w:tab w:val="clear" w:pos="426"/>
        </w:tabs>
        <w:ind w:firstLine="420" w:firstLineChars="200"/>
        <w:rPr>
          <w:rFonts w:hint="eastAsia"/>
          <w:highlight w:val="none"/>
        </w:rPr>
      </w:pPr>
      <w:r>
        <w:rPr>
          <w:rFonts w:hint="eastAsia"/>
          <w:szCs w:val="21"/>
          <w:highlight w:val="none"/>
        </w:rPr>
        <w:t>为方便参与该项目的评委专家的评标，快速找到评标事项与该项目投标文件所对应的位置，请投标供应商参照下表格式，编制本项目评标指引表。</w:t>
      </w:r>
    </w:p>
    <w:p>
      <w:pPr>
        <w:pStyle w:val="7"/>
        <w:tabs>
          <w:tab w:val="clear" w:pos="426"/>
        </w:tabs>
        <w:ind w:firstLine="0"/>
        <w:rPr>
          <w:highlight w:val="none"/>
        </w:rPr>
      </w:pPr>
      <w:r>
        <w:rPr>
          <w:rFonts w:hint="eastAsia"/>
          <w:highlight w:val="none"/>
        </w:rPr>
        <w:t>项目名称：</w:t>
      </w:r>
    </w:p>
    <w:p>
      <w:pPr>
        <w:pStyle w:val="7"/>
        <w:tabs>
          <w:tab w:val="clear" w:pos="426"/>
        </w:tabs>
        <w:ind w:firstLine="0"/>
        <w:rPr>
          <w:highlight w:val="none"/>
        </w:rPr>
      </w:pPr>
      <w:r>
        <w:rPr>
          <w:rFonts w:hint="eastAsia"/>
          <w:highlight w:val="none"/>
        </w:rPr>
        <w:t>项目编号：</w:t>
      </w:r>
    </w:p>
    <w:p>
      <w:pPr>
        <w:tabs>
          <w:tab w:val="clear" w:pos="426"/>
        </w:tabs>
        <w:jc w:val="center"/>
        <w:rPr>
          <w:rFonts w:hint="eastAsia"/>
          <w:b/>
          <w:highlight w:val="none"/>
        </w:rPr>
      </w:pPr>
      <w:r>
        <w:rPr>
          <w:rFonts w:hint="eastAsia"/>
          <w:b/>
          <w:highlight w:val="none"/>
        </w:rPr>
        <w:t>项目评标指引表</w:t>
      </w:r>
    </w:p>
    <w:tbl>
      <w:tblPr>
        <w:tblStyle w:val="85"/>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346"/>
        <w:gridCol w:w="3857"/>
        <w:gridCol w:w="1642"/>
        <w:gridCol w:w="98"/>
        <w:gridCol w:w="1365"/>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jc w:val="center"/>
              <w:rPr>
                <w:rFonts w:hint="eastAsia"/>
                <w:b/>
                <w:highlight w:val="none"/>
              </w:rPr>
            </w:pPr>
            <w:r>
              <w:rPr>
                <w:rFonts w:hint="eastAsia"/>
                <w:b/>
                <w:highlight w:val="none"/>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rFonts w:hint="eastAsia"/>
                <w:b/>
                <w:highlight w:val="none"/>
              </w:rPr>
            </w:pPr>
            <w:r>
              <w:rPr>
                <w:rFonts w:hint="eastAsia"/>
                <w:b/>
                <w:highlight w:val="none"/>
              </w:rPr>
              <w:t>序号</w:t>
            </w:r>
          </w:p>
        </w:tc>
        <w:tc>
          <w:tcPr>
            <w:tcW w:w="4203" w:type="dxa"/>
            <w:gridSpan w:val="2"/>
            <w:vAlign w:val="center"/>
          </w:tcPr>
          <w:p>
            <w:pPr>
              <w:tabs>
                <w:tab w:val="clear" w:pos="426"/>
              </w:tabs>
              <w:adjustRightInd/>
              <w:snapToGrid/>
              <w:spacing w:line="240" w:lineRule="auto"/>
              <w:ind w:firstLine="422"/>
              <w:jc w:val="center"/>
              <w:rPr>
                <w:rFonts w:hint="eastAsia"/>
                <w:b/>
                <w:kern w:val="2"/>
                <w:highlight w:val="none"/>
              </w:rPr>
            </w:pPr>
            <w:r>
              <w:rPr>
                <w:rFonts w:hint="eastAsia"/>
                <w:b/>
                <w:highlight w:val="none"/>
              </w:rPr>
              <w:t>资格性检查项目</w:t>
            </w:r>
          </w:p>
        </w:tc>
        <w:tc>
          <w:tcPr>
            <w:tcW w:w="3105" w:type="dxa"/>
            <w:gridSpan w:val="3"/>
            <w:vAlign w:val="center"/>
          </w:tcPr>
          <w:p>
            <w:pPr>
              <w:tabs>
                <w:tab w:val="clear" w:pos="426"/>
              </w:tabs>
              <w:adjustRightInd/>
              <w:snapToGrid/>
              <w:spacing w:line="240" w:lineRule="auto"/>
              <w:jc w:val="center"/>
              <w:rPr>
                <w:rFonts w:hint="eastAsia"/>
                <w:b/>
                <w:highlight w:val="none"/>
              </w:rPr>
            </w:pPr>
            <w:r>
              <w:rPr>
                <w:rFonts w:hint="eastAsia"/>
                <w:b/>
                <w:highlight w:val="none"/>
              </w:rPr>
              <w:t>证明文件</w:t>
            </w:r>
          </w:p>
        </w:tc>
        <w:tc>
          <w:tcPr>
            <w:tcW w:w="1397" w:type="dxa"/>
            <w:vAlign w:val="center"/>
          </w:tcPr>
          <w:p>
            <w:pPr>
              <w:tabs>
                <w:tab w:val="clear" w:pos="426"/>
              </w:tabs>
              <w:adjustRightInd/>
              <w:snapToGrid/>
              <w:spacing w:line="240" w:lineRule="auto"/>
              <w:jc w:val="center"/>
              <w:rPr>
                <w:rFonts w:hint="eastAsia"/>
                <w:b/>
                <w:highlight w:val="none"/>
              </w:rPr>
            </w:pPr>
            <w:r>
              <w:rPr>
                <w:rFonts w:hint="eastAsia"/>
                <w:b/>
                <w:highlight w:val="none"/>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restart"/>
            <w:vAlign w:val="center"/>
          </w:tcPr>
          <w:p>
            <w:pPr>
              <w:tabs>
                <w:tab w:val="clear" w:pos="426"/>
              </w:tabs>
              <w:adjustRightInd/>
              <w:snapToGrid/>
              <w:spacing w:line="240" w:lineRule="auto"/>
              <w:jc w:val="center"/>
              <w:rPr>
                <w:rFonts w:hint="eastAsia"/>
                <w:b/>
                <w:highlight w:val="none"/>
              </w:rPr>
            </w:pPr>
            <w:r>
              <w:rPr>
                <w:rFonts w:hint="eastAsia"/>
                <w:b/>
                <w:highlight w:val="none"/>
              </w:rPr>
              <w:t>1</w:t>
            </w:r>
          </w:p>
        </w:tc>
        <w:tc>
          <w:tcPr>
            <w:tcW w:w="4203" w:type="dxa"/>
            <w:gridSpan w:val="2"/>
            <w:vMerge w:val="restart"/>
            <w:vAlign w:val="center"/>
          </w:tcPr>
          <w:p>
            <w:pPr>
              <w:tabs>
                <w:tab w:val="clear" w:pos="426"/>
              </w:tabs>
              <w:adjustRightInd/>
              <w:snapToGrid/>
              <w:spacing w:line="240" w:lineRule="auto"/>
              <w:jc w:val="center"/>
              <w:rPr>
                <w:rFonts w:hint="eastAsia"/>
                <w:b/>
                <w:kern w:val="2"/>
                <w:highlight w:val="none"/>
              </w:rPr>
            </w:pPr>
            <w:r>
              <w:rPr>
                <w:rFonts w:hint="eastAsia"/>
                <w:highlight w:val="none"/>
              </w:rPr>
              <w:t>申请人的资格要求</w:t>
            </w:r>
          </w:p>
        </w:tc>
        <w:tc>
          <w:tcPr>
            <w:tcW w:w="3105" w:type="dxa"/>
            <w:gridSpan w:val="3"/>
            <w:vAlign w:val="center"/>
          </w:tcPr>
          <w:p>
            <w:pPr>
              <w:tabs>
                <w:tab w:val="clear" w:pos="426"/>
              </w:tabs>
              <w:adjustRightInd/>
              <w:snapToGrid/>
              <w:spacing w:line="240" w:lineRule="auto"/>
              <w:jc w:val="center"/>
              <w:rPr>
                <w:rFonts w:hint="eastAsia"/>
                <w:kern w:val="2"/>
                <w:highlight w:val="none"/>
              </w:rPr>
            </w:pPr>
            <w:r>
              <w:rPr>
                <w:rFonts w:hint="eastAsia"/>
                <w:highlight w:val="none"/>
              </w:rPr>
              <w:t>营业执照</w:t>
            </w:r>
          </w:p>
        </w:tc>
        <w:tc>
          <w:tcPr>
            <w:tcW w:w="1397" w:type="dxa"/>
            <w:vAlign w:val="center"/>
          </w:tcPr>
          <w:p>
            <w:pPr>
              <w:tabs>
                <w:tab w:val="clear" w:pos="426"/>
              </w:tabs>
              <w:adjustRightInd/>
              <w:snapToGrid/>
              <w:spacing w:line="240" w:lineRule="auto"/>
              <w:jc w:val="center"/>
              <w:rPr>
                <w:rFonts w:hint="eastAsia"/>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rFonts w:hint="eastAsia"/>
                <w:b/>
                <w:highlight w:val="none"/>
              </w:rPr>
            </w:pPr>
          </w:p>
        </w:tc>
        <w:tc>
          <w:tcPr>
            <w:tcW w:w="4203" w:type="dxa"/>
            <w:gridSpan w:val="2"/>
            <w:vMerge w:val="continue"/>
            <w:vAlign w:val="center"/>
          </w:tcPr>
          <w:p>
            <w:pPr>
              <w:tabs>
                <w:tab w:val="clear" w:pos="426"/>
              </w:tabs>
              <w:adjustRightInd/>
              <w:snapToGrid/>
              <w:spacing w:line="240" w:lineRule="auto"/>
              <w:jc w:val="center"/>
              <w:rPr>
                <w:rFonts w:hint="eastAsia"/>
                <w:highlight w:val="none"/>
              </w:rPr>
            </w:pPr>
          </w:p>
        </w:tc>
        <w:tc>
          <w:tcPr>
            <w:tcW w:w="3105" w:type="dxa"/>
            <w:gridSpan w:val="3"/>
            <w:vAlign w:val="center"/>
          </w:tcPr>
          <w:p>
            <w:pPr>
              <w:tabs>
                <w:tab w:val="clear" w:pos="426"/>
              </w:tabs>
              <w:adjustRightInd/>
              <w:snapToGrid/>
              <w:spacing w:line="240" w:lineRule="auto"/>
              <w:jc w:val="center"/>
              <w:rPr>
                <w:rFonts w:hint="eastAsia"/>
                <w:highlight w:val="none"/>
              </w:rPr>
            </w:pPr>
            <w:r>
              <w:rPr>
                <w:rFonts w:hint="eastAsia"/>
                <w:highlight w:val="none"/>
              </w:rPr>
              <w:t>…</w:t>
            </w:r>
          </w:p>
        </w:tc>
        <w:tc>
          <w:tcPr>
            <w:tcW w:w="1397" w:type="dxa"/>
            <w:vAlign w:val="center"/>
          </w:tcPr>
          <w:p>
            <w:pPr>
              <w:tabs>
                <w:tab w:val="clear" w:pos="426"/>
              </w:tabs>
              <w:adjustRightInd/>
              <w:snapToGrid/>
              <w:spacing w:line="240" w:lineRule="auto"/>
              <w:jc w:val="center"/>
              <w:rPr>
                <w:rFonts w:hint="eastAsia"/>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rFonts w:hint="eastAsia"/>
                <w:b/>
                <w:highlight w:val="none"/>
              </w:rPr>
            </w:pPr>
          </w:p>
        </w:tc>
        <w:tc>
          <w:tcPr>
            <w:tcW w:w="4203" w:type="dxa"/>
            <w:gridSpan w:val="2"/>
            <w:vMerge w:val="continue"/>
            <w:vAlign w:val="center"/>
          </w:tcPr>
          <w:p>
            <w:pPr>
              <w:tabs>
                <w:tab w:val="clear" w:pos="426"/>
              </w:tabs>
              <w:adjustRightInd/>
              <w:snapToGrid/>
              <w:spacing w:line="240" w:lineRule="auto"/>
              <w:jc w:val="center"/>
              <w:rPr>
                <w:rFonts w:hint="eastAsia"/>
                <w:highlight w:val="none"/>
              </w:rPr>
            </w:pPr>
          </w:p>
        </w:tc>
        <w:tc>
          <w:tcPr>
            <w:tcW w:w="3105" w:type="dxa"/>
            <w:gridSpan w:val="3"/>
            <w:vAlign w:val="center"/>
          </w:tcPr>
          <w:p>
            <w:pPr>
              <w:tabs>
                <w:tab w:val="clear" w:pos="426"/>
              </w:tabs>
              <w:adjustRightInd/>
              <w:snapToGrid/>
              <w:spacing w:line="240" w:lineRule="auto"/>
              <w:jc w:val="center"/>
              <w:rPr>
                <w:rFonts w:hint="eastAsia"/>
                <w:highlight w:val="none"/>
              </w:rPr>
            </w:pPr>
          </w:p>
        </w:tc>
        <w:tc>
          <w:tcPr>
            <w:tcW w:w="1397" w:type="dxa"/>
            <w:vAlign w:val="center"/>
          </w:tcPr>
          <w:p>
            <w:pPr>
              <w:tabs>
                <w:tab w:val="clear" w:pos="426"/>
              </w:tabs>
              <w:adjustRightInd/>
              <w:snapToGrid/>
              <w:spacing w:line="240" w:lineRule="auto"/>
              <w:jc w:val="center"/>
              <w:rPr>
                <w:rFonts w:hint="eastAsia"/>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rFonts w:hint="eastAsia"/>
                <w:b/>
                <w:highlight w:val="none"/>
              </w:rPr>
            </w:pPr>
          </w:p>
        </w:tc>
        <w:tc>
          <w:tcPr>
            <w:tcW w:w="4203" w:type="dxa"/>
            <w:gridSpan w:val="2"/>
            <w:vMerge w:val="continue"/>
            <w:vAlign w:val="center"/>
          </w:tcPr>
          <w:p>
            <w:pPr>
              <w:tabs>
                <w:tab w:val="clear" w:pos="426"/>
              </w:tabs>
              <w:adjustRightInd/>
              <w:snapToGrid/>
              <w:spacing w:line="240" w:lineRule="auto"/>
              <w:jc w:val="center"/>
              <w:rPr>
                <w:rFonts w:hint="eastAsia"/>
                <w:highlight w:val="none"/>
              </w:rPr>
            </w:pPr>
          </w:p>
        </w:tc>
        <w:tc>
          <w:tcPr>
            <w:tcW w:w="3105" w:type="dxa"/>
            <w:gridSpan w:val="3"/>
            <w:vAlign w:val="center"/>
          </w:tcPr>
          <w:p>
            <w:pPr>
              <w:tabs>
                <w:tab w:val="clear" w:pos="426"/>
              </w:tabs>
              <w:adjustRightInd/>
              <w:snapToGrid/>
              <w:spacing w:line="240" w:lineRule="auto"/>
              <w:jc w:val="center"/>
              <w:rPr>
                <w:rFonts w:hint="eastAsia"/>
                <w:b/>
                <w:highlight w:val="none"/>
              </w:rPr>
            </w:pPr>
          </w:p>
        </w:tc>
        <w:tc>
          <w:tcPr>
            <w:tcW w:w="1397" w:type="dxa"/>
            <w:vAlign w:val="center"/>
          </w:tcPr>
          <w:p>
            <w:pPr>
              <w:tabs>
                <w:tab w:val="clear" w:pos="426"/>
              </w:tabs>
              <w:adjustRightInd/>
              <w:snapToGrid/>
              <w:spacing w:line="240" w:lineRule="auto"/>
              <w:jc w:val="center"/>
              <w:rPr>
                <w:rFonts w:hint="eastAsia"/>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rFonts w:hint="eastAsia"/>
                <w:b/>
                <w:highlight w:val="none"/>
              </w:rPr>
            </w:pPr>
          </w:p>
        </w:tc>
        <w:tc>
          <w:tcPr>
            <w:tcW w:w="4203" w:type="dxa"/>
            <w:gridSpan w:val="2"/>
            <w:vMerge w:val="continue"/>
            <w:vAlign w:val="center"/>
          </w:tcPr>
          <w:p>
            <w:pPr>
              <w:tabs>
                <w:tab w:val="clear" w:pos="426"/>
              </w:tabs>
              <w:adjustRightInd/>
              <w:snapToGrid/>
              <w:spacing w:line="240" w:lineRule="auto"/>
              <w:jc w:val="center"/>
              <w:rPr>
                <w:rFonts w:hint="eastAsia"/>
                <w:highlight w:val="none"/>
              </w:rPr>
            </w:pPr>
          </w:p>
        </w:tc>
        <w:tc>
          <w:tcPr>
            <w:tcW w:w="3105" w:type="dxa"/>
            <w:gridSpan w:val="3"/>
            <w:vAlign w:val="center"/>
          </w:tcPr>
          <w:p>
            <w:pPr>
              <w:tabs>
                <w:tab w:val="clear" w:pos="426"/>
              </w:tabs>
              <w:adjustRightInd/>
              <w:snapToGrid/>
              <w:spacing w:line="240" w:lineRule="auto"/>
              <w:jc w:val="center"/>
              <w:rPr>
                <w:rFonts w:hint="eastAsia"/>
                <w:b/>
                <w:highlight w:val="none"/>
              </w:rPr>
            </w:pPr>
          </w:p>
        </w:tc>
        <w:tc>
          <w:tcPr>
            <w:tcW w:w="1397" w:type="dxa"/>
            <w:vAlign w:val="center"/>
          </w:tcPr>
          <w:p>
            <w:pPr>
              <w:tabs>
                <w:tab w:val="clear" w:pos="426"/>
              </w:tabs>
              <w:adjustRightInd/>
              <w:snapToGrid/>
              <w:spacing w:line="240" w:lineRule="auto"/>
              <w:jc w:val="center"/>
              <w:rPr>
                <w:rFonts w:hint="eastAsia"/>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rFonts w:hint="eastAsia"/>
                <w:b/>
                <w:highlight w:val="none"/>
              </w:rPr>
            </w:pPr>
          </w:p>
        </w:tc>
        <w:tc>
          <w:tcPr>
            <w:tcW w:w="4203" w:type="dxa"/>
            <w:gridSpan w:val="2"/>
            <w:vMerge w:val="continue"/>
            <w:vAlign w:val="center"/>
          </w:tcPr>
          <w:p>
            <w:pPr>
              <w:tabs>
                <w:tab w:val="clear" w:pos="426"/>
              </w:tabs>
              <w:adjustRightInd/>
              <w:snapToGrid/>
              <w:spacing w:line="240" w:lineRule="auto"/>
              <w:jc w:val="center"/>
              <w:rPr>
                <w:rFonts w:hint="eastAsia"/>
                <w:highlight w:val="none"/>
              </w:rPr>
            </w:pPr>
          </w:p>
        </w:tc>
        <w:tc>
          <w:tcPr>
            <w:tcW w:w="3105" w:type="dxa"/>
            <w:gridSpan w:val="3"/>
            <w:vAlign w:val="center"/>
          </w:tcPr>
          <w:p>
            <w:pPr>
              <w:tabs>
                <w:tab w:val="clear" w:pos="426"/>
              </w:tabs>
              <w:adjustRightInd/>
              <w:snapToGrid/>
              <w:spacing w:line="240" w:lineRule="auto"/>
              <w:jc w:val="center"/>
              <w:rPr>
                <w:rFonts w:hint="eastAsia"/>
                <w:b/>
                <w:highlight w:val="none"/>
              </w:rPr>
            </w:pPr>
          </w:p>
        </w:tc>
        <w:tc>
          <w:tcPr>
            <w:tcW w:w="1397" w:type="dxa"/>
            <w:vAlign w:val="center"/>
          </w:tcPr>
          <w:p>
            <w:pPr>
              <w:tabs>
                <w:tab w:val="clear" w:pos="426"/>
              </w:tabs>
              <w:adjustRightInd/>
              <w:snapToGrid/>
              <w:spacing w:line="240" w:lineRule="auto"/>
              <w:jc w:val="center"/>
              <w:rPr>
                <w:rFonts w:hint="eastAsia"/>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ind w:firstLine="422"/>
              <w:jc w:val="center"/>
              <w:rPr>
                <w:rFonts w:hint="eastAsia"/>
                <w:b/>
                <w:kern w:val="2"/>
                <w:highlight w:val="none"/>
              </w:rPr>
            </w:pPr>
            <w:r>
              <w:rPr>
                <w:rFonts w:hint="eastAsia"/>
                <w:b/>
                <w:highlight w:val="none"/>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rFonts w:hint="eastAsia"/>
                <w:b/>
                <w:kern w:val="2"/>
                <w:highlight w:val="none"/>
              </w:rPr>
            </w:pPr>
            <w:r>
              <w:rPr>
                <w:rFonts w:hint="eastAsia"/>
                <w:b/>
                <w:highlight w:val="none"/>
              </w:rPr>
              <w:t>序号</w:t>
            </w:r>
          </w:p>
        </w:tc>
        <w:tc>
          <w:tcPr>
            <w:tcW w:w="5943" w:type="dxa"/>
            <w:gridSpan w:val="4"/>
            <w:vAlign w:val="center"/>
          </w:tcPr>
          <w:p>
            <w:pPr>
              <w:tabs>
                <w:tab w:val="clear" w:pos="426"/>
              </w:tabs>
              <w:adjustRightInd/>
              <w:snapToGrid/>
              <w:spacing w:line="240" w:lineRule="auto"/>
              <w:jc w:val="center"/>
              <w:rPr>
                <w:rFonts w:hint="eastAsia"/>
                <w:b/>
                <w:kern w:val="2"/>
                <w:highlight w:val="none"/>
              </w:rPr>
            </w:pPr>
            <w:r>
              <w:rPr>
                <w:rFonts w:hint="eastAsia"/>
                <w:b/>
                <w:highlight w:val="none"/>
              </w:rPr>
              <w:t>符合性审查项目</w:t>
            </w:r>
          </w:p>
        </w:tc>
        <w:tc>
          <w:tcPr>
            <w:tcW w:w="2762" w:type="dxa"/>
            <w:gridSpan w:val="2"/>
            <w:vAlign w:val="center"/>
          </w:tcPr>
          <w:p>
            <w:pPr>
              <w:tabs>
                <w:tab w:val="clear" w:pos="426"/>
              </w:tabs>
              <w:adjustRightInd/>
              <w:snapToGrid/>
              <w:spacing w:line="240" w:lineRule="auto"/>
              <w:jc w:val="center"/>
              <w:rPr>
                <w:rFonts w:hint="eastAsia"/>
                <w:b/>
                <w:kern w:val="2"/>
                <w:highlight w:val="none"/>
              </w:rPr>
            </w:pPr>
            <w:r>
              <w:rPr>
                <w:rFonts w:hint="eastAsia"/>
                <w:b/>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highlight w:val="none"/>
              </w:rPr>
            </w:pPr>
            <w:r>
              <w:rPr>
                <w:rFonts w:hint="eastAsia"/>
                <w:highlight w:val="none"/>
              </w:rPr>
              <w:t>1</w:t>
            </w:r>
          </w:p>
        </w:tc>
        <w:tc>
          <w:tcPr>
            <w:tcW w:w="5943" w:type="dxa"/>
            <w:gridSpan w:val="4"/>
            <w:vAlign w:val="center"/>
          </w:tcPr>
          <w:p>
            <w:pPr>
              <w:tabs>
                <w:tab w:val="clear" w:pos="426"/>
              </w:tabs>
              <w:adjustRightInd/>
              <w:snapToGrid/>
              <w:spacing w:line="240" w:lineRule="auto"/>
              <w:rPr>
                <w:rFonts w:hint="eastAsia"/>
                <w:highlight w:val="none"/>
              </w:rPr>
            </w:pPr>
            <w:r>
              <w:rPr>
                <w:rFonts w:hint="eastAsia"/>
                <w:highlight w:val="none"/>
              </w:rPr>
              <w:t>未出现将一个包或一个标段的内容拆开投标；</w:t>
            </w:r>
          </w:p>
        </w:tc>
        <w:tc>
          <w:tcPr>
            <w:tcW w:w="2762" w:type="dxa"/>
            <w:gridSpan w:val="2"/>
            <w:vAlign w:val="center"/>
          </w:tcPr>
          <w:p>
            <w:pPr>
              <w:tabs>
                <w:tab w:val="clear" w:pos="426"/>
              </w:tabs>
              <w:adjustRightInd/>
              <w:snapToGrid/>
              <w:spacing w:line="240" w:lineRule="auto"/>
              <w:jc w:val="center"/>
              <w:rPr>
                <w:rFonts w:hint="eastAsia"/>
                <w:kern w:val="2"/>
                <w:highlight w:val="none"/>
              </w:rPr>
            </w:pPr>
            <w:r>
              <w:rPr>
                <w:rFonts w:hint="eastAsia"/>
                <w:highlight w:val="none"/>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highlight w:val="none"/>
              </w:rPr>
            </w:pPr>
            <w:r>
              <w:rPr>
                <w:rFonts w:hint="eastAsia"/>
                <w:highlight w:val="none"/>
              </w:rPr>
              <w:t>2</w:t>
            </w:r>
          </w:p>
        </w:tc>
        <w:tc>
          <w:tcPr>
            <w:tcW w:w="5943" w:type="dxa"/>
            <w:gridSpan w:val="4"/>
            <w:vAlign w:val="center"/>
          </w:tcPr>
          <w:p>
            <w:pPr>
              <w:tabs>
                <w:tab w:val="clear" w:pos="426"/>
              </w:tabs>
              <w:adjustRightInd/>
              <w:snapToGrid/>
              <w:spacing w:line="240" w:lineRule="auto"/>
              <w:rPr>
                <w:rFonts w:hint="eastAsia"/>
                <w:highlight w:val="none"/>
              </w:rPr>
            </w:pPr>
            <w:r>
              <w:rPr>
                <w:rFonts w:hint="eastAsia"/>
                <w:highlight w:val="none"/>
              </w:rPr>
              <w:t>投标文件及开标一览表按规定密封、签字、盖章</w:t>
            </w:r>
          </w:p>
        </w:tc>
        <w:tc>
          <w:tcPr>
            <w:tcW w:w="2762" w:type="dxa"/>
            <w:gridSpan w:val="2"/>
            <w:vAlign w:val="center"/>
          </w:tcPr>
          <w:p>
            <w:pPr>
              <w:tabs>
                <w:tab w:val="clear" w:pos="426"/>
              </w:tabs>
              <w:adjustRightInd/>
              <w:snapToGrid/>
              <w:spacing w:line="240" w:lineRule="auto"/>
              <w:jc w:val="cente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highlight w:val="none"/>
              </w:rPr>
            </w:pPr>
            <w:r>
              <w:rPr>
                <w:rFonts w:hint="eastAsia"/>
                <w:highlight w:val="none"/>
              </w:rPr>
              <w:t>3</w:t>
            </w:r>
          </w:p>
        </w:tc>
        <w:tc>
          <w:tcPr>
            <w:tcW w:w="5943" w:type="dxa"/>
            <w:gridSpan w:val="4"/>
            <w:vAlign w:val="center"/>
          </w:tcPr>
          <w:p>
            <w:pPr>
              <w:tabs>
                <w:tab w:val="clear" w:pos="426"/>
              </w:tabs>
              <w:adjustRightInd/>
              <w:snapToGrid/>
              <w:spacing w:line="240" w:lineRule="auto"/>
              <w:rPr>
                <w:rFonts w:hint="eastAsia"/>
                <w:highlight w:val="none"/>
              </w:rPr>
            </w:pPr>
            <w:r>
              <w:rPr>
                <w:rFonts w:hint="eastAsia"/>
                <w:highlight w:val="none"/>
              </w:rPr>
              <w:t>除招标文件规定允许有替代方案外，对同一项目投标时，未提供两套或两套以上的投标方案(招标文件另有规定的除外)；</w:t>
            </w:r>
          </w:p>
        </w:tc>
        <w:tc>
          <w:tcPr>
            <w:tcW w:w="2762" w:type="dxa"/>
            <w:gridSpan w:val="2"/>
            <w:vAlign w:val="center"/>
          </w:tcPr>
          <w:p>
            <w:pPr>
              <w:tabs>
                <w:tab w:val="clear" w:pos="426"/>
              </w:tabs>
              <w:adjustRightInd/>
              <w:snapToGrid/>
              <w:spacing w:line="240" w:lineRule="auto"/>
              <w:jc w:val="cente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highlight w:val="none"/>
              </w:rPr>
            </w:pPr>
            <w:r>
              <w:rPr>
                <w:rFonts w:hint="eastAsia"/>
                <w:highlight w:val="none"/>
              </w:rPr>
              <w:t>4</w:t>
            </w:r>
          </w:p>
        </w:tc>
        <w:tc>
          <w:tcPr>
            <w:tcW w:w="5943" w:type="dxa"/>
            <w:gridSpan w:val="4"/>
            <w:vAlign w:val="center"/>
          </w:tcPr>
          <w:p>
            <w:pPr>
              <w:tabs>
                <w:tab w:val="clear" w:pos="426"/>
              </w:tabs>
              <w:adjustRightInd/>
              <w:snapToGrid/>
              <w:spacing w:line="240" w:lineRule="auto"/>
              <w:rPr>
                <w:rFonts w:hint="eastAsia"/>
                <w:highlight w:val="none"/>
              </w:rPr>
            </w:pPr>
            <w:r>
              <w:rPr>
                <w:rFonts w:hint="eastAsia"/>
                <w:highlight w:val="none"/>
              </w:rPr>
              <w:t>按照招标文件规定要求签署、盖章；投标文件有法定代表人签字、投标文件签字人有法定代表人有效授权书的；</w:t>
            </w:r>
          </w:p>
        </w:tc>
        <w:tc>
          <w:tcPr>
            <w:tcW w:w="2762" w:type="dxa"/>
            <w:gridSpan w:val="2"/>
            <w:vAlign w:val="center"/>
          </w:tcPr>
          <w:p>
            <w:pPr>
              <w:tabs>
                <w:tab w:val="clear" w:pos="426"/>
              </w:tabs>
              <w:adjustRightInd/>
              <w:snapToGrid/>
              <w:spacing w:line="240" w:lineRule="auto"/>
              <w:jc w:val="center"/>
              <w:rPr>
                <w:rFonts w:hint="eastAsia"/>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highlight w:val="none"/>
              </w:rPr>
            </w:pPr>
            <w:r>
              <w:rPr>
                <w:rFonts w:hint="eastAsia"/>
                <w:highlight w:val="none"/>
              </w:rPr>
              <w:t>5</w:t>
            </w:r>
          </w:p>
        </w:tc>
        <w:tc>
          <w:tcPr>
            <w:tcW w:w="5943" w:type="dxa"/>
            <w:gridSpan w:val="4"/>
            <w:vAlign w:val="center"/>
          </w:tcPr>
          <w:p>
            <w:pPr>
              <w:tabs>
                <w:tab w:val="clear" w:pos="426"/>
              </w:tabs>
              <w:adjustRightInd/>
              <w:snapToGrid/>
              <w:spacing w:line="240" w:lineRule="auto"/>
              <w:rPr>
                <w:rFonts w:hint="eastAsia"/>
                <w:highlight w:val="none"/>
              </w:rPr>
            </w:pPr>
            <w:r>
              <w:rPr>
                <w:rFonts w:hint="eastAsia"/>
                <w:highlight w:val="none"/>
              </w:rPr>
              <w:t>按招标文件所提供的样式填写</w:t>
            </w:r>
            <w:r>
              <w:rPr>
                <w:highlight w:val="none"/>
              </w:rPr>
              <w:t>《</w:t>
            </w:r>
            <w:r>
              <w:rPr>
                <w:rFonts w:hint="eastAsia"/>
                <w:highlight w:val="none"/>
              </w:rPr>
              <w:t>投标函》；按招标文件所提供的《投标人资格声明函》进行承诺；</w:t>
            </w:r>
          </w:p>
        </w:tc>
        <w:tc>
          <w:tcPr>
            <w:tcW w:w="2762" w:type="dxa"/>
            <w:gridSpan w:val="2"/>
            <w:vAlign w:val="center"/>
          </w:tcPr>
          <w:p>
            <w:pPr>
              <w:tabs>
                <w:tab w:val="clear" w:pos="426"/>
              </w:tabs>
              <w:adjustRightInd/>
              <w:snapToGrid/>
              <w:spacing w:line="240" w:lineRule="auto"/>
              <w:jc w:val="center"/>
              <w:rPr>
                <w:rFonts w:hint="eastAsia"/>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highlight w:val="none"/>
              </w:rPr>
            </w:pPr>
            <w:r>
              <w:rPr>
                <w:rFonts w:hint="eastAsia"/>
                <w:highlight w:val="none"/>
              </w:rPr>
              <w:t>6</w:t>
            </w:r>
          </w:p>
        </w:tc>
        <w:tc>
          <w:tcPr>
            <w:tcW w:w="5943" w:type="dxa"/>
            <w:gridSpan w:val="4"/>
            <w:vAlign w:val="center"/>
          </w:tcPr>
          <w:p>
            <w:pPr>
              <w:tabs>
                <w:tab w:val="clear" w:pos="426"/>
              </w:tabs>
              <w:adjustRightInd/>
              <w:snapToGrid/>
              <w:spacing w:line="240" w:lineRule="auto"/>
              <w:rPr>
                <w:rFonts w:hint="eastAsia"/>
                <w:highlight w:val="none"/>
              </w:rPr>
            </w:pPr>
            <w:r>
              <w:rPr>
                <w:rFonts w:hint="eastAsia"/>
                <w:highlight w:val="none"/>
              </w:rPr>
              <w:t>投标总价或分项报价不高于财政预算限额</w:t>
            </w:r>
            <w:r>
              <w:rPr>
                <w:szCs w:val="21"/>
                <w:highlight w:val="none"/>
              </w:rPr>
              <w:t>（最高投标限价）</w:t>
            </w:r>
            <w:r>
              <w:rPr>
                <w:rFonts w:hint="eastAsia"/>
                <w:highlight w:val="none"/>
              </w:rPr>
              <w:t>；</w:t>
            </w:r>
          </w:p>
        </w:tc>
        <w:tc>
          <w:tcPr>
            <w:tcW w:w="2762" w:type="dxa"/>
            <w:gridSpan w:val="2"/>
            <w:vAlign w:val="center"/>
          </w:tcPr>
          <w:p>
            <w:pPr>
              <w:tabs>
                <w:tab w:val="clear" w:pos="426"/>
              </w:tabs>
              <w:adjustRightInd/>
              <w:snapToGrid/>
              <w:spacing w:line="240" w:lineRule="auto"/>
              <w:jc w:val="cente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highlight w:val="none"/>
              </w:rPr>
            </w:pPr>
            <w:r>
              <w:rPr>
                <w:rFonts w:hint="eastAsia"/>
                <w:highlight w:val="none"/>
              </w:rPr>
              <w:t>7</w:t>
            </w:r>
          </w:p>
        </w:tc>
        <w:tc>
          <w:tcPr>
            <w:tcW w:w="5943" w:type="dxa"/>
            <w:gridSpan w:val="4"/>
            <w:vAlign w:val="center"/>
          </w:tcPr>
          <w:p>
            <w:pPr>
              <w:tabs>
                <w:tab w:val="clear" w:pos="426"/>
              </w:tabs>
              <w:adjustRightInd/>
              <w:snapToGrid/>
              <w:spacing w:line="240" w:lineRule="auto"/>
              <w:rPr>
                <w:rFonts w:hint="eastAsia"/>
                <w:highlight w:val="none"/>
              </w:rPr>
            </w:pPr>
            <w:r>
              <w:rPr>
                <w:rFonts w:hint="eastAsia"/>
                <w:highlight w:val="none"/>
              </w:rPr>
              <w:t>不存在以下情形：</w:t>
            </w:r>
            <w:r>
              <w:rPr>
                <w:szCs w:val="21"/>
                <w:highlight w:val="none"/>
              </w:rPr>
              <w:t>同一项目出现两个及以上报价，且按规定无法确定哪个是有效报价；</w:t>
            </w:r>
          </w:p>
        </w:tc>
        <w:tc>
          <w:tcPr>
            <w:tcW w:w="2762" w:type="dxa"/>
            <w:gridSpan w:val="2"/>
            <w:vAlign w:val="center"/>
          </w:tcPr>
          <w:p>
            <w:pPr>
              <w:tabs>
                <w:tab w:val="clear" w:pos="426"/>
              </w:tabs>
              <w:adjustRightInd/>
              <w:snapToGrid/>
              <w:spacing w:line="240" w:lineRule="auto"/>
              <w:jc w:val="center"/>
              <w:rPr>
                <w:rFonts w:hint="eastAsia"/>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highlight w:val="none"/>
              </w:rPr>
            </w:pPr>
            <w:r>
              <w:rPr>
                <w:rFonts w:hint="eastAsia"/>
                <w:highlight w:val="none"/>
              </w:rPr>
              <w:t>8</w:t>
            </w:r>
          </w:p>
        </w:tc>
        <w:tc>
          <w:tcPr>
            <w:tcW w:w="5943" w:type="dxa"/>
            <w:gridSpan w:val="4"/>
            <w:vAlign w:val="center"/>
          </w:tcPr>
          <w:p>
            <w:pPr>
              <w:tabs>
                <w:tab w:val="clear" w:pos="426"/>
              </w:tabs>
              <w:adjustRightInd/>
              <w:snapToGrid/>
              <w:spacing w:line="240" w:lineRule="auto"/>
              <w:rPr>
                <w:rFonts w:hint="eastAsia"/>
                <w:highlight w:val="none"/>
              </w:rPr>
            </w:pPr>
            <w:r>
              <w:rPr>
                <w:rFonts w:hint="eastAsia"/>
                <w:highlight w:val="none"/>
              </w:rPr>
              <w:t>不存在以下情形：评标委员会认为投标供应商的报价明显低于其他通过符合性审查投标供应商的报价，有可能影响产品质量或者不能诚信履约的，且不能在合理的时间内提供书面说明，或无法提交相关证明材料，投标供应商不能证明其报价合理性的；</w:t>
            </w:r>
          </w:p>
        </w:tc>
        <w:tc>
          <w:tcPr>
            <w:tcW w:w="2762" w:type="dxa"/>
            <w:gridSpan w:val="2"/>
            <w:vAlign w:val="center"/>
          </w:tcPr>
          <w:p>
            <w:pPr>
              <w:tabs>
                <w:tab w:val="clear" w:pos="426"/>
              </w:tabs>
              <w:adjustRightInd/>
              <w:snapToGrid/>
              <w:spacing w:line="240" w:lineRule="auto"/>
              <w:jc w:val="center"/>
              <w:rPr>
                <w:rFonts w:hint="eastAsia"/>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highlight w:val="none"/>
              </w:rPr>
            </w:pPr>
            <w:r>
              <w:rPr>
                <w:rFonts w:hint="eastAsia"/>
                <w:highlight w:val="none"/>
              </w:rPr>
              <w:t>9</w:t>
            </w:r>
          </w:p>
        </w:tc>
        <w:tc>
          <w:tcPr>
            <w:tcW w:w="5943" w:type="dxa"/>
            <w:gridSpan w:val="4"/>
            <w:vAlign w:val="center"/>
          </w:tcPr>
          <w:p>
            <w:pPr>
              <w:tabs>
                <w:tab w:val="clear" w:pos="426"/>
              </w:tabs>
              <w:adjustRightInd/>
              <w:snapToGrid/>
              <w:spacing w:line="240" w:lineRule="auto"/>
              <w:rPr>
                <w:rFonts w:hint="eastAsia"/>
                <w:highlight w:val="none"/>
              </w:rPr>
            </w:pPr>
            <w:r>
              <w:rPr>
                <w:rFonts w:hint="eastAsia"/>
                <w:highlight w:val="none"/>
              </w:rPr>
              <w:t>投标文件载明的交货期未超过招标文件规定的期限；</w:t>
            </w:r>
          </w:p>
        </w:tc>
        <w:tc>
          <w:tcPr>
            <w:tcW w:w="2762" w:type="dxa"/>
            <w:gridSpan w:val="2"/>
            <w:vAlign w:val="center"/>
          </w:tcPr>
          <w:p>
            <w:pPr>
              <w:tabs>
                <w:tab w:val="clear" w:pos="426"/>
              </w:tabs>
              <w:adjustRightInd/>
              <w:snapToGrid/>
              <w:spacing w:line="240" w:lineRule="auto"/>
              <w:jc w:val="cente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highlight w:val="none"/>
              </w:rPr>
            </w:pPr>
            <w:r>
              <w:rPr>
                <w:rFonts w:hint="eastAsia"/>
                <w:highlight w:val="none"/>
              </w:rPr>
              <w:t>10</w:t>
            </w:r>
          </w:p>
        </w:tc>
        <w:tc>
          <w:tcPr>
            <w:tcW w:w="5943" w:type="dxa"/>
            <w:gridSpan w:val="4"/>
            <w:vAlign w:val="center"/>
          </w:tcPr>
          <w:p>
            <w:pPr>
              <w:tabs>
                <w:tab w:val="clear" w:pos="426"/>
              </w:tabs>
              <w:adjustRightInd/>
              <w:snapToGrid/>
              <w:spacing w:line="240" w:lineRule="auto"/>
              <w:rPr>
                <w:rFonts w:hint="eastAsia"/>
                <w:highlight w:val="none"/>
              </w:rPr>
            </w:pPr>
            <w:r>
              <w:rPr>
                <w:rFonts w:hint="eastAsia"/>
                <w:highlight w:val="none"/>
              </w:rPr>
              <w:t>投标文件载明的质保期未低于招标文件规定的期限；</w:t>
            </w:r>
          </w:p>
        </w:tc>
        <w:tc>
          <w:tcPr>
            <w:tcW w:w="2762" w:type="dxa"/>
            <w:gridSpan w:val="2"/>
            <w:vAlign w:val="center"/>
          </w:tcPr>
          <w:p>
            <w:pPr>
              <w:tabs>
                <w:tab w:val="clear" w:pos="426"/>
              </w:tabs>
              <w:adjustRightInd/>
              <w:snapToGrid/>
              <w:spacing w:line="240" w:lineRule="auto"/>
              <w:jc w:val="center"/>
              <w:rPr>
                <w:rFonts w:hint="eastAsia"/>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highlight w:val="none"/>
              </w:rPr>
            </w:pPr>
            <w:r>
              <w:rPr>
                <w:rFonts w:hint="eastAsia"/>
                <w:highlight w:val="none"/>
              </w:rPr>
              <w:t>11</w:t>
            </w:r>
          </w:p>
        </w:tc>
        <w:tc>
          <w:tcPr>
            <w:tcW w:w="5943" w:type="dxa"/>
            <w:gridSpan w:val="4"/>
            <w:vAlign w:val="center"/>
          </w:tcPr>
          <w:p>
            <w:pPr>
              <w:tabs>
                <w:tab w:val="clear" w:pos="426"/>
              </w:tabs>
              <w:adjustRightInd/>
              <w:snapToGrid/>
              <w:spacing w:line="240" w:lineRule="auto"/>
              <w:rPr>
                <w:rFonts w:hint="eastAsia"/>
                <w:highlight w:val="none"/>
              </w:rPr>
            </w:pPr>
            <w:r>
              <w:rPr>
                <w:rFonts w:hint="eastAsia"/>
                <w:highlight w:val="none"/>
              </w:rPr>
              <w:t>所投产品、工程、服务在商务、技术等方面实质性满足招标文件要求的；</w:t>
            </w:r>
          </w:p>
        </w:tc>
        <w:tc>
          <w:tcPr>
            <w:tcW w:w="2762" w:type="dxa"/>
            <w:gridSpan w:val="2"/>
            <w:vAlign w:val="center"/>
          </w:tcPr>
          <w:p>
            <w:pPr>
              <w:tabs>
                <w:tab w:val="clear" w:pos="426"/>
              </w:tabs>
              <w:adjustRightInd/>
              <w:snapToGrid/>
              <w:spacing w:line="240" w:lineRule="auto"/>
              <w:jc w:val="center"/>
              <w:rPr>
                <w:rFonts w:hint="eastAsia"/>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highlight w:val="none"/>
              </w:rPr>
            </w:pPr>
            <w:r>
              <w:rPr>
                <w:rFonts w:hint="eastAsia"/>
                <w:highlight w:val="none"/>
              </w:rPr>
              <w:t>12</w:t>
            </w:r>
          </w:p>
        </w:tc>
        <w:tc>
          <w:tcPr>
            <w:tcW w:w="5943" w:type="dxa"/>
            <w:gridSpan w:val="4"/>
            <w:vAlign w:val="center"/>
          </w:tcPr>
          <w:p>
            <w:pPr>
              <w:tabs>
                <w:tab w:val="clear" w:pos="426"/>
              </w:tabs>
              <w:adjustRightInd/>
              <w:snapToGrid/>
              <w:spacing w:line="240" w:lineRule="auto"/>
              <w:rPr>
                <w:rFonts w:hint="eastAsia"/>
                <w:highlight w:val="none"/>
              </w:rPr>
            </w:pPr>
            <w:r>
              <w:rPr>
                <w:rFonts w:hint="eastAsia"/>
                <w:highlight w:val="none"/>
              </w:rPr>
              <w:t>投标报价没有严重缺漏项目；投标报价没有对招标文件规定的货物清单项目及数量进行修改；采购标的响应齐全；</w:t>
            </w:r>
          </w:p>
        </w:tc>
        <w:tc>
          <w:tcPr>
            <w:tcW w:w="2762" w:type="dxa"/>
            <w:gridSpan w:val="2"/>
            <w:vAlign w:val="center"/>
          </w:tcPr>
          <w:p>
            <w:pPr>
              <w:tabs>
                <w:tab w:val="clear" w:pos="426"/>
              </w:tabs>
              <w:adjustRightInd/>
              <w:snapToGrid/>
              <w:spacing w:line="240" w:lineRule="auto"/>
              <w:jc w:val="cente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highlight w:val="none"/>
              </w:rPr>
            </w:pPr>
            <w:r>
              <w:rPr>
                <w:rFonts w:hint="eastAsia"/>
                <w:highlight w:val="none"/>
              </w:rPr>
              <w:t>1</w:t>
            </w:r>
            <w:r>
              <w:rPr>
                <w:highlight w:val="none"/>
              </w:rPr>
              <w:t>3</w:t>
            </w:r>
          </w:p>
        </w:tc>
        <w:tc>
          <w:tcPr>
            <w:tcW w:w="5943" w:type="dxa"/>
            <w:gridSpan w:val="4"/>
            <w:vAlign w:val="center"/>
          </w:tcPr>
          <w:p>
            <w:pPr>
              <w:tabs>
                <w:tab w:val="clear" w:pos="426"/>
              </w:tabs>
              <w:adjustRightInd/>
              <w:snapToGrid/>
              <w:spacing w:line="240" w:lineRule="auto"/>
              <w:rPr>
                <w:rFonts w:hint="eastAsia"/>
                <w:highlight w:val="none"/>
              </w:rPr>
            </w:pPr>
            <w:r>
              <w:rPr>
                <w:rFonts w:hint="eastAsia"/>
                <w:highlight w:val="none"/>
              </w:rPr>
              <w:t>《技术规格偏离表》或《商务条款偏离表》未出现填写不全、不明或不实；</w:t>
            </w:r>
          </w:p>
        </w:tc>
        <w:tc>
          <w:tcPr>
            <w:tcW w:w="2762" w:type="dxa"/>
            <w:gridSpan w:val="2"/>
            <w:vAlign w:val="center"/>
          </w:tcPr>
          <w:p>
            <w:pPr>
              <w:tabs>
                <w:tab w:val="clear" w:pos="426"/>
              </w:tabs>
              <w:adjustRightInd/>
              <w:snapToGrid/>
              <w:spacing w:line="240" w:lineRule="auto"/>
              <w:jc w:val="cente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highlight w:val="none"/>
              </w:rPr>
            </w:pPr>
            <w:r>
              <w:rPr>
                <w:rFonts w:hint="eastAsia"/>
                <w:highlight w:val="none"/>
              </w:rPr>
              <w:t>1</w:t>
            </w:r>
            <w:r>
              <w:rPr>
                <w:highlight w:val="none"/>
              </w:rPr>
              <w:t>4</w:t>
            </w:r>
          </w:p>
        </w:tc>
        <w:tc>
          <w:tcPr>
            <w:tcW w:w="5943" w:type="dxa"/>
            <w:gridSpan w:val="4"/>
            <w:vAlign w:val="center"/>
          </w:tcPr>
          <w:p>
            <w:pPr>
              <w:tabs>
                <w:tab w:val="clear" w:pos="426"/>
              </w:tabs>
              <w:adjustRightInd/>
              <w:snapToGrid/>
              <w:spacing w:line="240" w:lineRule="auto"/>
              <w:rPr>
                <w:rFonts w:hint="eastAsia"/>
                <w:highlight w:val="none"/>
              </w:rPr>
            </w:pPr>
            <w:r>
              <w:rPr>
                <w:rFonts w:hint="eastAsia"/>
                <w:highlight w:val="none"/>
              </w:rPr>
              <w:t>投标文件不存在招标文件中规定的其它无效投标条款的；</w:t>
            </w:r>
          </w:p>
        </w:tc>
        <w:tc>
          <w:tcPr>
            <w:tcW w:w="2762" w:type="dxa"/>
            <w:gridSpan w:val="2"/>
            <w:vAlign w:val="center"/>
          </w:tcPr>
          <w:p>
            <w:pPr>
              <w:tabs>
                <w:tab w:val="clear" w:pos="426"/>
              </w:tabs>
              <w:adjustRightInd/>
              <w:snapToGrid/>
              <w:spacing w:line="240" w:lineRule="auto"/>
              <w:jc w:val="cente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highlight w:val="none"/>
              </w:rPr>
            </w:pPr>
            <w:r>
              <w:rPr>
                <w:rFonts w:hint="eastAsia"/>
                <w:highlight w:val="none"/>
              </w:rPr>
              <w:t>15</w:t>
            </w:r>
          </w:p>
        </w:tc>
        <w:tc>
          <w:tcPr>
            <w:tcW w:w="5943" w:type="dxa"/>
            <w:gridSpan w:val="4"/>
            <w:vAlign w:val="center"/>
          </w:tcPr>
          <w:p>
            <w:pPr>
              <w:tabs>
                <w:tab w:val="clear" w:pos="426"/>
              </w:tabs>
              <w:adjustRightInd/>
              <w:snapToGrid/>
              <w:spacing w:line="240" w:lineRule="auto"/>
              <w:rPr>
                <w:rFonts w:ascii="Times New Roman" w:hAnsi="Times New Roman" w:cs="Times New Roman"/>
                <w:szCs w:val="21"/>
                <w:highlight w:val="none"/>
              </w:rPr>
            </w:pPr>
            <w:r>
              <w:rPr>
                <w:rFonts w:hint="eastAsia"/>
                <w:highlight w:val="none"/>
              </w:rPr>
              <w:t>不属于法律、法规规定的投标无效的其他情形。</w:t>
            </w:r>
          </w:p>
        </w:tc>
        <w:tc>
          <w:tcPr>
            <w:tcW w:w="2762" w:type="dxa"/>
            <w:gridSpan w:val="2"/>
            <w:vAlign w:val="center"/>
          </w:tcPr>
          <w:p>
            <w:pPr>
              <w:tabs>
                <w:tab w:val="clear" w:pos="426"/>
              </w:tabs>
              <w:adjustRightInd/>
              <w:snapToGrid/>
              <w:spacing w:line="240" w:lineRule="auto"/>
              <w:jc w:val="cente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ind w:firstLine="422"/>
              <w:jc w:val="center"/>
              <w:rPr>
                <w:rFonts w:hint="eastAsia"/>
                <w:b/>
                <w:kern w:val="2"/>
                <w:highlight w:val="none"/>
              </w:rPr>
            </w:pPr>
            <w:r>
              <w:rPr>
                <w:rFonts w:hint="eastAsia"/>
                <w:b/>
                <w:highlight w:val="none"/>
              </w:rPr>
              <w:t>三、综合评分指引（请根据项目评分表内容调整）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rFonts w:hint="eastAsia"/>
                <w:b/>
                <w:kern w:val="2"/>
                <w:highlight w:val="none"/>
              </w:rPr>
            </w:pPr>
            <w:r>
              <w:rPr>
                <w:rFonts w:hint="eastAsia"/>
                <w:b/>
                <w:highlight w:val="none"/>
              </w:rPr>
              <w:t>评分类别</w:t>
            </w:r>
          </w:p>
        </w:tc>
        <w:tc>
          <w:tcPr>
            <w:tcW w:w="5499" w:type="dxa"/>
            <w:gridSpan w:val="2"/>
            <w:vAlign w:val="center"/>
          </w:tcPr>
          <w:p>
            <w:pPr>
              <w:tabs>
                <w:tab w:val="clear" w:pos="426"/>
              </w:tabs>
              <w:adjustRightInd/>
              <w:snapToGrid/>
              <w:spacing w:line="240" w:lineRule="auto"/>
              <w:jc w:val="center"/>
              <w:rPr>
                <w:rFonts w:hint="eastAsia"/>
                <w:b/>
                <w:kern w:val="2"/>
                <w:highlight w:val="none"/>
              </w:rPr>
            </w:pPr>
            <w:r>
              <w:rPr>
                <w:rFonts w:hint="eastAsia"/>
                <w:b/>
                <w:highlight w:val="none"/>
              </w:rPr>
              <w:t>评分项目</w:t>
            </w:r>
          </w:p>
        </w:tc>
        <w:tc>
          <w:tcPr>
            <w:tcW w:w="1463" w:type="dxa"/>
            <w:gridSpan w:val="2"/>
            <w:vAlign w:val="center"/>
          </w:tcPr>
          <w:p>
            <w:pPr>
              <w:tabs>
                <w:tab w:val="clear" w:pos="426"/>
              </w:tabs>
              <w:adjustRightInd/>
              <w:snapToGrid/>
              <w:spacing w:line="240" w:lineRule="auto"/>
              <w:jc w:val="center"/>
              <w:rPr>
                <w:rFonts w:hint="eastAsia"/>
                <w:b/>
                <w:kern w:val="2"/>
                <w:highlight w:val="none"/>
              </w:rPr>
            </w:pPr>
            <w:r>
              <w:rPr>
                <w:rFonts w:hint="eastAsia"/>
                <w:b/>
                <w:highlight w:val="none"/>
              </w:rPr>
              <w:t>对应章节</w:t>
            </w:r>
          </w:p>
        </w:tc>
        <w:tc>
          <w:tcPr>
            <w:tcW w:w="1397" w:type="dxa"/>
            <w:vAlign w:val="center"/>
          </w:tcPr>
          <w:p>
            <w:pPr>
              <w:tabs>
                <w:tab w:val="clear" w:pos="426"/>
              </w:tabs>
              <w:adjustRightInd/>
              <w:snapToGrid/>
              <w:spacing w:line="240" w:lineRule="auto"/>
              <w:jc w:val="center"/>
              <w:rPr>
                <w:rFonts w:hint="eastAsia"/>
                <w:b/>
                <w:kern w:val="2"/>
                <w:highlight w:val="none"/>
              </w:rPr>
            </w:pPr>
            <w:r>
              <w:rPr>
                <w:rFonts w:hint="eastAsia"/>
                <w:b/>
                <w:highlight w:val="none"/>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rFonts w:hint="eastAsia"/>
                <w:b/>
                <w:kern w:val="2"/>
                <w:highlight w:val="none"/>
              </w:rPr>
            </w:pPr>
          </w:p>
        </w:tc>
        <w:tc>
          <w:tcPr>
            <w:tcW w:w="5499" w:type="dxa"/>
            <w:gridSpan w:val="2"/>
            <w:vAlign w:val="center"/>
          </w:tcPr>
          <w:p>
            <w:pPr>
              <w:tabs>
                <w:tab w:val="clear" w:pos="426"/>
              </w:tabs>
              <w:adjustRightInd/>
              <w:snapToGrid/>
              <w:spacing w:line="240" w:lineRule="auto"/>
              <w:jc w:val="center"/>
              <w:rPr>
                <w:rFonts w:hint="eastAsia"/>
                <w:highlight w:val="none"/>
              </w:rPr>
            </w:pPr>
          </w:p>
        </w:tc>
        <w:tc>
          <w:tcPr>
            <w:tcW w:w="1463" w:type="dxa"/>
            <w:gridSpan w:val="2"/>
            <w:vAlign w:val="center"/>
          </w:tcPr>
          <w:p>
            <w:pPr>
              <w:tabs>
                <w:tab w:val="clear" w:pos="426"/>
              </w:tabs>
              <w:adjustRightInd/>
              <w:snapToGrid/>
              <w:spacing w:line="240" w:lineRule="auto"/>
              <w:jc w:val="center"/>
              <w:rPr>
                <w:rFonts w:hint="eastAsia"/>
                <w:b/>
                <w:highlight w:val="none"/>
              </w:rPr>
            </w:pPr>
          </w:p>
        </w:tc>
        <w:tc>
          <w:tcPr>
            <w:tcW w:w="1397" w:type="dxa"/>
            <w:vAlign w:val="center"/>
          </w:tcPr>
          <w:p>
            <w:pPr>
              <w:tabs>
                <w:tab w:val="clear" w:pos="426"/>
              </w:tabs>
              <w:adjustRightInd/>
              <w:snapToGrid/>
              <w:spacing w:line="240" w:lineRule="auto"/>
              <w:jc w:val="center"/>
              <w:rPr>
                <w:rFonts w:hint="eastAsia"/>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rFonts w:hint="eastAsia"/>
                <w:b/>
                <w:highlight w:val="none"/>
              </w:rPr>
            </w:pPr>
          </w:p>
        </w:tc>
        <w:tc>
          <w:tcPr>
            <w:tcW w:w="5499" w:type="dxa"/>
            <w:gridSpan w:val="2"/>
            <w:vAlign w:val="center"/>
          </w:tcPr>
          <w:p>
            <w:pPr>
              <w:tabs>
                <w:tab w:val="clear" w:pos="426"/>
              </w:tabs>
              <w:adjustRightInd/>
              <w:snapToGrid/>
              <w:spacing w:line="240" w:lineRule="auto"/>
              <w:jc w:val="center"/>
              <w:rPr>
                <w:rFonts w:hint="eastAsia"/>
                <w:b/>
                <w:highlight w:val="none"/>
              </w:rPr>
            </w:pPr>
          </w:p>
        </w:tc>
        <w:tc>
          <w:tcPr>
            <w:tcW w:w="1463" w:type="dxa"/>
            <w:gridSpan w:val="2"/>
            <w:vAlign w:val="center"/>
          </w:tcPr>
          <w:p>
            <w:pPr>
              <w:tabs>
                <w:tab w:val="clear" w:pos="426"/>
              </w:tabs>
              <w:adjustRightInd/>
              <w:snapToGrid/>
              <w:spacing w:line="240" w:lineRule="auto"/>
              <w:jc w:val="center"/>
              <w:rPr>
                <w:rFonts w:hint="eastAsia"/>
                <w:b/>
                <w:highlight w:val="none"/>
              </w:rPr>
            </w:pPr>
          </w:p>
        </w:tc>
        <w:tc>
          <w:tcPr>
            <w:tcW w:w="1397" w:type="dxa"/>
            <w:vAlign w:val="center"/>
          </w:tcPr>
          <w:p>
            <w:pPr>
              <w:tabs>
                <w:tab w:val="clear" w:pos="426"/>
              </w:tabs>
              <w:adjustRightInd/>
              <w:snapToGrid/>
              <w:spacing w:line="240" w:lineRule="auto"/>
              <w:jc w:val="center"/>
              <w:rPr>
                <w:rFonts w:hint="eastAsia"/>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rFonts w:hint="eastAsia"/>
                <w:b/>
                <w:highlight w:val="none"/>
              </w:rPr>
            </w:pPr>
          </w:p>
        </w:tc>
        <w:tc>
          <w:tcPr>
            <w:tcW w:w="5499" w:type="dxa"/>
            <w:gridSpan w:val="2"/>
            <w:vAlign w:val="center"/>
          </w:tcPr>
          <w:p>
            <w:pPr>
              <w:tabs>
                <w:tab w:val="clear" w:pos="426"/>
              </w:tabs>
              <w:adjustRightInd/>
              <w:snapToGrid/>
              <w:spacing w:line="240" w:lineRule="auto"/>
              <w:jc w:val="center"/>
              <w:rPr>
                <w:rFonts w:hint="eastAsia"/>
                <w:b/>
                <w:highlight w:val="none"/>
              </w:rPr>
            </w:pPr>
          </w:p>
        </w:tc>
        <w:tc>
          <w:tcPr>
            <w:tcW w:w="1463" w:type="dxa"/>
            <w:gridSpan w:val="2"/>
            <w:vAlign w:val="center"/>
          </w:tcPr>
          <w:p>
            <w:pPr>
              <w:tabs>
                <w:tab w:val="clear" w:pos="426"/>
              </w:tabs>
              <w:adjustRightInd/>
              <w:snapToGrid/>
              <w:spacing w:line="240" w:lineRule="auto"/>
              <w:jc w:val="center"/>
              <w:rPr>
                <w:rFonts w:hint="eastAsia"/>
                <w:b/>
                <w:highlight w:val="none"/>
              </w:rPr>
            </w:pPr>
          </w:p>
        </w:tc>
        <w:tc>
          <w:tcPr>
            <w:tcW w:w="1397" w:type="dxa"/>
            <w:vAlign w:val="center"/>
          </w:tcPr>
          <w:p>
            <w:pPr>
              <w:tabs>
                <w:tab w:val="clear" w:pos="426"/>
              </w:tabs>
              <w:adjustRightInd/>
              <w:snapToGrid/>
              <w:spacing w:line="240" w:lineRule="auto"/>
              <w:jc w:val="center"/>
              <w:rPr>
                <w:rFonts w:hint="eastAsia"/>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rFonts w:hint="eastAsia"/>
                <w:b/>
                <w:highlight w:val="none"/>
              </w:rPr>
            </w:pPr>
          </w:p>
        </w:tc>
        <w:tc>
          <w:tcPr>
            <w:tcW w:w="5499" w:type="dxa"/>
            <w:gridSpan w:val="2"/>
            <w:vAlign w:val="center"/>
          </w:tcPr>
          <w:p>
            <w:pPr>
              <w:tabs>
                <w:tab w:val="clear" w:pos="426"/>
              </w:tabs>
              <w:adjustRightInd/>
              <w:snapToGrid/>
              <w:spacing w:line="240" w:lineRule="auto"/>
              <w:jc w:val="center"/>
              <w:rPr>
                <w:rFonts w:hint="eastAsia"/>
                <w:b/>
                <w:highlight w:val="none"/>
              </w:rPr>
            </w:pPr>
          </w:p>
        </w:tc>
        <w:tc>
          <w:tcPr>
            <w:tcW w:w="1463" w:type="dxa"/>
            <w:gridSpan w:val="2"/>
            <w:vAlign w:val="center"/>
          </w:tcPr>
          <w:p>
            <w:pPr>
              <w:tabs>
                <w:tab w:val="clear" w:pos="426"/>
              </w:tabs>
              <w:adjustRightInd/>
              <w:snapToGrid/>
              <w:spacing w:line="240" w:lineRule="auto"/>
              <w:jc w:val="center"/>
              <w:rPr>
                <w:rFonts w:hint="eastAsia"/>
                <w:b/>
                <w:highlight w:val="none"/>
              </w:rPr>
            </w:pPr>
          </w:p>
        </w:tc>
        <w:tc>
          <w:tcPr>
            <w:tcW w:w="1397" w:type="dxa"/>
            <w:vAlign w:val="center"/>
          </w:tcPr>
          <w:p>
            <w:pPr>
              <w:tabs>
                <w:tab w:val="clear" w:pos="426"/>
              </w:tabs>
              <w:adjustRightInd/>
              <w:snapToGrid/>
              <w:spacing w:line="240" w:lineRule="auto"/>
              <w:jc w:val="center"/>
              <w:rPr>
                <w:rFonts w:hint="eastAsia"/>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rFonts w:hint="eastAsia"/>
                <w:b/>
                <w:kern w:val="2"/>
                <w:highlight w:val="none"/>
              </w:rPr>
            </w:pPr>
          </w:p>
        </w:tc>
        <w:tc>
          <w:tcPr>
            <w:tcW w:w="5499" w:type="dxa"/>
            <w:gridSpan w:val="2"/>
            <w:vAlign w:val="center"/>
          </w:tcPr>
          <w:p>
            <w:pPr>
              <w:tabs>
                <w:tab w:val="clear" w:pos="426"/>
              </w:tabs>
              <w:adjustRightInd/>
              <w:snapToGrid/>
              <w:spacing w:line="240" w:lineRule="auto"/>
              <w:jc w:val="center"/>
              <w:rPr>
                <w:rFonts w:hint="eastAsia"/>
                <w:b/>
                <w:highlight w:val="none"/>
              </w:rPr>
            </w:pPr>
          </w:p>
        </w:tc>
        <w:tc>
          <w:tcPr>
            <w:tcW w:w="1463" w:type="dxa"/>
            <w:gridSpan w:val="2"/>
            <w:vAlign w:val="center"/>
          </w:tcPr>
          <w:p>
            <w:pPr>
              <w:tabs>
                <w:tab w:val="clear" w:pos="426"/>
              </w:tabs>
              <w:adjustRightInd/>
              <w:snapToGrid/>
              <w:spacing w:line="240" w:lineRule="auto"/>
              <w:jc w:val="center"/>
              <w:rPr>
                <w:rFonts w:hint="eastAsia"/>
                <w:b/>
                <w:highlight w:val="none"/>
              </w:rPr>
            </w:pPr>
          </w:p>
        </w:tc>
        <w:tc>
          <w:tcPr>
            <w:tcW w:w="1397" w:type="dxa"/>
            <w:vAlign w:val="center"/>
          </w:tcPr>
          <w:p>
            <w:pPr>
              <w:tabs>
                <w:tab w:val="clear" w:pos="426"/>
              </w:tabs>
              <w:adjustRightInd/>
              <w:snapToGrid/>
              <w:spacing w:line="240" w:lineRule="auto"/>
              <w:jc w:val="center"/>
              <w:rPr>
                <w:rFonts w:hint="eastAsia"/>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rFonts w:hint="eastAsia"/>
                <w:b/>
                <w:highlight w:val="none"/>
              </w:rPr>
            </w:pPr>
          </w:p>
        </w:tc>
        <w:tc>
          <w:tcPr>
            <w:tcW w:w="5499" w:type="dxa"/>
            <w:gridSpan w:val="2"/>
            <w:vAlign w:val="center"/>
          </w:tcPr>
          <w:p>
            <w:pPr>
              <w:tabs>
                <w:tab w:val="clear" w:pos="426"/>
              </w:tabs>
              <w:adjustRightInd/>
              <w:snapToGrid/>
              <w:spacing w:line="240" w:lineRule="auto"/>
              <w:jc w:val="center"/>
              <w:rPr>
                <w:rFonts w:hint="eastAsia"/>
                <w:b/>
                <w:highlight w:val="none"/>
              </w:rPr>
            </w:pPr>
          </w:p>
        </w:tc>
        <w:tc>
          <w:tcPr>
            <w:tcW w:w="1463" w:type="dxa"/>
            <w:gridSpan w:val="2"/>
            <w:vAlign w:val="center"/>
          </w:tcPr>
          <w:p>
            <w:pPr>
              <w:tabs>
                <w:tab w:val="clear" w:pos="426"/>
              </w:tabs>
              <w:adjustRightInd/>
              <w:snapToGrid/>
              <w:spacing w:line="240" w:lineRule="auto"/>
              <w:jc w:val="center"/>
              <w:rPr>
                <w:rFonts w:hint="eastAsia"/>
                <w:b/>
                <w:highlight w:val="none"/>
              </w:rPr>
            </w:pPr>
          </w:p>
        </w:tc>
        <w:tc>
          <w:tcPr>
            <w:tcW w:w="1397" w:type="dxa"/>
            <w:vAlign w:val="center"/>
          </w:tcPr>
          <w:p>
            <w:pPr>
              <w:tabs>
                <w:tab w:val="clear" w:pos="426"/>
              </w:tabs>
              <w:adjustRightInd/>
              <w:snapToGrid/>
              <w:spacing w:line="240" w:lineRule="auto"/>
              <w:jc w:val="center"/>
              <w:rPr>
                <w:rFonts w:hint="eastAsia"/>
                <w:b/>
                <w:highlight w:val="none"/>
              </w:rPr>
            </w:pPr>
          </w:p>
        </w:tc>
      </w:tr>
    </w:tbl>
    <w:p>
      <w:pPr>
        <w:tabs>
          <w:tab w:val="clear" w:pos="426"/>
        </w:tabs>
        <w:rPr>
          <w:rFonts w:hint="eastAsia"/>
          <w:szCs w:val="21"/>
          <w:highlight w:val="none"/>
        </w:rPr>
      </w:pPr>
      <w:r>
        <w:rPr>
          <w:rFonts w:hint="eastAsia"/>
          <w:szCs w:val="21"/>
          <w:highlight w:val="none"/>
        </w:rPr>
        <w:t>备注：对于“</w:t>
      </w:r>
      <w:r>
        <w:rPr>
          <w:rFonts w:hint="eastAsia"/>
          <w:b/>
          <w:highlight w:val="none"/>
        </w:rPr>
        <w:t>综合评分指引”</w:t>
      </w:r>
      <w:r>
        <w:rPr>
          <w:rFonts w:hint="eastAsia"/>
          <w:szCs w:val="21"/>
          <w:highlight w:val="none"/>
        </w:rPr>
        <w:t>请投标供应商按照</w:t>
      </w:r>
      <w:r>
        <w:rPr>
          <w:rFonts w:hint="eastAsia"/>
          <w:b/>
          <w:szCs w:val="21"/>
          <w:highlight w:val="none"/>
        </w:rPr>
        <w:t>评分细则表</w:t>
      </w:r>
      <w:r>
        <w:rPr>
          <w:rFonts w:hint="eastAsia"/>
          <w:szCs w:val="21"/>
          <w:highlight w:val="none"/>
        </w:rPr>
        <w:t>的评分要求，根据各评分项目以</w:t>
      </w:r>
      <w:r>
        <w:rPr>
          <w:rFonts w:hint="eastAsia"/>
          <w:b/>
          <w:szCs w:val="21"/>
          <w:highlight w:val="none"/>
        </w:rPr>
        <w:t>自上而下</w:t>
      </w:r>
      <w:r>
        <w:rPr>
          <w:rFonts w:hint="eastAsia"/>
          <w:szCs w:val="21"/>
          <w:highlight w:val="none"/>
        </w:rPr>
        <w:t>的顺序编制</w:t>
      </w:r>
      <w:r>
        <w:rPr>
          <w:rFonts w:hint="eastAsia"/>
          <w:highlight w:val="none"/>
        </w:rPr>
        <w:t>。因项目次序混乱而影响评标效率及评标结果者，投标供应商自负其责。</w:t>
      </w:r>
    </w:p>
    <w:p>
      <w:pPr>
        <w:adjustRightInd/>
        <w:snapToGrid/>
        <w:spacing w:before="280" w:after="290" w:line="377" w:lineRule="auto"/>
        <w:outlineLvl w:val="2"/>
        <w:rPr>
          <w:rFonts w:hint="eastAsia"/>
          <w:b/>
          <w:sz w:val="24"/>
          <w:highlight w:val="none"/>
        </w:rPr>
      </w:pPr>
      <w:bookmarkStart w:id="89" w:name="_Toc32283"/>
      <w:bookmarkStart w:id="90" w:name="_Toc150960251"/>
      <w:bookmarkStart w:id="91" w:name="_Toc151386161"/>
      <w:bookmarkStart w:id="92" w:name="_Toc43264525"/>
      <w:bookmarkStart w:id="93" w:name="_Toc50703730"/>
      <w:bookmarkStart w:id="94" w:name="_Toc43264518"/>
      <w:bookmarkStart w:id="95" w:name="_Toc50691037"/>
      <w:r>
        <w:rPr>
          <w:rFonts w:hint="eastAsia"/>
          <w:b/>
          <w:sz w:val="24"/>
          <w:highlight w:val="none"/>
        </w:rPr>
        <w:t>格式1：投标函</w:t>
      </w:r>
      <w:bookmarkEnd w:id="89"/>
      <w:bookmarkEnd w:id="90"/>
      <w:bookmarkEnd w:id="91"/>
    </w:p>
    <w:p>
      <w:pPr>
        <w:widowControl w:val="0"/>
        <w:shd w:val="clear" w:color="auto" w:fill="auto"/>
        <w:tabs>
          <w:tab w:val="clear" w:pos="426"/>
        </w:tabs>
        <w:adjustRightInd/>
        <w:snapToGrid/>
        <w:spacing w:line="300" w:lineRule="auto"/>
        <w:jc w:val="center"/>
        <w:rPr>
          <w:rFonts w:hint="eastAsia" w:cs="Times New Roman"/>
          <w:bCs/>
          <w:kern w:val="2"/>
          <w:sz w:val="32"/>
          <w:szCs w:val="32"/>
          <w:highlight w:val="none"/>
        </w:rPr>
      </w:pPr>
      <w:bookmarkStart w:id="96" w:name="_Toc201743120"/>
      <w:bookmarkStart w:id="97" w:name="_Toc201742865"/>
      <w:bookmarkStart w:id="98" w:name="_Toc201997950"/>
      <w:bookmarkStart w:id="99" w:name="_Toc201719122"/>
      <w:r>
        <w:rPr>
          <w:rFonts w:hint="eastAsia" w:cs="Times New Roman"/>
          <w:bCs/>
          <w:kern w:val="2"/>
          <w:sz w:val="32"/>
          <w:szCs w:val="32"/>
          <w:highlight w:val="none"/>
        </w:rPr>
        <w:t>投标函</w:t>
      </w:r>
      <w:bookmarkEnd w:id="96"/>
      <w:bookmarkEnd w:id="97"/>
      <w:bookmarkEnd w:id="98"/>
      <w:bookmarkEnd w:id="99"/>
    </w:p>
    <w:p>
      <w:pPr>
        <w:tabs>
          <w:tab w:val="clear" w:pos="426"/>
        </w:tabs>
        <w:spacing w:line="300" w:lineRule="auto"/>
        <w:rPr>
          <w:rFonts w:hint="eastAsia"/>
          <w:szCs w:val="21"/>
          <w:highlight w:val="none"/>
        </w:rPr>
      </w:pPr>
    </w:p>
    <w:p>
      <w:pPr>
        <w:tabs>
          <w:tab w:val="clear" w:pos="426"/>
        </w:tabs>
        <w:spacing w:line="300" w:lineRule="auto"/>
        <w:rPr>
          <w:rFonts w:hint="eastAsia"/>
          <w:szCs w:val="21"/>
          <w:highlight w:val="none"/>
        </w:rPr>
      </w:pPr>
      <w:r>
        <w:rPr>
          <w:rFonts w:hint="eastAsia"/>
          <w:szCs w:val="21"/>
          <w:highlight w:val="none"/>
        </w:rPr>
        <w:t>致：</w:t>
      </w:r>
      <w:r>
        <w:rPr>
          <w:rFonts w:hint="eastAsia"/>
          <w:szCs w:val="21"/>
          <w:highlight w:val="none"/>
          <w:u w:val="single"/>
        </w:rPr>
        <w:t>深圳市深水水务咨询有限公司</w:t>
      </w:r>
    </w:p>
    <w:p>
      <w:pPr>
        <w:spacing w:after="231" w:afterLines="50"/>
        <w:ind w:firstLine="420" w:firstLineChars="200"/>
        <w:rPr>
          <w:rFonts w:hint="eastAsia"/>
          <w:szCs w:val="21"/>
          <w:highlight w:val="none"/>
        </w:rPr>
      </w:pPr>
      <w:r>
        <w:rPr>
          <w:rFonts w:hint="eastAsia"/>
          <w:szCs w:val="21"/>
          <w:highlight w:val="none"/>
        </w:rPr>
        <w:t>1.根据已收到贵方的项目编号为</w:t>
      </w:r>
      <w:r>
        <w:rPr>
          <w:rFonts w:hint="eastAsia"/>
          <w:szCs w:val="21"/>
          <w:highlight w:val="none"/>
          <w:u w:val="single"/>
        </w:rPr>
        <w:t>___</w:t>
      </w:r>
      <w:r>
        <w:rPr>
          <w:szCs w:val="21"/>
          <w:highlight w:val="none"/>
          <w:u w:val="single"/>
        </w:rPr>
        <w:t>_</w:t>
      </w:r>
      <w:r>
        <w:rPr>
          <w:rFonts w:hint="eastAsia"/>
          <w:szCs w:val="21"/>
          <w:highlight w:val="none"/>
          <w:u w:val="single"/>
        </w:rPr>
        <w:t>_____</w:t>
      </w:r>
      <w:r>
        <w:rPr>
          <w:rFonts w:hint="eastAsia"/>
          <w:szCs w:val="21"/>
          <w:highlight w:val="none"/>
        </w:rPr>
        <w:t>的</w:t>
      </w:r>
      <w:r>
        <w:rPr>
          <w:rFonts w:hint="eastAsia"/>
          <w:szCs w:val="21"/>
          <w:highlight w:val="none"/>
          <w:u w:val="single"/>
        </w:rPr>
        <w:t>_______</w:t>
      </w:r>
      <w:r>
        <w:rPr>
          <w:szCs w:val="21"/>
          <w:highlight w:val="none"/>
          <w:u w:val="single"/>
        </w:rPr>
        <w:t>__</w:t>
      </w:r>
      <w:r>
        <w:rPr>
          <w:rFonts w:hint="eastAsia"/>
          <w:szCs w:val="21"/>
          <w:highlight w:val="none"/>
          <w:u w:val="single"/>
        </w:rPr>
        <w:t>________</w:t>
      </w:r>
      <w:r>
        <w:rPr>
          <w:rFonts w:hint="eastAsia"/>
          <w:szCs w:val="21"/>
          <w:highlight w:val="none"/>
        </w:rPr>
        <w:t>项目的招标文件，遵照《中华人民共和国政府采购法》《中华人民共和国政府采购法实施条例》等有关规定，我单位经研究上述招标文件的专用条款及通用条款后，我方愿以投标书《开标一览表》中填写的投标报价并按招标文件要求承包上述项目并修补其任何缺陷。</w:t>
      </w:r>
    </w:p>
    <w:p>
      <w:pPr>
        <w:spacing w:after="231" w:afterLines="50"/>
        <w:ind w:firstLine="420" w:firstLineChars="200"/>
        <w:rPr>
          <w:rFonts w:hAnsi="Times New Roman"/>
          <w:szCs w:val="21"/>
          <w:highlight w:val="none"/>
        </w:rPr>
      </w:pPr>
      <w:r>
        <w:rPr>
          <w:rFonts w:hAnsi="Times New Roman"/>
          <w:szCs w:val="21"/>
          <w:highlight w:val="none"/>
        </w:rPr>
        <w:t>2.</w:t>
      </w:r>
      <w:r>
        <w:rPr>
          <w:rFonts w:hint="eastAsia" w:hAnsi="Times New Roman"/>
          <w:szCs w:val="21"/>
          <w:highlight w:val="none"/>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231" w:afterLines="50"/>
        <w:ind w:firstLine="411" w:firstLineChars="196"/>
        <w:rPr>
          <w:rFonts w:hAnsi="Times New Roman"/>
          <w:szCs w:val="21"/>
          <w:highlight w:val="none"/>
        </w:rPr>
      </w:pPr>
      <w:r>
        <w:rPr>
          <w:rFonts w:hAnsi="Times New Roman"/>
          <w:szCs w:val="21"/>
          <w:highlight w:val="none"/>
        </w:rPr>
        <w:t>3.</w:t>
      </w:r>
      <w:r>
        <w:rPr>
          <w:rFonts w:hint="eastAsia" w:hAnsi="Times New Roman"/>
          <w:szCs w:val="21"/>
          <w:highlight w:val="none"/>
        </w:rPr>
        <w:t>我方同意所递交的投标文件在“对通用条款的补充内容”中的投标有效期内有效，在此期间内我方的投标有可能中标，我方将受此约束。如果在投标有效期内撤回其投标，自行承担一切后果。</w:t>
      </w:r>
    </w:p>
    <w:p>
      <w:pPr>
        <w:spacing w:after="231" w:afterLines="50"/>
        <w:ind w:firstLine="411" w:firstLineChars="196"/>
        <w:rPr>
          <w:rFonts w:hAnsi="Times New Roman"/>
          <w:szCs w:val="21"/>
          <w:highlight w:val="none"/>
        </w:rPr>
      </w:pPr>
      <w:r>
        <w:rPr>
          <w:rFonts w:hAnsi="Times New Roman"/>
          <w:szCs w:val="21"/>
          <w:highlight w:val="none"/>
        </w:rPr>
        <w:t>4.</w:t>
      </w:r>
      <w:r>
        <w:rPr>
          <w:rFonts w:hint="eastAsia" w:hAnsi="Times New Roman"/>
          <w:szCs w:val="21"/>
          <w:highlight w:val="none"/>
        </w:rPr>
        <w:t>除非另外达成协议并生效，贵方的中标通知书和本投标文件将构成约束我们双方的合同。</w:t>
      </w:r>
    </w:p>
    <w:p>
      <w:pPr>
        <w:spacing w:after="231" w:afterLines="50"/>
        <w:ind w:firstLine="420" w:firstLineChars="200"/>
        <w:rPr>
          <w:rFonts w:hAnsi="Times New Roman"/>
          <w:szCs w:val="21"/>
          <w:highlight w:val="none"/>
        </w:rPr>
      </w:pPr>
      <w:r>
        <w:rPr>
          <w:rFonts w:hAnsi="Times New Roman"/>
          <w:szCs w:val="21"/>
          <w:highlight w:val="none"/>
        </w:rPr>
        <w:t>5.</w:t>
      </w:r>
      <w:r>
        <w:rPr>
          <w:rFonts w:hint="eastAsia" w:hAnsi="Times New Roman"/>
          <w:szCs w:val="21"/>
          <w:highlight w:val="none"/>
        </w:rPr>
        <w:t>我方理解贵方将不受必须接受你们所收到的最低标价或其它任何投标文件的约束。</w:t>
      </w:r>
    </w:p>
    <w:p>
      <w:pPr>
        <w:tabs>
          <w:tab w:val="clear" w:pos="426"/>
        </w:tabs>
        <w:spacing w:line="300" w:lineRule="auto"/>
        <w:ind w:left="424" w:leftChars="202"/>
        <w:rPr>
          <w:rFonts w:hint="eastAsia"/>
          <w:szCs w:val="21"/>
          <w:highlight w:val="none"/>
        </w:rPr>
      </w:pPr>
    </w:p>
    <w:p>
      <w:pPr>
        <w:tabs>
          <w:tab w:val="clear" w:pos="426"/>
        </w:tabs>
        <w:spacing w:line="300" w:lineRule="auto"/>
        <w:ind w:left="424" w:leftChars="202"/>
        <w:rPr>
          <w:rFonts w:hint="eastAsia"/>
          <w:szCs w:val="21"/>
          <w:highlight w:val="none"/>
        </w:rPr>
      </w:pPr>
    </w:p>
    <w:p>
      <w:pPr>
        <w:tabs>
          <w:tab w:val="clear" w:pos="426"/>
        </w:tabs>
        <w:spacing w:line="300" w:lineRule="auto"/>
        <w:ind w:left="424" w:leftChars="202"/>
        <w:rPr>
          <w:rFonts w:hint="eastAsia"/>
          <w:szCs w:val="21"/>
          <w:highlight w:val="none"/>
        </w:rPr>
      </w:pPr>
    </w:p>
    <w:p>
      <w:pPr>
        <w:tabs>
          <w:tab w:val="clear" w:pos="426"/>
        </w:tabs>
        <w:spacing w:line="300" w:lineRule="auto"/>
        <w:ind w:left="424" w:leftChars="202"/>
        <w:rPr>
          <w:rFonts w:hint="eastAsia"/>
          <w:szCs w:val="21"/>
          <w:highlight w:val="none"/>
        </w:rPr>
      </w:pPr>
      <w:r>
        <w:rPr>
          <w:rFonts w:hint="eastAsia"/>
          <w:szCs w:val="21"/>
          <w:highlight w:val="none"/>
        </w:rPr>
        <w:t>地址：</w:t>
      </w:r>
      <w:r>
        <w:rPr>
          <w:rFonts w:hint="eastAsia"/>
          <w:szCs w:val="21"/>
          <w:highlight w:val="none"/>
          <w:u w:val="single"/>
        </w:rPr>
        <w:t>__________________________</w:t>
      </w:r>
      <w:r>
        <w:rPr>
          <w:rFonts w:hint="eastAsia"/>
          <w:szCs w:val="21"/>
          <w:highlight w:val="none"/>
        </w:rPr>
        <w:t xml:space="preserve">  电话：</w:t>
      </w:r>
      <w:r>
        <w:rPr>
          <w:rFonts w:hint="eastAsia"/>
          <w:szCs w:val="21"/>
          <w:highlight w:val="none"/>
          <w:u w:val="single"/>
        </w:rPr>
        <w:t>________________________</w:t>
      </w:r>
    </w:p>
    <w:p>
      <w:pPr>
        <w:tabs>
          <w:tab w:val="clear" w:pos="426"/>
        </w:tabs>
        <w:spacing w:line="300" w:lineRule="auto"/>
        <w:ind w:left="424" w:leftChars="202"/>
        <w:rPr>
          <w:rFonts w:hint="eastAsia"/>
          <w:szCs w:val="21"/>
          <w:highlight w:val="none"/>
          <w:u w:val="single"/>
        </w:rPr>
      </w:pPr>
      <w:r>
        <w:rPr>
          <w:rFonts w:hint="eastAsia"/>
          <w:szCs w:val="21"/>
          <w:highlight w:val="none"/>
        </w:rPr>
        <w:t>投标人名称（公章）：</w:t>
      </w:r>
      <w:r>
        <w:rPr>
          <w:rFonts w:hint="eastAsia"/>
          <w:szCs w:val="21"/>
          <w:highlight w:val="none"/>
          <w:u w:val="single"/>
        </w:rPr>
        <w:t>_____________________________________________</w:t>
      </w:r>
    </w:p>
    <w:p>
      <w:pPr>
        <w:tabs>
          <w:tab w:val="clear" w:pos="426"/>
        </w:tabs>
        <w:spacing w:line="300" w:lineRule="auto"/>
        <w:ind w:left="424" w:leftChars="202"/>
        <w:rPr>
          <w:rFonts w:hint="eastAsia"/>
          <w:szCs w:val="21"/>
          <w:highlight w:val="none"/>
          <w:u w:val="single"/>
        </w:rPr>
      </w:pPr>
      <w:r>
        <w:rPr>
          <w:rFonts w:hint="eastAsia"/>
          <w:szCs w:val="21"/>
          <w:highlight w:val="none"/>
        </w:rPr>
        <w:t xml:space="preserve">投标人代表（签字或盖章)： </w:t>
      </w:r>
      <w:r>
        <w:rPr>
          <w:rFonts w:hint="eastAsia"/>
          <w:szCs w:val="21"/>
          <w:highlight w:val="none"/>
          <w:u w:val="single"/>
        </w:rPr>
        <w:t>_____________________________________________</w:t>
      </w:r>
    </w:p>
    <w:p>
      <w:pPr>
        <w:tabs>
          <w:tab w:val="clear" w:pos="426"/>
        </w:tabs>
        <w:spacing w:line="300" w:lineRule="auto"/>
        <w:ind w:left="424" w:leftChars="202"/>
        <w:rPr>
          <w:rFonts w:hint="eastAsia"/>
          <w:szCs w:val="21"/>
          <w:highlight w:val="none"/>
          <w:u w:val="single"/>
        </w:rPr>
      </w:pPr>
      <w:r>
        <w:rPr>
          <w:rFonts w:hint="eastAsia"/>
          <w:szCs w:val="21"/>
          <w:highlight w:val="none"/>
        </w:rPr>
        <w:t>日期：</w:t>
      </w:r>
      <w:r>
        <w:rPr>
          <w:rFonts w:hint="eastAsia"/>
          <w:szCs w:val="21"/>
          <w:highlight w:val="none"/>
          <w:u w:val="single"/>
        </w:rPr>
        <w:t>___________________________________________________________</w:t>
      </w:r>
    </w:p>
    <w:p>
      <w:pPr>
        <w:tabs>
          <w:tab w:val="clear" w:pos="426"/>
        </w:tabs>
        <w:spacing w:line="300" w:lineRule="auto"/>
        <w:rPr>
          <w:rFonts w:hint="eastAsia"/>
          <w:highlight w:val="none"/>
        </w:rPr>
      </w:pPr>
    </w:p>
    <w:p>
      <w:pPr>
        <w:tabs>
          <w:tab w:val="clear" w:pos="426"/>
        </w:tabs>
        <w:rPr>
          <w:rFonts w:hint="eastAsia"/>
          <w:highlight w:val="none"/>
        </w:rPr>
      </w:pPr>
      <w:r>
        <w:rPr>
          <w:highlight w:val="none"/>
        </w:rPr>
        <w:br w:type="page"/>
      </w:r>
      <w:bookmarkStart w:id="100" w:name="_Toc151386163"/>
      <w:bookmarkStart w:id="101" w:name="_Toc150960253"/>
      <w:bookmarkStart w:id="102" w:name="_Toc52165081"/>
      <w:bookmarkStart w:id="103" w:name="_Toc275865607"/>
      <w:bookmarkStart w:id="104" w:name="_Toc480754205"/>
      <w:bookmarkStart w:id="105" w:name="_Toc50737329"/>
      <w:bookmarkStart w:id="106" w:name="_Toc50737297"/>
      <w:bookmarkStart w:id="107" w:name="_Toc50736477"/>
      <w:bookmarkStart w:id="108" w:name="_Toc50737328"/>
      <w:bookmarkStart w:id="109" w:name="_Toc50736476"/>
      <w:bookmarkStart w:id="110" w:name="_Toc50737296"/>
      <w:bookmarkStart w:id="111" w:name="_Toc52165080"/>
      <w:bookmarkStart w:id="112" w:name="_Toc50691034"/>
    </w:p>
    <w:p>
      <w:pPr>
        <w:adjustRightInd/>
        <w:snapToGrid/>
        <w:spacing w:before="280" w:after="290" w:line="377" w:lineRule="auto"/>
        <w:outlineLvl w:val="2"/>
        <w:rPr>
          <w:rFonts w:hint="eastAsia"/>
          <w:b/>
          <w:sz w:val="24"/>
          <w:highlight w:val="none"/>
        </w:rPr>
      </w:pPr>
      <w:bookmarkStart w:id="113" w:name="_Toc9501"/>
      <w:r>
        <w:rPr>
          <w:rFonts w:hint="eastAsia"/>
          <w:b/>
          <w:sz w:val="24"/>
          <w:highlight w:val="none"/>
        </w:rPr>
        <w:t>格式2：</w:t>
      </w:r>
      <w:bookmarkEnd w:id="100"/>
      <w:bookmarkEnd w:id="101"/>
      <w:r>
        <w:rPr>
          <w:rFonts w:hint="eastAsia"/>
          <w:b/>
          <w:sz w:val="24"/>
          <w:highlight w:val="none"/>
        </w:rPr>
        <w:t>法定代表人（单位负责人）证明书</w:t>
      </w:r>
      <w:bookmarkEnd w:id="113"/>
    </w:p>
    <w:bookmarkEnd w:id="102"/>
    <w:bookmarkEnd w:id="103"/>
    <w:bookmarkEnd w:id="104"/>
    <w:bookmarkEnd w:id="105"/>
    <w:bookmarkEnd w:id="106"/>
    <w:bookmarkEnd w:id="107"/>
    <w:p>
      <w:pPr>
        <w:widowControl w:val="0"/>
        <w:shd w:val="clear" w:color="auto" w:fill="auto"/>
        <w:tabs>
          <w:tab w:val="clear" w:pos="426"/>
        </w:tabs>
        <w:adjustRightInd/>
        <w:snapToGrid/>
        <w:spacing w:line="300" w:lineRule="auto"/>
        <w:jc w:val="center"/>
        <w:rPr>
          <w:rFonts w:hint="eastAsia" w:cs="Times New Roman"/>
          <w:bCs/>
          <w:kern w:val="2"/>
          <w:sz w:val="32"/>
          <w:szCs w:val="32"/>
          <w:highlight w:val="none"/>
        </w:rPr>
      </w:pPr>
      <w:r>
        <w:rPr>
          <w:rFonts w:hint="eastAsia" w:cs="Times New Roman"/>
          <w:bCs/>
          <w:kern w:val="2"/>
          <w:sz w:val="32"/>
          <w:szCs w:val="32"/>
          <w:highlight w:val="none"/>
        </w:rPr>
        <w:t>法定代表人（单位负责人）证明书</w:t>
      </w:r>
    </w:p>
    <w:p>
      <w:pPr>
        <w:tabs>
          <w:tab w:val="clear" w:pos="426"/>
        </w:tabs>
        <w:spacing w:line="480" w:lineRule="auto"/>
        <w:ind w:firstLine="424" w:firstLineChars="202"/>
        <w:rPr>
          <w:rFonts w:hint="eastAsia"/>
          <w:highlight w:val="none"/>
          <w:u w:val="single"/>
        </w:rPr>
      </w:pPr>
    </w:p>
    <w:p>
      <w:pPr>
        <w:tabs>
          <w:tab w:val="clear" w:pos="426"/>
        </w:tabs>
        <w:spacing w:line="480" w:lineRule="auto"/>
        <w:ind w:firstLine="424" w:firstLineChars="202"/>
        <w:rPr>
          <w:rFonts w:hint="eastAsia"/>
          <w:highlight w:val="none"/>
        </w:rPr>
      </w:pPr>
      <w:r>
        <w:rPr>
          <w:rFonts w:hint="eastAsia"/>
          <w:highlight w:val="none"/>
          <w:u w:val="single"/>
        </w:rPr>
        <w:t>__________</w:t>
      </w:r>
      <w:r>
        <w:rPr>
          <w:rFonts w:hint="eastAsia"/>
          <w:highlight w:val="none"/>
        </w:rPr>
        <w:t>同志，现任我单位</w:t>
      </w:r>
      <w:r>
        <w:rPr>
          <w:highlight w:val="none"/>
          <w:u w:val="single"/>
        </w:rPr>
        <w:t>_________</w:t>
      </w:r>
      <w:r>
        <w:rPr>
          <w:rFonts w:hint="eastAsia"/>
          <w:highlight w:val="none"/>
        </w:rPr>
        <w:t>职务，为法定代表人（单位负责人），特此证明。</w:t>
      </w:r>
    </w:p>
    <w:p>
      <w:pPr>
        <w:tabs>
          <w:tab w:val="clear" w:pos="426"/>
        </w:tabs>
        <w:spacing w:line="480" w:lineRule="auto"/>
        <w:ind w:firstLine="424" w:firstLineChars="202"/>
        <w:rPr>
          <w:rFonts w:hint="eastAsia"/>
          <w:highlight w:val="none"/>
        </w:rPr>
      </w:pPr>
      <w:r>
        <w:rPr>
          <w:rFonts w:hint="eastAsia"/>
          <w:highlight w:val="none"/>
        </w:rPr>
        <w:t>本证明书自签发之日起生效，有效期与本公司投标文件中标注的投标有效期相同。</w:t>
      </w:r>
    </w:p>
    <w:p>
      <w:pPr>
        <w:tabs>
          <w:tab w:val="clear" w:pos="426"/>
        </w:tabs>
        <w:spacing w:line="480" w:lineRule="auto"/>
        <w:ind w:firstLine="424" w:firstLineChars="202"/>
        <w:rPr>
          <w:rFonts w:hint="eastAsia"/>
          <w:highlight w:val="none"/>
        </w:rPr>
      </w:pPr>
      <w:r>
        <w:rPr>
          <w:rFonts w:hint="eastAsia"/>
          <w:highlight w:val="none"/>
        </w:rPr>
        <w:t>附：</w:t>
      </w:r>
    </w:p>
    <w:p>
      <w:pPr>
        <w:tabs>
          <w:tab w:val="clear" w:pos="426"/>
        </w:tabs>
        <w:spacing w:line="480" w:lineRule="auto"/>
        <w:ind w:firstLine="424" w:firstLineChars="202"/>
        <w:rPr>
          <w:rFonts w:hint="eastAsia"/>
          <w:highlight w:val="none"/>
        </w:rPr>
      </w:pPr>
      <w:r>
        <w:rPr>
          <w:rFonts w:hint="eastAsia"/>
          <w:highlight w:val="none"/>
        </w:rPr>
        <w:t>营业执照（注册号）：</w:t>
      </w:r>
      <w:r>
        <w:rPr>
          <w:rFonts w:hint="eastAsia"/>
          <w:highlight w:val="none"/>
          <w:u w:val="single"/>
        </w:rPr>
        <w:t>_______________________________________________</w:t>
      </w:r>
    </w:p>
    <w:p>
      <w:pPr>
        <w:tabs>
          <w:tab w:val="clear" w:pos="426"/>
        </w:tabs>
        <w:spacing w:line="480" w:lineRule="auto"/>
        <w:ind w:firstLine="424" w:firstLineChars="202"/>
        <w:rPr>
          <w:rFonts w:hint="eastAsia"/>
          <w:highlight w:val="none"/>
          <w:u w:val="single"/>
        </w:rPr>
      </w:pPr>
      <w:r>
        <w:rPr>
          <w:rFonts w:hint="eastAsia"/>
          <w:highlight w:val="none"/>
        </w:rPr>
        <w:t>经济性质：</w:t>
      </w:r>
      <w:r>
        <w:rPr>
          <w:rFonts w:hint="eastAsia"/>
          <w:highlight w:val="none"/>
          <w:u w:val="single"/>
        </w:rPr>
        <w:t>_________________________________________________________</w:t>
      </w:r>
    </w:p>
    <w:p>
      <w:pPr>
        <w:tabs>
          <w:tab w:val="clear" w:pos="426"/>
        </w:tabs>
        <w:spacing w:line="480" w:lineRule="auto"/>
        <w:ind w:firstLine="424" w:firstLineChars="202"/>
        <w:rPr>
          <w:rFonts w:hint="eastAsia"/>
          <w:highlight w:val="none"/>
          <w:u w:val="single"/>
        </w:rPr>
      </w:pPr>
      <w:r>
        <w:rPr>
          <w:rFonts w:hint="eastAsia"/>
          <w:highlight w:val="none"/>
        </w:rPr>
        <w:t>主营（产）：</w:t>
      </w:r>
      <w:r>
        <w:rPr>
          <w:rFonts w:hint="eastAsia"/>
          <w:highlight w:val="none"/>
          <w:u w:val="single"/>
        </w:rPr>
        <w:t>_______________________________________________________</w:t>
      </w:r>
    </w:p>
    <w:p>
      <w:pPr>
        <w:tabs>
          <w:tab w:val="clear" w:pos="426"/>
        </w:tabs>
        <w:spacing w:line="480" w:lineRule="auto"/>
        <w:ind w:firstLine="424" w:firstLineChars="202"/>
        <w:rPr>
          <w:rFonts w:hint="eastAsia"/>
          <w:highlight w:val="none"/>
          <w:u w:val="single"/>
        </w:rPr>
      </w:pPr>
      <w:r>
        <w:rPr>
          <w:rFonts w:hint="eastAsia"/>
          <w:highlight w:val="none"/>
        </w:rPr>
        <w:t>兼营（产）：</w:t>
      </w:r>
      <w:r>
        <w:rPr>
          <w:rFonts w:hint="eastAsia"/>
          <w:highlight w:val="none"/>
          <w:u w:val="single"/>
        </w:rPr>
        <w:t>_______________________________________________________</w:t>
      </w:r>
    </w:p>
    <w:p>
      <w:pPr>
        <w:tabs>
          <w:tab w:val="clear" w:pos="426"/>
        </w:tabs>
        <w:ind w:firstLine="424" w:firstLineChars="202"/>
        <w:rPr>
          <w:rFonts w:hint="eastAsia"/>
          <w:highlight w:val="none"/>
        </w:rPr>
      </w:pPr>
    </w:p>
    <w:p>
      <w:pPr>
        <w:tabs>
          <w:tab w:val="clear" w:pos="426"/>
        </w:tabs>
        <w:ind w:firstLine="424" w:firstLineChars="202"/>
        <w:rPr>
          <w:rFonts w:hint="eastAsia"/>
          <w:szCs w:val="21"/>
          <w:highlight w:val="none"/>
        </w:rPr>
      </w:pPr>
      <w:r>
        <w:rPr>
          <w:rFonts w:hint="eastAsia"/>
          <w:szCs w:val="21"/>
          <w:highlight w:val="none"/>
        </w:rPr>
        <w:t>附：法定代表人（单位负责人）身份证正反面复印件：</w:t>
      </w:r>
    </w:p>
    <w:p>
      <w:pPr>
        <w:tabs>
          <w:tab w:val="clear" w:pos="426"/>
        </w:tabs>
        <w:ind w:firstLine="424" w:firstLineChars="202"/>
        <w:rPr>
          <w:rFonts w:hint="eastAsia"/>
          <w:szCs w:val="21"/>
          <w:highlight w:val="none"/>
        </w:rPr>
      </w:pPr>
    </w:p>
    <w:p>
      <w:pPr>
        <w:tabs>
          <w:tab w:val="clear" w:pos="426"/>
        </w:tabs>
        <w:ind w:firstLine="424" w:firstLineChars="202"/>
        <w:rPr>
          <w:rFonts w:hint="eastAsia"/>
          <w:szCs w:val="21"/>
          <w:highlight w:val="none"/>
        </w:rPr>
      </w:pPr>
    </w:p>
    <w:p>
      <w:pPr>
        <w:tabs>
          <w:tab w:val="clear" w:pos="426"/>
        </w:tabs>
        <w:ind w:firstLine="424" w:firstLineChars="202"/>
        <w:rPr>
          <w:rFonts w:hint="eastAsia"/>
          <w:szCs w:val="21"/>
          <w:highlight w:val="none"/>
        </w:rPr>
      </w:pPr>
    </w:p>
    <w:p>
      <w:pPr>
        <w:tabs>
          <w:tab w:val="clear" w:pos="426"/>
        </w:tabs>
        <w:spacing w:line="500" w:lineRule="exact"/>
        <w:ind w:left="3826" w:leftChars="1822"/>
        <w:rPr>
          <w:rFonts w:hint="eastAsia"/>
          <w:highlight w:val="none"/>
          <w:u w:val="single"/>
        </w:rPr>
      </w:pPr>
      <w:r>
        <w:rPr>
          <w:rFonts w:hint="eastAsia"/>
          <w:highlight w:val="none"/>
        </w:rPr>
        <w:t>投标人名称（单位盖</w:t>
      </w:r>
      <w:r>
        <w:rPr>
          <w:rFonts w:hint="eastAsia"/>
          <w:spacing w:val="4"/>
          <w:highlight w:val="none"/>
        </w:rPr>
        <w:t>公章</w:t>
      </w:r>
      <w:r>
        <w:rPr>
          <w:rFonts w:hint="eastAsia"/>
          <w:highlight w:val="none"/>
        </w:rPr>
        <w:t>）：</w:t>
      </w:r>
      <w:r>
        <w:rPr>
          <w:rFonts w:hint="eastAsia"/>
          <w:highlight w:val="none"/>
          <w:u w:val="single"/>
        </w:rPr>
        <w:t>_____________________</w:t>
      </w:r>
    </w:p>
    <w:p>
      <w:pPr>
        <w:tabs>
          <w:tab w:val="clear" w:pos="426"/>
        </w:tabs>
        <w:spacing w:line="500" w:lineRule="exact"/>
        <w:ind w:left="3826" w:leftChars="1822"/>
        <w:rPr>
          <w:rFonts w:hint="eastAsia"/>
          <w:highlight w:val="none"/>
          <w:u w:val="single"/>
        </w:rPr>
      </w:pPr>
      <w:r>
        <w:rPr>
          <w:rFonts w:hint="eastAsia"/>
          <w:highlight w:val="none"/>
        </w:rPr>
        <w:t>地址：</w:t>
      </w:r>
      <w:r>
        <w:rPr>
          <w:rFonts w:hint="eastAsia"/>
          <w:highlight w:val="none"/>
          <w:u w:val="single"/>
        </w:rPr>
        <w:t>___________________________________________</w:t>
      </w:r>
    </w:p>
    <w:p>
      <w:pPr>
        <w:tabs>
          <w:tab w:val="clear" w:pos="426"/>
        </w:tabs>
        <w:spacing w:line="500" w:lineRule="exact"/>
        <w:ind w:left="3826" w:leftChars="1822"/>
        <w:rPr>
          <w:rFonts w:hint="eastAsia"/>
          <w:highlight w:val="none"/>
          <w:u w:val="single"/>
        </w:rPr>
      </w:pPr>
      <w:r>
        <w:rPr>
          <w:rFonts w:hint="eastAsia"/>
          <w:highlight w:val="none"/>
        </w:rPr>
        <w:t>签发日期：</w:t>
      </w:r>
      <w:r>
        <w:rPr>
          <w:rFonts w:hint="eastAsia"/>
          <w:highlight w:val="none"/>
          <w:u w:val="single"/>
        </w:rPr>
        <w:t>_______________________________________</w:t>
      </w:r>
    </w:p>
    <w:p>
      <w:pPr>
        <w:tabs>
          <w:tab w:val="clear" w:pos="426"/>
        </w:tabs>
        <w:spacing w:line="500" w:lineRule="exact"/>
        <w:ind w:left="3826" w:leftChars="1822"/>
        <w:rPr>
          <w:rFonts w:hint="eastAsia"/>
          <w:b/>
          <w:bCs/>
          <w:highlight w:val="none"/>
          <w:u w:val="single"/>
        </w:rPr>
      </w:pPr>
    </w:p>
    <w:bookmarkEnd w:id="108"/>
    <w:bookmarkEnd w:id="109"/>
    <w:bookmarkEnd w:id="110"/>
    <w:bookmarkEnd w:id="111"/>
    <w:bookmarkEnd w:id="112"/>
    <w:p>
      <w:pPr>
        <w:tabs>
          <w:tab w:val="clear" w:pos="426"/>
        </w:tabs>
        <w:spacing w:line="300" w:lineRule="auto"/>
        <w:jc w:val="center"/>
        <w:rPr>
          <w:rFonts w:hint="eastAsia"/>
          <w:highlight w:val="none"/>
        </w:rPr>
      </w:pPr>
      <w:r>
        <w:rPr>
          <w:highlight w:val="none"/>
        </w:rPr>
        <w:br w:type="page"/>
      </w:r>
    </w:p>
    <w:p>
      <w:pPr>
        <w:adjustRightInd/>
        <w:snapToGrid/>
        <w:spacing w:before="280" w:after="290" w:line="377" w:lineRule="auto"/>
        <w:outlineLvl w:val="2"/>
        <w:rPr>
          <w:rFonts w:hint="eastAsia"/>
          <w:b/>
          <w:sz w:val="24"/>
          <w:highlight w:val="none"/>
        </w:rPr>
      </w:pPr>
      <w:bookmarkStart w:id="114" w:name="_Toc16372"/>
      <w:r>
        <w:rPr>
          <w:rFonts w:hint="eastAsia"/>
          <w:b/>
          <w:sz w:val="24"/>
          <w:highlight w:val="none"/>
        </w:rPr>
        <w:t>格式3：授权委托书</w:t>
      </w:r>
      <w:bookmarkEnd w:id="114"/>
    </w:p>
    <w:p>
      <w:pPr>
        <w:widowControl w:val="0"/>
        <w:shd w:val="clear" w:color="auto" w:fill="auto"/>
        <w:tabs>
          <w:tab w:val="clear" w:pos="426"/>
        </w:tabs>
        <w:adjustRightInd/>
        <w:snapToGrid/>
        <w:spacing w:line="300" w:lineRule="auto"/>
        <w:jc w:val="center"/>
        <w:rPr>
          <w:rFonts w:hint="eastAsia" w:cs="Times New Roman"/>
          <w:bCs/>
          <w:kern w:val="2"/>
          <w:sz w:val="32"/>
          <w:szCs w:val="32"/>
          <w:highlight w:val="none"/>
        </w:rPr>
      </w:pPr>
      <w:r>
        <w:rPr>
          <w:rFonts w:hint="eastAsia" w:cs="Times New Roman"/>
          <w:bCs/>
          <w:kern w:val="2"/>
          <w:sz w:val="32"/>
          <w:szCs w:val="32"/>
          <w:highlight w:val="none"/>
        </w:rPr>
        <w:t>授权委托书</w:t>
      </w:r>
    </w:p>
    <w:p>
      <w:pPr>
        <w:tabs>
          <w:tab w:val="clear" w:pos="426"/>
        </w:tabs>
        <w:ind w:firstLine="420" w:firstLineChars="200"/>
        <w:rPr>
          <w:rFonts w:hAnsi="Courier New" w:cs="Times New Roman"/>
          <w:kern w:val="2"/>
          <w:szCs w:val="20"/>
          <w:highlight w:val="none"/>
        </w:rPr>
      </w:pPr>
    </w:p>
    <w:p>
      <w:pPr>
        <w:tabs>
          <w:tab w:val="clear" w:pos="426"/>
        </w:tabs>
        <w:ind w:firstLine="420" w:firstLineChars="200"/>
        <w:rPr>
          <w:rFonts w:hAnsi="Courier New" w:cs="Times New Roman"/>
          <w:kern w:val="2"/>
          <w:szCs w:val="20"/>
          <w:highlight w:val="none"/>
        </w:rPr>
      </w:pPr>
      <w:r>
        <w:rPr>
          <w:rFonts w:hint="eastAsia" w:hAnsi="Courier New" w:cs="Times New Roman"/>
          <w:kern w:val="2"/>
          <w:szCs w:val="20"/>
          <w:highlight w:val="none"/>
        </w:rPr>
        <w:t>本授权委托书声明：注册于</w:t>
      </w:r>
      <w:r>
        <w:rPr>
          <w:rFonts w:hint="eastAsia" w:hAnsi="Courier New" w:cs="Times New Roman"/>
          <w:kern w:val="2"/>
          <w:szCs w:val="20"/>
          <w:highlight w:val="none"/>
          <w:u w:val="single"/>
        </w:rPr>
        <w:t>（投标人地址）</w:t>
      </w:r>
      <w:r>
        <w:rPr>
          <w:rFonts w:hint="eastAsia" w:hAnsi="Courier New" w:cs="Times New Roman"/>
          <w:kern w:val="2"/>
          <w:szCs w:val="20"/>
          <w:highlight w:val="none"/>
        </w:rPr>
        <w:t>的</w:t>
      </w:r>
      <w:r>
        <w:rPr>
          <w:rFonts w:hint="eastAsia" w:hAnsi="Courier New" w:cs="Times New Roman"/>
          <w:kern w:val="2"/>
          <w:szCs w:val="20"/>
          <w:highlight w:val="none"/>
          <w:u w:val="single"/>
        </w:rPr>
        <w:t>（投标人名称）</w:t>
      </w:r>
      <w:r>
        <w:rPr>
          <w:rFonts w:hint="eastAsia" w:hAnsi="Courier New" w:cs="Times New Roman"/>
          <w:kern w:val="2"/>
          <w:szCs w:val="20"/>
          <w:highlight w:val="none"/>
        </w:rPr>
        <w:t>在下面签名的</w:t>
      </w:r>
      <w:r>
        <w:rPr>
          <w:rFonts w:hint="eastAsia" w:hAnsi="Courier New" w:cs="Times New Roman"/>
          <w:kern w:val="2"/>
          <w:szCs w:val="20"/>
          <w:highlight w:val="none"/>
          <w:u w:val="single"/>
        </w:rPr>
        <w:t>（法定代表人（单位负责人）姓名、职务）</w:t>
      </w:r>
      <w:r>
        <w:rPr>
          <w:rFonts w:hint="eastAsia" w:hAnsi="Courier New" w:cs="Times New Roman"/>
          <w:kern w:val="2"/>
          <w:szCs w:val="20"/>
          <w:highlight w:val="none"/>
        </w:rPr>
        <w:t>在此授权</w:t>
      </w:r>
      <w:r>
        <w:rPr>
          <w:rFonts w:hint="eastAsia" w:hAnsi="Courier New" w:cs="Times New Roman"/>
          <w:kern w:val="2"/>
          <w:szCs w:val="20"/>
          <w:highlight w:val="none"/>
          <w:u w:val="single"/>
        </w:rPr>
        <w:t>（被授权人姓名、职务）</w:t>
      </w:r>
      <w:r>
        <w:rPr>
          <w:rFonts w:hint="eastAsia" w:hAnsi="Courier New" w:cs="Times New Roman"/>
          <w:kern w:val="2"/>
          <w:szCs w:val="20"/>
          <w:highlight w:val="none"/>
        </w:rPr>
        <w:t>作为我公司的合法代理人，就</w:t>
      </w:r>
      <w:r>
        <w:rPr>
          <w:rFonts w:hint="eastAsia" w:hAnsi="Courier New" w:cs="Times New Roman"/>
          <w:kern w:val="2"/>
          <w:szCs w:val="20"/>
          <w:highlight w:val="none"/>
          <w:u w:val="single"/>
        </w:rPr>
        <w:t>（项目名称、项目编号</w:t>
      </w:r>
      <w:r>
        <w:rPr>
          <w:rFonts w:hint="eastAsia" w:hAnsi="Courier New" w:cs="Times New Roman"/>
          <w:kern w:val="2"/>
          <w:szCs w:val="20"/>
          <w:highlight w:val="none"/>
        </w:rPr>
        <w:t>）的招投标活动，采购合同的签订、执行、完成和售后服务，作为投标人代表以我方的名义处理一切与之有关的事务。</w:t>
      </w:r>
    </w:p>
    <w:p>
      <w:pPr>
        <w:tabs>
          <w:tab w:val="clear" w:pos="426"/>
        </w:tabs>
        <w:ind w:firstLine="420" w:firstLineChars="200"/>
        <w:rPr>
          <w:rFonts w:hAnsi="Courier New" w:cs="Times New Roman"/>
          <w:kern w:val="2"/>
          <w:szCs w:val="20"/>
          <w:highlight w:val="none"/>
        </w:rPr>
      </w:pPr>
      <w:r>
        <w:rPr>
          <w:rFonts w:hint="eastAsia" w:hAnsi="Courier New" w:cs="Times New Roman"/>
          <w:kern w:val="2"/>
          <w:szCs w:val="20"/>
          <w:highlight w:val="none"/>
        </w:rPr>
        <w:t>被授权人（投标人授权代表）无转委托权限。</w:t>
      </w:r>
    </w:p>
    <w:p>
      <w:pPr>
        <w:tabs>
          <w:tab w:val="clear" w:pos="426"/>
        </w:tabs>
        <w:ind w:firstLine="420" w:firstLineChars="200"/>
        <w:rPr>
          <w:rFonts w:hint="eastAsia"/>
          <w:szCs w:val="21"/>
          <w:highlight w:val="none"/>
        </w:rPr>
      </w:pPr>
      <w:r>
        <w:rPr>
          <w:rFonts w:hint="eastAsia"/>
          <w:szCs w:val="21"/>
          <w:highlight w:val="none"/>
        </w:rPr>
        <w:t>本授权书自法定代表人（单位负责人）签字之日起生效，特此声明。</w:t>
      </w:r>
    </w:p>
    <w:p>
      <w:pPr>
        <w:tabs>
          <w:tab w:val="clear" w:pos="426"/>
        </w:tabs>
        <w:ind w:firstLine="422" w:firstLineChars="200"/>
        <w:rPr>
          <w:rFonts w:hint="eastAsia"/>
          <w:b/>
          <w:szCs w:val="21"/>
          <w:highlight w:val="none"/>
        </w:rPr>
      </w:pPr>
    </w:p>
    <w:p>
      <w:pPr>
        <w:tabs>
          <w:tab w:val="clear" w:pos="426"/>
        </w:tabs>
        <w:ind w:firstLine="422" w:firstLineChars="200"/>
        <w:rPr>
          <w:rFonts w:hint="eastAsia"/>
          <w:b/>
          <w:szCs w:val="21"/>
          <w:highlight w:val="none"/>
        </w:rPr>
      </w:pPr>
    </w:p>
    <w:p>
      <w:pPr>
        <w:tabs>
          <w:tab w:val="clear" w:pos="426"/>
        </w:tabs>
        <w:ind w:firstLine="422" w:firstLineChars="200"/>
        <w:rPr>
          <w:rFonts w:hint="eastAsia"/>
          <w:b/>
          <w:szCs w:val="21"/>
          <w:highlight w:val="none"/>
        </w:rPr>
      </w:pPr>
    </w:p>
    <w:p>
      <w:pPr>
        <w:tabs>
          <w:tab w:val="clear" w:pos="426"/>
        </w:tabs>
        <w:ind w:firstLine="424" w:firstLineChars="202"/>
        <w:rPr>
          <w:rFonts w:hint="eastAsia"/>
          <w:szCs w:val="21"/>
          <w:highlight w:val="none"/>
          <w:u w:val="single"/>
        </w:rPr>
      </w:pPr>
      <w:r>
        <w:rPr>
          <w:rFonts w:hint="eastAsia"/>
          <w:szCs w:val="21"/>
          <w:highlight w:val="none"/>
        </w:rPr>
        <w:t>投标人名称（单位盖</w:t>
      </w:r>
      <w:r>
        <w:rPr>
          <w:rFonts w:hint="eastAsia"/>
          <w:spacing w:val="4"/>
          <w:szCs w:val="21"/>
          <w:highlight w:val="none"/>
        </w:rPr>
        <w:t>公章</w:t>
      </w:r>
      <w:r>
        <w:rPr>
          <w:rFonts w:hint="eastAsia"/>
          <w:szCs w:val="21"/>
          <w:highlight w:val="none"/>
        </w:rPr>
        <w:t>）：</w:t>
      </w:r>
      <w:r>
        <w:rPr>
          <w:rFonts w:hint="eastAsia"/>
          <w:szCs w:val="21"/>
          <w:highlight w:val="none"/>
          <w:u w:val="single"/>
        </w:rPr>
        <w:t>_____________________________________________________</w:t>
      </w:r>
    </w:p>
    <w:p>
      <w:pPr>
        <w:tabs>
          <w:tab w:val="clear" w:pos="426"/>
        </w:tabs>
        <w:ind w:firstLine="424" w:firstLineChars="202"/>
        <w:rPr>
          <w:rFonts w:hint="eastAsia"/>
          <w:szCs w:val="21"/>
          <w:highlight w:val="none"/>
          <w:u w:val="single"/>
        </w:rPr>
      </w:pPr>
      <w:r>
        <w:rPr>
          <w:rFonts w:hint="eastAsia"/>
          <w:szCs w:val="21"/>
          <w:highlight w:val="none"/>
        </w:rPr>
        <w:t>地      址：</w:t>
      </w:r>
      <w:r>
        <w:rPr>
          <w:rFonts w:hint="eastAsia"/>
          <w:szCs w:val="21"/>
          <w:highlight w:val="none"/>
          <w:u w:val="single"/>
        </w:rPr>
        <w:t>___________________________________________________________________</w:t>
      </w:r>
    </w:p>
    <w:p>
      <w:pPr>
        <w:tabs>
          <w:tab w:val="clear" w:pos="426"/>
        </w:tabs>
        <w:ind w:firstLine="424" w:firstLineChars="202"/>
        <w:rPr>
          <w:rFonts w:hint="eastAsia"/>
          <w:szCs w:val="21"/>
          <w:highlight w:val="none"/>
        </w:rPr>
      </w:pPr>
      <w:r>
        <w:rPr>
          <w:rFonts w:hint="eastAsia"/>
          <w:szCs w:val="21"/>
          <w:highlight w:val="none"/>
        </w:rPr>
        <w:t>法定代表人（单位负责人）（签字或盖章）：</w:t>
      </w:r>
      <w:r>
        <w:rPr>
          <w:rFonts w:hint="eastAsia"/>
          <w:szCs w:val="21"/>
          <w:highlight w:val="none"/>
          <w:u w:val="single"/>
        </w:rPr>
        <w:t>______________________</w:t>
      </w:r>
      <w:r>
        <w:rPr>
          <w:rFonts w:hint="eastAsia"/>
          <w:szCs w:val="21"/>
          <w:highlight w:val="none"/>
        </w:rPr>
        <w:t xml:space="preserve"> </w:t>
      </w:r>
    </w:p>
    <w:p>
      <w:pPr>
        <w:tabs>
          <w:tab w:val="clear" w:pos="426"/>
        </w:tabs>
        <w:ind w:firstLine="424" w:firstLineChars="202"/>
        <w:rPr>
          <w:rFonts w:hint="eastAsia"/>
          <w:szCs w:val="21"/>
          <w:highlight w:val="none"/>
        </w:rPr>
      </w:pPr>
      <w:r>
        <w:rPr>
          <w:rFonts w:hint="eastAsia"/>
          <w:szCs w:val="21"/>
          <w:highlight w:val="none"/>
        </w:rPr>
        <w:t>签字日期：</w:t>
      </w:r>
      <w:r>
        <w:rPr>
          <w:rFonts w:hint="eastAsia"/>
          <w:szCs w:val="21"/>
          <w:highlight w:val="none"/>
          <w:u w:val="single"/>
        </w:rPr>
        <w:t>________</w:t>
      </w:r>
      <w:r>
        <w:rPr>
          <w:rFonts w:hint="eastAsia"/>
          <w:szCs w:val="21"/>
          <w:highlight w:val="none"/>
        </w:rPr>
        <w:t>年</w:t>
      </w:r>
      <w:r>
        <w:rPr>
          <w:rFonts w:hint="eastAsia"/>
          <w:szCs w:val="21"/>
          <w:highlight w:val="none"/>
          <w:u w:val="single"/>
        </w:rPr>
        <w:t>___</w:t>
      </w:r>
      <w:r>
        <w:rPr>
          <w:rFonts w:hint="eastAsia"/>
          <w:szCs w:val="21"/>
          <w:highlight w:val="none"/>
        </w:rPr>
        <w:t>月</w:t>
      </w:r>
      <w:r>
        <w:rPr>
          <w:rFonts w:hint="eastAsia"/>
          <w:szCs w:val="21"/>
          <w:highlight w:val="none"/>
          <w:u w:val="single"/>
        </w:rPr>
        <w:t>___</w:t>
      </w:r>
      <w:r>
        <w:rPr>
          <w:rFonts w:hint="eastAsia"/>
          <w:szCs w:val="21"/>
          <w:highlight w:val="none"/>
        </w:rPr>
        <w:t>日</w:t>
      </w:r>
    </w:p>
    <w:p>
      <w:pPr>
        <w:tabs>
          <w:tab w:val="clear" w:pos="426"/>
        </w:tabs>
        <w:ind w:firstLine="424" w:firstLineChars="202"/>
        <w:rPr>
          <w:rFonts w:hint="eastAsia"/>
          <w:szCs w:val="21"/>
          <w:highlight w:val="none"/>
        </w:rPr>
      </w:pPr>
      <w:r>
        <w:rPr>
          <w:rFonts w:hint="eastAsia"/>
          <w:szCs w:val="21"/>
          <w:highlight w:val="none"/>
        </w:rPr>
        <w:t>被授权人（投标人授权代表）（签字或盖章）：</w:t>
      </w:r>
      <w:r>
        <w:rPr>
          <w:rFonts w:hint="eastAsia"/>
          <w:szCs w:val="21"/>
          <w:highlight w:val="none"/>
          <w:u w:val="single"/>
        </w:rPr>
        <w:t>____________________________________</w:t>
      </w:r>
    </w:p>
    <w:p>
      <w:pPr>
        <w:tabs>
          <w:tab w:val="clear" w:pos="426"/>
        </w:tabs>
        <w:ind w:firstLine="424" w:firstLineChars="202"/>
        <w:rPr>
          <w:rFonts w:hint="eastAsia"/>
          <w:szCs w:val="21"/>
          <w:highlight w:val="none"/>
        </w:rPr>
      </w:pPr>
    </w:p>
    <w:p>
      <w:pPr>
        <w:tabs>
          <w:tab w:val="clear" w:pos="426"/>
        </w:tabs>
        <w:ind w:firstLine="424" w:firstLineChars="202"/>
        <w:rPr>
          <w:rFonts w:hint="eastAsia"/>
          <w:szCs w:val="21"/>
          <w:highlight w:val="none"/>
        </w:rPr>
      </w:pPr>
      <w:r>
        <w:rPr>
          <w:rFonts w:hint="eastAsia"/>
          <w:szCs w:val="21"/>
          <w:highlight w:val="none"/>
        </w:rPr>
        <w:t>附：被授权人身份证复印正反面件：</w:t>
      </w:r>
    </w:p>
    <w:p>
      <w:pPr>
        <w:tabs>
          <w:tab w:val="clear" w:pos="426"/>
        </w:tabs>
        <w:ind w:firstLine="424" w:firstLineChars="202"/>
        <w:rPr>
          <w:rFonts w:hint="eastAsia"/>
          <w:szCs w:val="21"/>
          <w:highlight w:val="none"/>
        </w:rPr>
      </w:pPr>
    </w:p>
    <w:p>
      <w:pPr>
        <w:rPr>
          <w:rFonts w:hint="eastAsia"/>
          <w:highlight w:val="none"/>
        </w:rPr>
      </w:pPr>
    </w:p>
    <w:p>
      <w:pPr>
        <w:adjustRightInd/>
        <w:snapToGrid/>
        <w:spacing w:before="280" w:after="290" w:line="377" w:lineRule="auto"/>
        <w:outlineLvl w:val="2"/>
        <w:rPr>
          <w:rFonts w:hint="eastAsia"/>
          <w:b/>
          <w:sz w:val="24"/>
          <w:highlight w:val="none"/>
        </w:rPr>
      </w:pPr>
      <w:r>
        <w:rPr>
          <w:highlight w:val="none"/>
        </w:rPr>
        <w:br w:type="page"/>
      </w:r>
      <w:bookmarkStart w:id="115" w:name="_Toc12237"/>
      <w:r>
        <w:rPr>
          <w:rFonts w:hint="eastAsia"/>
          <w:b/>
          <w:sz w:val="24"/>
          <w:highlight w:val="none"/>
        </w:rPr>
        <w:t>格式4：资格条款偏离表</w:t>
      </w:r>
      <w:bookmarkEnd w:id="115"/>
    </w:p>
    <w:p>
      <w:pPr>
        <w:widowControl w:val="0"/>
        <w:shd w:val="clear" w:color="auto" w:fill="auto"/>
        <w:tabs>
          <w:tab w:val="clear" w:pos="426"/>
        </w:tabs>
        <w:adjustRightInd/>
        <w:snapToGrid/>
        <w:spacing w:line="300" w:lineRule="auto"/>
        <w:jc w:val="center"/>
        <w:rPr>
          <w:rFonts w:hint="eastAsia" w:cs="Times New Roman"/>
          <w:bCs/>
          <w:kern w:val="2"/>
          <w:sz w:val="32"/>
          <w:szCs w:val="32"/>
          <w:highlight w:val="none"/>
        </w:rPr>
      </w:pPr>
      <w:r>
        <w:rPr>
          <w:rFonts w:hint="eastAsia" w:cs="Times New Roman"/>
          <w:bCs/>
          <w:kern w:val="2"/>
          <w:sz w:val="32"/>
          <w:szCs w:val="32"/>
          <w:highlight w:val="none"/>
        </w:rPr>
        <w:t>资格条款偏离表</w:t>
      </w:r>
    </w:p>
    <w:p>
      <w:pPr>
        <w:tabs>
          <w:tab w:val="clear" w:pos="426"/>
        </w:tabs>
        <w:rPr>
          <w:rFonts w:ascii="Times New Roman" w:hAnsi="Times New Roman" w:cs="Times New Roman"/>
          <w:highlight w:val="none"/>
        </w:rPr>
      </w:pPr>
    </w:p>
    <w:p>
      <w:pPr>
        <w:tabs>
          <w:tab w:val="clear" w:pos="426"/>
        </w:tabs>
        <w:rPr>
          <w:rFonts w:ascii="Times New Roman" w:hAnsi="Times New Roman" w:cs="Times New Roman"/>
          <w:highlight w:val="none"/>
        </w:rPr>
      </w:pPr>
      <w:r>
        <w:rPr>
          <w:rFonts w:ascii="Times New Roman" w:hAnsi="Times New Roman" w:cs="Times New Roman"/>
          <w:highlight w:val="none"/>
        </w:rPr>
        <w:t>项目名称：</w:t>
      </w:r>
      <w:r>
        <w:rPr>
          <w:rFonts w:ascii="Times New Roman" w:hAnsi="Times New Roman" w:cs="Times New Roman"/>
          <w:highlight w:val="none"/>
          <w:u w:val="single"/>
        </w:rPr>
        <w:t>_____________________________________</w:t>
      </w:r>
      <w:r>
        <w:rPr>
          <w:rFonts w:ascii="Times New Roman" w:hAnsi="Times New Roman" w:cs="Times New Roman"/>
          <w:highlight w:val="none"/>
        </w:rPr>
        <w:t>项目编号：</w:t>
      </w:r>
      <w:r>
        <w:rPr>
          <w:rFonts w:ascii="Times New Roman" w:hAnsi="Times New Roman" w:cs="Times New Roman"/>
          <w:sz w:val="18"/>
          <w:szCs w:val="18"/>
          <w:highlight w:val="none"/>
          <w:u w:val="single"/>
        </w:rPr>
        <w:t>_______________________</w:t>
      </w:r>
    </w:p>
    <w:tbl>
      <w:tblPr>
        <w:tblStyle w:val="85"/>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603"/>
        <w:gridCol w:w="2218"/>
        <w:gridCol w:w="943"/>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90" w:type="pct"/>
            <w:vAlign w:val="center"/>
          </w:tcPr>
          <w:p>
            <w:pPr>
              <w:tabs>
                <w:tab w:val="clear" w:pos="426"/>
              </w:tabs>
              <w:spacing w:line="240" w:lineRule="auto"/>
              <w:jc w:val="center"/>
              <w:rPr>
                <w:rFonts w:ascii="Times New Roman" w:hAnsi="Times New Roman" w:cs="Times New Roman"/>
                <w:bCs/>
                <w:highlight w:val="none"/>
              </w:rPr>
            </w:pPr>
            <w:r>
              <w:rPr>
                <w:rFonts w:ascii="Times New Roman" w:hAnsi="Times New Roman" w:cs="Times New Roman"/>
                <w:bCs/>
                <w:highlight w:val="none"/>
              </w:rPr>
              <w:t>序号</w:t>
            </w:r>
          </w:p>
        </w:tc>
        <w:tc>
          <w:tcPr>
            <w:tcW w:w="1480" w:type="pct"/>
            <w:vAlign w:val="center"/>
          </w:tcPr>
          <w:p>
            <w:pPr>
              <w:tabs>
                <w:tab w:val="clear" w:pos="426"/>
              </w:tabs>
              <w:spacing w:line="240" w:lineRule="auto"/>
              <w:jc w:val="center"/>
              <w:rPr>
                <w:rFonts w:ascii="Times New Roman" w:hAnsi="Times New Roman" w:cs="Times New Roman"/>
                <w:bCs/>
                <w:highlight w:val="none"/>
              </w:rPr>
            </w:pPr>
            <w:r>
              <w:rPr>
                <w:rFonts w:hint="eastAsia" w:ascii="Times New Roman" w:hAnsi="Times New Roman" w:cs="Times New Roman"/>
                <w:bCs/>
                <w:highlight w:val="none"/>
              </w:rPr>
              <w:t>资格条款</w:t>
            </w:r>
          </w:p>
        </w:tc>
        <w:tc>
          <w:tcPr>
            <w:tcW w:w="1480" w:type="pct"/>
            <w:vAlign w:val="center"/>
          </w:tcPr>
          <w:p>
            <w:pPr>
              <w:tabs>
                <w:tab w:val="clear" w:pos="426"/>
              </w:tabs>
              <w:spacing w:line="240" w:lineRule="auto"/>
              <w:jc w:val="center"/>
              <w:rPr>
                <w:rFonts w:ascii="Times New Roman" w:hAnsi="Times New Roman" w:cs="Times New Roman"/>
                <w:bCs/>
                <w:highlight w:val="none"/>
              </w:rPr>
            </w:pPr>
            <w:r>
              <w:rPr>
                <w:rFonts w:ascii="Times New Roman" w:hAnsi="Times New Roman" w:cs="Times New Roman"/>
                <w:bCs/>
                <w:highlight w:val="none"/>
              </w:rPr>
              <w:t>响应</w:t>
            </w:r>
            <w:r>
              <w:rPr>
                <w:rFonts w:hint="eastAsia" w:ascii="Times New Roman" w:hAnsi="Times New Roman" w:cs="Times New Roman"/>
                <w:bCs/>
                <w:highlight w:val="none"/>
              </w:rPr>
              <w:t>情况</w:t>
            </w:r>
          </w:p>
        </w:tc>
        <w:tc>
          <w:tcPr>
            <w:tcW w:w="735" w:type="pct"/>
            <w:vAlign w:val="center"/>
          </w:tcPr>
          <w:p>
            <w:pPr>
              <w:tabs>
                <w:tab w:val="clear" w:pos="426"/>
              </w:tabs>
              <w:spacing w:line="240" w:lineRule="auto"/>
              <w:jc w:val="center"/>
              <w:rPr>
                <w:rFonts w:ascii="Times New Roman" w:hAnsi="Times New Roman" w:cs="Times New Roman"/>
                <w:bCs/>
                <w:highlight w:val="none"/>
              </w:rPr>
            </w:pPr>
            <w:r>
              <w:rPr>
                <w:rFonts w:ascii="Times New Roman" w:hAnsi="Times New Roman" w:cs="Times New Roman"/>
                <w:bCs/>
                <w:highlight w:val="none"/>
              </w:rPr>
              <w:t>偏离情况</w:t>
            </w:r>
          </w:p>
        </w:tc>
        <w:tc>
          <w:tcPr>
            <w:tcW w:w="912" w:type="pct"/>
            <w:vAlign w:val="center"/>
          </w:tcPr>
          <w:p>
            <w:pPr>
              <w:tabs>
                <w:tab w:val="clear" w:pos="426"/>
              </w:tabs>
              <w:spacing w:line="240" w:lineRule="auto"/>
              <w:jc w:val="center"/>
              <w:rPr>
                <w:rFonts w:ascii="Times New Roman" w:hAnsi="Times New Roman" w:cs="Times New Roman"/>
                <w:bCs/>
                <w:highlight w:val="none"/>
              </w:rPr>
            </w:pPr>
            <w:r>
              <w:rPr>
                <w:rFonts w:ascii="Times New Roman" w:hAnsi="Times New Roman" w:cs="Times New Roman"/>
                <w:bCs/>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highlight w:val="none"/>
              </w:rPr>
            </w:pPr>
            <w:r>
              <w:rPr>
                <w:rFonts w:cs="Arial"/>
                <w:bCs/>
                <w:szCs w:val="21"/>
                <w:highlight w:val="none"/>
              </w:rPr>
              <w:t>1</w:t>
            </w:r>
          </w:p>
        </w:tc>
        <w:tc>
          <w:tcPr>
            <w:tcW w:w="1480" w:type="pct"/>
            <w:vAlign w:val="center"/>
          </w:tcPr>
          <w:p>
            <w:pPr>
              <w:tabs>
                <w:tab w:val="clear" w:pos="426"/>
              </w:tabs>
              <w:spacing w:line="240" w:lineRule="auto"/>
              <w:rPr>
                <w:rFonts w:ascii="Times New Roman" w:hAnsi="Times New Roman" w:cs="Times New Roman"/>
                <w:bCs/>
                <w:highlight w:val="none"/>
              </w:rPr>
            </w:pPr>
            <w:r>
              <w:rPr>
                <w:rFonts w:hint="eastAsia" w:ascii="Times New Roman" w:hAnsi="Times New Roman" w:cs="Times New Roman"/>
                <w:bCs/>
                <w:highlight w:val="none"/>
              </w:rPr>
              <w:t>满足《中华人民共和国政府采购法》第二十二条规定（由供应商在《投标人资格声明函》中作出声明）。</w:t>
            </w:r>
          </w:p>
        </w:tc>
        <w:tc>
          <w:tcPr>
            <w:tcW w:w="1480" w:type="pct"/>
            <w:vAlign w:val="center"/>
          </w:tcPr>
          <w:p>
            <w:pPr>
              <w:tabs>
                <w:tab w:val="clear" w:pos="426"/>
              </w:tabs>
              <w:spacing w:line="240" w:lineRule="auto"/>
              <w:jc w:val="center"/>
              <w:rPr>
                <w:rFonts w:ascii="Times New Roman" w:hAnsi="Times New Roman" w:cs="Times New Roman"/>
                <w:bCs/>
                <w:highlight w:val="none"/>
              </w:rPr>
            </w:pPr>
          </w:p>
        </w:tc>
        <w:tc>
          <w:tcPr>
            <w:tcW w:w="735" w:type="pct"/>
            <w:vAlign w:val="center"/>
          </w:tcPr>
          <w:p>
            <w:pPr>
              <w:tabs>
                <w:tab w:val="clear" w:pos="426"/>
              </w:tabs>
              <w:spacing w:line="240" w:lineRule="auto"/>
              <w:jc w:val="center"/>
              <w:rPr>
                <w:rFonts w:ascii="Times New Roman" w:hAnsi="Times New Roman" w:cs="Times New Roman"/>
                <w:bCs/>
                <w:highlight w:val="none"/>
              </w:rPr>
            </w:pPr>
          </w:p>
        </w:tc>
        <w:tc>
          <w:tcPr>
            <w:tcW w:w="912" w:type="pct"/>
            <w:vAlign w:val="center"/>
          </w:tcPr>
          <w:p>
            <w:pPr>
              <w:tabs>
                <w:tab w:val="clear" w:pos="426"/>
              </w:tabs>
              <w:spacing w:line="240" w:lineRule="auto"/>
              <w:jc w:val="center"/>
              <w:rPr>
                <w:rFonts w:ascii="Times New Roman" w:hAnsi="Times New Roman" w:cs="Times New Roman"/>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0" w:type="pct"/>
            <w:vAlign w:val="center"/>
          </w:tcPr>
          <w:p>
            <w:pPr>
              <w:tabs>
                <w:tab w:val="clear" w:pos="426"/>
              </w:tabs>
              <w:adjustRightInd/>
              <w:snapToGrid/>
              <w:spacing w:line="240" w:lineRule="auto"/>
              <w:jc w:val="center"/>
              <w:rPr>
                <w:rFonts w:hint="eastAsia" w:cs="Arial"/>
                <w:bCs/>
                <w:szCs w:val="21"/>
                <w:highlight w:val="none"/>
              </w:rPr>
            </w:pPr>
            <w:r>
              <w:rPr>
                <w:rFonts w:cs="Arial"/>
                <w:bCs/>
                <w:szCs w:val="21"/>
                <w:highlight w:val="none"/>
              </w:rPr>
              <w:t>2</w:t>
            </w:r>
          </w:p>
        </w:tc>
        <w:tc>
          <w:tcPr>
            <w:tcW w:w="1480" w:type="pct"/>
            <w:vAlign w:val="center"/>
          </w:tcPr>
          <w:p>
            <w:pPr>
              <w:tabs>
                <w:tab w:val="clear" w:pos="426"/>
              </w:tabs>
              <w:spacing w:line="240" w:lineRule="auto"/>
              <w:rPr>
                <w:rFonts w:ascii="Times New Roman" w:hAnsi="Times New Roman" w:cs="Times New Roman"/>
                <w:bCs/>
                <w:highlight w:val="none"/>
              </w:rPr>
            </w:pPr>
            <w:r>
              <w:rPr>
                <w:rFonts w:hint="eastAsia" w:ascii="Times New Roman" w:hAnsi="Times New Roman" w:cs="Times New Roman"/>
                <w:bCs/>
                <w:highlight w:val="none"/>
              </w:rPr>
              <w:t>本项目不属于专门面向中小企业采购的项目。</w:t>
            </w:r>
          </w:p>
        </w:tc>
        <w:tc>
          <w:tcPr>
            <w:tcW w:w="1480" w:type="pct"/>
            <w:vAlign w:val="center"/>
          </w:tcPr>
          <w:p>
            <w:pPr>
              <w:tabs>
                <w:tab w:val="clear" w:pos="426"/>
              </w:tabs>
              <w:spacing w:line="240" w:lineRule="auto"/>
              <w:jc w:val="center"/>
              <w:rPr>
                <w:rFonts w:ascii="Times New Roman" w:hAnsi="Times New Roman" w:cs="Times New Roman"/>
                <w:bCs/>
                <w:highlight w:val="none"/>
              </w:rPr>
            </w:pPr>
          </w:p>
        </w:tc>
        <w:tc>
          <w:tcPr>
            <w:tcW w:w="735" w:type="pct"/>
            <w:vAlign w:val="center"/>
          </w:tcPr>
          <w:p>
            <w:pPr>
              <w:tabs>
                <w:tab w:val="clear" w:pos="426"/>
              </w:tabs>
              <w:spacing w:line="240" w:lineRule="auto"/>
              <w:jc w:val="center"/>
              <w:rPr>
                <w:rFonts w:ascii="Times New Roman" w:hAnsi="Times New Roman" w:cs="Times New Roman"/>
                <w:bCs/>
                <w:highlight w:val="none"/>
              </w:rPr>
            </w:pPr>
          </w:p>
        </w:tc>
        <w:tc>
          <w:tcPr>
            <w:tcW w:w="912" w:type="pct"/>
            <w:vAlign w:val="center"/>
          </w:tcPr>
          <w:p>
            <w:pPr>
              <w:tabs>
                <w:tab w:val="clear" w:pos="426"/>
              </w:tabs>
              <w:spacing w:line="240" w:lineRule="auto"/>
              <w:jc w:val="center"/>
              <w:rPr>
                <w:rFonts w:ascii="Times New Roman" w:hAnsi="Times New Roman" w:cs="Times New Roman"/>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0" w:type="pct"/>
            <w:vAlign w:val="center"/>
          </w:tcPr>
          <w:p>
            <w:pPr>
              <w:tabs>
                <w:tab w:val="clear" w:pos="426"/>
              </w:tabs>
              <w:adjustRightInd/>
              <w:snapToGrid/>
              <w:spacing w:line="240" w:lineRule="auto"/>
              <w:jc w:val="center"/>
              <w:rPr>
                <w:rFonts w:hint="eastAsia" w:cs="Arial"/>
                <w:bCs/>
                <w:szCs w:val="21"/>
                <w:highlight w:val="none"/>
              </w:rPr>
            </w:pPr>
            <w:r>
              <w:rPr>
                <w:rFonts w:cs="Arial"/>
                <w:bCs/>
                <w:szCs w:val="21"/>
                <w:highlight w:val="none"/>
              </w:rPr>
              <w:t>3</w:t>
            </w:r>
          </w:p>
        </w:tc>
        <w:tc>
          <w:tcPr>
            <w:tcW w:w="1480" w:type="pct"/>
            <w:vAlign w:val="center"/>
          </w:tcPr>
          <w:p>
            <w:pPr>
              <w:tabs>
                <w:tab w:val="clear" w:pos="426"/>
              </w:tabs>
              <w:spacing w:line="240" w:lineRule="auto"/>
              <w:rPr>
                <w:rFonts w:ascii="Times New Roman" w:hAnsi="Times New Roman" w:cs="Times New Roman"/>
                <w:bCs/>
                <w:highlight w:val="none"/>
              </w:rPr>
            </w:pPr>
            <w:r>
              <w:rPr>
                <w:rFonts w:hint="eastAsia" w:ascii="Times New Roman" w:hAnsi="Times New Roman" w:cs="Times New Roman"/>
                <w:bCs/>
                <w:highlight w:val="none"/>
              </w:rPr>
              <w:t>投标人应具有独立法人资格或具有独立承担民事责任的能力的其它组织（提供营业执照或事业单位法人证书等法人证明复印件并加盖投标人公章，原件备查）；分支机构投标的，需同时提供总公司营业执照及授权文件，原件备查，且同一家总公司只能授权一家分支机构参与投标，且总公司不能与下属的分支机构同时参与投标（如为总公司参与投标的，提供总公司《营业执照》复印件并加盖投标人公章；如为分支机构参与投标，提供总公司和分支机构的《营业执照》复印件及《授权文件》，原件备查）。</w:t>
            </w:r>
          </w:p>
        </w:tc>
        <w:tc>
          <w:tcPr>
            <w:tcW w:w="1480" w:type="pct"/>
            <w:vAlign w:val="center"/>
          </w:tcPr>
          <w:p>
            <w:pPr>
              <w:tabs>
                <w:tab w:val="clear" w:pos="426"/>
              </w:tabs>
              <w:spacing w:line="240" w:lineRule="auto"/>
              <w:jc w:val="center"/>
              <w:rPr>
                <w:rFonts w:ascii="Times New Roman" w:hAnsi="Times New Roman" w:cs="Times New Roman"/>
                <w:bCs/>
                <w:highlight w:val="none"/>
              </w:rPr>
            </w:pPr>
          </w:p>
        </w:tc>
        <w:tc>
          <w:tcPr>
            <w:tcW w:w="735" w:type="pct"/>
            <w:vAlign w:val="center"/>
          </w:tcPr>
          <w:p>
            <w:pPr>
              <w:tabs>
                <w:tab w:val="clear" w:pos="426"/>
              </w:tabs>
              <w:spacing w:line="240" w:lineRule="auto"/>
              <w:jc w:val="center"/>
              <w:rPr>
                <w:rFonts w:ascii="Times New Roman" w:hAnsi="Times New Roman" w:cs="Times New Roman"/>
                <w:bCs/>
                <w:highlight w:val="none"/>
              </w:rPr>
            </w:pPr>
          </w:p>
        </w:tc>
        <w:tc>
          <w:tcPr>
            <w:tcW w:w="912" w:type="pct"/>
            <w:vAlign w:val="center"/>
          </w:tcPr>
          <w:p>
            <w:pPr>
              <w:tabs>
                <w:tab w:val="clear" w:pos="426"/>
              </w:tabs>
              <w:spacing w:line="240" w:lineRule="auto"/>
              <w:jc w:val="center"/>
              <w:rPr>
                <w:rFonts w:ascii="Times New Roman" w:hAnsi="Times New Roman" w:cs="Times New Roman"/>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0" w:type="pct"/>
            <w:vAlign w:val="center"/>
          </w:tcPr>
          <w:p>
            <w:pPr>
              <w:tabs>
                <w:tab w:val="clear" w:pos="426"/>
              </w:tabs>
              <w:adjustRightInd/>
              <w:snapToGrid/>
              <w:spacing w:line="240" w:lineRule="auto"/>
              <w:jc w:val="center"/>
              <w:rPr>
                <w:rFonts w:hint="eastAsia" w:cs="Arial"/>
                <w:bCs/>
                <w:szCs w:val="21"/>
                <w:highlight w:val="none"/>
              </w:rPr>
            </w:pPr>
            <w:r>
              <w:rPr>
                <w:rFonts w:hint="eastAsia" w:cs="Arial"/>
                <w:bCs/>
                <w:szCs w:val="21"/>
                <w:highlight w:val="none"/>
              </w:rPr>
              <w:t>4</w:t>
            </w:r>
          </w:p>
        </w:tc>
        <w:tc>
          <w:tcPr>
            <w:tcW w:w="1480" w:type="pct"/>
            <w:vAlign w:val="center"/>
          </w:tcPr>
          <w:p>
            <w:pPr>
              <w:tabs>
                <w:tab w:val="clear" w:pos="426"/>
              </w:tabs>
              <w:spacing w:line="240" w:lineRule="auto"/>
              <w:rPr>
                <w:rFonts w:ascii="Times New Roman" w:hAnsi="Times New Roman" w:cs="Times New Roman"/>
                <w:bCs/>
                <w:highlight w:val="none"/>
              </w:rPr>
            </w:pPr>
            <w:r>
              <w:rPr>
                <w:rFonts w:hint="eastAsia" w:ascii="Times New Roman" w:hAnsi="Times New Roman" w:cs="Times New Roman"/>
                <w:bCs/>
                <w:highlight w:val="none"/>
              </w:rPr>
              <w:t>本项目不接受投标人选用进口产品参与投标。（进口产品是指通过中国海关报关验收进入中国境内且产自境外的产品）。</w:t>
            </w:r>
          </w:p>
        </w:tc>
        <w:tc>
          <w:tcPr>
            <w:tcW w:w="1480" w:type="pct"/>
            <w:vAlign w:val="center"/>
          </w:tcPr>
          <w:p>
            <w:pPr>
              <w:tabs>
                <w:tab w:val="clear" w:pos="426"/>
              </w:tabs>
              <w:spacing w:line="240" w:lineRule="auto"/>
              <w:jc w:val="center"/>
              <w:rPr>
                <w:rFonts w:ascii="Times New Roman" w:hAnsi="Times New Roman" w:cs="Times New Roman"/>
                <w:bCs/>
                <w:highlight w:val="none"/>
              </w:rPr>
            </w:pPr>
          </w:p>
        </w:tc>
        <w:tc>
          <w:tcPr>
            <w:tcW w:w="735" w:type="pct"/>
            <w:vAlign w:val="center"/>
          </w:tcPr>
          <w:p>
            <w:pPr>
              <w:tabs>
                <w:tab w:val="clear" w:pos="426"/>
              </w:tabs>
              <w:spacing w:line="240" w:lineRule="auto"/>
              <w:jc w:val="center"/>
              <w:rPr>
                <w:rFonts w:ascii="Times New Roman" w:hAnsi="Times New Roman" w:cs="Times New Roman"/>
                <w:bCs/>
                <w:highlight w:val="none"/>
              </w:rPr>
            </w:pPr>
          </w:p>
        </w:tc>
        <w:tc>
          <w:tcPr>
            <w:tcW w:w="912" w:type="pct"/>
            <w:vAlign w:val="center"/>
          </w:tcPr>
          <w:p>
            <w:pPr>
              <w:tabs>
                <w:tab w:val="clear" w:pos="426"/>
              </w:tabs>
              <w:spacing w:line="240" w:lineRule="auto"/>
              <w:jc w:val="center"/>
              <w:rPr>
                <w:rFonts w:ascii="Times New Roman" w:hAnsi="Times New Roman" w:cs="Times New Roman"/>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highlight w:val="none"/>
              </w:rPr>
            </w:pPr>
            <w:r>
              <w:rPr>
                <w:rFonts w:hint="eastAsia" w:cs="Arial"/>
                <w:bCs/>
                <w:szCs w:val="21"/>
                <w:highlight w:val="none"/>
              </w:rPr>
              <w:t>5</w:t>
            </w:r>
          </w:p>
        </w:tc>
        <w:tc>
          <w:tcPr>
            <w:tcW w:w="1480" w:type="pct"/>
            <w:vAlign w:val="center"/>
          </w:tcPr>
          <w:p>
            <w:pPr>
              <w:tabs>
                <w:tab w:val="clear" w:pos="426"/>
              </w:tabs>
              <w:spacing w:line="240" w:lineRule="auto"/>
              <w:rPr>
                <w:rFonts w:ascii="Times New Roman" w:hAnsi="Times New Roman" w:cs="Times New Roman"/>
                <w:bCs/>
                <w:highlight w:val="none"/>
              </w:rPr>
            </w:pPr>
            <w:r>
              <w:rPr>
                <w:rFonts w:hint="eastAsia" w:ascii="Times New Roman" w:hAnsi="Times New Roman" w:cs="Times New Roman"/>
                <w:bCs/>
                <w:highlight w:val="none"/>
              </w:rPr>
              <w:t>根据财库〔2016〕125号文的有关规定，投标人需未被列入失信被执行人、重大税收违法案件当事人名单、政府采购严重违法失信行为记录名单（提供书面《投标人资格声明函》加盖公章，采购代理机构将通过“信用中国”网站（www.creditchina.gov.cn）、中国政府采购网（www.ccgp.gov.cn）等渠道查询相关主体信用记录，并做好信用信息查询记录和证据留存，信用信息查询记录及相关证据将与其他采购文件一并保存）。</w:t>
            </w:r>
          </w:p>
        </w:tc>
        <w:tc>
          <w:tcPr>
            <w:tcW w:w="1480" w:type="pct"/>
            <w:vAlign w:val="center"/>
          </w:tcPr>
          <w:p>
            <w:pPr>
              <w:tabs>
                <w:tab w:val="clear" w:pos="426"/>
              </w:tabs>
              <w:spacing w:line="240" w:lineRule="auto"/>
              <w:jc w:val="center"/>
              <w:rPr>
                <w:rFonts w:ascii="Times New Roman" w:hAnsi="Times New Roman" w:cs="Times New Roman"/>
                <w:bCs/>
                <w:highlight w:val="none"/>
              </w:rPr>
            </w:pPr>
          </w:p>
        </w:tc>
        <w:tc>
          <w:tcPr>
            <w:tcW w:w="735" w:type="pct"/>
            <w:vAlign w:val="center"/>
          </w:tcPr>
          <w:p>
            <w:pPr>
              <w:tabs>
                <w:tab w:val="clear" w:pos="426"/>
              </w:tabs>
              <w:spacing w:line="240" w:lineRule="auto"/>
              <w:jc w:val="center"/>
              <w:rPr>
                <w:rFonts w:ascii="Times New Roman" w:hAnsi="Times New Roman" w:cs="Times New Roman"/>
                <w:bCs/>
                <w:highlight w:val="none"/>
              </w:rPr>
            </w:pPr>
          </w:p>
        </w:tc>
        <w:tc>
          <w:tcPr>
            <w:tcW w:w="912" w:type="pct"/>
            <w:vAlign w:val="center"/>
          </w:tcPr>
          <w:p>
            <w:pPr>
              <w:tabs>
                <w:tab w:val="clear" w:pos="426"/>
              </w:tabs>
              <w:spacing w:line="240" w:lineRule="auto"/>
              <w:jc w:val="center"/>
              <w:rPr>
                <w:rFonts w:ascii="Times New Roman" w:hAnsi="Times New Roman" w:cs="Times New Roman"/>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highlight w:val="none"/>
              </w:rPr>
            </w:pPr>
            <w:r>
              <w:rPr>
                <w:rFonts w:hint="eastAsia" w:cs="Arial"/>
                <w:bCs/>
                <w:szCs w:val="21"/>
                <w:highlight w:val="none"/>
              </w:rPr>
              <w:t>6</w:t>
            </w:r>
          </w:p>
        </w:tc>
        <w:tc>
          <w:tcPr>
            <w:tcW w:w="1480" w:type="pct"/>
            <w:vAlign w:val="center"/>
          </w:tcPr>
          <w:p>
            <w:pPr>
              <w:tabs>
                <w:tab w:val="clear" w:pos="426"/>
              </w:tabs>
              <w:spacing w:line="240" w:lineRule="auto"/>
              <w:rPr>
                <w:rFonts w:ascii="Times New Roman" w:hAnsi="Times New Roman" w:cs="Times New Roman"/>
                <w:bCs/>
                <w:highlight w:val="none"/>
              </w:rPr>
            </w:pPr>
            <w:r>
              <w:rPr>
                <w:rFonts w:hint="eastAsia" w:ascii="Times New Roman" w:hAnsi="Times New Roman" w:cs="Times New Roman"/>
                <w:bCs/>
                <w:highlight w:val="none"/>
              </w:rPr>
              <w:t>投标人参与本项目投标前三年内，在经营活动中没有重大违法记录（提供《投标人资格声明函》，并加盖投标人公章）。</w:t>
            </w:r>
          </w:p>
        </w:tc>
        <w:tc>
          <w:tcPr>
            <w:tcW w:w="1480" w:type="pct"/>
            <w:vAlign w:val="center"/>
          </w:tcPr>
          <w:p>
            <w:pPr>
              <w:tabs>
                <w:tab w:val="clear" w:pos="426"/>
              </w:tabs>
              <w:spacing w:line="240" w:lineRule="auto"/>
              <w:jc w:val="center"/>
              <w:rPr>
                <w:rFonts w:ascii="Times New Roman" w:hAnsi="Times New Roman" w:cs="Times New Roman"/>
                <w:bCs/>
                <w:highlight w:val="none"/>
              </w:rPr>
            </w:pPr>
          </w:p>
        </w:tc>
        <w:tc>
          <w:tcPr>
            <w:tcW w:w="735" w:type="pct"/>
            <w:vAlign w:val="center"/>
          </w:tcPr>
          <w:p>
            <w:pPr>
              <w:tabs>
                <w:tab w:val="clear" w:pos="426"/>
              </w:tabs>
              <w:spacing w:line="240" w:lineRule="auto"/>
              <w:jc w:val="center"/>
              <w:rPr>
                <w:rFonts w:ascii="Times New Roman" w:hAnsi="Times New Roman" w:cs="Times New Roman"/>
                <w:bCs/>
                <w:highlight w:val="none"/>
              </w:rPr>
            </w:pPr>
          </w:p>
        </w:tc>
        <w:tc>
          <w:tcPr>
            <w:tcW w:w="912" w:type="pct"/>
            <w:vAlign w:val="center"/>
          </w:tcPr>
          <w:p>
            <w:pPr>
              <w:tabs>
                <w:tab w:val="clear" w:pos="426"/>
              </w:tabs>
              <w:spacing w:line="240" w:lineRule="auto"/>
              <w:jc w:val="center"/>
              <w:rPr>
                <w:rFonts w:ascii="Times New Roman" w:hAnsi="Times New Roman" w:cs="Times New Roman"/>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0" w:type="pct"/>
            <w:vAlign w:val="center"/>
          </w:tcPr>
          <w:p>
            <w:pPr>
              <w:tabs>
                <w:tab w:val="clear" w:pos="426"/>
              </w:tabs>
              <w:adjustRightInd/>
              <w:snapToGrid/>
              <w:spacing w:line="240" w:lineRule="auto"/>
              <w:jc w:val="center"/>
              <w:rPr>
                <w:rFonts w:hint="eastAsia" w:cs="Arial"/>
                <w:bCs/>
                <w:szCs w:val="21"/>
                <w:highlight w:val="none"/>
              </w:rPr>
            </w:pPr>
            <w:r>
              <w:rPr>
                <w:rFonts w:hint="eastAsia" w:cs="Arial"/>
                <w:bCs/>
                <w:szCs w:val="21"/>
                <w:highlight w:val="none"/>
              </w:rPr>
              <w:t>7</w:t>
            </w:r>
          </w:p>
        </w:tc>
        <w:tc>
          <w:tcPr>
            <w:tcW w:w="1480" w:type="pct"/>
            <w:vAlign w:val="center"/>
          </w:tcPr>
          <w:p>
            <w:pPr>
              <w:tabs>
                <w:tab w:val="clear" w:pos="426"/>
              </w:tabs>
              <w:spacing w:line="240" w:lineRule="auto"/>
              <w:rPr>
                <w:rFonts w:ascii="Times New Roman" w:hAnsi="Times New Roman" w:cs="Times New Roman"/>
                <w:bCs/>
                <w:highlight w:val="none"/>
              </w:rPr>
            </w:pPr>
            <w:r>
              <w:rPr>
                <w:rFonts w:hint="eastAsia" w:ascii="Times New Roman" w:hAnsi="Times New Roman" w:cs="Times New Roman"/>
                <w:bCs/>
                <w:highlight w:val="none"/>
              </w:rPr>
              <w:t>投标人参与本项目投标近三年内，在经营活动中没有发生重大安全和质量事故（提供《投标人资格声明函》，并加盖投标人公章）。</w:t>
            </w:r>
          </w:p>
        </w:tc>
        <w:tc>
          <w:tcPr>
            <w:tcW w:w="1480" w:type="pct"/>
            <w:vAlign w:val="center"/>
          </w:tcPr>
          <w:p>
            <w:pPr>
              <w:tabs>
                <w:tab w:val="clear" w:pos="426"/>
              </w:tabs>
              <w:spacing w:line="240" w:lineRule="auto"/>
              <w:jc w:val="center"/>
              <w:rPr>
                <w:rFonts w:ascii="Times New Roman" w:hAnsi="Times New Roman" w:cs="Times New Roman"/>
                <w:bCs/>
                <w:highlight w:val="none"/>
              </w:rPr>
            </w:pPr>
          </w:p>
        </w:tc>
        <w:tc>
          <w:tcPr>
            <w:tcW w:w="735" w:type="pct"/>
            <w:vAlign w:val="center"/>
          </w:tcPr>
          <w:p>
            <w:pPr>
              <w:tabs>
                <w:tab w:val="clear" w:pos="426"/>
              </w:tabs>
              <w:spacing w:line="240" w:lineRule="auto"/>
              <w:jc w:val="center"/>
              <w:rPr>
                <w:rFonts w:ascii="Times New Roman" w:hAnsi="Times New Roman" w:cs="Times New Roman"/>
                <w:bCs/>
                <w:highlight w:val="none"/>
              </w:rPr>
            </w:pPr>
          </w:p>
        </w:tc>
        <w:tc>
          <w:tcPr>
            <w:tcW w:w="912" w:type="pct"/>
            <w:vAlign w:val="center"/>
          </w:tcPr>
          <w:p>
            <w:pPr>
              <w:tabs>
                <w:tab w:val="clear" w:pos="426"/>
              </w:tabs>
              <w:spacing w:line="240" w:lineRule="auto"/>
              <w:jc w:val="center"/>
              <w:rPr>
                <w:rFonts w:ascii="Times New Roman" w:hAnsi="Times New Roman" w:cs="Times New Roman"/>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0" w:type="pct"/>
            <w:vAlign w:val="center"/>
          </w:tcPr>
          <w:p>
            <w:pPr>
              <w:tabs>
                <w:tab w:val="clear" w:pos="426"/>
              </w:tabs>
              <w:adjustRightInd/>
              <w:snapToGrid/>
              <w:spacing w:line="240" w:lineRule="auto"/>
              <w:jc w:val="center"/>
              <w:rPr>
                <w:rFonts w:hint="eastAsia" w:cs="Arial"/>
                <w:bCs/>
                <w:szCs w:val="21"/>
                <w:highlight w:val="none"/>
              </w:rPr>
            </w:pPr>
            <w:r>
              <w:rPr>
                <w:rFonts w:hint="eastAsia" w:cs="Arial"/>
                <w:bCs/>
                <w:szCs w:val="21"/>
                <w:highlight w:val="none"/>
              </w:rPr>
              <w:t>8</w:t>
            </w:r>
          </w:p>
        </w:tc>
        <w:tc>
          <w:tcPr>
            <w:tcW w:w="1480" w:type="pct"/>
            <w:vAlign w:val="center"/>
          </w:tcPr>
          <w:p>
            <w:pPr>
              <w:tabs>
                <w:tab w:val="clear" w:pos="426"/>
              </w:tabs>
              <w:spacing w:line="240" w:lineRule="auto"/>
              <w:rPr>
                <w:rFonts w:ascii="Times New Roman" w:hAnsi="Times New Roman" w:cs="Times New Roman"/>
                <w:bCs/>
                <w:highlight w:val="none"/>
              </w:rPr>
            </w:pPr>
            <w:r>
              <w:rPr>
                <w:rFonts w:hint="eastAsia" w:ascii="Times New Roman" w:hAnsi="Times New Roman" w:cs="Times New Roman"/>
                <w:bCs/>
                <w:highlight w:val="none"/>
              </w:rPr>
              <w:t>投标人参与本项目政府采购活动时不存在被有关部门禁止参与政府采购活动且在有效期内的情况（提供《投标人资格声明函》，并加盖投标人公章）。</w:t>
            </w:r>
          </w:p>
        </w:tc>
        <w:tc>
          <w:tcPr>
            <w:tcW w:w="1480" w:type="pct"/>
            <w:vAlign w:val="center"/>
          </w:tcPr>
          <w:p>
            <w:pPr>
              <w:tabs>
                <w:tab w:val="clear" w:pos="426"/>
              </w:tabs>
              <w:spacing w:line="240" w:lineRule="auto"/>
              <w:jc w:val="center"/>
              <w:rPr>
                <w:rFonts w:ascii="Times New Roman" w:hAnsi="Times New Roman" w:cs="Times New Roman"/>
                <w:bCs/>
                <w:highlight w:val="none"/>
              </w:rPr>
            </w:pPr>
          </w:p>
        </w:tc>
        <w:tc>
          <w:tcPr>
            <w:tcW w:w="735" w:type="pct"/>
            <w:vAlign w:val="center"/>
          </w:tcPr>
          <w:p>
            <w:pPr>
              <w:tabs>
                <w:tab w:val="clear" w:pos="426"/>
              </w:tabs>
              <w:spacing w:line="240" w:lineRule="auto"/>
              <w:jc w:val="center"/>
              <w:rPr>
                <w:rFonts w:ascii="Times New Roman" w:hAnsi="Times New Roman" w:cs="Times New Roman"/>
                <w:bCs/>
                <w:highlight w:val="none"/>
              </w:rPr>
            </w:pPr>
          </w:p>
        </w:tc>
        <w:tc>
          <w:tcPr>
            <w:tcW w:w="912" w:type="pct"/>
            <w:vAlign w:val="center"/>
          </w:tcPr>
          <w:p>
            <w:pPr>
              <w:tabs>
                <w:tab w:val="clear" w:pos="426"/>
              </w:tabs>
              <w:spacing w:line="240" w:lineRule="auto"/>
              <w:jc w:val="center"/>
              <w:rPr>
                <w:rFonts w:ascii="Times New Roman" w:hAnsi="Times New Roman" w:cs="Times New Roman"/>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0" w:type="pct"/>
            <w:vAlign w:val="center"/>
          </w:tcPr>
          <w:p>
            <w:pPr>
              <w:tabs>
                <w:tab w:val="clear" w:pos="426"/>
              </w:tabs>
              <w:adjustRightInd/>
              <w:snapToGrid/>
              <w:spacing w:line="240" w:lineRule="auto"/>
              <w:jc w:val="center"/>
              <w:rPr>
                <w:rFonts w:hint="eastAsia" w:cs="Arial"/>
                <w:bCs/>
                <w:szCs w:val="21"/>
                <w:highlight w:val="none"/>
              </w:rPr>
            </w:pPr>
            <w:r>
              <w:rPr>
                <w:rFonts w:hint="eastAsia" w:cs="Arial"/>
                <w:bCs/>
                <w:szCs w:val="21"/>
                <w:highlight w:val="none"/>
              </w:rPr>
              <w:t>9</w:t>
            </w:r>
          </w:p>
        </w:tc>
        <w:tc>
          <w:tcPr>
            <w:tcW w:w="1480" w:type="pct"/>
            <w:vAlign w:val="center"/>
          </w:tcPr>
          <w:p>
            <w:pPr>
              <w:tabs>
                <w:tab w:val="clear" w:pos="426"/>
              </w:tabs>
              <w:spacing w:line="240" w:lineRule="auto"/>
              <w:rPr>
                <w:rFonts w:ascii="Times New Roman" w:hAnsi="Times New Roman" w:cs="Times New Roman"/>
                <w:bCs/>
                <w:highlight w:val="none"/>
              </w:rPr>
            </w:pPr>
            <w:r>
              <w:rPr>
                <w:rFonts w:hint="eastAsia" w:ascii="Times New Roman" w:hAnsi="Times New Roman" w:cs="Times New Roman"/>
                <w:bCs/>
                <w:highlight w:val="none"/>
              </w:rPr>
              <w:t>单位负责人为同一人或者存在直接控股、管理关系的不同供应商，不得参加同一合同项下的政府采购活动（提供《投标人资格声明函》，并加盖投标人公章，采购代理机构将通过国家企业信用信息公示系统（https://www.gsxt.gov.cn/index.html）或机关赋码和事业单位登记管理网（http://www.gjsy.gov.cn/sydwfrxxcx/）或全国社会组织信用信息公示平台（https://xxgs.chinanpo.mca.gov.cn/gsxt/newList）网站查询投标人信息，并做好信用信息查询记录和证据留存，信用信息查询记录及相关证据将与其他采购文件一并保存，相关信息以截标当日的查询结果为准）。</w:t>
            </w:r>
          </w:p>
        </w:tc>
        <w:tc>
          <w:tcPr>
            <w:tcW w:w="1480" w:type="pct"/>
            <w:vAlign w:val="center"/>
          </w:tcPr>
          <w:p>
            <w:pPr>
              <w:tabs>
                <w:tab w:val="clear" w:pos="426"/>
              </w:tabs>
              <w:spacing w:line="240" w:lineRule="auto"/>
              <w:jc w:val="center"/>
              <w:rPr>
                <w:rFonts w:ascii="Times New Roman" w:hAnsi="Times New Roman" w:cs="Times New Roman"/>
                <w:bCs/>
                <w:highlight w:val="none"/>
              </w:rPr>
            </w:pPr>
          </w:p>
        </w:tc>
        <w:tc>
          <w:tcPr>
            <w:tcW w:w="735" w:type="pct"/>
            <w:vAlign w:val="center"/>
          </w:tcPr>
          <w:p>
            <w:pPr>
              <w:tabs>
                <w:tab w:val="clear" w:pos="426"/>
              </w:tabs>
              <w:spacing w:line="240" w:lineRule="auto"/>
              <w:jc w:val="center"/>
              <w:rPr>
                <w:rFonts w:ascii="Times New Roman" w:hAnsi="Times New Roman" w:cs="Times New Roman"/>
                <w:bCs/>
                <w:highlight w:val="none"/>
              </w:rPr>
            </w:pPr>
          </w:p>
        </w:tc>
        <w:tc>
          <w:tcPr>
            <w:tcW w:w="912" w:type="pct"/>
            <w:vAlign w:val="center"/>
          </w:tcPr>
          <w:p>
            <w:pPr>
              <w:tabs>
                <w:tab w:val="clear" w:pos="426"/>
              </w:tabs>
              <w:spacing w:line="240" w:lineRule="auto"/>
              <w:jc w:val="center"/>
              <w:rPr>
                <w:rFonts w:ascii="Times New Roman" w:hAnsi="Times New Roman" w:cs="Times New Roman"/>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highlight w:val="none"/>
              </w:rPr>
            </w:pPr>
            <w:r>
              <w:rPr>
                <w:rFonts w:hint="eastAsia" w:cs="Arial"/>
                <w:bCs/>
                <w:szCs w:val="21"/>
                <w:highlight w:val="none"/>
              </w:rPr>
              <w:t>10</w:t>
            </w:r>
          </w:p>
        </w:tc>
        <w:tc>
          <w:tcPr>
            <w:tcW w:w="1480" w:type="pct"/>
            <w:vAlign w:val="center"/>
          </w:tcPr>
          <w:p>
            <w:pPr>
              <w:tabs>
                <w:tab w:val="clear" w:pos="426"/>
              </w:tabs>
              <w:spacing w:line="240" w:lineRule="auto"/>
              <w:rPr>
                <w:rFonts w:ascii="Times New Roman" w:hAnsi="Times New Roman" w:cs="Times New Roman"/>
                <w:bCs/>
                <w:highlight w:val="none"/>
              </w:rPr>
            </w:pPr>
            <w:r>
              <w:rPr>
                <w:rFonts w:hint="eastAsia" w:ascii="Times New Roman" w:hAnsi="Times New Roman" w:cs="Times New Roman"/>
                <w:bCs/>
                <w:highlight w:val="none"/>
              </w:rPr>
              <w:t>为采购项目提供整体设计、规范编制或者项目管理、监理、检测等服务的供应商，不得再参加该采购项目的其他采购活动（提供《投标人资格声明函》，并加盖投标人公章）。</w:t>
            </w:r>
          </w:p>
        </w:tc>
        <w:tc>
          <w:tcPr>
            <w:tcW w:w="1480" w:type="pct"/>
            <w:vAlign w:val="center"/>
          </w:tcPr>
          <w:p>
            <w:pPr>
              <w:tabs>
                <w:tab w:val="clear" w:pos="426"/>
              </w:tabs>
              <w:spacing w:line="240" w:lineRule="auto"/>
              <w:jc w:val="center"/>
              <w:rPr>
                <w:rFonts w:ascii="Times New Roman" w:hAnsi="Times New Roman" w:cs="Times New Roman"/>
                <w:bCs/>
                <w:highlight w:val="none"/>
              </w:rPr>
            </w:pPr>
          </w:p>
        </w:tc>
        <w:tc>
          <w:tcPr>
            <w:tcW w:w="735" w:type="pct"/>
            <w:vAlign w:val="center"/>
          </w:tcPr>
          <w:p>
            <w:pPr>
              <w:tabs>
                <w:tab w:val="clear" w:pos="426"/>
              </w:tabs>
              <w:spacing w:line="240" w:lineRule="auto"/>
              <w:jc w:val="center"/>
              <w:rPr>
                <w:rFonts w:ascii="Times New Roman" w:hAnsi="Times New Roman" w:cs="Times New Roman"/>
                <w:bCs/>
                <w:highlight w:val="none"/>
              </w:rPr>
            </w:pPr>
          </w:p>
        </w:tc>
        <w:tc>
          <w:tcPr>
            <w:tcW w:w="912" w:type="pct"/>
            <w:vAlign w:val="center"/>
          </w:tcPr>
          <w:p>
            <w:pPr>
              <w:tabs>
                <w:tab w:val="clear" w:pos="426"/>
              </w:tabs>
              <w:spacing w:line="240" w:lineRule="auto"/>
              <w:jc w:val="center"/>
              <w:rPr>
                <w:rFonts w:ascii="Times New Roman" w:hAnsi="Times New Roman" w:cs="Times New Roman"/>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highlight w:val="none"/>
              </w:rPr>
            </w:pPr>
            <w:r>
              <w:rPr>
                <w:rFonts w:hint="eastAsia" w:cs="Arial"/>
                <w:bCs/>
                <w:szCs w:val="21"/>
                <w:highlight w:val="none"/>
              </w:rPr>
              <w:t>11</w:t>
            </w:r>
          </w:p>
        </w:tc>
        <w:tc>
          <w:tcPr>
            <w:tcW w:w="1480" w:type="pct"/>
            <w:vAlign w:val="center"/>
          </w:tcPr>
          <w:p>
            <w:pPr>
              <w:tabs>
                <w:tab w:val="clear" w:pos="426"/>
              </w:tabs>
              <w:spacing w:line="240" w:lineRule="auto"/>
              <w:rPr>
                <w:rFonts w:ascii="Times New Roman" w:hAnsi="Times New Roman" w:cs="Times New Roman"/>
                <w:bCs/>
                <w:highlight w:val="none"/>
              </w:rPr>
            </w:pPr>
            <w:r>
              <w:rPr>
                <w:rFonts w:hint="eastAsia" w:ascii="Times New Roman" w:hAnsi="Times New Roman" w:cs="Times New Roman"/>
                <w:bCs/>
                <w:highlight w:val="none"/>
              </w:rPr>
              <w:t>参与本项目政府采购活动不存在与其他采购参加人串通投标，隐瞒真实情况，提供虚假资料等违法违规情形（提供《投标人资格声明函》，并加盖投标人公章）</w:t>
            </w:r>
          </w:p>
        </w:tc>
        <w:tc>
          <w:tcPr>
            <w:tcW w:w="1480" w:type="pct"/>
            <w:vAlign w:val="center"/>
          </w:tcPr>
          <w:p>
            <w:pPr>
              <w:tabs>
                <w:tab w:val="clear" w:pos="426"/>
              </w:tabs>
              <w:spacing w:line="240" w:lineRule="auto"/>
              <w:jc w:val="center"/>
              <w:rPr>
                <w:rFonts w:ascii="Times New Roman" w:hAnsi="Times New Roman" w:cs="Times New Roman"/>
                <w:bCs/>
                <w:highlight w:val="none"/>
              </w:rPr>
            </w:pPr>
          </w:p>
        </w:tc>
        <w:tc>
          <w:tcPr>
            <w:tcW w:w="735" w:type="pct"/>
            <w:vAlign w:val="center"/>
          </w:tcPr>
          <w:p>
            <w:pPr>
              <w:tabs>
                <w:tab w:val="clear" w:pos="426"/>
              </w:tabs>
              <w:spacing w:line="240" w:lineRule="auto"/>
              <w:jc w:val="center"/>
              <w:rPr>
                <w:rFonts w:ascii="Times New Roman" w:hAnsi="Times New Roman" w:cs="Times New Roman"/>
                <w:bCs/>
                <w:highlight w:val="none"/>
              </w:rPr>
            </w:pPr>
          </w:p>
        </w:tc>
        <w:tc>
          <w:tcPr>
            <w:tcW w:w="912" w:type="pct"/>
            <w:vAlign w:val="center"/>
          </w:tcPr>
          <w:p>
            <w:pPr>
              <w:tabs>
                <w:tab w:val="clear" w:pos="426"/>
              </w:tabs>
              <w:spacing w:line="240" w:lineRule="auto"/>
              <w:jc w:val="center"/>
              <w:rPr>
                <w:rFonts w:ascii="Times New Roman" w:hAnsi="Times New Roman" w:cs="Times New Roman"/>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highlight w:val="none"/>
              </w:rPr>
            </w:pPr>
            <w:r>
              <w:rPr>
                <w:rFonts w:hint="eastAsia" w:cs="Arial"/>
                <w:bCs/>
                <w:szCs w:val="21"/>
                <w:highlight w:val="none"/>
              </w:rPr>
              <w:t>12</w:t>
            </w:r>
          </w:p>
        </w:tc>
        <w:tc>
          <w:tcPr>
            <w:tcW w:w="1480" w:type="pct"/>
            <w:vAlign w:val="center"/>
          </w:tcPr>
          <w:p>
            <w:pPr>
              <w:tabs>
                <w:tab w:val="clear" w:pos="426"/>
              </w:tabs>
              <w:spacing w:line="240" w:lineRule="auto"/>
              <w:rPr>
                <w:rFonts w:ascii="Times New Roman" w:hAnsi="Times New Roman" w:cs="Times New Roman"/>
                <w:bCs/>
                <w:highlight w:val="none"/>
              </w:rPr>
            </w:pPr>
            <w:r>
              <w:rPr>
                <w:rFonts w:hint="eastAsia" w:ascii="Times New Roman" w:hAnsi="Times New Roman" w:cs="Times New Roman"/>
                <w:bCs/>
                <w:highlight w:val="none"/>
              </w:rPr>
              <w:t>本项目不接受联合体形式进行投标，不允许转包及分包。</w:t>
            </w:r>
          </w:p>
        </w:tc>
        <w:tc>
          <w:tcPr>
            <w:tcW w:w="1480" w:type="pct"/>
            <w:vAlign w:val="center"/>
          </w:tcPr>
          <w:p>
            <w:pPr>
              <w:tabs>
                <w:tab w:val="clear" w:pos="426"/>
              </w:tabs>
              <w:spacing w:line="240" w:lineRule="auto"/>
              <w:jc w:val="center"/>
              <w:rPr>
                <w:rFonts w:ascii="Times New Roman" w:hAnsi="Times New Roman" w:cs="Times New Roman"/>
                <w:bCs/>
                <w:highlight w:val="none"/>
              </w:rPr>
            </w:pPr>
          </w:p>
        </w:tc>
        <w:tc>
          <w:tcPr>
            <w:tcW w:w="735" w:type="pct"/>
            <w:vAlign w:val="center"/>
          </w:tcPr>
          <w:p>
            <w:pPr>
              <w:tabs>
                <w:tab w:val="clear" w:pos="426"/>
              </w:tabs>
              <w:spacing w:line="240" w:lineRule="auto"/>
              <w:jc w:val="center"/>
              <w:rPr>
                <w:rFonts w:ascii="Times New Roman" w:hAnsi="Times New Roman" w:cs="Times New Roman"/>
                <w:bCs/>
                <w:highlight w:val="none"/>
              </w:rPr>
            </w:pPr>
          </w:p>
        </w:tc>
        <w:tc>
          <w:tcPr>
            <w:tcW w:w="912" w:type="pct"/>
            <w:vAlign w:val="center"/>
          </w:tcPr>
          <w:p>
            <w:pPr>
              <w:tabs>
                <w:tab w:val="clear" w:pos="426"/>
              </w:tabs>
              <w:spacing w:line="240" w:lineRule="auto"/>
              <w:jc w:val="center"/>
              <w:rPr>
                <w:rFonts w:ascii="Times New Roman" w:hAnsi="Times New Roman" w:cs="Times New Roman"/>
                <w:bCs/>
                <w:highlight w:val="none"/>
              </w:rPr>
            </w:pPr>
          </w:p>
        </w:tc>
      </w:tr>
    </w:tbl>
    <w:p>
      <w:pPr>
        <w:tabs>
          <w:tab w:val="clear" w:pos="426"/>
        </w:tabs>
        <w:spacing w:line="240" w:lineRule="auto"/>
        <w:rPr>
          <w:rFonts w:ascii="Times New Roman" w:hAnsi="Times New Roman" w:cs="Times New Roman"/>
          <w:bCs/>
          <w:highlight w:val="none"/>
        </w:rPr>
      </w:pPr>
      <w:r>
        <w:rPr>
          <w:rFonts w:ascii="Times New Roman" w:hAnsi="Times New Roman" w:cs="Times New Roman"/>
          <w:bCs/>
          <w:highlight w:val="none"/>
        </w:rPr>
        <w:t>备注：</w:t>
      </w:r>
    </w:p>
    <w:p>
      <w:pPr>
        <w:tabs>
          <w:tab w:val="clear" w:pos="426"/>
        </w:tabs>
        <w:spacing w:line="240" w:lineRule="auto"/>
        <w:ind w:firstLine="424" w:firstLineChars="202"/>
        <w:rPr>
          <w:rFonts w:ascii="Times New Roman" w:hAnsi="Times New Roman" w:cs="Times New Roman"/>
          <w:bCs/>
          <w:highlight w:val="none"/>
        </w:rPr>
      </w:pPr>
      <w:r>
        <w:rPr>
          <w:rFonts w:ascii="Times New Roman" w:hAnsi="Times New Roman" w:cs="Times New Roman"/>
          <w:bCs/>
          <w:highlight w:val="none"/>
        </w:rPr>
        <w:t>1.“</w:t>
      </w:r>
      <w:r>
        <w:rPr>
          <w:rFonts w:hint="eastAsia" w:ascii="Times New Roman" w:hAnsi="Times New Roman" w:cs="Times New Roman"/>
          <w:bCs/>
          <w:highlight w:val="none"/>
        </w:rPr>
        <w:t>资格条款</w:t>
      </w:r>
      <w:r>
        <w:rPr>
          <w:rFonts w:ascii="Times New Roman" w:hAnsi="Times New Roman" w:cs="Times New Roman"/>
          <w:bCs/>
          <w:highlight w:val="none"/>
        </w:rPr>
        <w:t>”一栏应填写招标文件</w:t>
      </w:r>
      <w:r>
        <w:rPr>
          <w:rFonts w:hint="eastAsia" w:ascii="Times New Roman" w:hAnsi="Times New Roman" w:cs="Times New Roman"/>
          <w:bCs/>
          <w:highlight w:val="none"/>
        </w:rPr>
        <w:t xml:space="preserve">第一册 </w:t>
      </w:r>
      <w:r>
        <w:rPr>
          <w:rFonts w:ascii="Times New Roman" w:hAnsi="Times New Roman" w:cs="Times New Roman"/>
          <w:bCs/>
          <w:highlight w:val="none"/>
        </w:rPr>
        <w:t>第</w:t>
      </w:r>
      <w:r>
        <w:rPr>
          <w:rFonts w:hint="eastAsia" w:ascii="Times New Roman" w:hAnsi="Times New Roman" w:cs="Times New Roman"/>
          <w:bCs/>
          <w:highlight w:val="none"/>
        </w:rPr>
        <w:t>一</w:t>
      </w:r>
      <w:r>
        <w:rPr>
          <w:rFonts w:ascii="Times New Roman" w:hAnsi="Times New Roman" w:cs="Times New Roman"/>
          <w:bCs/>
          <w:highlight w:val="none"/>
        </w:rPr>
        <w:t>章“</w:t>
      </w:r>
      <w:r>
        <w:rPr>
          <w:rFonts w:hint="eastAsia" w:ascii="Times New Roman" w:hAnsi="Times New Roman" w:cs="Times New Roman"/>
          <w:bCs/>
          <w:highlight w:val="none"/>
        </w:rPr>
        <w:t>二、申请人的资格要求</w:t>
      </w:r>
      <w:r>
        <w:rPr>
          <w:rFonts w:ascii="Times New Roman" w:hAnsi="Times New Roman" w:cs="Times New Roman"/>
          <w:bCs/>
          <w:highlight w:val="none"/>
        </w:rPr>
        <w:t>”的内容；</w:t>
      </w:r>
    </w:p>
    <w:p>
      <w:pPr>
        <w:tabs>
          <w:tab w:val="clear" w:pos="426"/>
        </w:tabs>
        <w:spacing w:line="240" w:lineRule="auto"/>
        <w:ind w:firstLine="424" w:firstLineChars="202"/>
        <w:rPr>
          <w:rFonts w:ascii="Times New Roman" w:hAnsi="Times New Roman" w:cs="Times New Roman"/>
          <w:bCs/>
          <w:highlight w:val="none"/>
        </w:rPr>
      </w:pPr>
      <w:r>
        <w:rPr>
          <w:rFonts w:ascii="Times New Roman" w:hAnsi="Times New Roman" w:cs="Times New Roman"/>
          <w:bCs/>
          <w:highlight w:val="none"/>
        </w:rPr>
        <w:t>2.“</w:t>
      </w:r>
      <w:r>
        <w:rPr>
          <w:rFonts w:hint="eastAsia" w:ascii="Times New Roman" w:hAnsi="Times New Roman" w:cs="Times New Roman"/>
          <w:bCs/>
          <w:highlight w:val="none"/>
        </w:rPr>
        <w:t>响应情况</w:t>
      </w:r>
      <w:r>
        <w:rPr>
          <w:rFonts w:ascii="Times New Roman" w:hAnsi="Times New Roman" w:cs="Times New Roman"/>
          <w:bCs/>
          <w:highlight w:val="none"/>
        </w:rPr>
        <w:t>”一栏必须</w:t>
      </w:r>
      <w:r>
        <w:rPr>
          <w:rFonts w:hint="eastAsia" w:ascii="Times New Roman" w:hAnsi="Times New Roman" w:cs="Times New Roman"/>
          <w:bCs/>
          <w:highlight w:val="none"/>
        </w:rPr>
        <w:t>如实填写投标人自身情况</w:t>
      </w:r>
      <w:r>
        <w:rPr>
          <w:rFonts w:ascii="Times New Roman" w:hAnsi="Times New Roman" w:cs="Times New Roman"/>
          <w:bCs/>
          <w:highlight w:val="none"/>
        </w:rPr>
        <w:t>，并应对照</w:t>
      </w:r>
      <w:r>
        <w:rPr>
          <w:rFonts w:hint="eastAsia" w:ascii="Times New Roman" w:hAnsi="Times New Roman" w:cs="Times New Roman"/>
          <w:bCs/>
          <w:highlight w:val="none"/>
        </w:rPr>
        <w:t>资格条款</w:t>
      </w:r>
      <w:r>
        <w:rPr>
          <w:rFonts w:ascii="Times New Roman" w:hAnsi="Times New Roman" w:cs="Times New Roman"/>
          <w:bCs/>
          <w:highlight w:val="none"/>
        </w:rPr>
        <w:t>一一对应响应；</w:t>
      </w:r>
    </w:p>
    <w:p>
      <w:pPr>
        <w:tabs>
          <w:tab w:val="clear" w:pos="426"/>
        </w:tabs>
        <w:spacing w:line="240" w:lineRule="auto"/>
        <w:ind w:firstLine="424" w:firstLineChars="202"/>
        <w:rPr>
          <w:rFonts w:ascii="Times New Roman" w:hAnsi="Times New Roman" w:cs="Times New Roman"/>
          <w:bCs/>
          <w:highlight w:val="none"/>
        </w:rPr>
      </w:pPr>
      <w:r>
        <w:rPr>
          <w:rFonts w:ascii="Times New Roman" w:hAnsi="Times New Roman" w:cs="Times New Roman"/>
          <w:bCs/>
          <w:highlight w:val="none"/>
        </w:rPr>
        <w:t>3</w:t>
      </w:r>
      <w:r>
        <w:rPr>
          <w:rFonts w:hint="eastAsia" w:ascii="Times New Roman" w:hAnsi="Times New Roman" w:cs="Times New Roman"/>
          <w:bCs/>
          <w:highlight w:val="none"/>
        </w:rPr>
        <w:t>.</w:t>
      </w:r>
      <w:r>
        <w:rPr>
          <w:rFonts w:ascii="Times New Roman" w:hAnsi="Times New Roman" w:cs="Times New Roman"/>
          <w:bCs/>
          <w:highlight w:val="none"/>
        </w:rPr>
        <w:t>“偏离情况”一栏应如实填写“正偏离”、“负偏离”或“无偏离”</w:t>
      </w:r>
      <w:r>
        <w:rPr>
          <w:rFonts w:hint="eastAsia" w:ascii="Times New Roman" w:hAnsi="Times New Roman" w:cs="Times New Roman"/>
          <w:bCs/>
          <w:highlight w:val="none"/>
        </w:rPr>
        <w:t>，</w:t>
      </w:r>
      <w:r>
        <w:rPr>
          <w:rFonts w:ascii="Times New Roman" w:hAnsi="Times New Roman" w:cs="Times New Roman"/>
          <w:bCs/>
          <w:highlight w:val="none"/>
        </w:rPr>
        <w:t>负偏离视为未实质性满足招标文件要求作投标无效处理。</w:t>
      </w:r>
    </w:p>
    <w:p>
      <w:pPr>
        <w:tabs>
          <w:tab w:val="clear" w:pos="426"/>
        </w:tabs>
        <w:spacing w:line="240" w:lineRule="auto"/>
        <w:ind w:firstLine="424" w:firstLineChars="202"/>
        <w:rPr>
          <w:rFonts w:ascii="Times New Roman" w:hAnsi="Times New Roman" w:cs="Times New Roman"/>
          <w:bCs/>
          <w:highlight w:val="none"/>
        </w:rPr>
      </w:pPr>
      <w:r>
        <w:rPr>
          <w:rFonts w:ascii="Times New Roman" w:hAnsi="Times New Roman" w:cs="Times New Roman"/>
          <w:bCs/>
          <w:highlight w:val="none"/>
        </w:rPr>
        <w:t>4.</w:t>
      </w:r>
      <w:r>
        <w:rPr>
          <w:rFonts w:hint="eastAsia" w:ascii="Times New Roman" w:hAnsi="Times New Roman" w:cs="Times New Roman"/>
          <w:bCs/>
          <w:highlight w:val="none"/>
        </w:rPr>
        <w:t>“说明”</w:t>
      </w:r>
      <w:r>
        <w:rPr>
          <w:rFonts w:ascii="Times New Roman" w:hAnsi="Times New Roman" w:cs="Times New Roman"/>
          <w:bCs/>
          <w:highlight w:val="none"/>
        </w:rPr>
        <w:t>一栏</w:t>
      </w:r>
      <w:r>
        <w:rPr>
          <w:rFonts w:hint="eastAsia" w:ascii="Times New Roman" w:hAnsi="Times New Roman" w:cs="Times New Roman"/>
          <w:bCs/>
          <w:highlight w:val="none"/>
        </w:rPr>
        <w:t>填写所要求的证明材料（如有）的对应页码或阐明其他补充内容。</w:t>
      </w:r>
    </w:p>
    <w:p>
      <w:pPr>
        <w:tabs>
          <w:tab w:val="clear" w:pos="426"/>
        </w:tabs>
        <w:spacing w:line="240" w:lineRule="auto"/>
        <w:ind w:firstLine="424" w:firstLineChars="202"/>
        <w:rPr>
          <w:rFonts w:ascii="Times New Roman" w:hAnsi="Times New Roman" w:cs="Times New Roman"/>
          <w:bCs/>
          <w:highlight w:val="none"/>
        </w:rPr>
      </w:pPr>
      <w:r>
        <w:rPr>
          <w:rFonts w:hint="eastAsia" w:ascii="Times New Roman" w:hAnsi="Times New Roman" w:cs="Times New Roman"/>
          <w:bCs/>
          <w:highlight w:val="none"/>
        </w:rPr>
        <w:t>5.投标人所填写的“偏离情况”与评审委员会判定不一致时，以评审委员会意见为主。</w:t>
      </w:r>
    </w:p>
    <w:p>
      <w:pPr>
        <w:rPr>
          <w:rFonts w:hint="eastAsia"/>
          <w:highlight w:val="none"/>
        </w:rPr>
      </w:pPr>
    </w:p>
    <w:p>
      <w:pPr>
        <w:rPr>
          <w:rFonts w:hint="eastAsia"/>
          <w:highlight w:val="none"/>
        </w:rPr>
      </w:pPr>
      <w:r>
        <w:rPr>
          <w:rFonts w:hint="eastAsia"/>
          <w:highlight w:val="none"/>
        </w:rPr>
        <w:br w:type="page"/>
      </w:r>
    </w:p>
    <w:p>
      <w:pPr>
        <w:adjustRightInd/>
        <w:snapToGrid/>
        <w:spacing w:before="280" w:after="290" w:line="377" w:lineRule="auto"/>
        <w:outlineLvl w:val="2"/>
        <w:rPr>
          <w:rFonts w:hint="eastAsia"/>
          <w:b/>
          <w:sz w:val="24"/>
          <w:highlight w:val="none"/>
        </w:rPr>
      </w:pPr>
      <w:bookmarkStart w:id="116" w:name="_Toc3927"/>
      <w:r>
        <w:rPr>
          <w:rFonts w:hint="eastAsia"/>
          <w:b/>
          <w:sz w:val="24"/>
          <w:highlight w:val="none"/>
        </w:rPr>
        <w:t>格式5：法人或者其他组织的营业执照等证明文件</w:t>
      </w:r>
      <w:bookmarkEnd w:id="116"/>
    </w:p>
    <w:p>
      <w:pPr>
        <w:tabs>
          <w:tab w:val="clear" w:pos="426"/>
        </w:tabs>
        <w:spacing w:before="231" w:beforeLines="50"/>
        <w:ind w:firstLine="424" w:firstLineChars="201"/>
        <w:rPr>
          <w:rFonts w:hint="eastAsia"/>
          <w:b/>
          <w:highlight w:val="none"/>
        </w:rPr>
      </w:pPr>
      <w:r>
        <w:rPr>
          <w:rFonts w:hint="eastAsia"/>
          <w:b/>
          <w:highlight w:val="none"/>
        </w:rPr>
        <w:t>投标人须按本招标文件第一章投标邀请 “申请人的资格要求”提供相关的资质证明，且已接受报名的单位，不代表资格审查通过。投标文件中未提供或提供不完整、不符合要求的，投标文件将按无效标的情形处理。</w:t>
      </w:r>
    </w:p>
    <w:p>
      <w:pPr>
        <w:rPr>
          <w:rFonts w:hint="eastAsia"/>
          <w:b/>
          <w:sz w:val="24"/>
          <w:highlight w:val="none"/>
        </w:rPr>
      </w:pPr>
      <w:bookmarkStart w:id="117" w:name="_Toc151386165"/>
      <w:bookmarkStart w:id="118" w:name="_Toc150960255"/>
      <w:r>
        <w:rPr>
          <w:rFonts w:hint="eastAsia"/>
          <w:b/>
          <w:sz w:val="24"/>
          <w:highlight w:val="none"/>
        </w:rPr>
        <w:br w:type="page"/>
      </w:r>
    </w:p>
    <w:p>
      <w:pPr>
        <w:adjustRightInd/>
        <w:snapToGrid/>
        <w:spacing w:before="280" w:after="290" w:line="377" w:lineRule="auto"/>
        <w:outlineLvl w:val="2"/>
        <w:rPr>
          <w:rFonts w:hint="eastAsia"/>
          <w:b/>
          <w:sz w:val="24"/>
          <w:highlight w:val="none"/>
        </w:rPr>
      </w:pPr>
      <w:bookmarkStart w:id="119" w:name="_Toc21226"/>
      <w:r>
        <w:rPr>
          <w:rFonts w:hint="eastAsia"/>
          <w:b/>
          <w:sz w:val="24"/>
          <w:highlight w:val="none"/>
        </w:rPr>
        <w:t>格式6：投标人资格声明函</w:t>
      </w:r>
      <w:bookmarkEnd w:id="119"/>
    </w:p>
    <w:p>
      <w:pPr>
        <w:widowControl w:val="0"/>
        <w:shd w:val="clear" w:color="auto" w:fill="auto"/>
        <w:tabs>
          <w:tab w:val="clear" w:pos="426"/>
        </w:tabs>
        <w:adjustRightInd/>
        <w:snapToGrid/>
        <w:spacing w:line="300" w:lineRule="auto"/>
        <w:jc w:val="center"/>
        <w:rPr>
          <w:rFonts w:hint="eastAsia" w:cs="Times New Roman"/>
          <w:bCs/>
          <w:kern w:val="2"/>
          <w:sz w:val="32"/>
          <w:szCs w:val="32"/>
          <w:highlight w:val="none"/>
        </w:rPr>
      </w:pPr>
      <w:r>
        <w:rPr>
          <w:rFonts w:hint="eastAsia" w:cs="Times New Roman"/>
          <w:bCs/>
          <w:kern w:val="2"/>
          <w:sz w:val="32"/>
          <w:szCs w:val="32"/>
          <w:highlight w:val="none"/>
        </w:rPr>
        <w:t>投标人资格声明函</w:t>
      </w:r>
    </w:p>
    <w:p>
      <w:pPr>
        <w:tabs>
          <w:tab w:val="clear" w:pos="426"/>
        </w:tabs>
        <w:rPr>
          <w:rFonts w:hint="eastAsia"/>
          <w:highlight w:val="none"/>
        </w:rPr>
      </w:pPr>
    </w:p>
    <w:p>
      <w:pPr>
        <w:tabs>
          <w:tab w:val="clear" w:pos="426"/>
        </w:tabs>
        <w:rPr>
          <w:rFonts w:hint="eastAsia"/>
          <w:highlight w:val="none"/>
        </w:rPr>
      </w:pPr>
      <w:r>
        <w:rPr>
          <w:rFonts w:hint="eastAsia"/>
          <w:highlight w:val="none"/>
        </w:rPr>
        <w:t>深圳市深水水务咨询有限公司：</w:t>
      </w:r>
    </w:p>
    <w:p>
      <w:pPr>
        <w:ind w:firstLine="424" w:firstLineChars="202"/>
        <w:rPr>
          <w:rFonts w:hAnsi="Times New Roman"/>
          <w:highlight w:val="none"/>
        </w:rPr>
      </w:pPr>
      <w:r>
        <w:rPr>
          <w:rFonts w:hint="eastAsia" w:hAnsi="Times New Roman"/>
          <w:highlight w:val="none"/>
        </w:rPr>
        <w:t>关于贵公司发布</w:t>
      </w:r>
      <w:r>
        <w:rPr>
          <w:rFonts w:hint="eastAsia" w:hAnsi="Times New Roman"/>
          <w:szCs w:val="21"/>
          <w:highlight w:val="none"/>
          <w:u w:val="single"/>
        </w:rPr>
        <w:t>（项目名称</w:t>
      </w:r>
      <w:r>
        <w:rPr>
          <w:rFonts w:hAnsi="Times New Roman"/>
          <w:szCs w:val="21"/>
          <w:highlight w:val="none"/>
          <w:u w:val="single"/>
        </w:rPr>
        <w:t>)</w:t>
      </w:r>
      <w:r>
        <w:rPr>
          <w:rFonts w:hint="eastAsia" w:hAnsi="Times New Roman"/>
          <w:highlight w:val="none"/>
        </w:rPr>
        <w:t>项目（项目编号：</w:t>
      </w:r>
      <w:r>
        <w:rPr>
          <w:rFonts w:hint="eastAsia" w:hAnsi="Times New Roman"/>
          <w:highlight w:val="none"/>
          <w:u w:val="single"/>
        </w:rPr>
        <w:t>（项目编号）</w:t>
      </w:r>
      <w:r>
        <w:rPr>
          <w:rFonts w:hint="eastAsia" w:hAnsi="Times New Roman"/>
          <w:highlight w:val="none"/>
        </w:rPr>
        <w:t>）的招标公告，本公司（企业）愿意参加投标，并声明：</w:t>
      </w:r>
    </w:p>
    <w:p>
      <w:pPr>
        <w:ind w:firstLine="424" w:firstLineChars="202"/>
        <w:rPr>
          <w:rFonts w:hAnsi="Times New Roman"/>
          <w:highlight w:val="none"/>
        </w:rPr>
      </w:pPr>
      <w:r>
        <w:rPr>
          <w:rFonts w:hint="eastAsia" w:hAnsi="Times New Roman"/>
          <w:highlight w:val="none"/>
        </w:rPr>
        <w:t>我单位承诺：</w:t>
      </w:r>
    </w:p>
    <w:p>
      <w:pPr>
        <w:ind w:firstLine="424" w:firstLineChars="202"/>
        <w:rPr>
          <w:rFonts w:hAnsi="Times New Roman"/>
          <w:highlight w:val="none"/>
        </w:rPr>
      </w:pPr>
      <w:r>
        <w:rPr>
          <w:rFonts w:hint="eastAsia" w:hAnsi="Times New Roman"/>
          <w:highlight w:val="none"/>
        </w:rPr>
        <w:t>1.我单位参与本项目所投标（响应）的货物、工程或服务，不存在侵犯知识产权的情况；已知悉并同意中标（成交）结果信息公示（公开）的内容。</w:t>
      </w:r>
    </w:p>
    <w:p>
      <w:pPr>
        <w:ind w:firstLine="424" w:firstLineChars="202"/>
        <w:rPr>
          <w:rFonts w:hAnsi="Times New Roman"/>
          <w:highlight w:val="none"/>
        </w:rPr>
      </w:pPr>
      <w:r>
        <w:rPr>
          <w:rFonts w:hint="eastAsia" w:hAnsi="Times New Roman"/>
          <w:highlight w:val="none"/>
        </w:rPr>
        <w:t>2.我单位参与该项目投标，符合招标文件关于联合体及进口产品的相关资格要求。</w:t>
      </w:r>
    </w:p>
    <w:p>
      <w:pPr>
        <w:ind w:firstLine="424" w:firstLineChars="202"/>
        <w:rPr>
          <w:rFonts w:hAnsi="Times New Roman"/>
          <w:highlight w:val="none"/>
        </w:rPr>
      </w:pPr>
      <w:r>
        <w:rPr>
          <w:rFonts w:hint="eastAsia" w:hAnsi="Times New Roman"/>
          <w:highlight w:val="none"/>
        </w:rPr>
        <w:t>3.我单位参与本项目政府采购活动时不存在被有关部门禁止参与政府采购活动且在有效期内的情况。</w:t>
      </w:r>
    </w:p>
    <w:p>
      <w:pPr>
        <w:ind w:firstLine="424" w:firstLineChars="202"/>
        <w:rPr>
          <w:rFonts w:hAnsi="Times New Roman"/>
          <w:highlight w:val="none"/>
        </w:rPr>
      </w:pPr>
      <w:r>
        <w:rPr>
          <w:rFonts w:hint="eastAsia" w:hAnsi="Times New Roman"/>
          <w:highlight w:val="none"/>
        </w:rPr>
        <w:t>4</w:t>
      </w:r>
      <w:r>
        <w:rPr>
          <w:rFonts w:hAnsi="Times New Roman"/>
          <w:highlight w:val="none"/>
        </w:rPr>
        <w:t>.</w:t>
      </w:r>
      <w:r>
        <w:rPr>
          <w:rFonts w:hint="eastAsia" w:hAnsi="Times New Roman"/>
          <w:highlight w:val="none"/>
        </w:rPr>
        <w:t>我单位参与本项目投标前三年内，在经营活动中没有重大违法记录。</w:t>
      </w:r>
    </w:p>
    <w:p>
      <w:pPr>
        <w:ind w:firstLine="424" w:firstLineChars="202"/>
        <w:rPr>
          <w:rFonts w:hAnsi="Times New Roman"/>
          <w:highlight w:val="none"/>
        </w:rPr>
      </w:pPr>
      <w:r>
        <w:rPr>
          <w:rFonts w:hAnsi="Times New Roman"/>
          <w:highlight w:val="none"/>
        </w:rPr>
        <w:t>5</w:t>
      </w:r>
      <w:r>
        <w:rPr>
          <w:rFonts w:hint="eastAsia" w:hAnsi="Times New Roman"/>
          <w:highlight w:val="none"/>
        </w:rPr>
        <w:t>.我单位参与本项目投标近三年内，在经营活动中没有发生重大安全和质量事故。</w:t>
      </w:r>
    </w:p>
    <w:p>
      <w:pPr>
        <w:ind w:firstLine="424" w:firstLineChars="202"/>
        <w:rPr>
          <w:rFonts w:hAnsi="Times New Roman"/>
          <w:highlight w:val="none"/>
        </w:rPr>
      </w:pPr>
      <w:r>
        <w:rPr>
          <w:rFonts w:hAnsi="Times New Roman"/>
          <w:highlight w:val="none"/>
        </w:rPr>
        <w:t>6.</w:t>
      </w:r>
      <w:r>
        <w:rPr>
          <w:rFonts w:hint="eastAsia" w:hAnsi="Times New Roman"/>
          <w:highlight w:val="none"/>
        </w:rPr>
        <w:t>我单位具备《中华人民共和国政府采购法》第二十二条的条件。</w:t>
      </w:r>
    </w:p>
    <w:p>
      <w:pPr>
        <w:ind w:firstLine="424" w:firstLineChars="202"/>
        <w:rPr>
          <w:rFonts w:hAnsi="Times New Roman"/>
          <w:highlight w:val="none"/>
        </w:rPr>
      </w:pPr>
      <w:r>
        <w:rPr>
          <w:rFonts w:hAnsi="Times New Roman"/>
          <w:highlight w:val="none"/>
        </w:rPr>
        <w:t>7</w:t>
      </w:r>
      <w:r>
        <w:rPr>
          <w:rFonts w:hint="eastAsia" w:hAnsi="Times New Roman"/>
          <w:highlight w:val="none"/>
        </w:rPr>
        <w:t>.我单位未被列入失信被执行人、重大税收违法案件当事人名单（重大税收违法失信主体）、政府采购严重违法失信行为记录名单</w:t>
      </w:r>
    </w:p>
    <w:p>
      <w:pPr>
        <w:ind w:firstLine="424" w:firstLineChars="202"/>
        <w:rPr>
          <w:rFonts w:hAnsi="Times New Roman"/>
          <w:highlight w:val="none"/>
        </w:rPr>
      </w:pPr>
      <w:r>
        <w:rPr>
          <w:rFonts w:hAnsi="Times New Roman"/>
          <w:highlight w:val="none"/>
        </w:rPr>
        <w:t>8</w:t>
      </w:r>
      <w:r>
        <w:rPr>
          <w:rFonts w:hint="eastAsia" w:hAnsi="Times New Roman"/>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4" w:firstLineChars="202"/>
        <w:rPr>
          <w:rFonts w:hAnsi="Times New Roman"/>
          <w:highlight w:val="none"/>
        </w:rPr>
      </w:pPr>
      <w:r>
        <w:rPr>
          <w:rFonts w:hAnsi="Times New Roman"/>
          <w:highlight w:val="none"/>
        </w:rPr>
        <w:t>9</w:t>
      </w:r>
      <w:r>
        <w:rPr>
          <w:rFonts w:hint="eastAsia" w:hAnsi="Times New Roman"/>
          <w:highlight w:val="none"/>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4" w:firstLineChars="202"/>
        <w:rPr>
          <w:rFonts w:hAnsi="Times New Roman"/>
          <w:highlight w:val="none"/>
        </w:rPr>
      </w:pPr>
      <w:r>
        <w:rPr>
          <w:rFonts w:hint="eastAsia" w:hAnsi="Times New Roman"/>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4" w:firstLineChars="202"/>
        <w:rPr>
          <w:rFonts w:hAnsi="Times New Roman"/>
          <w:highlight w:val="none"/>
        </w:rPr>
      </w:pPr>
      <w:r>
        <w:rPr>
          <w:rFonts w:hAnsi="Times New Roman"/>
          <w:highlight w:val="none"/>
        </w:rPr>
        <w:t>10</w:t>
      </w:r>
      <w:r>
        <w:rPr>
          <w:rFonts w:hint="eastAsia" w:hAnsi="Times New Roman"/>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4" w:firstLineChars="202"/>
        <w:rPr>
          <w:rFonts w:hAnsi="Times New Roman"/>
          <w:highlight w:val="none"/>
        </w:rPr>
      </w:pPr>
      <w:r>
        <w:rPr>
          <w:rFonts w:hAnsi="Times New Roman"/>
          <w:highlight w:val="none"/>
        </w:rPr>
        <w:t>11</w:t>
      </w:r>
      <w:r>
        <w:rPr>
          <w:rFonts w:hint="eastAsia" w:hAnsi="Times New Roman"/>
          <w:highlight w:val="none"/>
        </w:rPr>
        <w:t>.我单位承诺中标后项目不转包，未经采购人同意不进行分包。</w:t>
      </w:r>
    </w:p>
    <w:p>
      <w:pPr>
        <w:ind w:firstLine="424" w:firstLineChars="202"/>
        <w:rPr>
          <w:rFonts w:hAnsi="Times New Roman"/>
          <w:highlight w:val="none"/>
        </w:rPr>
      </w:pPr>
      <w:r>
        <w:rPr>
          <w:rFonts w:hint="eastAsia" w:hAnsi="Times New Roman"/>
          <w:highlight w:val="none"/>
        </w:rPr>
        <w:t>1</w:t>
      </w:r>
      <w:r>
        <w:rPr>
          <w:rFonts w:hAnsi="Times New Roman"/>
          <w:highlight w:val="none"/>
        </w:rPr>
        <w:t>2</w:t>
      </w:r>
      <w:r>
        <w:rPr>
          <w:rFonts w:hint="eastAsia" w:hAnsi="Times New Roman"/>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4" w:firstLineChars="202"/>
        <w:rPr>
          <w:rFonts w:hAnsi="Times New Roman"/>
          <w:highlight w:val="none"/>
        </w:rPr>
      </w:pPr>
      <w:r>
        <w:rPr>
          <w:rFonts w:hint="eastAsia" w:hAnsi="Times New Roman"/>
          <w:highlight w:val="none"/>
        </w:rPr>
        <w:t>1</w:t>
      </w:r>
      <w:r>
        <w:rPr>
          <w:rFonts w:hAnsi="Times New Roman"/>
          <w:highlight w:val="none"/>
        </w:rPr>
        <w:t>3</w:t>
      </w:r>
      <w:r>
        <w:rPr>
          <w:rFonts w:hint="eastAsia" w:hAnsi="Times New Roman"/>
          <w:highlight w:val="none"/>
        </w:rPr>
        <w:t>.我单位保证，若所投货物涉及《财政部生态环境部关于印发节能产品政府采购品目清单的通知》（财库〔2019〕19号）列明的政府采购强制产品，则所投该产品符合节能产品的认证要求。</w:t>
      </w:r>
    </w:p>
    <w:p>
      <w:pPr>
        <w:ind w:firstLine="424" w:firstLineChars="202"/>
        <w:rPr>
          <w:rFonts w:hAnsi="Times New Roman"/>
          <w:highlight w:val="none"/>
        </w:rPr>
      </w:pPr>
      <w:r>
        <w:rPr>
          <w:rFonts w:hint="eastAsia" w:hAnsi="Times New Roman"/>
          <w:highlight w:val="none"/>
        </w:rPr>
        <w:t>1</w:t>
      </w:r>
      <w:r>
        <w:rPr>
          <w:rFonts w:hAnsi="Times New Roman"/>
          <w:highlight w:val="none"/>
        </w:rPr>
        <w:t>4</w:t>
      </w:r>
      <w:r>
        <w:rPr>
          <w:rFonts w:hint="eastAsia" w:hAnsi="Times New Roman"/>
          <w:highlight w:val="none"/>
        </w:rPr>
        <w:t>.我单位保证，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ind w:firstLine="420"/>
        <w:rPr>
          <w:rFonts w:hAnsi="Times New Roman"/>
          <w:highlight w:val="none"/>
        </w:rPr>
      </w:pPr>
      <w:r>
        <w:rPr>
          <w:rFonts w:hint="eastAsia" w:hAnsi="Times New Roman"/>
          <w:highlight w:val="none"/>
        </w:rPr>
        <w:t>15.我单位保证，参与本项目政府采购活动不存在与其他采购参加人串通投标、隐瞒真实情况、提供虚假资料等违法违规情形。</w:t>
      </w:r>
    </w:p>
    <w:p>
      <w:pPr>
        <w:ind w:firstLine="424" w:firstLineChars="202"/>
        <w:rPr>
          <w:rFonts w:hAnsi="Times New Roman"/>
          <w:highlight w:val="none"/>
        </w:rPr>
      </w:pPr>
      <w:r>
        <w:rPr>
          <w:rFonts w:hint="eastAsia" w:hAnsi="Times New Roman"/>
          <w:highlight w:val="none"/>
        </w:rPr>
        <w:t>16.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ind w:firstLine="424" w:firstLineChars="202"/>
        <w:rPr>
          <w:rFonts w:hAnsi="Times New Roman"/>
          <w:highlight w:val="none"/>
        </w:rPr>
      </w:pPr>
      <w:r>
        <w:rPr>
          <w:rFonts w:hint="eastAsia" w:hAnsi="Times New Roman"/>
          <w:highlight w:val="none"/>
        </w:rPr>
        <w:t>以上承诺，如有违反，愿依照国家相关法律处理，并承担由此给采购人带来的损失。</w:t>
      </w:r>
    </w:p>
    <w:p>
      <w:pPr>
        <w:ind w:firstLine="420"/>
        <w:rPr>
          <w:rFonts w:hAnsi="Times New Roman"/>
          <w:highlight w:val="none"/>
        </w:rPr>
      </w:pPr>
      <w:r>
        <w:rPr>
          <w:rFonts w:hint="eastAsia" w:hAnsi="Times New Roman"/>
          <w:highlight w:val="none"/>
        </w:rPr>
        <w:t>特此声明！</w:t>
      </w:r>
    </w:p>
    <w:p>
      <w:pPr>
        <w:tabs>
          <w:tab w:val="clear" w:pos="426"/>
        </w:tabs>
        <w:ind w:firstLine="420"/>
        <w:rPr>
          <w:rFonts w:hint="eastAsia"/>
          <w:highlight w:val="none"/>
        </w:rPr>
      </w:pPr>
    </w:p>
    <w:p>
      <w:pPr>
        <w:tabs>
          <w:tab w:val="clear" w:pos="426"/>
        </w:tabs>
        <w:ind w:firstLine="420"/>
        <w:rPr>
          <w:rFonts w:hint="eastAsia"/>
          <w:highlight w:val="none"/>
          <w:u w:val="single"/>
        </w:rPr>
      </w:pPr>
      <w:r>
        <w:rPr>
          <w:rFonts w:hint="eastAsia"/>
          <w:highlight w:val="none"/>
        </w:rPr>
        <w:t>单位名称：</w:t>
      </w:r>
      <w:r>
        <w:rPr>
          <w:rFonts w:hint="eastAsia"/>
          <w:highlight w:val="none"/>
          <w:u w:val="single"/>
        </w:rPr>
        <w:t>_____________________________________________________________</w:t>
      </w:r>
    </w:p>
    <w:p>
      <w:pPr>
        <w:tabs>
          <w:tab w:val="clear" w:pos="426"/>
        </w:tabs>
        <w:ind w:firstLine="420"/>
        <w:rPr>
          <w:rFonts w:hint="eastAsia"/>
          <w:highlight w:val="none"/>
          <w:u w:val="single"/>
        </w:rPr>
      </w:pPr>
      <w:r>
        <w:rPr>
          <w:rFonts w:hint="eastAsia"/>
          <w:highlight w:val="none"/>
        </w:rPr>
        <w:t>法定代表人或投标人授权代表（签字或盖章）：</w:t>
      </w:r>
      <w:r>
        <w:rPr>
          <w:rFonts w:hint="eastAsia"/>
          <w:highlight w:val="none"/>
          <w:u w:val="single"/>
        </w:rPr>
        <w:t>_____________________________</w:t>
      </w:r>
    </w:p>
    <w:p>
      <w:pPr>
        <w:tabs>
          <w:tab w:val="clear" w:pos="426"/>
        </w:tabs>
        <w:ind w:firstLine="420"/>
        <w:rPr>
          <w:rFonts w:hint="eastAsia"/>
          <w:highlight w:val="none"/>
          <w:u w:val="single"/>
        </w:rPr>
      </w:pPr>
      <w:r>
        <w:rPr>
          <w:rFonts w:hint="eastAsia"/>
          <w:highlight w:val="none"/>
        </w:rPr>
        <w:t>单位地址：</w:t>
      </w:r>
      <w:r>
        <w:rPr>
          <w:rFonts w:hint="eastAsia"/>
          <w:highlight w:val="none"/>
          <w:u w:val="single"/>
        </w:rPr>
        <w:t>_____________________________________________________________</w:t>
      </w:r>
    </w:p>
    <w:p>
      <w:pPr>
        <w:tabs>
          <w:tab w:val="clear" w:pos="426"/>
        </w:tabs>
        <w:ind w:firstLine="420"/>
        <w:rPr>
          <w:rFonts w:hint="eastAsia"/>
          <w:highlight w:val="none"/>
          <w:u w:val="single"/>
        </w:rPr>
      </w:pPr>
      <w:r>
        <w:rPr>
          <w:rFonts w:hint="eastAsia"/>
          <w:highlight w:val="none"/>
        </w:rPr>
        <w:t>单位公章：</w:t>
      </w:r>
      <w:r>
        <w:rPr>
          <w:rFonts w:hint="eastAsia"/>
          <w:highlight w:val="none"/>
          <w:u w:val="single"/>
        </w:rPr>
        <w:t>_____________________________________________________________</w:t>
      </w:r>
    </w:p>
    <w:p>
      <w:pPr>
        <w:tabs>
          <w:tab w:val="clear" w:pos="426"/>
        </w:tabs>
        <w:ind w:firstLine="420"/>
        <w:rPr>
          <w:rFonts w:hint="eastAsia"/>
          <w:highlight w:val="none"/>
          <w:u w:val="single"/>
        </w:rPr>
      </w:pPr>
      <w:r>
        <w:rPr>
          <w:rFonts w:hint="eastAsia"/>
          <w:highlight w:val="none"/>
        </w:rPr>
        <w:t>邮政编码：</w:t>
      </w:r>
      <w:r>
        <w:rPr>
          <w:rFonts w:hint="eastAsia"/>
          <w:highlight w:val="none"/>
          <w:u w:val="single"/>
        </w:rPr>
        <w:t>_____________________________</w:t>
      </w:r>
      <w:r>
        <w:rPr>
          <w:rFonts w:hint="eastAsia"/>
          <w:highlight w:val="none"/>
        </w:rPr>
        <w:t>日期：</w:t>
      </w:r>
      <w:r>
        <w:rPr>
          <w:rFonts w:hint="eastAsia"/>
          <w:highlight w:val="none"/>
          <w:u w:val="single"/>
        </w:rPr>
        <w:t>__________________________</w:t>
      </w:r>
    </w:p>
    <w:p>
      <w:pPr>
        <w:tabs>
          <w:tab w:val="clear" w:pos="426"/>
        </w:tabs>
        <w:ind w:firstLine="420" w:firstLineChars="200"/>
        <w:rPr>
          <w:rFonts w:hint="eastAsia"/>
          <w:highlight w:val="none"/>
          <w:u w:val="single"/>
        </w:rPr>
      </w:pPr>
      <w:r>
        <w:rPr>
          <w:rFonts w:hint="eastAsia"/>
          <w:highlight w:val="none"/>
        </w:rPr>
        <w:t>联系电话：</w:t>
      </w:r>
      <w:r>
        <w:rPr>
          <w:rFonts w:hint="eastAsia"/>
          <w:highlight w:val="none"/>
          <w:u w:val="single"/>
        </w:rPr>
        <w:t>_____________________________________________________________</w:t>
      </w:r>
    </w:p>
    <w:p>
      <w:pPr>
        <w:rPr>
          <w:rFonts w:hint="eastAsia"/>
          <w:highlight w:val="none"/>
        </w:rPr>
      </w:pPr>
    </w:p>
    <w:p>
      <w:pPr>
        <w:rPr>
          <w:rFonts w:hint="eastAsia"/>
          <w:b/>
          <w:sz w:val="24"/>
          <w:highlight w:val="none"/>
        </w:rPr>
      </w:pPr>
      <w:r>
        <w:rPr>
          <w:rFonts w:hint="eastAsia"/>
          <w:b/>
          <w:sz w:val="24"/>
          <w:highlight w:val="none"/>
        </w:rPr>
        <w:br w:type="page"/>
      </w:r>
    </w:p>
    <w:p>
      <w:pPr>
        <w:adjustRightInd/>
        <w:snapToGrid/>
        <w:spacing w:before="280" w:after="290" w:line="377" w:lineRule="auto"/>
        <w:outlineLvl w:val="2"/>
        <w:rPr>
          <w:rFonts w:hint="eastAsia"/>
          <w:b/>
          <w:sz w:val="24"/>
          <w:highlight w:val="none"/>
        </w:rPr>
      </w:pPr>
      <w:bookmarkStart w:id="120" w:name="_Toc21325"/>
      <w:r>
        <w:rPr>
          <w:rFonts w:hint="eastAsia"/>
          <w:b/>
          <w:sz w:val="24"/>
          <w:highlight w:val="none"/>
        </w:rPr>
        <w:t>格式7：开标一览表</w:t>
      </w:r>
      <w:bookmarkEnd w:id="117"/>
      <w:bookmarkEnd w:id="118"/>
      <w:bookmarkEnd w:id="120"/>
    </w:p>
    <w:p>
      <w:pPr>
        <w:widowControl w:val="0"/>
        <w:shd w:val="clear" w:color="auto" w:fill="auto"/>
        <w:tabs>
          <w:tab w:val="clear" w:pos="426"/>
        </w:tabs>
        <w:adjustRightInd/>
        <w:snapToGrid/>
        <w:spacing w:line="300" w:lineRule="auto"/>
        <w:jc w:val="center"/>
        <w:rPr>
          <w:rFonts w:hint="eastAsia" w:cs="Times New Roman"/>
          <w:bCs/>
          <w:kern w:val="2"/>
          <w:sz w:val="32"/>
          <w:szCs w:val="32"/>
          <w:highlight w:val="none"/>
        </w:rPr>
      </w:pPr>
      <w:bookmarkStart w:id="121" w:name="_Toc480756075"/>
      <w:bookmarkStart w:id="122" w:name="_Toc480754208"/>
      <w:bookmarkStart w:id="123" w:name="_Toc480789479"/>
      <w:bookmarkStart w:id="124" w:name="_Toc480755929"/>
      <w:r>
        <w:rPr>
          <w:rFonts w:hint="eastAsia" w:cs="Times New Roman"/>
          <w:bCs/>
          <w:kern w:val="2"/>
          <w:sz w:val="32"/>
          <w:szCs w:val="32"/>
          <w:highlight w:val="none"/>
        </w:rPr>
        <w:t>开标一览表</w:t>
      </w:r>
      <w:bookmarkEnd w:id="121"/>
      <w:bookmarkEnd w:id="122"/>
      <w:bookmarkEnd w:id="123"/>
      <w:bookmarkEnd w:id="124"/>
    </w:p>
    <w:p>
      <w:pPr>
        <w:tabs>
          <w:tab w:val="clear" w:pos="426"/>
        </w:tabs>
        <w:jc w:val="left"/>
        <w:rPr>
          <w:rFonts w:hint="eastAsia"/>
          <w:highlight w:val="none"/>
        </w:rPr>
      </w:pPr>
    </w:p>
    <w:p>
      <w:pPr>
        <w:tabs>
          <w:tab w:val="clear" w:pos="426"/>
        </w:tabs>
        <w:jc w:val="left"/>
        <w:rPr>
          <w:rFonts w:hint="eastAsia"/>
          <w:highlight w:val="none"/>
          <w:u w:val="single"/>
        </w:rPr>
      </w:pPr>
      <w:r>
        <w:rPr>
          <w:rFonts w:hint="eastAsia"/>
          <w:highlight w:val="none"/>
        </w:rPr>
        <w:t>项目名称：</w:t>
      </w:r>
      <w:r>
        <w:rPr>
          <w:rFonts w:hint="eastAsia"/>
          <w:highlight w:val="none"/>
          <w:u w:val="single"/>
        </w:rPr>
        <w:t>__________________________________________</w:t>
      </w:r>
      <w:r>
        <w:rPr>
          <w:rFonts w:hint="eastAsia"/>
          <w:highlight w:val="none"/>
        </w:rPr>
        <w:t>项目编号：</w:t>
      </w:r>
      <w:r>
        <w:rPr>
          <w:rFonts w:hint="eastAsia"/>
          <w:highlight w:val="none"/>
          <w:u w:val="single"/>
        </w:rPr>
        <w:t>_________________________</w:t>
      </w:r>
    </w:p>
    <w:tbl>
      <w:tblPr>
        <w:tblStyle w:val="85"/>
        <w:tblW w:w="48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4629"/>
        <w:gridCol w:w="2214"/>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20" w:type="pct"/>
            <w:vAlign w:val="center"/>
          </w:tcPr>
          <w:p>
            <w:pPr>
              <w:jc w:val="center"/>
              <w:rPr>
                <w:rFonts w:hint="eastAsia"/>
                <w:b/>
                <w:szCs w:val="21"/>
                <w:highlight w:val="none"/>
              </w:rPr>
            </w:pPr>
            <w:r>
              <w:rPr>
                <w:rFonts w:hint="eastAsia"/>
                <w:b/>
                <w:szCs w:val="21"/>
                <w:highlight w:val="none"/>
              </w:rPr>
              <w:t>序号</w:t>
            </w:r>
          </w:p>
        </w:tc>
        <w:tc>
          <w:tcPr>
            <w:tcW w:w="2480" w:type="pct"/>
            <w:vAlign w:val="center"/>
          </w:tcPr>
          <w:p>
            <w:pPr>
              <w:jc w:val="center"/>
              <w:rPr>
                <w:rFonts w:hint="eastAsia"/>
                <w:b/>
                <w:szCs w:val="21"/>
                <w:highlight w:val="none"/>
              </w:rPr>
            </w:pPr>
            <w:r>
              <w:rPr>
                <w:rFonts w:hint="eastAsia"/>
                <w:b/>
                <w:szCs w:val="21"/>
                <w:highlight w:val="none"/>
              </w:rPr>
              <w:t>项目名称</w:t>
            </w:r>
          </w:p>
        </w:tc>
        <w:tc>
          <w:tcPr>
            <w:tcW w:w="1186" w:type="pct"/>
            <w:vAlign w:val="center"/>
          </w:tcPr>
          <w:p>
            <w:pPr>
              <w:jc w:val="center"/>
              <w:rPr>
                <w:rFonts w:hint="eastAsia"/>
                <w:b/>
                <w:szCs w:val="21"/>
                <w:highlight w:val="none"/>
              </w:rPr>
            </w:pPr>
            <w:r>
              <w:rPr>
                <w:rFonts w:hint="eastAsia"/>
                <w:b/>
                <w:szCs w:val="21"/>
                <w:highlight w:val="none"/>
              </w:rPr>
              <w:t>投标总价（元）</w:t>
            </w:r>
          </w:p>
        </w:tc>
        <w:tc>
          <w:tcPr>
            <w:tcW w:w="711" w:type="pct"/>
            <w:vAlign w:val="center"/>
          </w:tcPr>
          <w:p>
            <w:pPr>
              <w:jc w:val="center"/>
              <w:rPr>
                <w:rFonts w:hint="eastAsia"/>
                <w:b/>
                <w:szCs w:val="21"/>
                <w:highlight w:val="none"/>
              </w:rPr>
            </w:pPr>
            <w:r>
              <w:rPr>
                <w:rFonts w:hint="eastAsia"/>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20" w:type="pct"/>
            <w:vAlign w:val="center"/>
          </w:tcPr>
          <w:p>
            <w:pPr>
              <w:jc w:val="center"/>
              <w:rPr>
                <w:rFonts w:hint="eastAsia"/>
                <w:bCs/>
                <w:szCs w:val="21"/>
                <w:highlight w:val="none"/>
              </w:rPr>
            </w:pPr>
          </w:p>
        </w:tc>
        <w:tc>
          <w:tcPr>
            <w:tcW w:w="2480" w:type="pct"/>
            <w:vAlign w:val="center"/>
          </w:tcPr>
          <w:p>
            <w:pPr>
              <w:jc w:val="center"/>
              <w:rPr>
                <w:rFonts w:hint="eastAsia"/>
                <w:b/>
                <w:szCs w:val="21"/>
                <w:highlight w:val="none"/>
              </w:rPr>
            </w:pPr>
          </w:p>
        </w:tc>
        <w:tc>
          <w:tcPr>
            <w:tcW w:w="1186" w:type="pct"/>
            <w:vAlign w:val="center"/>
          </w:tcPr>
          <w:p>
            <w:pPr>
              <w:jc w:val="left"/>
              <w:rPr>
                <w:rFonts w:hint="eastAsia"/>
                <w:b/>
                <w:szCs w:val="21"/>
                <w:highlight w:val="none"/>
              </w:rPr>
            </w:pPr>
            <w:r>
              <w:rPr>
                <w:rFonts w:hint="eastAsia"/>
                <w:b/>
                <w:szCs w:val="21"/>
                <w:highlight w:val="none"/>
              </w:rPr>
              <w:t>大写：</w:t>
            </w:r>
          </w:p>
          <w:p>
            <w:pPr>
              <w:jc w:val="left"/>
              <w:rPr>
                <w:rFonts w:hint="eastAsia"/>
                <w:b/>
                <w:szCs w:val="21"/>
                <w:highlight w:val="none"/>
              </w:rPr>
            </w:pPr>
            <w:r>
              <w:rPr>
                <w:rFonts w:hint="eastAsia"/>
                <w:b/>
                <w:szCs w:val="21"/>
                <w:highlight w:val="none"/>
              </w:rPr>
              <w:t>小写：</w:t>
            </w:r>
          </w:p>
        </w:tc>
        <w:tc>
          <w:tcPr>
            <w:tcW w:w="711" w:type="pct"/>
            <w:vAlign w:val="center"/>
          </w:tcPr>
          <w:p>
            <w:pPr>
              <w:jc w:val="center"/>
              <w:rPr>
                <w:rFonts w:hint="eastAsia"/>
                <w:b/>
                <w:szCs w:val="21"/>
                <w:highlight w:val="none"/>
              </w:rPr>
            </w:pPr>
          </w:p>
        </w:tc>
      </w:tr>
    </w:tbl>
    <w:p>
      <w:pPr>
        <w:tabs>
          <w:tab w:val="clear" w:pos="426"/>
        </w:tabs>
        <w:jc w:val="left"/>
        <w:rPr>
          <w:rFonts w:hint="eastAsia"/>
          <w:highlight w:val="none"/>
          <w:u w:val="single"/>
        </w:rPr>
      </w:pPr>
    </w:p>
    <w:p>
      <w:pPr>
        <w:tabs>
          <w:tab w:val="clear" w:pos="426"/>
        </w:tabs>
        <w:spacing w:line="500" w:lineRule="exact"/>
        <w:rPr>
          <w:rFonts w:hint="eastAsia"/>
          <w:spacing w:val="4"/>
          <w:highlight w:val="none"/>
        </w:rPr>
      </w:pPr>
    </w:p>
    <w:p>
      <w:pPr>
        <w:tabs>
          <w:tab w:val="clear" w:pos="426"/>
        </w:tabs>
        <w:spacing w:line="500" w:lineRule="exact"/>
        <w:rPr>
          <w:rFonts w:hint="eastAsia"/>
          <w:highlight w:val="none"/>
          <w:u w:val="single"/>
        </w:rPr>
      </w:pPr>
      <w:r>
        <w:rPr>
          <w:rFonts w:hint="eastAsia"/>
          <w:spacing w:val="4"/>
          <w:highlight w:val="none"/>
        </w:rPr>
        <w:t>投标人名称（</w:t>
      </w:r>
      <w:r>
        <w:rPr>
          <w:rFonts w:hint="eastAsia"/>
          <w:highlight w:val="none"/>
        </w:rPr>
        <w:t>单位盖</w:t>
      </w:r>
      <w:r>
        <w:rPr>
          <w:rFonts w:hint="eastAsia"/>
          <w:spacing w:val="4"/>
          <w:highlight w:val="none"/>
        </w:rPr>
        <w:t>公章）：</w:t>
      </w:r>
      <w:r>
        <w:rPr>
          <w:rFonts w:hint="eastAsia"/>
          <w:spacing w:val="4"/>
          <w:highlight w:val="none"/>
          <w:u w:val="single"/>
        </w:rPr>
        <w:t>__________________________________________________________</w:t>
      </w:r>
    </w:p>
    <w:p>
      <w:pPr>
        <w:tabs>
          <w:tab w:val="clear" w:pos="426"/>
        </w:tabs>
        <w:spacing w:line="520" w:lineRule="exact"/>
        <w:rPr>
          <w:rFonts w:hint="eastAsia"/>
          <w:spacing w:val="4"/>
          <w:highlight w:val="none"/>
        </w:rPr>
      </w:pPr>
      <w:r>
        <w:rPr>
          <w:rFonts w:hint="eastAsia"/>
          <w:highlight w:val="none"/>
        </w:rPr>
        <w:t>法定代表人或投标人授权代表（签字或盖章）：</w:t>
      </w:r>
      <w:r>
        <w:rPr>
          <w:spacing w:val="4"/>
          <w:highlight w:val="none"/>
          <w:u w:val="single"/>
        </w:rPr>
        <w:t>_____________</w:t>
      </w:r>
      <w:r>
        <w:rPr>
          <w:rFonts w:hint="eastAsia"/>
          <w:spacing w:val="4"/>
          <w:highlight w:val="none"/>
        </w:rPr>
        <w:t>职务：</w:t>
      </w:r>
      <w:r>
        <w:rPr>
          <w:spacing w:val="4"/>
          <w:highlight w:val="none"/>
          <w:u w:val="single"/>
        </w:rPr>
        <w:t>________</w:t>
      </w:r>
      <w:r>
        <w:rPr>
          <w:rFonts w:hint="eastAsia"/>
          <w:spacing w:val="4"/>
          <w:highlight w:val="none"/>
        </w:rPr>
        <w:t>日期：</w:t>
      </w:r>
      <w:r>
        <w:rPr>
          <w:spacing w:val="4"/>
          <w:highlight w:val="none"/>
          <w:u w:val="single"/>
        </w:rPr>
        <w:t>_________</w:t>
      </w:r>
    </w:p>
    <w:p>
      <w:pPr>
        <w:tabs>
          <w:tab w:val="clear" w:pos="426"/>
        </w:tabs>
        <w:spacing w:line="400" w:lineRule="exact"/>
        <w:rPr>
          <w:rFonts w:hint="eastAsia"/>
          <w:b/>
          <w:bCs/>
          <w:szCs w:val="21"/>
          <w:highlight w:val="none"/>
        </w:rPr>
      </w:pPr>
    </w:p>
    <w:p>
      <w:pPr>
        <w:tabs>
          <w:tab w:val="clear" w:pos="426"/>
        </w:tabs>
        <w:spacing w:line="400" w:lineRule="exact"/>
        <w:rPr>
          <w:rFonts w:hint="eastAsia"/>
          <w:b/>
          <w:bCs/>
          <w:szCs w:val="21"/>
          <w:highlight w:val="none"/>
        </w:rPr>
      </w:pPr>
      <w:r>
        <w:rPr>
          <w:rFonts w:hint="eastAsia"/>
          <w:b/>
          <w:bCs/>
          <w:szCs w:val="21"/>
          <w:highlight w:val="none"/>
        </w:rPr>
        <w:t>备注：</w:t>
      </w:r>
    </w:p>
    <w:p>
      <w:pPr>
        <w:numPr>
          <w:ilvl w:val="1"/>
          <w:numId w:val="5"/>
        </w:numPr>
        <w:tabs>
          <w:tab w:val="left" w:pos="0"/>
        </w:tabs>
        <w:ind w:left="0" w:firstLine="424" w:firstLineChars="201"/>
        <w:rPr>
          <w:rFonts w:hAnsi="Times New Roman"/>
          <w:b/>
          <w:bCs/>
          <w:szCs w:val="21"/>
          <w:highlight w:val="none"/>
        </w:rPr>
      </w:pPr>
      <w:r>
        <w:rPr>
          <w:rFonts w:hAnsi="Times New Roman"/>
          <w:b/>
          <w:highlight w:val="none"/>
        </w:rPr>
        <w:t>此表</w:t>
      </w:r>
      <w:r>
        <w:rPr>
          <w:rFonts w:hint="eastAsia" w:hAnsi="Times New Roman"/>
          <w:b/>
          <w:highlight w:val="none"/>
        </w:rPr>
        <w:t>为投标文件的组成部分，</w:t>
      </w:r>
      <w:r>
        <w:rPr>
          <w:rFonts w:hAnsi="Times New Roman"/>
          <w:b/>
          <w:highlight w:val="none"/>
        </w:rPr>
        <w:t>须附在正、副本的投标文件中，并另封装一份于开标信封中</w:t>
      </w:r>
      <w:r>
        <w:rPr>
          <w:rFonts w:hint="eastAsia" w:hAnsi="Times New Roman"/>
          <w:b/>
          <w:highlight w:val="none"/>
        </w:rPr>
        <w:t>（信封中须同时提供法定代表人（单位负责人）证明书、授权委托书、被授权人身份证复印件）。</w:t>
      </w:r>
    </w:p>
    <w:p>
      <w:pPr>
        <w:numPr>
          <w:ilvl w:val="1"/>
          <w:numId w:val="5"/>
        </w:numPr>
        <w:tabs>
          <w:tab w:val="left" w:pos="0"/>
        </w:tabs>
        <w:ind w:left="0" w:firstLine="424" w:firstLineChars="201"/>
        <w:rPr>
          <w:rFonts w:hAnsi="Times New Roman"/>
          <w:b/>
          <w:bCs/>
          <w:szCs w:val="21"/>
          <w:highlight w:val="none"/>
        </w:rPr>
      </w:pPr>
      <w:r>
        <w:rPr>
          <w:rFonts w:hint="eastAsia" w:hAnsi="Times New Roman"/>
          <w:b/>
          <w:highlight w:val="none"/>
        </w:rPr>
        <w:t>此表内投标报价为最终价，开标信封及投标文件内不得含有任何对本报价进行修改的其他说明或资料，否则为无效投标</w:t>
      </w:r>
      <w:r>
        <w:rPr>
          <w:rFonts w:hint="eastAsia" w:hAnsi="Times New Roman"/>
          <w:b/>
          <w:bCs/>
          <w:szCs w:val="21"/>
          <w:highlight w:val="none"/>
        </w:rPr>
        <w:t>。</w:t>
      </w:r>
    </w:p>
    <w:p>
      <w:pPr>
        <w:numPr>
          <w:ilvl w:val="1"/>
          <w:numId w:val="5"/>
        </w:numPr>
        <w:tabs>
          <w:tab w:val="left" w:pos="0"/>
        </w:tabs>
        <w:ind w:left="0" w:firstLine="424" w:firstLineChars="201"/>
        <w:rPr>
          <w:rFonts w:hAnsi="Times New Roman"/>
          <w:b/>
          <w:highlight w:val="none"/>
        </w:rPr>
      </w:pPr>
      <w:r>
        <w:rPr>
          <w:rFonts w:hint="eastAsia" w:hAnsi="Times New Roman"/>
          <w:b/>
          <w:highlight w:val="none"/>
        </w:rPr>
        <w:t>投标供应商应根据本企业的成本自行决定报价，但不得以低于其企业成本的报价投标；评标时，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pPr>
        <w:numPr>
          <w:ilvl w:val="1"/>
          <w:numId w:val="5"/>
        </w:numPr>
        <w:tabs>
          <w:tab w:val="left" w:pos="0"/>
        </w:tabs>
        <w:ind w:left="0" w:firstLine="424" w:firstLineChars="201"/>
        <w:rPr>
          <w:rFonts w:hAnsi="Times New Roman"/>
          <w:b/>
          <w:highlight w:val="none"/>
        </w:rPr>
      </w:pPr>
      <w:r>
        <w:rPr>
          <w:rFonts w:hint="eastAsia" w:hAnsi="Times New Roman"/>
          <w:b/>
          <w:highlight w:val="none"/>
        </w:rPr>
        <w:t>投标报价得分四舍五入后，小数点后保留两位有效数。</w:t>
      </w:r>
    </w:p>
    <w:p>
      <w:pPr>
        <w:widowControl w:val="0"/>
        <w:shd w:val="clear" w:color="auto" w:fill="auto"/>
        <w:tabs>
          <w:tab w:val="clear" w:pos="426"/>
        </w:tabs>
        <w:adjustRightInd/>
        <w:rPr>
          <w:rFonts w:hint="eastAsia"/>
          <w:b/>
          <w:bCs/>
          <w:szCs w:val="21"/>
          <w:highlight w:val="none"/>
        </w:rPr>
      </w:pPr>
    </w:p>
    <w:p>
      <w:pPr>
        <w:widowControl w:val="0"/>
        <w:shd w:val="clear" w:color="auto" w:fill="auto"/>
        <w:tabs>
          <w:tab w:val="clear" w:pos="426"/>
        </w:tabs>
        <w:adjustRightInd/>
        <w:rPr>
          <w:rFonts w:hint="eastAsia"/>
          <w:b/>
          <w:bCs/>
          <w:szCs w:val="21"/>
          <w:highlight w:val="none"/>
        </w:rPr>
      </w:pPr>
    </w:p>
    <w:p>
      <w:pPr>
        <w:widowControl w:val="0"/>
        <w:shd w:val="clear" w:color="auto" w:fill="auto"/>
        <w:tabs>
          <w:tab w:val="clear" w:pos="426"/>
        </w:tabs>
        <w:adjustRightInd/>
        <w:rPr>
          <w:rFonts w:hint="eastAsia"/>
          <w:b/>
          <w:bCs/>
          <w:szCs w:val="21"/>
          <w:highlight w:val="none"/>
        </w:rPr>
      </w:pPr>
    </w:p>
    <w:p>
      <w:pPr>
        <w:widowControl w:val="0"/>
        <w:shd w:val="clear" w:color="auto" w:fill="auto"/>
        <w:tabs>
          <w:tab w:val="clear" w:pos="426"/>
        </w:tabs>
        <w:adjustRightInd/>
        <w:rPr>
          <w:rFonts w:hint="eastAsia"/>
          <w:b/>
          <w:bCs/>
          <w:szCs w:val="21"/>
          <w:highlight w:val="none"/>
        </w:rPr>
      </w:pPr>
    </w:p>
    <w:p>
      <w:pPr>
        <w:adjustRightInd/>
        <w:snapToGrid/>
        <w:spacing w:before="280" w:after="290" w:line="377" w:lineRule="auto"/>
        <w:outlineLvl w:val="2"/>
        <w:rPr>
          <w:rFonts w:hint="eastAsia"/>
          <w:b/>
          <w:sz w:val="24"/>
          <w:highlight w:val="none"/>
        </w:rPr>
      </w:pPr>
      <w:r>
        <w:rPr>
          <w:b/>
          <w:highlight w:val="none"/>
        </w:rPr>
        <w:br w:type="page"/>
      </w:r>
      <w:bookmarkStart w:id="125" w:name="_Toc23484"/>
      <w:r>
        <w:rPr>
          <w:rFonts w:hint="eastAsia"/>
          <w:b/>
          <w:sz w:val="24"/>
          <w:highlight w:val="none"/>
        </w:rPr>
        <w:t>格式8：投标分项报价表</w:t>
      </w:r>
      <w:bookmarkEnd w:id="125"/>
    </w:p>
    <w:p>
      <w:pPr>
        <w:widowControl w:val="0"/>
        <w:shd w:val="clear" w:color="auto" w:fill="auto"/>
        <w:tabs>
          <w:tab w:val="clear" w:pos="426"/>
        </w:tabs>
        <w:adjustRightInd/>
        <w:snapToGrid/>
        <w:spacing w:line="300" w:lineRule="auto"/>
        <w:jc w:val="center"/>
        <w:rPr>
          <w:rFonts w:hint="eastAsia" w:cs="Times New Roman"/>
          <w:b/>
          <w:bCs/>
          <w:kern w:val="2"/>
          <w:sz w:val="28"/>
          <w:szCs w:val="28"/>
          <w:highlight w:val="none"/>
        </w:rPr>
      </w:pPr>
      <w:r>
        <w:rPr>
          <w:rFonts w:hint="eastAsia" w:cs="Times New Roman"/>
          <w:b/>
          <w:bCs/>
          <w:kern w:val="2"/>
          <w:sz w:val="28"/>
          <w:szCs w:val="28"/>
          <w:highlight w:val="none"/>
        </w:rPr>
        <w:t>（一）项目报价表</w:t>
      </w:r>
    </w:p>
    <w:p>
      <w:pPr>
        <w:tabs>
          <w:tab w:val="clear" w:pos="426"/>
        </w:tabs>
        <w:wordWrap w:val="0"/>
        <w:rPr>
          <w:rFonts w:hint="eastAsia"/>
          <w:highlight w:val="none"/>
        </w:rPr>
      </w:pPr>
      <w:r>
        <w:rPr>
          <w:rFonts w:hint="eastAsia"/>
          <w:highlight w:val="none"/>
        </w:rPr>
        <w:t>项目名称：</w:t>
      </w:r>
      <w:r>
        <w:rPr>
          <w:rFonts w:hint="eastAsia"/>
          <w:highlight w:val="none"/>
          <w:u w:val="single"/>
        </w:rPr>
        <w:t>_____________________________________</w:t>
      </w:r>
      <w:r>
        <w:rPr>
          <w:rFonts w:hint="eastAsia"/>
          <w:highlight w:val="none"/>
        </w:rPr>
        <w:t>项目编号：</w:t>
      </w:r>
      <w:r>
        <w:rPr>
          <w:rFonts w:hint="eastAsia" w:ascii="ˎ̥" w:hAnsi="ˎ̥"/>
          <w:sz w:val="18"/>
          <w:szCs w:val="18"/>
          <w:highlight w:val="none"/>
          <w:u w:val="single"/>
        </w:rPr>
        <w:t>________________________________</w:t>
      </w:r>
    </w:p>
    <w:tbl>
      <w:tblPr>
        <w:tblStyle w:val="85"/>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47"/>
        <w:gridCol w:w="1417"/>
        <w:gridCol w:w="851"/>
        <w:gridCol w:w="992"/>
        <w:gridCol w:w="709"/>
        <w:gridCol w:w="737"/>
        <w:gridCol w:w="1057"/>
        <w:gridCol w:w="1276"/>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rFonts w:hint="eastAsia"/>
                <w:szCs w:val="21"/>
                <w:highlight w:val="none"/>
              </w:rPr>
            </w:pPr>
            <w:r>
              <w:rPr>
                <w:rFonts w:hint="eastAsia"/>
                <w:szCs w:val="21"/>
                <w:highlight w:val="none"/>
              </w:rPr>
              <w:t>序号</w:t>
            </w:r>
          </w:p>
        </w:tc>
        <w:tc>
          <w:tcPr>
            <w:tcW w:w="1347" w:type="dxa"/>
            <w:vAlign w:val="center"/>
          </w:tcPr>
          <w:p>
            <w:pPr>
              <w:spacing w:line="240" w:lineRule="auto"/>
              <w:jc w:val="center"/>
              <w:rPr>
                <w:rFonts w:hint="eastAsia"/>
                <w:szCs w:val="21"/>
                <w:highlight w:val="none"/>
              </w:rPr>
            </w:pPr>
            <w:r>
              <w:rPr>
                <w:rFonts w:hint="eastAsia"/>
                <w:szCs w:val="21"/>
                <w:highlight w:val="none"/>
              </w:rPr>
              <w:t>货物名称</w:t>
            </w:r>
          </w:p>
        </w:tc>
        <w:tc>
          <w:tcPr>
            <w:tcW w:w="1417" w:type="dxa"/>
            <w:vAlign w:val="center"/>
          </w:tcPr>
          <w:p>
            <w:pPr>
              <w:spacing w:line="240" w:lineRule="auto"/>
              <w:jc w:val="center"/>
              <w:rPr>
                <w:rFonts w:hint="eastAsia"/>
                <w:szCs w:val="21"/>
                <w:highlight w:val="none"/>
              </w:rPr>
            </w:pPr>
            <w:r>
              <w:rPr>
                <w:rFonts w:hint="eastAsia"/>
                <w:szCs w:val="21"/>
                <w:highlight w:val="none"/>
              </w:rPr>
              <w:t>规格/型号</w:t>
            </w:r>
          </w:p>
        </w:tc>
        <w:tc>
          <w:tcPr>
            <w:tcW w:w="851" w:type="dxa"/>
            <w:vAlign w:val="center"/>
          </w:tcPr>
          <w:p>
            <w:pPr>
              <w:spacing w:line="240" w:lineRule="auto"/>
              <w:jc w:val="center"/>
              <w:rPr>
                <w:rFonts w:hint="eastAsia"/>
                <w:b/>
                <w:szCs w:val="21"/>
                <w:highlight w:val="none"/>
              </w:rPr>
            </w:pPr>
            <w:r>
              <w:rPr>
                <w:rFonts w:hint="eastAsia"/>
                <w:b/>
                <w:szCs w:val="21"/>
                <w:highlight w:val="none"/>
              </w:rPr>
              <w:t>原产地</w:t>
            </w:r>
          </w:p>
        </w:tc>
        <w:tc>
          <w:tcPr>
            <w:tcW w:w="992" w:type="dxa"/>
            <w:vAlign w:val="center"/>
          </w:tcPr>
          <w:p>
            <w:pPr>
              <w:spacing w:line="240" w:lineRule="auto"/>
              <w:jc w:val="center"/>
              <w:rPr>
                <w:rFonts w:hint="eastAsia"/>
                <w:szCs w:val="21"/>
                <w:highlight w:val="none"/>
              </w:rPr>
            </w:pPr>
            <w:r>
              <w:rPr>
                <w:rFonts w:hint="eastAsia"/>
                <w:szCs w:val="21"/>
                <w:highlight w:val="none"/>
              </w:rPr>
              <w:t>制造商名称</w:t>
            </w:r>
          </w:p>
        </w:tc>
        <w:tc>
          <w:tcPr>
            <w:tcW w:w="709" w:type="dxa"/>
            <w:vAlign w:val="center"/>
          </w:tcPr>
          <w:p>
            <w:pPr>
              <w:spacing w:line="240" w:lineRule="auto"/>
              <w:jc w:val="center"/>
              <w:rPr>
                <w:rFonts w:hint="eastAsia"/>
                <w:szCs w:val="21"/>
                <w:highlight w:val="none"/>
              </w:rPr>
            </w:pPr>
            <w:r>
              <w:rPr>
                <w:rFonts w:hint="eastAsia"/>
                <w:szCs w:val="21"/>
                <w:highlight w:val="none"/>
              </w:rPr>
              <w:t>数量</w:t>
            </w:r>
          </w:p>
        </w:tc>
        <w:tc>
          <w:tcPr>
            <w:tcW w:w="737" w:type="dxa"/>
            <w:vAlign w:val="center"/>
          </w:tcPr>
          <w:p>
            <w:pPr>
              <w:spacing w:line="240" w:lineRule="auto"/>
              <w:jc w:val="center"/>
              <w:rPr>
                <w:rFonts w:hint="eastAsia"/>
                <w:szCs w:val="21"/>
                <w:highlight w:val="none"/>
              </w:rPr>
            </w:pPr>
            <w:r>
              <w:rPr>
                <w:rFonts w:hint="eastAsia"/>
                <w:szCs w:val="21"/>
                <w:highlight w:val="none"/>
              </w:rPr>
              <w:t>单位</w:t>
            </w:r>
          </w:p>
        </w:tc>
        <w:tc>
          <w:tcPr>
            <w:tcW w:w="1057" w:type="dxa"/>
            <w:vAlign w:val="center"/>
          </w:tcPr>
          <w:p>
            <w:pPr>
              <w:spacing w:line="240" w:lineRule="auto"/>
              <w:jc w:val="center"/>
              <w:rPr>
                <w:rFonts w:hint="eastAsia"/>
                <w:szCs w:val="21"/>
                <w:highlight w:val="none"/>
              </w:rPr>
            </w:pPr>
            <w:r>
              <w:rPr>
                <w:rFonts w:hint="eastAsia"/>
                <w:szCs w:val="21"/>
                <w:highlight w:val="none"/>
              </w:rPr>
              <w:t>单价(元)</w:t>
            </w:r>
          </w:p>
        </w:tc>
        <w:tc>
          <w:tcPr>
            <w:tcW w:w="1276" w:type="dxa"/>
            <w:vAlign w:val="center"/>
          </w:tcPr>
          <w:p>
            <w:pPr>
              <w:spacing w:line="240" w:lineRule="auto"/>
              <w:jc w:val="center"/>
              <w:rPr>
                <w:rFonts w:hint="eastAsia"/>
                <w:szCs w:val="21"/>
                <w:highlight w:val="none"/>
              </w:rPr>
            </w:pPr>
            <w:r>
              <w:rPr>
                <w:rFonts w:hint="eastAsia"/>
                <w:szCs w:val="21"/>
                <w:highlight w:val="none"/>
              </w:rPr>
              <w:t>合价(元)</w:t>
            </w:r>
          </w:p>
        </w:tc>
        <w:tc>
          <w:tcPr>
            <w:tcW w:w="1082" w:type="dxa"/>
            <w:vAlign w:val="center"/>
          </w:tcPr>
          <w:p>
            <w:pPr>
              <w:spacing w:line="240" w:lineRule="auto"/>
              <w:jc w:val="center"/>
              <w:rPr>
                <w:rFonts w:hint="eastAsia"/>
                <w:szCs w:val="21"/>
                <w:highlight w:val="none"/>
              </w:rPr>
            </w:pPr>
            <w:r>
              <w:rPr>
                <w:rFonts w:hint="eastAsia"/>
                <w:szCs w:val="21"/>
                <w:highlight w:val="none"/>
              </w:rPr>
              <w:t>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rFonts w:hint="eastAsia"/>
                <w:sz w:val="24"/>
                <w:highlight w:val="none"/>
              </w:rPr>
            </w:pPr>
          </w:p>
        </w:tc>
        <w:tc>
          <w:tcPr>
            <w:tcW w:w="1347" w:type="dxa"/>
            <w:vAlign w:val="center"/>
          </w:tcPr>
          <w:p>
            <w:pPr>
              <w:spacing w:line="240" w:lineRule="auto"/>
              <w:jc w:val="center"/>
              <w:rPr>
                <w:rFonts w:hint="eastAsia"/>
                <w:sz w:val="24"/>
                <w:highlight w:val="none"/>
              </w:rPr>
            </w:pPr>
          </w:p>
        </w:tc>
        <w:tc>
          <w:tcPr>
            <w:tcW w:w="1417" w:type="dxa"/>
            <w:vAlign w:val="center"/>
          </w:tcPr>
          <w:p>
            <w:pPr>
              <w:spacing w:line="240" w:lineRule="auto"/>
              <w:jc w:val="center"/>
              <w:rPr>
                <w:rFonts w:hint="eastAsia"/>
                <w:sz w:val="24"/>
                <w:highlight w:val="none"/>
              </w:rPr>
            </w:pPr>
          </w:p>
        </w:tc>
        <w:tc>
          <w:tcPr>
            <w:tcW w:w="851" w:type="dxa"/>
            <w:vAlign w:val="center"/>
          </w:tcPr>
          <w:p>
            <w:pPr>
              <w:spacing w:line="240" w:lineRule="auto"/>
              <w:jc w:val="center"/>
              <w:rPr>
                <w:rFonts w:hint="eastAsia"/>
                <w:sz w:val="24"/>
                <w:highlight w:val="none"/>
              </w:rPr>
            </w:pPr>
          </w:p>
        </w:tc>
        <w:tc>
          <w:tcPr>
            <w:tcW w:w="992" w:type="dxa"/>
            <w:vAlign w:val="center"/>
          </w:tcPr>
          <w:p>
            <w:pPr>
              <w:spacing w:line="240" w:lineRule="auto"/>
              <w:jc w:val="center"/>
              <w:rPr>
                <w:rFonts w:hint="eastAsia"/>
                <w:sz w:val="24"/>
                <w:highlight w:val="none"/>
              </w:rPr>
            </w:pPr>
          </w:p>
        </w:tc>
        <w:tc>
          <w:tcPr>
            <w:tcW w:w="709" w:type="dxa"/>
            <w:vAlign w:val="center"/>
          </w:tcPr>
          <w:p>
            <w:pPr>
              <w:spacing w:line="240" w:lineRule="auto"/>
              <w:jc w:val="center"/>
              <w:rPr>
                <w:rFonts w:hint="eastAsia"/>
                <w:sz w:val="24"/>
                <w:highlight w:val="none"/>
              </w:rPr>
            </w:pPr>
          </w:p>
        </w:tc>
        <w:tc>
          <w:tcPr>
            <w:tcW w:w="737" w:type="dxa"/>
            <w:vAlign w:val="center"/>
          </w:tcPr>
          <w:p>
            <w:pPr>
              <w:spacing w:line="240" w:lineRule="auto"/>
              <w:jc w:val="center"/>
              <w:rPr>
                <w:rFonts w:hint="eastAsia"/>
                <w:sz w:val="24"/>
                <w:highlight w:val="none"/>
              </w:rPr>
            </w:pPr>
          </w:p>
        </w:tc>
        <w:tc>
          <w:tcPr>
            <w:tcW w:w="1057" w:type="dxa"/>
            <w:vAlign w:val="center"/>
          </w:tcPr>
          <w:p>
            <w:pPr>
              <w:spacing w:line="240" w:lineRule="auto"/>
              <w:jc w:val="center"/>
              <w:rPr>
                <w:rFonts w:hint="eastAsia"/>
                <w:sz w:val="24"/>
                <w:highlight w:val="none"/>
              </w:rPr>
            </w:pPr>
          </w:p>
        </w:tc>
        <w:tc>
          <w:tcPr>
            <w:tcW w:w="1276" w:type="dxa"/>
            <w:vAlign w:val="center"/>
          </w:tcPr>
          <w:p>
            <w:pPr>
              <w:spacing w:line="240" w:lineRule="auto"/>
              <w:jc w:val="center"/>
              <w:rPr>
                <w:rFonts w:hint="eastAsia"/>
                <w:sz w:val="24"/>
                <w:highlight w:val="none"/>
              </w:rPr>
            </w:pPr>
          </w:p>
        </w:tc>
        <w:tc>
          <w:tcPr>
            <w:tcW w:w="1082" w:type="dxa"/>
            <w:vAlign w:val="center"/>
          </w:tcPr>
          <w:p>
            <w:pPr>
              <w:spacing w:line="240" w:lineRule="auto"/>
              <w:jc w:val="cente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rFonts w:hint="eastAsia"/>
                <w:sz w:val="24"/>
                <w:highlight w:val="none"/>
              </w:rPr>
            </w:pPr>
          </w:p>
        </w:tc>
        <w:tc>
          <w:tcPr>
            <w:tcW w:w="1347" w:type="dxa"/>
            <w:vAlign w:val="center"/>
          </w:tcPr>
          <w:p>
            <w:pPr>
              <w:spacing w:line="240" w:lineRule="auto"/>
              <w:jc w:val="center"/>
              <w:rPr>
                <w:rFonts w:hint="eastAsia"/>
                <w:sz w:val="24"/>
                <w:highlight w:val="none"/>
              </w:rPr>
            </w:pPr>
          </w:p>
        </w:tc>
        <w:tc>
          <w:tcPr>
            <w:tcW w:w="1417" w:type="dxa"/>
            <w:vAlign w:val="center"/>
          </w:tcPr>
          <w:p>
            <w:pPr>
              <w:spacing w:line="240" w:lineRule="auto"/>
              <w:jc w:val="center"/>
              <w:rPr>
                <w:rFonts w:hint="eastAsia"/>
                <w:sz w:val="24"/>
                <w:highlight w:val="none"/>
              </w:rPr>
            </w:pPr>
          </w:p>
        </w:tc>
        <w:tc>
          <w:tcPr>
            <w:tcW w:w="851" w:type="dxa"/>
            <w:vAlign w:val="center"/>
          </w:tcPr>
          <w:p>
            <w:pPr>
              <w:spacing w:line="240" w:lineRule="auto"/>
              <w:jc w:val="center"/>
              <w:rPr>
                <w:rFonts w:hint="eastAsia"/>
                <w:sz w:val="24"/>
                <w:highlight w:val="none"/>
              </w:rPr>
            </w:pPr>
          </w:p>
        </w:tc>
        <w:tc>
          <w:tcPr>
            <w:tcW w:w="992" w:type="dxa"/>
            <w:vAlign w:val="center"/>
          </w:tcPr>
          <w:p>
            <w:pPr>
              <w:spacing w:line="240" w:lineRule="auto"/>
              <w:jc w:val="center"/>
              <w:rPr>
                <w:rFonts w:hint="eastAsia"/>
                <w:sz w:val="24"/>
                <w:highlight w:val="none"/>
              </w:rPr>
            </w:pPr>
          </w:p>
        </w:tc>
        <w:tc>
          <w:tcPr>
            <w:tcW w:w="709" w:type="dxa"/>
            <w:vAlign w:val="center"/>
          </w:tcPr>
          <w:p>
            <w:pPr>
              <w:spacing w:line="240" w:lineRule="auto"/>
              <w:jc w:val="center"/>
              <w:rPr>
                <w:rFonts w:hint="eastAsia"/>
                <w:sz w:val="24"/>
                <w:highlight w:val="none"/>
              </w:rPr>
            </w:pPr>
          </w:p>
        </w:tc>
        <w:tc>
          <w:tcPr>
            <w:tcW w:w="737" w:type="dxa"/>
            <w:vAlign w:val="center"/>
          </w:tcPr>
          <w:p>
            <w:pPr>
              <w:spacing w:line="240" w:lineRule="auto"/>
              <w:jc w:val="center"/>
              <w:rPr>
                <w:rFonts w:hint="eastAsia"/>
                <w:sz w:val="24"/>
                <w:highlight w:val="none"/>
              </w:rPr>
            </w:pPr>
          </w:p>
        </w:tc>
        <w:tc>
          <w:tcPr>
            <w:tcW w:w="1057" w:type="dxa"/>
            <w:vAlign w:val="center"/>
          </w:tcPr>
          <w:p>
            <w:pPr>
              <w:spacing w:line="240" w:lineRule="auto"/>
              <w:jc w:val="center"/>
              <w:rPr>
                <w:rFonts w:hint="eastAsia"/>
                <w:sz w:val="24"/>
                <w:highlight w:val="none"/>
              </w:rPr>
            </w:pPr>
          </w:p>
        </w:tc>
        <w:tc>
          <w:tcPr>
            <w:tcW w:w="1276" w:type="dxa"/>
            <w:vAlign w:val="center"/>
          </w:tcPr>
          <w:p>
            <w:pPr>
              <w:spacing w:line="240" w:lineRule="auto"/>
              <w:jc w:val="center"/>
              <w:rPr>
                <w:rFonts w:hint="eastAsia"/>
                <w:sz w:val="24"/>
                <w:highlight w:val="none"/>
              </w:rPr>
            </w:pPr>
          </w:p>
        </w:tc>
        <w:tc>
          <w:tcPr>
            <w:tcW w:w="1082" w:type="dxa"/>
            <w:vAlign w:val="center"/>
          </w:tcPr>
          <w:p>
            <w:pPr>
              <w:spacing w:line="240" w:lineRule="auto"/>
              <w:jc w:val="cente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rFonts w:hint="eastAsia"/>
                <w:sz w:val="24"/>
                <w:highlight w:val="none"/>
              </w:rPr>
            </w:pPr>
          </w:p>
        </w:tc>
        <w:tc>
          <w:tcPr>
            <w:tcW w:w="1347" w:type="dxa"/>
            <w:vAlign w:val="center"/>
          </w:tcPr>
          <w:p>
            <w:pPr>
              <w:spacing w:line="240" w:lineRule="auto"/>
              <w:jc w:val="center"/>
              <w:rPr>
                <w:rFonts w:hint="eastAsia"/>
                <w:sz w:val="24"/>
                <w:highlight w:val="none"/>
              </w:rPr>
            </w:pPr>
          </w:p>
        </w:tc>
        <w:tc>
          <w:tcPr>
            <w:tcW w:w="1417" w:type="dxa"/>
            <w:vAlign w:val="center"/>
          </w:tcPr>
          <w:p>
            <w:pPr>
              <w:spacing w:line="240" w:lineRule="auto"/>
              <w:jc w:val="center"/>
              <w:rPr>
                <w:rFonts w:hint="eastAsia"/>
                <w:sz w:val="24"/>
                <w:highlight w:val="none"/>
              </w:rPr>
            </w:pPr>
          </w:p>
        </w:tc>
        <w:tc>
          <w:tcPr>
            <w:tcW w:w="851" w:type="dxa"/>
            <w:vAlign w:val="center"/>
          </w:tcPr>
          <w:p>
            <w:pPr>
              <w:spacing w:line="240" w:lineRule="auto"/>
              <w:jc w:val="center"/>
              <w:rPr>
                <w:rFonts w:hint="eastAsia"/>
                <w:sz w:val="24"/>
                <w:highlight w:val="none"/>
              </w:rPr>
            </w:pPr>
          </w:p>
        </w:tc>
        <w:tc>
          <w:tcPr>
            <w:tcW w:w="992" w:type="dxa"/>
            <w:vAlign w:val="center"/>
          </w:tcPr>
          <w:p>
            <w:pPr>
              <w:spacing w:line="240" w:lineRule="auto"/>
              <w:jc w:val="center"/>
              <w:rPr>
                <w:rFonts w:hint="eastAsia"/>
                <w:sz w:val="24"/>
                <w:highlight w:val="none"/>
              </w:rPr>
            </w:pPr>
          </w:p>
        </w:tc>
        <w:tc>
          <w:tcPr>
            <w:tcW w:w="709" w:type="dxa"/>
            <w:vAlign w:val="center"/>
          </w:tcPr>
          <w:p>
            <w:pPr>
              <w:spacing w:line="240" w:lineRule="auto"/>
              <w:jc w:val="center"/>
              <w:rPr>
                <w:rFonts w:hint="eastAsia"/>
                <w:sz w:val="24"/>
                <w:highlight w:val="none"/>
              </w:rPr>
            </w:pPr>
          </w:p>
        </w:tc>
        <w:tc>
          <w:tcPr>
            <w:tcW w:w="737" w:type="dxa"/>
            <w:vAlign w:val="center"/>
          </w:tcPr>
          <w:p>
            <w:pPr>
              <w:spacing w:line="240" w:lineRule="auto"/>
              <w:jc w:val="center"/>
              <w:rPr>
                <w:rFonts w:hint="eastAsia"/>
                <w:sz w:val="24"/>
                <w:highlight w:val="none"/>
              </w:rPr>
            </w:pPr>
          </w:p>
        </w:tc>
        <w:tc>
          <w:tcPr>
            <w:tcW w:w="1057" w:type="dxa"/>
            <w:vAlign w:val="center"/>
          </w:tcPr>
          <w:p>
            <w:pPr>
              <w:spacing w:line="240" w:lineRule="auto"/>
              <w:jc w:val="center"/>
              <w:rPr>
                <w:rFonts w:hint="eastAsia"/>
                <w:sz w:val="24"/>
                <w:highlight w:val="none"/>
              </w:rPr>
            </w:pPr>
          </w:p>
        </w:tc>
        <w:tc>
          <w:tcPr>
            <w:tcW w:w="1276" w:type="dxa"/>
            <w:vAlign w:val="center"/>
          </w:tcPr>
          <w:p>
            <w:pPr>
              <w:spacing w:line="240" w:lineRule="auto"/>
              <w:jc w:val="center"/>
              <w:rPr>
                <w:rFonts w:hint="eastAsia"/>
                <w:sz w:val="24"/>
                <w:highlight w:val="none"/>
              </w:rPr>
            </w:pPr>
          </w:p>
        </w:tc>
        <w:tc>
          <w:tcPr>
            <w:tcW w:w="1082" w:type="dxa"/>
            <w:vAlign w:val="center"/>
          </w:tcPr>
          <w:p>
            <w:pPr>
              <w:spacing w:line="240" w:lineRule="auto"/>
              <w:jc w:val="cente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rFonts w:hint="eastAsia"/>
                <w:sz w:val="24"/>
                <w:highlight w:val="none"/>
              </w:rPr>
            </w:pPr>
          </w:p>
        </w:tc>
        <w:tc>
          <w:tcPr>
            <w:tcW w:w="1347" w:type="dxa"/>
            <w:vAlign w:val="center"/>
          </w:tcPr>
          <w:p>
            <w:pPr>
              <w:spacing w:line="240" w:lineRule="auto"/>
              <w:jc w:val="center"/>
              <w:rPr>
                <w:rFonts w:hint="eastAsia"/>
                <w:sz w:val="24"/>
                <w:highlight w:val="none"/>
              </w:rPr>
            </w:pPr>
          </w:p>
        </w:tc>
        <w:tc>
          <w:tcPr>
            <w:tcW w:w="1417" w:type="dxa"/>
            <w:vAlign w:val="center"/>
          </w:tcPr>
          <w:p>
            <w:pPr>
              <w:spacing w:line="240" w:lineRule="auto"/>
              <w:jc w:val="center"/>
              <w:rPr>
                <w:rFonts w:hint="eastAsia"/>
                <w:sz w:val="24"/>
                <w:highlight w:val="none"/>
              </w:rPr>
            </w:pPr>
          </w:p>
        </w:tc>
        <w:tc>
          <w:tcPr>
            <w:tcW w:w="851" w:type="dxa"/>
            <w:vAlign w:val="center"/>
          </w:tcPr>
          <w:p>
            <w:pPr>
              <w:spacing w:line="240" w:lineRule="auto"/>
              <w:jc w:val="center"/>
              <w:rPr>
                <w:rFonts w:hint="eastAsia"/>
                <w:sz w:val="24"/>
                <w:highlight w:val="none"/>
              </w:rPr>
            </w:pPr>
          </w:p>
        </w:tc>
        <w:tc>
          <w:tcPr>
            <w:tcW w:w="992" w:type="dxa"/>
            <w:vAlign w:val="center"/>
          </w:tcPr>
          <w:p>
            <w:pPr>
              <w:spacing w:line="240" w:lineRule="auto"/>
              <w:jc w:val="center"/>
              <w:rPr>
                <w:rFonts w:hint="eastAsia"/>
                <w:sz w:val="24"/>
                <w:highlight w:val="none"/>
              </w:rPr>
            </w:pPr>
          </w:p>
        </w:tc>
        <w:tc>
          <w:tcPr>
            <w:tcW w:w="709" w:type="dxa"/>
            <w:vAlign w:val="center"/>
          </w:tcPr>
          <w:p>
            <w:pPr>
              <w:spacing w:line="240" w:lineRule="auto"/>
              <w:jc w:val="center"/>
              <w:rPr>
                <w:rFonts w:hint="eastAsia"/>
                <w:sz w:val="24"/>
                <w:highlight w:val="none"/>
              </w:rPr>
            </w:pPr>
          </w:p>
        </w:tc>
        <w:tc>
          <w:tcPr>
            <w:tcW w:w="737" w:type="dxa"/>
            <w:vAlign w:val="center"/>
          </w:tcPr>
          <w:p>
            <w:pPr>
              <w:spacing w:line="240" w:lineRule="auto"/>
              <w:jc w:val="center"/>
              <w:rPr>
                <w:rFonts w:hint="eastAsia"/>
                <w:sz w:val="24"/>
                <w:highlight w:val="none"/>
              </w:rPr>
            </w:pPr>
          </w:p>
        </w:tc>
        <w:tc>
          <w:tcPr>
            <w:tcW w:w="1057" w:type="dxa"/>
            <w:vAlign w:val="center"/>
          </w:tcPr>
          <w:p>
            <w:pPr>
              <w:spacing w:line="240" w:lineRule="auto"/>
              <w:jc w:val="center"/>
              <w:rPr>
                <w:rFonts w:hint="eastAsia"/>
                <w:sz w:val="24"/>
                <w:highlight w:val="none"/>
              </w:rPr>
            </w:pPr>
          </w:p>
        </w:tc>
        <w:tc>
          <w:tcPr>
            <w:tcW w:w="1276" w:type="dxa"/>
            <w:vAlign w:val="center"/>
          </w:tcPr>
          <w:p>
            <w:pPr>
              <w:spacing w:line="240" w:lineRule="auto"/>
              <w:jc w:val="center"/>
              <w:rPr>
                <w:rFonts w:hint="eastAsia"/>
                <w:sz w:val="24"/>
                <w:highlight w:val="none"/>
              </w:rPr>
            </w:pPr>
          </w:p>
        </w:tc>
        <w:tc>
          <w:tcPr>
            <w:tcW w:w="1082" w:type="dxa"/>
            <w:vAlign w:val="center"/>
          </w:tcPr>
          <w:p>
            <w:pPr>
              <w:spacing w:line="240" w:lineRule="auto"/>
              <w:jc w:val="cente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rFonts w:hint="eastAsia"/>
                <w:sz w:val="24"/>
                <w:highlight w:val="none"/>
              </w:rPr>
            </w:pPr>
          </w:p>
        </w:tc>
        <w:tc>
          <w:tcPr>
            <w:tcW w:w="1347" w:type="dxa"/>
            <w:vAlign w:val="center"/>
          </w:tcPr>
          <w:p>
            <w:pPr>
              <w:spacing w:line="240" w:lineRule="auto"/>
              <w:jc w:val="center"/>
              <w:rPr>
                <w:rFonts w:hint="eastAsia"/>
                <w:sz w:val="24"/>
                <w:highlight w:val="none"/>
              </w:rPr>
            </w:pPr>
          </w:p>
        </w:tc>
        <w:tc>
          <w:tcPr>
            <w:tcW w:w="1417" w:type="dxa"/>
            <w:vAlign w:val="center"/>
          </w:tcPr>
          <w:p>
            <w:pPr>
              <w:spacing w:line="240" w:lineRule="auto"/>
              <w:jc w:val="center"/>
              <w:rPr>
                <w:rFonts w:hint="eastAsia"/>
                <w:sz w:val="24"/>
                <w:highlight w:val="none"/>
              </w:rPr>
            </w:pPr>
          </w:p>
        </w:tc>
        <w:tc>
          <w:tcPr>
            <w:tcW w:w="851" w:type="dxa"/>
            <w:vAlign w:val="center"/>
          </w:tcPr>
          <w:p>
            <w:pPr>
              <w:spacing w:line="240" w:lineRule="auto"/>
              <w:jc w:val="center"/>
              <w:rPr>
                <w:rFonts w:hint="eastAsia"/>
                <w:sz w:val="24"/>
                <w:highlight w:val="none"/>
              </w:rPr>
            </w:pPr>
          </w:p>
        </w:tc>
        <w:tc>
          <w:tcPr>
            <w:tcW w:w="992" w:type="dxa"/>
            <w:vAlign w:val="center"/>
          </w:tcPr>
          <w:p>
            <w:pPr>
              <w:spacing w:line="240" w:lineRule="auto"/>
              <w:jc w:val="center"/>
              <w:rPr>
                <w:rFonts w:hint="eastAsia"/>
                <w:sz w:val="24"/>
                <w:highlight w:val="none"/>
              </w:rPr>
            </w:pPr>
          </w:p>
        </w:tc>
        <w:tc>
          <w:tcPr>
            <w:tcW w:w="709" w:type="dxa"/>
            <w:vAlign w:val="center"/>
          </w:tcPr>
          <w:p>
            <w:pPr>
              <w:spacing w:line="240" w:lineRule="auto"/>
              <w:jc w:val="center"/>
              <w:rPr>
                <w:rFonts w:hint="eastAsia"/>
                <w:sz w:val="24"/>
                <w:highlight w:val="none"/>
              </w:rPr>
            </w:pPr>
          </w:p>
        </w:tc>
        <w:tc>
          <w:tcPr>
            <w:tcW w:w="737" w:type="dxa"/>
            <w:vAlign w:val="center"/>
          </w:tcPr>
          <w:p>
            <w:pPr>
              <w:spacing w:line="240" w:lineRule="auto"/>
              <w:jc w:val="center"/>
              <w:rPr>
                <w:rFonts w:hint="eastAsia"/>
                <w:sz w:val="24"/>
                <w:highlight w:val="none"/>
              </w:rPr>
            </w:pPr>
          </w:p>
        </w:tc>
        <w:tc>
          <w:tcPr>
            <w:tcW w:w="1057" w:type="dxa"/>
            <w:vAlign w:val="center"/>
          </w:tcPr>
          <w:p>
            <w:pPr>
              <w:spacing w:line="240" w:lineRule="auto"/>
              <w:jc w:val="center"/>
              <w:rPr>
                <w:rFonts w:hint="eastAsia"/>
                <w:sz w:val="24"/>
                <w:highlight w:val="none"/>
              </w:rPr>
            </w:pPr>
          </w:p>
        </w:tc>
        <w:tc>
          <w:tcPr>
            <w:tcW w:w="1276" w:type="dxa"/>
            <w:vAlign w:val="center"/>
          </w:tcPr>
          <w:p>
            <w:pPr>
              <w:spacing w:line="240" w:lineRule="auto"/>
              <w:jc w:val="center"/>
              <w:rPr>
                <w:rFonts w:hint="eastAsia"/>
                <w:sz w:val="24"/>
                <w:highlight w:val="none"/>
              </w:rPr>
            </w:pPr>
          </w:p>
        </w:tc>
        <w:tc>
          <w:tcPr>
            <w:tcW w:w="1082" w:type="dxa"/>
            <w:vAlign w:val="center"/>
          </w:tcPr>
          <w:p>
            <w:pPr>
              <w:spacing w:line="240" w:lineRule="auto"/>
              <w:jc w:val="cente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0" w:type="dxa"/>
            <w:gridSpan w:val="8"/>
            <w:vAlign w:val="center"/>
          </w:tcPr>
          <w:p>
            <w:pPr>
              <w:spacing w:line="240" w:lineRule="auto"/>
              <w:jc w:val="left"/>
              <w:rPr>
                <w:rFonts w:hint="eastAsia"/>
                <w:sz w:val="24"/>
                <w:highlight w:val="none"/>
              </w:rPr>
            </w:pPr>
            <w:r>
              <w:rPr>
                <w:rFonts w:hint="eastAsia"/>
                <w:sz w:val="24"/>
                <w:highlight w:val="none"/>
              </w:rPr>
              <w:t>合计（即：投标总价；币种：人民币；单位：元）：大写：</w:t>
            </w:r>
          </w:p>
        </w:tc>
        <w:tc>
          <w:tcPr>
            <w:tcW w:w="1276" w:type="dxa"/>
            <w:vAlign w:val="center"/>
          </w:tcPr>
          <w:p>
            <w:pPr>
              <w:spacing w:line="240" w:lineRule="auto"/>
              <w:jc w:val="center"/>
              <w:rPr>
                <w:rFonts w:hint="eastAsia"/>
                <w:sz w:val="24"/>
                <w:highlight w:val="none"/>
              </w:rPr>
            </w:pPr>
          </w:p>
        </w:tc>
        <w:tc>
          <w:tcPr>
            <w:tcW w:w="1082" w:type="dxa"/>
            <w:vAlign w:val="center"/>
          </w:tcPr>
          <w:p>
            <w:pPr>
              <w:spacing w:line="240" w:lineRule="auto"/>
              <w:jc w:val="center"/>
              <w:rPr>
                <w:rFonts w:hint="eastAsia"/>
                <w:sz w:val="24"/>
                <w:highlight w:val="none"/>
              </w:rPr>
            </w:pPr>
          </w:p>
        </w:tc>
      </w:tr>
    </w:tbl>
    <w:p>
      <w:pPr>
        <w:spacing w:line="240" w:lineRule="auto"/>
        <w:rPr>
          <w:rFonts w:hint="eastAsia"/>
          <w:b/>
          <w:sz w:val="24"/>
          <w:highlight w:val="none"/>
        </w:rPr>
      </w:pPr>
    </w:p>
    <w:p>
      <w:pPr>
        <w:spacing w:line="240" w:lineRule="auto"/>
        <w:rPr>
          <w:rFonts w:hint="eastAsia"/>
          <w:b/>
          <w:sz w:val="24"/>
          <w:highlight w:val="none"/>
        </w:rPr>
      </w:pPr>
      <w:r>
        <w:rPr>
          <w:rFonts w:hint="eastAsia"/>
          <w:b/>
          <w:sz w:val="24"/>
          <w:highlight w:val="none"/>
        </w:rPr>
        <w:t>备注：</w:t>
      </w:r>
    </w:p>
    <w:p>
      <w:pPr>
        <w:spacing w:line="240" w:lineRule="auto"/>
        <w:ind w:firstLine="424" w:firstLineChars="176"/>
        <w:rPr>
          <w:rFonts w:hint="eastAsia"/>
          <w:b/>
          <w:sz w:val="24"/>
          <w:highlight w:val="none"/>
        </w:rPr>
      </w:pPr>
      <w:r>
        <w:rPr>
          <w:rFonts w:hint="eastAsia"/>
          <w:b/>
          <w:sz w:val="24"/>
          <w:highlight w:val="none"/>
        </w:rPr>
        <w:t>1.请根据“第二章</w:t>
      </w:r>
      <w:r>
        <w:rPr>
          <w:b/>
          <w:sz w:val="24"/>
          <w:highlight w:val="none"/>
        </w:rPr>
        <w:t xml:space="preserve"> 项目需求” “</w:t>
      </w:r>
      <w:r>
        <w:rPr>
          <w:rFonts w:hint="eastAsia"/>
          <w:b/>
          <w:sz w:val="24"/>
          <w:highlight w:val="none"/>
        </w:rPr>
        <w:t>一</w:t>
      </w:r>
      <w:r>
        <w:rPr>
          <w:b/>
          <w:sz w:val="24"/>
          <w:highlight w:val="none"/>
        </w:rPr>
        <w:t>、货物清单</w:t>
      </w:r>
      <w:r>
        <w:rPr>
          <w:rFonts w:hint="eastAsia"/>
          <w:b/>
          <w:sz w:val="24"/>
          <w:highlight w:val="none"/>
        </w:rPr>
        <w:t>一览表</w:t>
      </w:r>
      <w:r>
        <w:rPr>
          <w:b/>
          <w:sz w:val="24"/>
          <w:highlight w:val="none"/>
        </w:rPr>
        <w:t>”填写；本表格式不得修改。</w:t>
      </w:r>
    </w:p>
    <w:p>
      <w:pPr>
        <w:spacing w:line="240" w:lineRule="auto"/>
        <w:ind w:firstLine="424" w:firstLineChars="176"/>
        <w:rPr>
          <w:rFonts w:hint="eastAsia"/>
          <w:b/>
          <w:sz w:val="24"/>
          <w:highlight w:val="none"/>
        </w:rPr>
      </w:pPr>
      <w:r>
        <w:rPr>
          <w:rFonts w:hint="eastAsia"/>
          <w:b/>
          <w:sz w:val="24"/>
          <w:highlight w:val="none"/>
        </w:rPr>
        <w:t>2</w:t>
      </w:r>
      <w:r>
        <w:rPr>
          <w:b/>
          <w:sz w:val="24"/>
          <w:highlight w:val="none"/>
        </w:rPr>
        <w:t>.</w:t>
      </w:r>
      <w:r>
        <w:rPr>
          <w:rFonts w:hint="eastAsia"/>
          <w:b/>
          <w:sz w:val="24"/>
          <w:highlight w:val="none"/>
        </w:rPr>
        <w:t>所有价格应按“招标文件”中规定的货币单位填写；投标总价应为以上各分项价格之和；投标单价均不得超过对应的单项限价，否则将导致无效投标。</w:t>
      </w:r>
    </w:p>
    <w:p>
      <w:pPr>
        <w:spacing w:line="240" w:lineRule="auto"/>
        <w:ind w:firstLine="424" w:firstLineChars="176"/>
        <w:rPr>
          <w:rFonts w:hint="eastAsia"/>
          <w:b/>
          <w:sz w:val="24"/>
          <w:highlight w:val="none"/>
        </w:rPr>
      </w:pPr>
      <w:r>
        <w:rPr>
          <w:rFonts w:hint="eastAsia"/>
          <w:b/>
          <w:sz w:val="24"/>
          <w:highlight w:val="none"/>
        </w:rPr>
        <w:t>3.单价、合价和投标总价为包干价，即三者均应包含设备的价款、包装、运输、装卸、安装、调试、技术指导、培训、咨询、服务、保险、税费、检测、验收合格交付使用之前以及技术和售后服务等其他各项有关费用。</w:t>
      </w:r>
    </w:p>
    <w:p>
      <w:pPr>
        <w:spacing w:line="240" w:lineRule="auto"/>
        <w:ind w:firstLine="424" w:firstLineChars="176"/>
        <w:rPr>
          <w:rFonts w:hint="eastAsia"/>
          <w:b/>
          <w:sz w:val="24"/>
          <w:highlight w:val="none"/>
        </w:rPr>
      </w:pPr>
      <w:r>
        <w:rPr>
          <w:rFonts w:hint="eastAsia"/>
          <w:b/>
          <w:sz w:val="24"/>
          <w:highlight w:val="none"/>
        </w:rPr>
        <w:t>4.“原产地”是指该产品的实际生产加工地，而非品牌总公司所在地。</w:t>
      </w:r>
    </w:p>
    <w:p>
      <w:pPr>
        <w:spacing w:line="240" w:lineRule="auto"/>
        <w:ind w:firstLine="424" w:firstLineChars="176"/>
        <w:rPr>
          <w:rFonts w:hint="eastAsia"/>
          <w:b/>
          <w:sz w:val="24"/>
          <w:highlight w:val="none"/>
        </w:rPr>
      </w:pPr>
      <w:r>
        <w:rPr>
          <w:b/>
          <w:sz w:val="24"/>
          <w:highlight w:val="none"/>
        </w:rPr>
        <w:t>5.详细填写所投货物的制造商名称；若如所投产品属于定制类的非量产货物或无具体型号的货物，可以不填写型号等信息，但应当标注投标产品为定制产品。</w:t>
      </w:r>
    </w:p>
    <w:p>
      <w:pPr>
        <w:spacing w:line="240" w:lineRule="auto"/>
        <w:ind w:firstLine="424" w:firstLineChars="176"/>
        <w:rPr>
          <w:rFonts w:hint="eastAsia"/>
          <w:b/>
          <w:sz w:val="24"/>
          <w:highlight w:val="none"/>
        </w:rPr>
      </w:pPr>
      <w:r>
        <w:rPr>
          <w:b/>
          <w:sz w:val="24"/>
          <w:highlight w:val="none"/>
        </w:rPr>
        <w:t>6.</w:t>
      </w:r>
      <w:r>
        <w:rPr>
          <w:rFonts w:hint="eastAsia"/>
          <w:b/>
          <w:sz w:val="24"/>
          <w:highlight w:val="none"/>
        </w:rPr>
        <w:t>上述报价最多保留两位小数。</w:t>
      </w:r>
    </w:p>
    <w:p>
      <w:pPr>
        <w:widowControl w:val="0"/>
        <w:shd w:val="clear" w:color="auto" w:fill="auto"/>
        <w:tabs>
          <w:tab w:val="clear" w:pos="426"/>
        </w:tabs>
        <w:adjustRightInd/>
        <w:snapToGrid/>
        <w:spacing w:line="300" w:lineRule="auto"/>
        <w:jc w:val="center"/>
        <w:rPr>
          <w:rFonts w:hint="eastAsia" w:cs="Times New Roman"/>
          <w:b/>
          <w:bCs/>
          <w:kern w:val="2"/>
          <w:sz w:val="28"/>
          <w:szCs w:val="28"/>
          <w:highlight w:val="none"/>
        </w:rPr>
      </w:pPr>
    </w:p>
    <w:p>
      <w:pPr>
        <w:widowControl w:val="0"/>
        <w:shd w:val="clear" w:color="auto" w:fill="auto"/>
        <w:tabs>
          <w:tab w:val="clear" w:pos="426"/>
        </w:tabs>
        <w:adjustRightInd/>
        <w:snapToGrid/>
        <w:spacing w:line="300" w:lineRule="auto"/>
        <w:jc w:val="center"/>
        <w:rPr>
          <w:rFonts w:hint="eastAsia" w:cs="Times New Roman"/>
          <w:b/>
          <w:bCs/>
          <w:kern w:val="2"/>
          <w:sz w:val="28"/>
          <w:szCs w:val="28"/>
          <w:highlight w:val="none"/>
        </w:rPr>
      </w:pPr>
      <w:r>
        <w:rPr>
          <w:rFonts w:hint="eastAsia" w:cs="Times New Roman"/>
          <w:b/>
          <w:bCs/>
          <w:kern w:val="2"/>
          <w:sz w:val="28"/>
          <w:szCs w:val="28"/>
          <w:highlight w:val="none"/>
        </w:rPr>
        <w:t>（二）可选配件报价清单（不包括在总报价内）</w:t>
      </w:r>
    </w:p>
    <w:p>
      <w:pPr>
        <w:tabs>
          <w:tab w:val="clear" w:pos="426"/>
        </w:tabs>
        <w:spacing w:line="500" w:lineRule="exact"/>
        <w:rPr>
          <w:rFonts w:hint="eastAsia"/>
          <w:b/>
          <w:sz w:val="24"/>
          <w:highlight w:val="none"/>
        </w:rPr>
      </w:pPr>
      <w:r>
        <w:rPr>
          <w:rFonts w:hint="eastAsia"/>
          <w:b/>
          <w:sz w:val="24"/>
          <w:highlight w:val="none"/>
        </w:rPr>
        <w:t>备注：格式参照《（一）项目报价表》表格，但须提供相应的品牌、规格型号、原产地、单价等详细信息</w:t>
      </w:r>
    </w:p>
    <w:p>
      <w:pPr>
        <w:widowControl w:val="0"/>
        <w:shd w:val="clear" w:color="auto" w:fill="auto"/>
        <w:tabs>
          <w:tab w:val="clear" w:pos="426"/>
        </w:tabs>
        <w:adjustRightInd/>
        <w:snapToGrid/>
        <w:spacing w:line="300" w:lineRule="auto"/>
        <w:jc w:val="center"/>
        <w:rPr>
          <w:rFonts w:hint="eastAsia" w:cs="Times New Roman"/>
          <w:b/>
          <w:bCs/>
          <w:kern w:val="2"/>
          <w:sz w:val="32"/>
          <w:szCs w:val="32"/>
          <w:highlight w:val="none"/>
        </w:rPr>
      </w:pPr>
    </w:p>
    <w:p>
      <w:pPr>
        <w:widowControl w:val="0"/>
        <w:shd w:val="clear" w:color="auto" w:fill="auto"/>
        <w:tabs>
          <w:tab w:val="clear" w:pos="426"/>
        </w:tabs>
        <w:adjustRightInd/>
        <w:snapToGrid/>
        <w:spacing w:line="300" w:lineRule="auto"/>
        <w:jc w:val="center"/>
        <w:rPr>
          <w:rFonts w:hint="eastAsia" w:cs="Times New Roman"/>
          <w:b/>
          <w:bCs/>
          <w:kern w:val="2"/>
          <w:sz w:val="28"/>
          <w:szCs w:val="28"/>
          <w:highlight w:val="none"/>
        </w:rPr>
      </w:pPr>
      <w:r>
        <w:rPr>
          <w:rFonts w:hint="eastAsia" w:cs="Times New Roman"/>
          <w:b/>
          <w:bCs/>
          <w:kern w:val="2"/>
          <w:sz w:val="28"/>
          <w:szCs w:val="28"/>
          <w:highlight w:val="none"/>
        </w:rPr>
        <w:t>（三）供应商认为需要涉及的其他内容报价清单</w:t>
      </w:r>
    </w:p>
    <w:p>
      <w:pPr>
        <w:tabs>
          <w:tab w:val="clear" w:pos="426"/>
        </w:tabs>
        <w:spacing w:line="500" w:lineRule="exact"/>
        <w:rPr>
          <w:rFonts w:hint="eastAsia"/>
          <w:spacing w:val="4"/>
          <w:highlight w:val="none"/>
        </w:rPr>
      </w:pPr>
    </w:p>
    <w:p>
      <w:pPr>
        <w:tabs>
          <w:tab w:val="clear" w:pos="426"/>
        </w:tabs>
        <w:spacing w:line="500" w:lineRule="exact"/>
        <w:rPr>
          <w:rFonts w:hint="eastAsia"/>
          <w:spacing w:val="4"/>
          <w:highlight w:val="none"/>
        </w:rPr>
      </w:pPr>
    </w:p>
    <w:p>
      <w:pPr>
        <w:tabs>
          <w:tab w:val="clear" w:pos="426"/>
        </w:tabs>
        <w:spacing w:line="500" w:lineRule="exact"/>
        <w:rPr>
          <w:rFonts w:hint="eastAsia"/>
          <w:highlight w:val="none"/>
          <w:u w:val="single"/>
        </w:rPr>
      </w:pPr>
      <w:r>
        <w:rPr>
          <w:rFonts w:hint="eastAsia"/>
          <w:spacing w:val="4"/>
          <w:highlight w:val="none"/>
        </w:rPr>
        <w:t>投标人名称（</w:t>
      </w:r>
      <w:r>
        <w:rPr>
          <w:rFonts w:hint="eastAsia"/>
          <w:highlight w:val="none"/>
        </w:rPr>
        <w:t>单位盖</w:t>
      </w:r>
      <w:r>
        <w:rPr>
          <w:rFonts w:hint="eastAsia"/>
          <w:spacing w:val="4"/>
          <w:highlight w:val="none"/>
        </w:rPr>
        <w:t>公章）：</w:t>
      </w:r>
      <w:r>
        <w:rPr>
          <w:rFonts w:hint="eastAsia"/>
          <w:spacing w:val="4"/>
          <w:highlight w:val="none"/>
          <w:u w:val="single"/>
        </w:rPr>
        <w:t>__________________________________________________________</w:t>
      </w:r>
    </w:p>
    <w:p>
      <w:pPr>
        <w:tabs>
          <w:tab w:val="clear" w:pos="426"/>
        </w:tabs>
        <w:spacing w:line="520" w:lineRule="exact"/>
        <w:rPr>
          <w:rFonts w:hint="eastAsia"/>
          <w:spacing w:val="4"/>
          <w:highlight w:val="none"/>
          <w:u w:val="single"/>
        </w:rPr>
      </w:pPr>
      <w:r>
        <w:rPr>
          <w:rFonts w:hint="eastAsia"/>
          <w:highlight w:val="none"/>
        </w:rPr>
        <w:t>法定代表人或投标人授权代表（签字或盖章）：</w:t>
      </w:r>
      <w:r>
        <w:rPr>
          <w:spacing w:val="4"/>
          <w:highlight w:val="none"/>
          <w:u w:val="single"/>
        </w:rPr>
        <w:t>__________</w:t>
      </w:r>
      <w:r>
        <w:rPr>
          <w:rFonts w:hint="eastAsia"/>
          <w:spacing w:val="4"/>
          <w:highlight w:val="none"/>
          <w:u w:val="single"/>
        </w:rPr>
        <w:t>_</w:t>
      </w:r>
      <w:r>
        <w:rPr>
          <w:spacing w:val="4"/>
          <w:highlight w:val="none"/>
          <w:u w:val="single"/>
        </w:rPr>
        <w:t>___</w:t>
      </w:r>
      <w:r>
        <w:rPr>
          <w:rFonts w:hint="eastAsia"/>
          <w:spacing w:val="4"/>
          <w:highlight w:val="none"/>
        </w:rPr>
        <w:t>职务：</w:t>
      </w:r>
      <w:r>
        <w:rPr>
          <w:spacing w:val="4"/>
          <w:highlight w:val="none"/>
          <w:u w:val="single"/>
        </w:rPr>
        <w:t>________</w:t>
      </w:r>
      <w:r>
        <w:rPr>
          <w:rFonts w:hint="eastAsia"/>
          <w:spacing w:val="4"/>
          <w:highlight w:val="none"/>
        </w:rPr>
        <w:t>日期：</w:t>
      </w:r>
      <w:r>
        <w:rPr>
          <w:spacing w:val="4"/>
          <w:highlight w:val="none"/>
          <w:u w:val="single"/>
        </w:rPr>
        <w:t>_________</w:t>
      </w:r>
    </w:p>
    <w:p>
      <w:pPr>
        <w:rPr>
          <w:rFonts w:hint="eastAsia"/>
          <w:b/>
          <w:sz w:val="24"/>
          <w:highlight w:val="none"/>
        </w:rPr>
      </w:pPr>
      <w:r>
        <w:rPr>
          <w:rFonts w:hint="eastAsia"/>
          <w:b/>
          <w:sz w:val="24"/>
          <w:highlight w:val="none"/>
        </w:rPr>
        <w:br w:type="page"/>
      </w:r>
    </w:p>
    <w:p>
      <w:pPr>
        <w:adjustRightInd/>
        <w:snapToGrid/>
        <w:spacing w:before="280" w:after="290" w:line="377" w:lineRule="auto"/>
        <w:outlineLvl w:val="2"/>
        <w:rPr>
          <w:rFonts w:hint="eastAsia"/>
          <w:b/>
          <w:sz w:val="24"/>
          <w:highlight w:val="none"/>
        </w:rPr>
      </w:pPr>
      <w:bookmarkStart w:id="126" w:name="_Toc9437"/>
      <w:r>
        <w:rPr>
          <w:rFonts w:hint="eastAsia"/>
          <w:b/>
          <w:sz w:val="24"/>
          <w:highlight w:val="none"/>
        </w:rPr>
        <w:t>格式9：</w:t>
      </w:r>
      <w:bookmarkEnd w:id="126"/>
      <w:r>
        <w:rPr>
          <w:rFonts w:hint="eastAsia"/>
          <w:b/>
          <w:sz w:val="24"/>
          <w:highlight w:val="none"/>
        </w:rPr>
        <w:t>技术规格偏离表</w:t>
      </w:r>
    </w:p>
    <w:p>
      <w:pPr>
        <w:widowControl w:val="0"/>
        <w:shd w:val="clear" w:color="auto" w:fill="auto"/>
        <w:tabs>
          <w:tab w:val="clear" w:pos="426"/>
        </w:tabs>
        <w:spacing w:line="300" w:lineRule="auto"/>
        <w:jc w:val="center"/>
        <w:rPr>
          <w:rFonts w:ascii="Times New Roman" w:hAnsi="Times New Roman" w:cs="Times New Roman"/>
          <w:bCs/>
          <w:kern w:val="2"/>
          <w:sz w:val="32"/>
          <w:szCs w:val="32"/>
          <w:highlight w:val="none"/>
        </w:rPr>
      </w:pPr>
      <w:bookmarkStart w:id="127" w:name="OLE_LINK1"/>
      <w:r>
        <w:rPr>
          <w:rFonts w:hint="eastAsia" w:ascii="Times New Roman" w:hAnsi="Times New Roman" w:cs="Times New Roman"/>
          <w:bCs/>
          <w:kern w:val="2"/>
          <w:sz w:val="32"/>
          <w:szCs w:val="32"/>
          <w:highlight w:val="none"/>
        </w:rPr>
        <w:t>技术规格偏离表</w:t>
      </w:r>
    </w:p>
    <w:bookmarkEnd w:id="127"/>
    <w:p>
      <w:pPr>
        <w:tabs>
          <w:tab w:val="clear" w:pos="426"/>
        </w:tabs>
        <w:rPr>
          <w:rFonts w:ascii="Times New Roman" w:hAnsi="Times New Roman" w:cs="Times New Roman"/>
          <w:highlight w:val="none"/>
        </w:rPr>
      </w:pPr>
    </w:p>
    <w:p>
      <w:pPr>
        <w:tabs>
          <w:tab w:val="clear" w:pos="426"/>
        </w:tabs>
        <w:rPr>
          <w:rFonts w:ascii="Times New Roman" w:hAnsi="Times New Roman" w:cs="Times New Roman"/>
          <w:highlight w:val="none"/>
        </w:rPr>
      </w:pPr>
      <w:bookmarkStart w:id="128" w:name="_Hlk66188946"/>
      <w:r>
        <w:rPr>
          <w:rFonts w:ascii="Times New Roman" w:hAnsi="Times New Roman" w:cs="Times New Roman"/>
          <w:highlight w:val="none"/>
        </w:rPr>
        <w:t>项目名称：</w:t>
      </w:r>
      <w:r>
        <w:rPr>
          <w:rFonts w:ascii="Times New Roman" w:hAnsi="Times New Roman" w:cs="Times New Roman"/>
          <w:highlight w:val="none"/>
          <w:u w:val="single"/>
        </w:rPr>
        <w:t>_____________________________________</w:t>
      </w:r>
      <w:r>
        <w:rPr>
          <w:rFonts w:ascii="Times New Roman" w:hAnsi="Times New Roman" w:cs="Times New Roman"/>
          <w:highlight w:val="none"/>
        </w:rPr>
        <w:t>项目编号：</w:t>
      </w:r>
      <w:r>
        <w:rPr>
          <w:rFonts w:ascii="Times New Roman" w:hAnsi="Times New Roman" w:cs="Times New Roman"/>
          <w:sz w:val="18"/>
          <w:szCs w:val="18"/>
          <w:highlight w:val="none"/>
          <w:u w:val="single"/>
        </w:rPr>
        <w:t>_______________________</w:t>
      </w:r>
    </w:p>
    <w:bookmarkEnd w:id="128"/>
    <w:tbl>
      <w:tblPr>
        <w:tblStyle w:val="8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109"/>
        <w:gridCol w:w="1791"/>
        <w:gridCol w:w="1829"/>
        <w:gridCol w:w="1394"/>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vAlign w:val="center"/>
          </w:tcPr>
          <w:p>
            <w:pPr>
              <w:tabs>
                <w:tab w:val="clear" w:pos="426"/>
              </w:tabs>
              <w:spacing w:line="240" w:lineRule="auto"/>
              <w:jc w:val="center"/>
              <w:rPr>
                <w:rFonts w:ascii="Times New Roman" w:hAnsi="Times New Roman" w:cs="Times New Roman"/>
                <w:bCs/>
                <w:highlight w:val="none"/>
              </w:rPr>
            </w:pPr>
            <w:r>
              <w:rPr>
                <w:rFonts w:ascii="Times New Roman" w:hAnsi="Times New Roman" w:cs="Times New Roman"/>
                <w:bCs/>
                <w:highlight w:val="none"/>
              </w:rPr>
              <w:t>序号</w:t>
            </w:r>
          </w:p>
        </w:tc>
        <w:tc>
          <w:tcPr>
            <w:tcW w:w="1101" w:type="pct"/>
            <w:vAlign w:val="center"/>
          </w:tcPr>
          <w:p>
            <w:pPr>
              <w:tabs>
                <w:tab w:val="clear" w:pos="426"/>
              </w:tabs>
              <w:spacing w:line="240" w:lineRule="auto"/>
              <w:jc w:val="center"/>
              <w:rPr>
                <w:rFonts w:ascii="Times New Roman" w:hAnsi="Times New Roman" w:cs="Times New Roman"/>
                <w:bCs/>
                <w:highlight w:val="none"/>
              </w:rPr>
            </w:pPr>
            <w:r>
              <w:rPr>
                <w:rFonts w:ascii="Times New Roman" w:hAnsi="Times New Roman" w:cs="Times New Roman"/>
                <w:bCs/>
                <w:highlight w:val="none"/>
              </w:rPr>
              <w:t>货物名称</w:t>
            </w:r>
          </w:p>
        </w:tc>
        <w:tc>
          <w:tcPr>
            <w:tcW w:w="935" w:type="pct"/>
            <w:vAlign w:val="center"/>
          </w:tcPr>
          <w:p>
            <w:pPr>
              <w:tabs>
                <w:tab w:val="clear" w:pos="426"/>
              </w:tabs>
              <w:spacing w:line="240" w:lineRule="auto"/>
              <w:jc w:val="center"/>
              <w:rPr>
                <w:rFonts w:ascii="Times New Roman" w:hAnsi="Times New Roman" w:cs="Times New Roman"/>
                <w:bCs/>
                <w:highlight w:val="none"/>
              </w:rPr>
            </w:pPr>
            <w:r>
              <w:rPr>
                <w:rFonts w:ascii="Times New Roman" w:hAnsi="Times New Roman" w:cs="Times New Roman"/>
                <w:bCs/>
                <w:highlight w:val="none"/>
              </w:rPr>
              <w:t>招标技术要求</w:t>
            </w:r>
          </w:p>
        </w:tc>
        <w:tc>
          <w:tcPr>
            <w:tcW w:w="955" w:type="pct"/>
            <w:vAlign w:val="center"/>
          </w:tcPr>
          <w:p>
            <w:pPr>
              <w:tabs>
                <w:tab w:val="clear" w:pos="426"/>
              </w:tabs>
              <w:spacing w:line="240" w:lineRule="auto"/>
              <w:jc w:val="center"/>
              <w:rPr>
                <w:rFonts w:ascii="Times New Roman" w:hAnsi="Times New Roman" w:cs="Times New Roman"/>
                <w:bCs/>
                <w:highlight w:val="none"/>
              </w:rPr>
            </w:pPr>
            <w:r>
              <w:rPr>
                <w:rFonts w:ascii="Times New Roman" w:hAnsi="Times New Roman" w:cs="Times New Roman"/>
                <w:bCs/>
                <w:highlight w:val="none"/>
              </w:rPr>
              <w:t>投标技术响应</w:t>
            </w:r>
          </w:p>
        </w:tc>
        <w:tc>
          <w:tcPr>
            <w:tcW w:w="728" w:type="pct"/>
            <w:vAlign w:val="center"/>
          </w:tcPr>
          <w:p>
            <w:pPr>
              <w:tabs>
                <w:tab w:val="clear" w:pos="426"/>
              </w:tabs>
              <w:spacing w:line="240" w:lineRule="auto"/>
              <w:jc w:val="center"/>
              <w:rPr>
                <w:rFonts w:ascii="Times New Roman" w:hAnsi="Times New Roman" w:cs="Times New Roman"/>
                <w:bCs/>
                <w:highlight w:val="none"/>
              </w:rPr>
            </w:pPr>
            <w:r>
              <w:rPr>
                <w:rFonts w:ascii="Times New Roman" w:hAnsi="Times New Roman" w:cs="Times New Roman"/>
                <w:bCs/>
                <w:highlight w:val="none"/>
              </w:rPr>
              <w:t>偏离情况</w:t>
            </w:r>
          </w:p>
        </w:tc>
        <w:tc>
          <w:tcPr>
            <w:tcW w:w="903" w:type="pct"/>
            <w:vAlign w:val="center"/>
          </w:tcPr>
          <w:p>
            <w:pPr>
              <w:tabs>
                <w:tab w:val="clear" w:pos="426"/>
              </w:tabs>
              <w:spacing w:line="240" w:lineRule="auto"/>
              <w:jc w:val="center"/>
              <w:rPr>
                <w:rFonts w:ascii="Times New Roman" w:hAnsi="Times New Roman" w:cs="Times New Roman"/>
                <w:bCs/>
                <w:highlight w:val="none"/>
              </w:rPr>
            </w:pPr>
            <w:r>
              <w:rPr>
                <w:rFonts w:ascii="Times New Roman" w:hAnsi="Times New Roman" w:cs="Times New Roman"/>
                <w:bCs/>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tabs>
                <w:tab w:val="clear" w:pos="426"/>
              </w:tabs>
              <w:adjustRightInd/>
              <w:snapToGrid/>
              <w:spacing w:line="240" w:lineRule="auto"/>
              <w:jc w:val="center"/>
              <w:rPr>
                <w:rFonts w:hint="eastAsia" w:cs="Arial"/>
                <w:bCs/>
                <w:szCs w:val="21"/>
                <w:highlight w:val="none"/>
              </w:rPr>
            </w:pPr>
            <w:r>
              <w:rPr>
                <w:rFonts w:cs="Arial"/>
                <w:bCs/>
                <w:szCs w:val="21"/>
                <w:highlight w:val="none"/>
              </w:rPr>
              <w:t>1</w:t>
            </w:r>
          </w:p>
        </w:tc>
        <w:tc>
          <w:tcPr>
            <w:tcW w:w="1101" w:type="pct"/>
            <w:vAlign w:val="center"/>
          </w:tcPr>
          <w:p>
            <w:pPr>
              <w:tabs>
                <w:tab w:val="clear" w:pos="426"/>
              </w:tabs>
              <w:spacing w:line="240" w:lineRule="auto"/>
              <w:jc w:val="center"/>
              <w:rPr>
                <w:rFonts w:ascii="Times New Roman" w:hAnsi="Times New Roman" w:cs="Times New Roman"/>
                <w:bCs/>
                <w:highlight w:val="none"/>
              </w:rPr>
            </w:pPr>
          </w:p>
        </w:tc>
        <w:tc>
          <w:tcPr>
            <w:tcW w:w="935" w:type="pct"/>
            <w:vAlign w:val="center"/>
          </w:tcPr>
          <w:p>
            <w:pPr>
              <w:tabs>
                <w:tab w:val="clear" w:pos="426"/>
              </w:tabs>
              <w:spacing w:line="240" w:lineRule="auto"/>
              <w:jc w:val="center"/>
              <w:rPr>
                <w:rFonts w:ascii="Times New Roman" w:hAnsi="Times New Roman" w:cs="Times New Roman"/>
                <w:bCs/>
                <w:highlight w:val="none"/>
              </w:rPr>
            </w:pPr>
          </w:p>
        </w:tc>
        <w:tc>
          <w:tcPr>
            <w:tcW w:w="955" w:type="pct"/>
            <w:vAlign w:val="center"/>
          </w:tcPr>
          <w:p>
            <w:pPr>
              <w:tabs>
                <w:tab w:val="clear" w:pos="426"/>
              </w:tabs>
              <w:spacing w:line="240" w:lineRule="auto"/>
              <w:jc w:val="center"/>
              <w:rPr>
                <w:rFonts w:ascii="Times New Roman" w:hAnsi="Times New Roman" w:cs="Times New Roman"/>
                <w:bCs/>
                <w:highlight w:val="none"/>
              </w:rPr>
            </w:pPr>
          </w:p>
        </w:tc>
        <w:tc>
          <w:tcPr>
            <w:tcW w:w="728" w:type="pct"/>
            <w:vAlign w:val="center"/>
          </w:tcPr>
          <w:p>
            <w:pPr>
              <w:tabs>
                <w:tab w:val="clear" w:pos="426"/>
              </w:tabs>
              <w:spacing w:line="240" w:lineRule="auto"/>
              <w:jc w:val="center"/>
              <w:rPr>
                <w:rFonts w:ascii="Times New Roman" w:hAnsi="Times New Roman" w:cs="Times New Roman"/>
                <w:bCs/>
                <w:highlight w:val="none"/>
              </w:rPr>
            </w:pPr>
          </w:p>
        </w:tc>
        <w:tc>
          <w:tcPr>
            <w:tcW w:w="903" w:type="pct"/>
            <w:vAlign w:val="center"/>
          </w:tcPr>
          <w:p>
            <w:pPr>
              <w:tabs>
                <w:tab w:val="clear" w:pos="426"/>
              </w:tabs>
              <w:spacing w:line="240" w:lineRule="auto"/>
              <w:jc w:val="center"/>
              <w:rPr>
                <w:rFonts w:ascii="Times New Roman" w:hAnsi="Times New Roman" w:cs="Times New Roman"/>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tabs>
                <w:tab w:val="clear" w:pos="426"/>
              </w:tabs>
              <w:adjustRightInd/>
              <w:snapToGrid/>
              <w:spacing w:line="240" w:lineRule="auto"/>
              <w:jc w:val="center"/>
              <w:rPr>
                <w:rFonts w:hint="eastAsia" w:cs="Arial"/>
                <w:bCs/>
                <w:szCs w:val="21"/>
                <w:highlight w:val="none"/>
              </w:rPr>
            </w:pPr>
            <w:r>
              <w:rPr>
                <w:rFonts w:cs="Arial"/>
                <w:bCs/>
                <w:szCs w:val="21"/>
                <w:highlight w:val="none"/>
              </w:rPr>
              <w:t>2</w:t>
            </w:r>
          </w:p>
        </w:tc>
        <w:tc>
          <w:tcPr>
            <w:tcW w:w="1101" w:type="pct"/>
            <w:vAlign w:val="center"/>
          </w:tcPr>
          <w:p>
            <w:pPr>
              <w:tabs>
                <w:tab w:val="clear" w:pos="426"/>
              </w:tabs>
              <w:spacing w:line="240" w:lineRule="auto"/>
              <w:jc w:val="center"/>
              <w:rPr>
                <w:rFonts w:ascii="Times New Roman" w:hAnsi="Times New Roman" w:cs="Times New Roman"/>
                <w:bCs/>
                <w:highlight w:val="none"/>
              </w:rPr>
            </w:pPr>
          </w:p>
        </w:tc>
        <w:tc>
          <w:tcPr>
            <w:tcW w:w="935" w:type="pct"/>
            <w:vAlign w:val="center"/>
          </w:tcPr>
          <w:p>
            <w:pPr>
              <w:tabs>
                <w:tab w:val="clear" w:pos="426"/>
              </w:tabs>
              <w:spacing w:line="240" w:lineRule="auto"/>
              <w:jc w:val="center"/>
              <w:rPr>
                <w:rFonts w:ascii="Times New Roman" w:hAnsi="Times New Roman" w:cs="Times New Roman"/>
                <w:bCs/>
                <w:highlight w:val="none"/>
              </w:rPr>
            </w:pPr>
          </w:p>
        </w:tc>
        <w:tc>
          <w:tcPr>
            <w:tcW w:w="955" w:type="pct"/>
            <w:vAlign w:val="center"/>
          </w:tcPr>
          <w:p>
            <w:pPr>
              <w:tabs>
                <w:tab w:val="clear" w:pos="426"/>
              </w:tabs>
              <w:spacing w:line="240" w:lineRule="auto"/>
              <w:jc w:val="center"/>
              <w:rPr>
                <w:rFonts w:ascii="Times New Roman" w:hAnsi="Times New Roman" w:cs="Times New Roman"/>
                <w:bCs/>
                <w:highlight w:val="none"/>
              </w:rPr>
            </w:pPr>
          </w:p>
        </w:tc>
        <w:tc>
          <w:tcPr>
            <w:tcW w:w="728" w:type="pct"/>
            <w:vAlign w:val="center"/>
          </w:tcPr>
          <w:p>
            <w:pPr>
              <w:tabs>
                <w:tab w:val="clear" w:pos="426"/>
              </w:tabs>
              <w:spacing w:line="240" w:lineRule="auto"/>
              <w:jc w:val="center"/>
              <w:rPr>
                <w:rFonts w:ascii="Times New Roman" w:hAnsi="Times New Roman" w:cs="Times New Roman"/>
                <w:bCs/>
                <w:highlight w:val="none"/>
              </w:rPr>
            </w:pPr>
          </w:p>
        </w:tc>
        <w:tc>
          <w:tcPr>
            <w:tcW w:w="903" w:type="pct"/>
            <w:vAlign w:val="center"/>
          </w:tcPr>
          <w:p>
            <w:pPr>
              <w:tabs>
                <w:tab w:val="clear" w:pos="426"/>
              </w:tabs>
              <w:spacing w:line="240" w:lineRule="auto"/>
              <w:jc w:val="center"/>
              <w:rPr>
                <w:rFonts w:ascii="Times New Roman" w:hAnsi="Times New Roman" w:cs="Times New Roman"/>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tabs>
                <w:tab w:val="clear" w:pos="426"/>
              </w:tabs>
              <w:adjustRightInd/>
              <w:snapToGrid/>
              <w:spacing w:line="240" w:lineRule="auto"/>
              <w:jc w:val="center"/>
              <w:rPr>
                <w:rFonts w:hint="eastAsia" w:cs="Arial"/>
                <w:bCs/>
                <w:szCs w:val="21"/>
                <w:highlight w:val="none"/>
              </w:rPr>
            </w:pPr>
            <w:r>
              <w:rPr>
                <w:rFonts w:cs="Arial"/>
                <w:bCs/>
                <w:szCs w:val="21"/>
                <w:highlight w:val="none"/>
              </w:rPr>
              <w:t>3</w:t>
            </w:r>
          </w:p>
        </w:tc>
        <w:tc>
          <w:tcPr>
            <w:tcW w:w="1101" w:type="pct"/>
            <w:vAlign w:val="center"/>
          </w:tcPr>
          <w:p>
            <w:pPr>
              <w:tabs>
                <w:tab w:val="clear" w:pos="426"/>
              </w:tabs>
              <w:spacing w:line="240" w:lineRule="auto"/>
              <w:jc w:val="center"/>
              <w:rPr>
                <w:rFonts w:ascii="Times New Roman" w:hAnsi="Times New Roman" w:cs="Times New Roman"/>
                <w:bCs/>
                <w:highlight w:val="none"/>
              </w:rPr>
            </w:pPr>
          </w:p>
        </w:tc>
        <w:tc>
          <w:tcPr>
            <w:tcW w:w="935" w:type="pct"/>
            <w:vAlign w:val="center"/>
          </w:tcPr>
          <w:p>
            <w:pPr>
              <w:tabs>
                <w:tab w:val="clear" w:pos="426"/>
              </w:tabs>
              <w:spacing w:line="240" w:lineRule="auto"/>
              <w:jc w:val="center"/>
              <w:rPr>
                <w:rFonts w:ascii="Times New Roman" w:hAnsi="Times New Roman" w:cs="Times New Roman"/>
                <w:bCs/>
                <w:highlight w:val="none"/>
              </w:rPr>
            </w:pPr>
          </w:p>
        </w:tc>
        <w:tc>
          <w:tcPr>
            <w:tcW w:w="955" w:type="pct"/>
            <w:vAlign w:val="center"/>
          </w:tcPr>
          <w:p>
            <w:pPr>
              <w:tabs>
                <w:tab w:val="clear" w:pos="426"/>
              </w:tabs>
              <w:spacing w:line="240" w:lineRule="auto"/>
              <w:jc w:val="center"/>
              <w:rPr>
                <w:rFonts w:ascii="Times New Roman" w:hAnsi="Times New Roman" w:cs="Times New Roman"/>
                <w:bCs/>
                <w:highlight w:val="none"/>
              </w:rPr>
            </w:pPr>
          </w:p>
        </w:tc>
        <w:tc>
          <w:tcPr>
            <w:tcW w:w="728" w:type="pct"/>
            <w:vAlign w:val="center"/>
          </w:tcPr>
          <w:p>
            <w:pPr>
              <w:tabs>
                <w:tab w:val="clear" w:pos="426"/>
              </w:tabs>
              <w:spacing w:line="240" w:lineRule="auto"/>
              <w:jc w:val="center"/>
              <w:rPr>
                <w:rFonts w:ascii="Times New Roman" w:hAnsi="Times New Roman" w:cs="Times New Roman"/>
                <w:bCs/>
                <w:highlight w:val="none"/>
              </w:rPr>
            </w:pPr>
          </w:p>
        </w:tc>
        <w:tc>
          <w:tcPr>
            <w:tcW w:w="903" w:type="pct"/>
            <w:vAlign w:val="center"/>
          </w:tcPr>
          <w:p>
            <w:pPr>
              <w:tabs>
                <w:tab w:val="clear" w:pos="426"/>
              </w:tabs>
              <w:spacing w:line="240" w:lineRule="auto"/>
              <w:jc w:val="center"/>
              <w:rPr>
                <w:rFonts w:ascii="Times New Roman" w:hAnsi="Times New Roman" w:cs="Times New Roman"/>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tabs>
                <w:tab w:val="clear" w:pos="426"/>
              </w:tabs>
              <w:adjustRightInd/>
              <w:snapToGrid/>
              <w:spacing w:line="240" w:lineRule="auto"/>
              <w:jc w:val="center"/>
              <w:rPr>
                <w:rFonts w:hint="eastAsia" w:cs="Arial"/>
                <w:bCs/>
                <w:szCs w:val="21"/>
                <w:highlight w:val="none"/>
              </w:rPr>
            </w:pPr>
            <w:r>
              <w:rPr>
                <w:rFonts w:hint="eastAsia" w:cs="Arial"/>
                <w:bCs/>
                <w:szCs w:val="21"/>
                <w:highlight w:val="none"/>
              </w:rPr>
              <w:t>……</w:t>
            </w:r>
          </w:p>
        </w:tc>
        <w:tc>
          <w:tcPr>
            <w:tcW w:w="1101" w:type="pct"/>
            <w:vAlign w:val="center"/>
          </w:tcPr>
          <w:p>
            <w:pPr>
              <w:tabs>
                <w:tab w:val="clear" w:pos="426"/>
              </w:tabs>
              <w:spacing w:line="240" w:lineRule="auto"/>
              <w:jc w:val="center"/>
              <w:rPr>
                <w:rFonts w:ascii="Times New Roman" w:hAnsi="Times New Roman" w:cs="Times New Roman"/>
                <w:bCs/>
                <w:highlight w:val="none"/>
              </w:rPr>
            </w:pPr>
          </w:p>
        </w:tc>
        <w:tc>
          <w:tcPr>
            <w:tcW w:w="935" w:type="pct"/>
            <w:vAlign w:val="center"/>
          </w:tcPr>
          <w:p>
            <w:pPr>
              <w:tabs>
                <w:tab w:val="clear" w:pos="426"/>
              </w:tabs>
              <w:spacing w:line="240" w:lineRule="auto"/>
              <w:jc w:val="center"/>
              <w:rPr>
                <w:rFonts w:ascii="Times New Roman" w:hAnsi="Times New Roman" w:cs="Times New Roman"/>
                <w:bCs/>
                <w:highlight w:val="none"/>
              </w:rPr>
            </w:pPr>
          </w:p>
        </w:tc>
        <w:tc>
          <w:tcPr>
            <w:tcW w:w="955" w:type="pct"/>
            <w:vAlign w:val="center"/>
          </w:tcPr>
          <w:p>
            <w:pPr>
              <w:tabs>
                <w:tab w:val="clear" w:pos="426"/>
              </w:tabs>
              <w:spacing w:line="240" w:lineRule="auto"/>
              <w:jc w:val="center"/>
              <w:rPr>
                <w:rFonts w:ascii="Times New Roman" w:hAnsi="Times New Roman" w:cs="Times New Roman"/>
                <w:bCs/>
                <w:highlight w:val="none"/>
              </w:rPr>
            </w:pPr>
          </w:p>
        </w:tc>
        <w:tc>
          <w:tcPr>
            <w:tcW w:w="728" w:type="pct"/>
            <w:vAlign w:val="center"/>
          </w:tcPr>
          <w:p>
            <w:pPr>
              <w:tabs>
                <w:tab w:val="clear" w:pos="426"/>
              </w:tabs>
              <w:spacing w:line="240" w:lineRule="auto"/>
              <w:jc w:val="center"/>
              <w:rPr>
                <w:rFonts w:ascii="Times New Roman" w:hAnsi="Times New Roman" w:cs="Times New Roman"/>
                <w:bCs/>
                <w:highlight w:val="none"/>
              </w:rPr>
            </w:pPr>
          </w:p>
        </w:tc>
        <w:tc>
          <w:tcPr>
            <w:tcW w:w="903" w:type="pct"/>
            <w:vAlign w:val="center"/>
          </w:tcPr>
          <w:p>
            <w:pPr>
              <w:tabs>
                <w:tab w:val="clear" w:pos="426"/>
              </w:tabs>
              <w:spacing w:line="240" w:lineRule="auto"/>
              <w:jc w:val="center"/>
              <w:rPr>
                <w:rFonts w:ascii="Times New Roman" w:hAnsi="Times New Roman" w:cs="Times New Roman"/>
                <w:bCs/>
                <w:highlight w:val="none"/>
              </w:rPr>
            </w:pPr>
          </w:p>
        </w:tc>
      </w:tr>
    </w:tbl>
    <w:p>
      <w:pPr>
        <w:tabs>
          <w:tab w:val="clear" w:pos="426"/>
        </w:tabs>
        <w:spacing w:line="240" w:lineRule="auto"/>
        <w:rPr>
          <w:rFonts w:ascii="Times New Roman" w:hAnsi="Times New Roman" w:cs="Times New Roman"/>
          <w:bCs/>
          <w:highlight w:val="none"/>
        </w:rPr>
      </w:pPr>
    </w:p>
    <w:p>
      <w:pPr>
        <w:tabs>
          <w:tab w:val="clear" w:pos="426"/>
        </w:tabs>
        <w:spacing w:line="240" w:lineRule="auto"/>
        <w:rPr>
          <w:rFonts w:ascii="Times New Roman" w:hAnsi="Times New Roman" w:cs="Times New Roman"/>
          <w:bCs/>
          <w:highlight w:val="none"/>
        </w:rPr>
      </w:pPr>
      <w:r>
        <w:rPr>
          <w:rFonts w:ascii="Times New Roman" w:hAnsi="Times New Roman" w:cs="Times New Roman"/>
          <w:bCs/>
          <w:highlight w:val="none"/>
        </w:rPr>
        <w:t>备注：</w:t>
      </w:r>
    </w:p>
    <w:p>
      <w:pPr>
        <w:tabs>
          <w:tab w:val="clear" w:pos="426"/>
        </w:tabs>
        <w:spacing w:line="240" w:lineRule="auto"/>
        <w:ind w:firstLine="424" w:firstLineChars="202"/>
        <w:rPr>
          <w:rFonts w:ascii="Times New Roman" w:hAnsi="Times New Roman" w:cs="Times New Roman"/>
          <w:bCs/>
          <w:highlight w:val="none"/>
        </w:rPr>
      </w:pPr>
      <w:r>
        <w:rPr>
          <w:rFonts w:ascii="Times New Roman" w:hAnsi="Times New Roman" w:cs="Times New Roman"/>
          <w:bCs/>
          <w:highlight w:val="none"/>
        </w:rPr>
        <w:t>1.“招标技术要求”一栏应填写招标文件第</w:t>
      </w:r>
      <w:r>
        <w:rPr>
          <w:rFonts w:hint="eastAsia" w:ascii="Times New Roman" w:hAnsi="Times New Roman" w:cs="Times New Roman"/>
          <w:bCs/>
          <w:highlight w:val="none"/>
        </w:rPr>
        <w:t>二</w:t>
      </w:r>
      <w:r>
        <w:rPr>
          <w:rFonts w:ascii="Times New Roman" w:hAnsi="Times New Roman" w:cs="Times New Roman"/>
          <w:bCs/>
          <w:highlight w:val="none"/>
        </w:rPr>
        <w:t>章“技术要求”的内容；</w:t>
      </w:r>
    </w:p>
    <w:p>
      <w:pPr>
        <w:tabs>
          <w:tab w:val="clear" w:pos="426"/>
        </w:tabs>
        <w:spacing w:line="240" w:lineRule="auto"/>
        <w:ind w:firstLine="424" w:firstLineChars="202"/>
        <w:rPr>
          <w:rFonts w:ascii="Times New Roman" w:hAnsi="Times New Roman" w:cs="Times New Roman"/>
          <w:bCs/>
          <w:highlight w:val="none"/>
        </w:rPr>
      </w:pPr>
      <w:r>
        <w:rPr>
          <w:rFonts w:ascii="Times New Roman" w:hAnsi="Times New Roman" w:cs="Times New Roman"/>
          <w:bCs/>
          <w:highlight w:val="none"/>
        </w:rPr>
        <w:t>2.“投标技术响应”一栏必须详细填写投标产品的具体参数，并应对照招标技术要求一一对应响应；</w:t>
      </w:r>
    </w:p>
    <w:p>
      <w:pPr>
        <w:tabs>
          <w:tab w:val="clear" w:pos="426"/>
        </w:tabs>
        <w:spacing w:line="240" w:lineRule="auto"/>
        <w:ind w:firstLine="424" w:firstLineChars="202"/>
        <w:rPr>
          <w:rFonts w:ascii="Times New Roman" w:hAnsi="Times New Roman" w:cs="Times New Roman"/>
          <w:bCs/>
          <w:highlight w:val="none"/>
        </w:rPr>
      </w:pPr>
      <w:r>
        <w:rPr>
          <w:rFonts w:ascii="Times New Roman" w:hAnsi="Times New Roman" w:cs="Times New Roman"/>
          <w:bCs/>
          <w:highlight w:val="none"/>
        </w:rPr>
        <w:t>3</w:t>
      </w:r>
      <w:r>
        <w:rPr>
          <w:rFonts w:hint="eastAsia" w:ascii="Times New Roman" w:hAnsi="Times New Roman" w:cs="Times New Roman"/>
          <w:bCs/>
          <w:highlight w:val="none"/>
        </w:rPr>
        <w:t>.</w:t>
      </w:r>
      <w:r>
        <w:rPr>
          <w:rFonts w:ascii="Times New Roman" w:hAnsi="Times New Roman" w:cs="Times New Roman"/>
          <w:bCs/>
          <w:highlight w:val="none"/>
        </w:rPr>
        <w:t>“偏离情况”一栏应如实填写“正偏离”、“负偏离”或“无偏离”。</w:t>
      </w:r>
    </w:p>
    <w:p>
      <w:pPr>
        <w:tabs>
          <w:tab w:val="clear" w:pos="426"/>
        </w:tabs>
        <w:spacing w:line="240" w:lineRule="auto"/>
        <w:ind w:firstLine="424" w:firstLineChars="202"/>
        <w:rPr>
          <w:rFonts w:ascii="Times New Roman" w:hAnsi="Times New Roman" w:cs="Times New Roman"/>
          <w:bCs/>
          <w:highlight w:val="none"/>
        </w:rPr>
      </w:pPr>
      <w:r>
        <w:rPr>
          <w:rFonts w:ascii="Times New Roman" w:hAnsi="Times New Roman" w:cs="Times New Roman"/>
          <w:bCs/>
          <w:highlight w:val="none"/>
        </w:rPr>
        <w:t>4.投标人在《</w:t>
      </w:r>
      <w:r>
        <w:rPr>
          <w:rFonts w:hint="eastAsia" w:ascii="Times New Roman" w:hAnsi="Times New Roman" w:cs="Times New Roman"/>
          <w:bCs/>
          <w:highlight w:val="none"/>
        </w:rPr>
        <w:t>技术规格偏离表</w:t>
      </w:r>
      <w:r>
        <w:rPr>
          <w:rFonts w:ascii="Times New Roman" w:hAnsi="Times New Roman" w:cs="Times New Roman"/>
          <w:bCs/>
          <w:highlight w:val="none"/>
        </w:rPr>
        <w:t>》填写的“投标技术响应”与“招标技术要求”存在填写不全的情况，将被视为未实质性满足招标文件要求作投标无效处理。示例，“招标技术要求”共有10项参数，投标人只响应了9项，填写不全，则视为未实质性满足招标文件要求作投标无效处理。</w:t>
      </w:r>
      <w:bookmarkStart w:id="129" w:name="OLE_LINK2"/>
      <w:r>
        <w:rPr>
          <w:rFonts w:hint="eastAsia" w:ascii="Times New Roman" w:hAnsi="Times New Roman" w:cs="Times New Roman"/>
          <w:bCs/>
          <w:highlight w:val="none"/>
        </w:rPr>
        <w:t>带★招标技术要求，不允许有任何负偏离，否则将作投标无效处理。</w:t>
      </w:r>
    </w:p>
    <w:bookmarkEnd w:id="129"/>
    <w:p>
      <w:pPr>
        <w:tabs>
          <w:tab w:val="clear" w:pos="426"/>
        </w:tabs>
        <w:spacing w:line="240" w:lineRule="auto"/>
        <w:ind w:firstLine="424" w:firstLineChars="202"/>
        <w:rPr>
          <w:rFonts w:ascii="Times New Roman" w:hAnsi="Times New Roman" w:cs="Times New Roman"/>
          <w:bCs/>
          <w:highlight w:val="none"/>
        </w:rPr>
      </w:pPr>
      <w:r>
        <w:rPr>
          <w:rFonts w:ascii="Times New Roman" w:hAnsi="Times New Roman" w:cs="Times New Roman"/>
          <w:bCs/>
          <w:highlight w:val="none"/>
        </w:rPr>
        <w:t>5.投标人所填写的“偏离情况”与评审委员会判定不一致时，以评审委员会意见为主。</w:t>
      </w:r>
    </w:p>
    <w:p>
      <w:pPr>
        <w:tabs>
          <w:tab w:val="clear" w:pos="426"/>
        </w:tabs>
        <w:spacing w:line="240" w:lineRule="auto"/>
        <w:ind w:firstLine="424" w:firstLineChars="202"/>
        <w:rPr>
          <w:rFonts w:ascii="Times New Roman" w:hAnsi="Times New Roman" w:cs="Times New Roman"/>
          <w:bCs/>
          <w:highlight w:val="none"/>
        </w:rPr>
      </w:pPr>
      <w:r>
        <w:rPr>
          <w:rFonts w:ascii="Times New Roman" w:hAnsi="Times New Roman" w:cs="Times New Roman"/>
          <w:bCs/>
          <w:highlight w:val="none"/>
        </w:rPr>
        <w:t>6.投标产品的技术参数应按《</w:t>
      </w:r>
      <w:r>
        <w:rPr>
          <w:rFonts w:hint="eastAsia" w:ascii="Times New Roman" w:hAnsi="Times New Roman" w:cs="Times New Roman"/>
          <w:bCs/>
          <w:highlight w:val="none"/>
        </w:rPr>
        <w:t>技术规格偏离表</w:t>
      </w:r>
      <w:r>
        <w:rPr>
          <w:rFonts w:ascii="Times New Roman" w:hAnsi="Times New Roman" w:cs="Times New Roman"/>
          <w:bCs/>
          <w:highlight w:val="none"/>
        </w:rPr>
        <w:t>》中的要求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提供的证明资料显示产品参数信息不符合招标文件要求的，如果投标人偏离程度响应为“无偏离或正偏离”的，则应判断为负偏离；提供的证明材料模糊不清，导致评审专家无法判断的，如果投标人偏离程度响应为“无偏离或正偏离”的，则应判断为负偏离。若《</w:t>
      </w:r>
      <w:r>
        <w:rPr>
          <w:rFonts w:hint="eastAsia" w:ascii="Times New Roman" w:hAnsi="Times New Roman" w:cs="Times New Roman"/>
          <w:bCs/>
          <w:highlight w:val="none"/>
        </w:rPr>
        <w:t>技术规格偏离表</w:t>
      </w:r>
      <w:r>
        <w:rPr>
          <w:rFonts w:ascii="Times New Roman" w:hAnsi="Times New Roman" w:cs="Times New Roman"/>
          <w:bCs/>
          <w:highlight w:val="none"/>
        </w:rPr>
        <w:t>》中未要求提供相应证明材料的，投标人可以不提供。</w:t>
      </w:r>
    </w:p>
    <w:p>
      <w:pPr>
        <w:tabs>
          <w:tab w:val="clear" w:pos="426"/>
        </w:tabs>
        <w:spacing w:line="240" w:lineRule="auto"/>
        <w:ind w:firstLine="424" w:firstLineChars="202"/>
        <w:rPr>
          <w:rFonts w:ascii="Times New Roman" w:hAnsi="Times New Roman" w:cs="Times New Roman"/>
          <w:bCs/>
          <w:highlight w:val="none"/>
        </w:rPr>
      </w:pPr>
      <w:r>
        <w:rPr>
          <w:rFonts w:ascii="Times New Roman" w:hAnsi="Times New Roman" w:cs="Times New Roman"/>
          <w:bCs/>
          <w:highlight w:val="none"/>
        </w:rPr>
        <w:t>7.证明资料（均为扫描件）的提供要求：</w:t>
      </w:r>
    </w:p>
    <w:p>
      <w:pPr>
        <w:tabs>
          <w:tab w:val="clear" w:pos="426"/>
        </w:tabs>
        <w:spacing w:line="240" w:lineRule="auto"/>
        <w:ind w:firstLine="424" w:firstLineChars="202"/>
        <w:rPr>
          <w:rFonts w:ascii="Times New Roman" w:hAnsi="Times New Roman" w:cs="Times New Roman"/>
          <w:bCs/>
          <w:highlight w:val="none"/>
        </w:rPr>
      </w:pPr>
      <w:r>
        <w:rPr>
          <w:rFonts w:ascii="Times New Roman" w:hAnsi="Times New Roman" w:cs="Times New Roman"/>
          <w:bCs/>
          <w:highlight w:val="none"/>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tabs>
          <w:tab w:val="clear" w:pos="426"/>
        </w:tabs>
        <w:spacing w:line="240" w:lineRule="auto"/>
        <w:ind w:firstLine="424" w:firstLineChars="202"/>
        <w:rPr>
          <w:rFonts w:ascii="Times New Roman" w:hAnsi="Times New Roman" w:cs="Times New Roman"/>
          <w:bCs/>
          <w:highlight w:val="none"/>
        </w:rPr>
      </w:pPr>
      <w:r>
        <w:rPr>
          <w:rFonts w:ascii="Times New Roman" w:hAnsi="Times New Roman" w:cs="Times New Roman"/>
          <w:bCs/>
          <w:highlight w:val="none"/>
        </w:rPr>
        <w:t>（2）我国政府机构出具的产品检验和核准证件应为证件正面、背面和附件标注的全部具体内容；产品检验和核准证件的尺寸和清晰度应该能够在电脑上被阅读、识别和判断。</w:t>
      </w:r>
    </w:p>
    <w:p>
      <w:pPr>
        <w:rPr>
          <w:rFonts w:ascii="Times New Roman" w:hAnsi="Times New Roman" w:cs="Times New Roman"/>
          <w:bCs/>
          <w:highlight w:val="none"/>
        </w:rPr>
      </w:pPr>
      <w:r>
        <w:rPr>
          <w:rFonts w:ascii="Times New Roman" w:hAnsi="Times New Roman" w:cs="Times New Roman"/>
          <w:bCs/>
          <w:highlight w:val="none"/>
        </w:rPr>
        <w:br w:type="page"/>
      </w:r>
    </w:p>
    <w:p>
      <w:pPr>
        <w:adjustRightInd/>
        <w:snapToGrid/>
        <w:spacing w:before="280" w:after="290" w:line="377" w:lineRule="auto"/>
        <w:outlineLvl w:val="2"/>
        <w:rPr>
          <w:rFonts w:hint="eastAsia"/>
          <w:b/>
          <w:sz w:val="24"/>
          <w:highlight w:val="none"/>
        </w:rPr>
      </w:pPr>
      <w:bookmarkStart w:id="130" w:name="_Toc25758"/>
      <w:r>
        <w:rPr>
          <w:rFonts w:hint="eastAsia"/>
          <w:b/>
          <w:sz w:val="24"/>
          <w:highlight w:val="none"/>
        </w:rPr>
        <w:t>格式10：技术保障措施</w:t>
      </w:r>
      <w:bookmarkEnd w:id="130"/>
    </w:p>
    <w:p>
      <w:pPr>
        <w:adjustRightInd/>
        <w:snapToGrid/>
        <w:spacing w:before="280" w:after="290" w:line="377" w:lineRule="auto"/>
        <w:outlineLvl w:val="2"/>
        <w:rPr>
          <w:rFonts w:hint="eastAsia"/>
          <w:b/>
          <w:sz w:val="24"/>
          <w:highlight w:val="none"/>
        </w:rPr>
      </w:pPr>
      <w:bookmarkStart w:id="131" w:name="_Toc19609"/>
      <w:r>
        <w:rPr>
          <w:rFonts w:hint="eastAsia"/>
          <w:b/>
          <w:sz w:val="24"/>
          <w:highlight w:val="none"/>
        </w:rPr>
        <w:t>格式11：售后服务方案</w:t>
      </w:r>
      <w:bookmarkEnd w:id="131"/>
    </w:p>
    <w:p>
      <w:pPr>
        <w:tabs>
          <w:tab w:val="clear" w:pos="426"/>
        </w:tabs>
        <w:spacing w:line="440" w:lineRule="exact"/>
        <w:rPr>
          <w:rFonts w:hint="eastAsia"/>
          <w:b/>
          <w:bCs/>
          <w:highlight w:val="none"/>
        </w:rPr>
      </w:pPr>
    </w:p>
    <w:p>
      <w:pPr>
        <w:tabs>
          <w:tab w:val="clear" w:pos="426"/>
        </w:tabs>
        <w:spacing w:line="440" w:lineRule="exact"/>
        <w:rPr>
          <w:rFonts w:hint="eastAsia"/>
          <w:b/>
          <w:szCs w:val="21"/>
          <w:highlight w:val="none"/>
        </w:rPr>
      </w:pPr>
      <w:r>
        <w:rPr>
          <w:rFonts w:hint="eastAsia"/>
          <w:b/>
          <w:bCs/>
          <w:highlight w:val="none"/>
        </w:rPr>
        <w:t>备注：以上节点请</w:t>
      </w:r>
      <w:r>
        <w:rPr>
          <w:rFonts w:hint="eastAsia"/>
          <w:b/>
          <w:szCs w:val="21"/>
          <w:highlight w:val="none"/>
        </w:rPr>
        <w:t>根据评审表的要求提交相应资料，格式自拟。</w:t>
      </w:r>
    </w:p>
    <w:p>
      <w:pPr>
        <w:rPr>
          <w:rFonts w:hint="eastAsia"/>
          <w:highlight w:val="none"/>
        </w:rPr>
      </w:pPr>
    </w:p>
    <w:p>
      <w:pPr>
        <w:tabs>
          <w:tab w:val="clear" w:pos="426"/>
        </w:tabs>
        <w:spacing w:line="240" w:lineRule="auto"/>
        <w:ind w:firstLine="424" w:firstLineChars="202"/>
        <w:rPr>
          <w:rFonts w:hint="eastAsia"/>
          <w:highlight w:val="none"/>
        </w:rPr>
      </w:pPr>
    </w:p>
    <w:p>
      <w:pPr>
        <w:tabs>
          <w:tab w:val="clear" w:pos="426"/>
        </w:tabs>
        <w:spacing w:line="240" w:lineRule="auto"/>
        <w:ind w:firstLine="424" w:firstLineChars="202"/>
        <w:rPr>
          <w:rFonts w:ascii="Times New Roman" w:hAnsi="Times New Roman" w:cs="Times New Roman"/>
          <w:bCs/>
          <w:highlight w:val="none"/>
        </w:rPr>
      </w:pPr>
    </w:p>
    <w:p>
      <w:pPr>
        <w:shd w:val="clear" w:color="auto" w:fill="auto"/>
        <w:tabs>
          <w:tab w:val="clear" w:pos="426"/>
        </w:tabs>
        <w:adjustRightInd/>
        <w:snapToGrid/>
        <w:spacing w:line="240" w:lineRule="auto"/>
        <w:jc w:val="left"/>
        <w:rPr>
          <w:rFonts w:ascii="Times New Roman" w:hAnsi="Times New Roman" w:cs="Times New Roman"/>
          <w:bCs/>
          <w:highlight w:val="none"/>
        </w:rPr>
      </w:pPr>
      <w:r>
        <w:rPr>
          <w:rFonts w:ascii="Times New Roman" w:hAnsi="Times New Roman" w:cs="Times New Roman"/>
          <w:bCs/>
          <w:highlight w:val="none"/>
        </w:rPr>
        <w:br w:type="page"/>
      </w:r>
    </w:p>
    <w:p>
      <w:pPr>
        <w:adjustRightInd/>
        <w:snapToGrid/>
        <w:spacing w:before="280" w:after="290" w:line="377" w:lineRule="auto"/>
        <w:outlineLvl w:val="2"/>
        <w:rPr>
          <w:rFonts w:hint="eastAsia"/>
          <w:b/>
          <w:sz w:val="24"/>
          <w:highlight w:val="none"/>
        </w:rPr>
      </w:pPr>
      <w:bookmarkStart w:id="132" w:name="_Toc29923"/>
      <w:r>
        <w:rPr>
          <w:rFonts w:hint="eastAsia"/>
          <w:b/>
          <w:sz w:val="24"/>
          <w:highlight w:val="none"/>
        </w:rPr>
        <w:t>格式12：商务条款偏离表</w:t>
      </w:r>
      <w:bookmarkEnd w:id="132"/>
    </w:p>
    <w:p>
      <w:pPr>
        <w:widowControl w:val="0"/>
        <w:shd w:val="clear" w:color="auto" w:fill="auto"/>
        <w:tabs>
          <w:tab w:val="clear" w:pos="426"/>
        </w:tabs>
        <w:spacing w:line="300" w:lineRule="auto"/>
        <w:jc w:val="center"/>
        <w:rPr>
          <w:rFonts w:ascii="Times New Roman" w:hAnsi="Times New Roman" w:cs="Times New Roman"/>
          <w:bCs/>
          <w:kern w:val="2"/>
          <w:sz w:val="32"/>
          <w:szCs w:val="32"/>
          <w:highlight w:val="none"/>
        </w:rPr>
      </w:pPr>
      <w:r>
        <w:rPr>
          <w:rFonts w:hint="eastAsia" w:ascii="Times New Roman" w:hAnsi="Times New Roman" w:cs="Times New Roman"/>
          <w:bCs/>
          <w:kern w:val="2"/>
          <w:sz w:val="32"/>
          <w:szCs w:val="32"/>
          <w:highlight w:val="none"/>
        </w:rPr>
        <w:t>商务条款偏离表</w:t>
      </w:r>
    </w:p>
    <w:p>
      <w:pPr>
        <w:widowControl w:val="0"/>
        <w:shd w:val="clear" w:color="auto" w:fill="auto"/>
        <w:tabs>
          <w:tab w:val="clear" w:pos="426"/>
        </w:tabs>
        <w:spacing w:line="300" w:lineRule="auto"/>
        <w:jc w:val="center"/>
        <w:rPr>
          <w:rFonts w:ascii="Times New Roman" w:hAnsi="Times New Roman" w:cs="Times New Roman"/>
          <w:bCs/>
          <w:kern w:val="2"/>
          <w:sz w:val="32"/>
          <w:szCs w:val="32"/>
          <w:highlight w:val="none"/>
        </w:rPr>
      </w:pPr>
    </w:p>
    <w:p>
      <w:pPr>
        <w:rPr>
          <w:rFonts w:ascii="Times New Roman" w:hAnsi="Times New Roman" w:cs="Times New Roman"/>
          <w:b/>
          <w:highlight w:val="none"/>
        </w:rPr>
      </w:pPr>
      <w:r>
        <w:rPr>
          <w:rFonts w:ascii="Times New Roman" w:hAnsi="Times New Roman" w:cs="Times New Roman"/>
          <w:highlight w:val="none"/>
        </w:rPr>
        <w:t>项目名称：</w:t>
      </w:r>
      <w:r>
        <w:rPr>
          <w:rFonts w:ascii="Times New Roman" w:hAnsi="Times New Roman" w:cs="Times New Roman"/>
          <w:highlight w:val="none"/>
          <w:u w:val="single"/>
        </w:rPr>
        <w:t>_________________________________</w:t>
      </w:r>
      <w:r>
        <w:rPr>
          <w:rFonts w:ascii="Times New Roman" w:hAnsi="Times New Roman" w:cs="Times New Roman"/>
          <w:highlight w:val="none"/>
        </w:rPr>
        <w:t>项目编号：</w:t>
      </w:r>
      <w:r>
        <w:rPr>
          <w:rFonts w:ascii="Times New Roman" w:hAnsi="Times New Roman" w:cs="Times New Roman"/>
          <w:highlight w:val="none"/>
          <w:u w:val="single"/>
        </w:rPr>
        <w:t>_______________________</w:t>
      </w:r>
    </w:p>
    <w:tbl>
      <w:tblPr>
        <w:tblStyle w:val="85"/>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1158"/>
        <w:gridCol w:w="2123"/>
        <w:gridCol w:w="2123"/>
        <w:gridCol w:w="1543"/>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tabs>
                <w:tab w:val="clear" w:pos="426"/>
              </w:tabs>
              <w:spacing w:line="240" w:lineRule="auto"/>
              <w:jc w:val="center"/>
              <w:rPr>
                <w:rFonts w:ascii="Times New Roman" w:hAnsi="Times New Roman" w:cs="Times New Roman"/>
                <w:highlight w:val="none"/>
              </w:rPr>
            </w:pPr>
            <w:r>
              <w:rPr>
                <w:rFonts w:ascii="Times New Roman" w:hAnsi="Times New Roman" w:cs="Times New Roman"/>
                <w:highlight w:val="none"/>
              </w:rPr>
              <w:t>序号</w:t>
            </w:r>
          </w:p>
        </w:tc>
        <w:tc>
          <w:tcPr>
            <w:tcW w:w="605" w:type="pct"/>
            <w:vAlign w:val="center"/>
          </w:tcPr>
          <w:p>
            <w:pPr>
              <w:tabs>
                <w:tab w:val="clear" w:pos="426"/>
              </w:tabs>
              <w:spacing w:line="240" w:lineRule="auto"/>
              <w:jc w:val="center"/>
              <w:rPr>
                <w:rFonts w:ascii="Times New Roman" w:hAnsi="Times New Roman" w:cs="Times New Roman"/>
                <w:highlight w:val="none"/>
              </w:rPr>
            </w:pPr>
            <w:r>
              <w:rPr>
                <w:rFonts w:ascii="Times New Roman" w:hAnsi="Times New Roman" w:cs="Times New Roman"/>
                <w:highlight w:val="none"/>
              </w:rPr>
              <w:t>目录</w:t>
            </w:r>
          </w:p>
        </w:tc>
        <w:tc>
          <w:tcPr>
            <w:tcW w:w="1109" w:type="pct"/>
            <w:vAlign w:val="center"/>
          </w:tcPr>
          <w:p>
            <w:pPr>
              <w:tabs>
                <w:tab w:val="clear" w:pos="426"/>
              </w:tabs>
              <w:spacing w:line="240" w:lineRule="auto"/>
              <w:jc w:val="center"/>
              <w:rPr>
                <w:rFonts w:ascii="Times New Roman" w:hAnsi="Times New Roman" w:cs="Times New Roman"/>
                <w:highlight w:val="none"/>
              </w:rPr>
            </w:pPr>
            <w:r>
              <w:rPr>
                <w:rFonts w:ascii="Times New Roman" w:hAnsi="Times New Roman" w:cs="Times New Roman"/>
                <w:highlight w:val="none"/>
              </w:rPr>
              <w:t>招标商务条款</w:t>
            </w:r>
          </w:p>
        </w:tc>
        <w:tc>
          <w:tcPr>
            <w:tcW w:w="1109" w:type="pct"/>
            <w:vAlign w:val="center"/>
          </w:tcPr>
          <w:p>
            <w:pPr>
              <w:tabs>
                <w:tab w:val="clear" w:pos="426"/>
              </w:tabs>
              <w:spacing w:line="240" w:lineRule="auto"/>
              <w:jc w:val="center"/>
              <w:rPr>
                <w:rFonts w:ascii="Times New Roman" w:hAnsi="Times New Roman" w:cs="Times New Roman"/>
                <w:highlight w:val="none"/>
              </w:rPr>
            </w:pPr>
            <w:r>
              <w:rPr>
                <w:rFonts w:ascii="Times New Roman" w:hAnsi="Times New Roman" w:cs="Times New Roman"/>
                <w:highlight w:val="none"/>
              </w:rPr>
              <w:t>投标商务条款</w:t>
            </w:r>
          </w:p>
        </w:tc>
        <w:tc>
          <w:tcPr>
            <w:tcW w:w="806" w:type="pct"/>
            <w:vAlign w:val="center"/>
          </w:tcPr>
          <w:p>
            <w:pPr>
              <w:tabs>
                <w:tab w:val="clear" w:pos="426"/>
              </w:tabs>
              <w:spacing w:line="240" w:lineRule="auto"/>
              <w:jc w:val="center"/>
              <w:rPr>
                <w:rFonts w:ascii="Times New Roman" w:hAnsi="Times New Roman" w:cs="Times New Roman"/>
                <w:highlight w:val="none"/>
              </w:rPr>
            </w:pPr>
            <w:r>
              <w:rPr>
                <w:rFonts w:ascii="Times New Roman" w:hAnsi="Times New Roman" w:cs="Times New Roman"/>
                <w:highlight w:val="none"/>
              </w:rPr>
              <w:t>偏离情况</w:t>
            </w:r>
          </w:p>
        </w:tc>
        <w:tc>
          <w:tcPr>
            <w:tcW w:w="908" w:type="pct"/>
            <w:vAlign w:val="center"/>
          </w:tcPr>
          <w:p>
            <w:pPr>
              <w:tabs>
                <w:tab w:val="clear" w:pos="426"/>
              </w:tabs>
              <w:spacing w:line="240" w:lineRule="auto"/>
              <w:jc w:val="center"/>
              <w:rPr>
                <w:rFonts w:ascii="Times New Roman" w:hAnsi="Times New Roman" w:cs="Times New Roman"/>
                <w:highlight w:val="none"/>
              </w:rPr>
            </w:pPr>
            <w:r>
              <w:rPr>
                <w:rFonts w:ascii="Times New Roman" w:hAnsi="Times New Roman" w:cs="Times New Roman"/>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tabs>
                <w:tab w:val="clear" w:pos="426"/>
              </w:tabs>
              <w:spacing w:line="240" w:lineRule="auto"/>
              <w:jc w:val="center"/>
              <w:rPr>
                <w:rFonts w:ascii="Times New Roman" w:hAnsi="Times New Roman" w:cs="Times New Roman"/>
                <w:highlight w:val="none"/>
              </w:rPr>
            </w:pPr>
            <w:r>
              <w:rPr>
                <w:rFonts w:ascii="Times New Roman" w:hAnsi="Times New Roman" w:cs="Times New Roman"/>
                <w:highlight w:val="none"/>
              </w:rPr>
              <w:t>1</w:t>
            </w:r>
          </w:p>
        </w:tc>
        <w:tc>
          <w:tcPr>
            <w:tcW w:w="605" w:type="pct"/>
            <w:vAlign w:val="center"/>
          </w:tcPr>
          <w:p>
            <w:pPr>
              <w:tabs>
                <w:tab w:val="clear" w:pos="426"/>
              </w:tabs>
              <w:spacing w:line="240" w:lineRule="auto"/>
              <w:jc w:val="center"/>
              <w:rPr>
                <w:rFonts w:ascii="Times New Roman" w:hAnsi="Times New Roman" w:cs="Times New Roman"/>
                <w:highlight w:val="none"/>
              </w:rPr>
            </w:pPr>
          </w:p>
        </w:tc>
        <w:tc>
          <w:tcPr>
            <w:tcW w:w="1109" w:type="pct"/>
            <w:vAlign w:val="center"/>
          </w:tcPr>
          <w:p>
            <w:pPr>
              <w:tabs>
                <w:tab w:val="clear" w:pos="426"/>
              </w:tabs>
              <w:spacing w:line="240" w:lineRule="auto"/>
              <w:jc w:val="center"/>
              <w:rPr>
                <w:rFonts w:ascii="Times New Roman" w:hAnsi="Times New Roman" w:cs="Times New Roman"/>
                <w:highlight w:val="none"/>
              </w:rPr>
            </w:pPr>
          </w:p>
        </w:tc>
        <w:tc>
          <w:tcPr>
            <w:tcW w:w="1109" w:type="pct"/>
            <w:vAlign w:val="center"/>
          </w:tcPr>
          <w:p>
            <w:pPr>
              <w:tabs>
                <w:tab w:val="clear" w:pos="426"/>
              </w:tabs>
              <w:spacing w:line="240" w:lineRule="auto"/>
              <w:jc w:val="center"/>
              <w:rPr>
                <w:rFonts w:ascii="Times New Roman" w:hAnsi="Times New Roman" w:cs="Times New Roman"/>
                <w:highlight w:val="none"/>
              </w:rPr>
            </w:pPr>
          </w:p>
        </w:tc>
        <w:tc>
          <w:tcPr>
            <w:tcW w:w="806" w:type="pct"/>
            <w:vAlign w:val="center"/>
          </w:tcPr>
          <w:p>
            <w:pPr>
              <w:tabs>
                <w:tab w:val="clear" w:pos="426"/>
              </w:tabs>
              <w:spacing w:line="240" w:lineRule="auto"/>
              <w:jc w:val="center"/>
              <w:rPr>
                <w:rFonts w:ascii="Times New Roman" w:hAnsi="Times New Roman" w:cs="Times New Roman"/>
                <w:highlight w:val="none"/>
              </w:rPr>
            </w:pPr>
          </w:p>
        </w:tc>
        <w:tc>
          <w:tcPr>
            <w:tcW w:w="908" w:type="pct"/>
            <w:vAlign w:val="center"/>
          </w:tcPr>
          <w:p>
            <w:pPr>
              <w:tabs>
                <w:tab w:val="clear" w:pos="426"/>
              </w:tabs>
              <w:spacing w:line="240" w:lineRule="auto"/>
              <w:jc w:val="center"/>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tabs>
                <w:tab w:val="clear" w:pos="426"/>
              </w:tabs>
              <w:spacing w:line="240" w:lineRule="auto"/>
              <w:jc w:val="center"/>
              <w:rPr>
                <w:rFonts w:ascii="Times New Roman" w:hAnsi="Times New Roman" w:cs="Times New Roman"/>
                <w:highlight w:val="none"/>
              </w:rPr>
            </w:pPr>
            <w:r>
              <w:rPr>
                <w:rFonts w:ascii="Times New Roman" w:hAnsi="Times New Roman" w:cs="Times New Roman"/>
                <w:highlight w:val="none"/>
              </w:rPr>
              <w:t>2</w:t>
            </w:r>
          </w:p>
        </w:tc>
        <w:tc>
          <w:tcPr>
            <w:tcW w:w="605" w:type="pct"/>
            <w:vAlign w:val="center"/>
          </w:tcPr>
          <w:p>
            <w:pPr>
              <w:tabs>
                <w:tab w:val="clear" w:pos="426"/>
              </w:tabs>
              <w:spacing w:line="240" w:lineRule="auto"/>
              <w:jc w:val="center"/>
              <w:rPr>
                <w:rFonts w:ascii="Times New Roman" w:hAnsi="Times New Roman" w:cs="Times New Roman"/>
                <w:highlight w:val="none"/>
              </w:rPr>
            </w:pPr>
          </w:p>
        </w:tc>
        <w:tc>
          <w:tcPr>
            <w:tcW w:w="1109" w:type="pct"/>
            <w:vAlign w:val="center"/>
          </w:tcPr>
          <w:p>
            <w:pPr>
              <w:tabs>
                <w:tab w:val="clear" w:pos="426"/>
              </w:tabs>
              <w:spacing w:line="240" w:lineRule="auto"/>
              <w:jc w:val="center"/>
              <w:rPr>
                <w:rFonts w:ascii="Times New Roman" w:hAnsi="Times New Roman" w:cs="Times New Roman"/>
                <w:highlight w:val="none"/>
              </w:rPr>
            </w:pPr>
          </w:p>
        </w:tc>
        <w:tc>
          <w:tcPr>
            <w:tcW w:w="1109" w:type="pct"/>
            <w:vAlign w:val="center"/>
          </w:tcPr>
          <w:p>
            <w:pPr>
              <w:tabs>
                <w:tab w:val="clear" w:pos="426"/>
              </w:tabs>
              <w:spacing w:line="240" w:lineRule="auto"/>
              <w:jc w:val="center"/>
              <w:rPr>
                <w:rFonts w:ascii="Times New Roman" w:hAnsi="Times New Roman" w:cs="Times New Roman"/>
                <w:highlight w:val="none"/>
              </w:rPr>
            </w:pPr>
          </w:p>
        </w:tc>
        <w:tc>
          <w:tcPr>
            <w:tcW w:w="806" w:type="pct"/>
            <w:vAlign w:val="center"/>
          </w:tcPr>
          <w:p>
            <w:pPr>
              <w:tabs>
                <w:tab w:val="clear" w:pos="426"/>
              </w:tabs>
              <w:spacing w:line="240" w:lineRule="auto"/>
              <w:jc w:val="center"/>
              <w:rPr>
                <w:rFonts w:ascii="Times New Roman" w:hAnsi="Times New Roman" w:cs="Times New Roman"/>
                <w:highlight w:val="none"/>
              </w:rPr>
            </w:pPr>
          </w:p>
        </w:tc>
        <w:tc>
          <w:tcPr>
            <w:tcW w:w="908" w:type="pct"/>
            <w:vAlign w:val="center"/>
          </w:tcPr>
          <w:p>
            <w:pPr>
              <w:tabs>
                <w:tab w:val="clear" w:pos="426"/>
              </w:tabs>
              <w:spacing w:line="240" w:lineRule="auto"/>
              <w:jc w:val="center"/>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tabs>
                <w:tab w:val="clear" w:pos="426"/>
              </w:tabs>
              <w:spacing w:line="240" w:lineRule="auto"/>
              <w:jc w:val="center"/>
              <w:rPr>
                <w:rFonts w:ascii="Times New Roman" w:hAnsi="Times New Roman" w:cs="Times New Roman"/>
                <w:highlight w:val="none"/>
              </w:rPr>
            </w:pPr>
            <w:r>
              <w:rPr>
                <w:rFonts w:ascii="Times New Roman" w:hAnsi="Times New Roman" w:cs="Times New Roman"/>
                <w:highlight w:val="none"/>
              </w:rPr>
              <w:t>……</w:t>
            </w:r>
          </w:p>
        </w:tc>
        <w:tc>
          <w:tcPr>
            <w:tcW w:w="605" w:type="pct"/>
            <w:vAlign w:val="center"/>
          </w:tcPr>
          <w:p>
            <w:pPr>
              <w:tabs>
                <w:tab w:val="clear" w:pos="426"/>
              </w:tabs>
              <w:spacing w:line="240" w:lineRule="auto"/>
              <w:jc w:val="center"/>
              <w:rPr>
                <w:rFonts w:ascii="Times New Roman" w:hAnsi="Times New Roman" w:cs="Times New Roman"/>
                <w:highlight w:val="none"/>
              </w:rPr>
            </w:pPr>
          </w:p>
        </w:tc>
        <w:tc>
          <w:tcPr>
            <w:tcW w:w="1109" w:type="pct"/>
            <w:vAlign w:val="center"/>
          </w:tcPr>
          <w:p>
            <w:pPr>
              <w:tabs>
                <w:tab w:val="clear" w:pos="426"/>
              </w:tabs>
              <w:spacing w:line="240" w:lineRule="auto"/>
              <w:jc w:val="center"/>
              <w:rPr>
                <w:rFonts w:ascii="Times New Roman" w:hAnsi="Times New Roman" w:cs="Times New Roman"/>
                <w:highlight w:val="none"/>
              </w:rPr>
            </w:pPr>
          </w:p>
        </w:tc>
        <w:tc>
          <w:tcPr>
            <w:tcW w:w="1109" w:type="pct"/>
            <w:vAlign w:val="center"/>
          </w:tcPr>
          <w:p>
            <w:pPr>
              <w:tabs>
                <w:tab w:val="clear" w:pos="426"/>
              </w:tabs>
              <w:spacing w:line="240" w:lineRule="auto"/>
              <w:jc w:val="center"/>
              <w:rPr>
                <w:rFonts w:ascii="Times New Roman" w:hAnsi="Times New Roman" w:cs="Times New Roman"/>
                <w:highlight w:val="none"/>
              </w:rPr>
            </w:pPr>
          </w:p>
        </w:tc>
        <w:tc>
          <w:tcPr>
            <w:tcW w:w="806" w:type="pct"/>
            <w:vAlign w:val="center"/>
          </w:tcPr>
          <w:p>
            <w:pPr>
              <w:tabs>
                <w:tab w:val="clear" w:pos="426"/>
              </w:tabs>
              <w:spacing w:line="240" w:lineRule="auto"/>
              <w:jc w:val="center"/>
              <w:rPr>
                <w:rFonts w:ascii="Times New Roman" w:hAnsi="Times New Roman" w:cs="Times New Roman"/>
                <w:highlight w:val="none"/>
              </w:rPr>
            </w:pPr>
          </w:p>
        </w:tc>
        <w:tc>
          <w:tcPr>
            <w:tcW w:w="908" w:type="pct"/>
            <w:vAlign w:val="center"/>
          </w:tcPr>
          <w:p>
            <w:pPr>
              <w:tabs>
                <w:tab w:val="clear" w:pos="426"/>
              </w:tabs>
              <w:spacing w:line="240" w:lineRule="auto"/>
              <w:jc w:val="center"/>
              <w:rPr>
                <w:rFonts w:ascii="Times New Roman" w:hAnsi="Times New Roman" w:cs="Times New Roman"/>
                <w:highlight w:val="none"/>
              </w:rPr>
            </w:pPr>
          </w:p>
        </w:tc>
      </w:tr>
    </w:tbl>
    <w:p>
      <w:pPr>
        <w:tabs>
          <w:tab w:val="clear" w:pos="426"/>
        </w:tabs>
        <w:rPr>
          <w:rFonts w:ascii="Times New Roman" w:hAnsi="Times New Roman" w:cs="Times New Roman"/>
          <w:highlight w:val="none"/>
        </w:rPr>
      </w:pPr>
    </w:p>
    <w:p>
      <w:pPr>
        <w:tabs>
          <w:tab w:val="clear" w:pos="426"/>
        </w:tabs>
        <w:spacing w:line="240" w:lineRule="auto"/>
        <w:rPr>
          <w:rFonts w:ascii="Times New Roman" w:hAnsi="Times New Roman" w:cs="Times New Roman"/>
          <w:highlight w:val="none"/>
        </w:rPr>
      </w:pPr>
      <w:r>
        <w:rPr>
          <w:rFonts w:ascii="Times New Roman" w:hAnsi="Times New Roman" w:cs="Times New Roman"/>
          <w:highlight w:val="none"/>
        </w:rPr>
        <w:t>备注：</w:t>
      </w:r>
    </w:p>
    <w:p>
      <w:pPr>
        <w:tabs>
          <w:tab w:val="clear" w:pos="426"/>
        </w:tabs>
        <w:spacing w:line="240" w:lineRule="auto"/>
        <w:ind w:firstLine="424" w:firstLineChars="202"/>
        <w:rPr>
          <w:rFonts w:ascii="Times New Roman" w:hAnsi="Times New Roman" w:cs="Times New Roman"/>
          <w:highlight w:val="none"/>
        </w:rPr>
      </w:pPr>
      <w:r>
        <w:rPr>
          <w:rFonts w:ascii="Times New Roman" w:hAnsi="Times New Roman" w:cs="Times New Roman"/>
          <w:highlight w:val="none"/>
        </w:rPr>
        <w:t>1.“招标商务条款”一栏必须填写招标文件第</w:t>
      </w:r>
      <w:r>
        <w:rPr>
          <w:rFonts w:hint="eastAsia" w:ascii="Times New Roman" w:hAnsi="Times New Roman" w:cs="Times New Roman"/>
          <w:highlight w:val="none"/>
        </w:rPr>
        <w:t>二</w:t>
      </w:r>
      <w:r>
        <w:rPr>
          <w:rFonts w:ascii="Times New Roman" w:hAnsi="Times New Roman" w:cs="Times New Roman"/>
          <w:highlight w:val="none"/>
        </w:rPr>
        <w:t>章“商务</w:t>
      </w:r>
      <w:r>
        <w:rPr>
          <w:rFonts w:hint="eastAsia" w:ascii="Times New Roman" w:hAnsi="Times New Roman" w:cs="Times New Roman"/>
          <w:highlight w:val="none"/>
        </w:rPr>
        <w:t>要求</w:t>
      </w:r>
      <w:r>
        <w:rPr>
          <w:rFonts w:ascii="Times New Roman" w:hAnsi="Times New Roman" w:cs="Times New Roman"/>
          <w:highlight w:val="none"/>
        </w:rPr>
        <w:t>”的内容进行填写。</w:t>
      </w:r>
    </w:p>
    <w:p>
      <w:pPr>
        <w:tabs>
          <w:tab w:val="clear" w:pos="426"/>
        </w:tabs>
        <w:spacing w:line="240" w:lineRule="auto"/>
        <w:ind w:firstLine="424" w:firstLineChars="202"/>
        <w:rPr>
          <w:rFonts w:ascii="Times New Roman" w:hAnsi="Times New Roman" w:cs="Times New Roman"/>
          <w:highlight w:val="none"/>
        </w:rPr>
      </w:pPr>
      <w:r>
        <w:rPr>
          <w:rFonts w:ascii="Times New Roman" w:hAnsi="Times New Roman" w:cs="Times New Roman"/>
          <w:highlight w:val="none"/>
        </w:rPr>
        <w:t>2.“投标商务条款”一栏必须详细填写投标商务条款的内容。</w:t>
      </w:r>
    </w:p>
    <w:p>
      <w:pPr>
        <w:tabs>
          <w:tab w:val="clear" w:pos="426"/>
        </w:tabs>
        <w:spacing w:line="240" w:lineRule="auto"/>
        <w:ind w:firstLine="424" w:firstLineChars="202"/>
        <w:rPr>
          <w:rFonts w:ascii="Times New Roman" w:hAnsi="Times New Roman" w:cs="Times New Roman"/>
          <w:highlight w:val="none"/>
        </w:rPr>
      </w:pPr>
      <w:r>
        <w:rPr>
          <w:rFonts w:ascii="Times New Roman" w:hAnsi="Times New Roman" w:cs="Times New Roman"/>
          <w:highlight w:val="none"/>
        </w:rPr>
        <w:t>3.“偏离情况”栏中应如实填写“正偏离”、“负偏离”或“无偏离”。</w:t>
      </w:r>
    </w:p>
    <w:p>
      <w:pPr>
        <w:tabs>
          <w:tab w:val="clear" w:pos="426"/>
        </w:tabs>
        <w:spacing w:line="240" w:lineRule="auto"/>
        <w:ind w:firstLine="424" w:firstLineChars="202"/>
        <w:rPr>
          <w:rFonts w:ascii="Times New Roman" w:hAnsi="Times New Roman" w:cs="Times New Roman"/>
          <w:highlight w:val="none"/>
        </w:rPr>
      </w:pPr>
      <w:r>
        <w:rPr>
          <w:rFonts w:ascii="Times New Roman" w:hAnsi="Times New Roman" w:cs="Times New Roman"/>
          <w:highlight w:val="none"/>
        </w:rPr>
        <w:t>4．投标人在《商务条款偏离表》填写的“投标商务条款”与 “招标商务条款”存在填写不全的，将被视为未实质性满足招标文件要求作投标无效处理。示例，“招标商务条款”共有10项参数，投标人只响应了9项，填写不全，则视为未实质性满足招标文件要求作投标无效处理。</w:t>
      </w:r>
      <w:r>
        <w:rPr>
          <w:rFonts w:hint="eastAsia" w:ascii="Times New Roman" w:hAnsi="Times New Roman" w:cs="Times New Roman"/>
          <w:bCs/>
          <w:highlight w:val="none"/>
        </w:rPr>
        <w:t>带★招标商务要求，不允许有任何负偏离，否则将作投标无效处理。</w:t>
      </w:r>
    </w:p>
    <w:p>
      <w:pPr>
        <w:tabs>
          <w:tab w:val="clear" w:pos="426"/>
        </w:tabs>
        <w:spacing w:line="240" w:lineRule="auto"/>
        <w:ind w:firstLine="424" w:firstLineChars="202"/>
        <w:rPr>
          <w:rFonts w:ascii="Times New Roman" w:hAnsi="Times New Roman" w:cs="Times New Roman"/>
          <w:highlight w:val="none"/>
        </w:rPr>
      </w:pPr>
      <w:r>
        <w:rPr>
          <w:rFonts w:ascii="Times New Roman" w:hAnsi="Times New Roman" w:cs="Times New Roman"/>
          <w:bCs/>
          <w:highlight w:val="none"/>
        </w:rPr>
        <w:t>5．</w:t>
      </w:r>
      <w:r>
        <w:rPr>
          <w:rFonts w:ascii="Times New Roman" w:hAnsi="Times New Roman" w:cs="Times New Roman"/>
          <w:highlight w:val="none"/>
        </w:rPr>
        <w:t>投标人所填写的“偏离情况”与评审委员会判定不一致时，以评审委员会意见为主。</w:t>
      </w:r>
    </w:p>
    <w:p>
      <w:pPr>
        <w:tabs>
          <w:tab w:val="clear" w:pos="426"/>
        </w:tabs>
        <w:spacing w:line="240" w:lineRule="auto"/>
        <w:ind w:firstLine="424" w:firstLineChars="202"/>
        <w:rPr>
          <w:rFonts w:hint="eastAsia"/>
          <w:highlight w:val="none"/>
        </w:rPr>
      </w:pPr>
      <w:r>
        <w:rPr>
          <w:rFonts w:ascii="Times New Roman" w:hAnsi="Times New Roman" w:cs="Times New Roman"/>
          <w:highlight w:val="none"/>
        </w:rPr>
        <w:t>6.交货期条款为不可负偏离条款，投标文件响应为“负偏离”的，投标文件将按无效投标处理。</w:t>
      </w:r>
    </w:p>
    <w:p>
      <w:pPr>
        <w:rPr>
          <w:rFonts w:hint="eastAsia"/>
          <w:highlight w:val="none"/>
        </w:rPr>
      </w:pPr>
      <w:r>
        <w:rPr>
          <w:rFonts w:hint="eastAsia"/>
          <w:highlight w:val="none"/>
        </w:rPr>
        <w:br w:type="page"/>
      </w:r>
    </w:p>
    <w:p>
      <w:pPr>
        <w:adjustRightInd/>
        <w:snapToGrid/>
        <w:spacing w:before="280" w:after="290" w:line="377" w:lineRule="auto"/>
        <w:outlineLvl w:val="2"/>
        <w:rPr>
          <w:rFonts w:hint="eastAsia"/>
          <w:b/>
          <w:sz w:val="24"/>
          <w:highlight w:val="none"/>
        </w:rPr>
      </w:pPr>
      <w:bookmarkStart w:id="133" w:name="_Toc6533"/>
      <w:r>
        <w:rPr>
          <w:rFonts w:hint="eastAsia"/>
          <w:b/>
          <w:sz w:val="24"/>
          <w:highlight w:val="none"/>
        </w:rPr>
        <w:t>格式13：投标人综合概况简表</w:t>
      </w:r>
      <w:bookmarkEnd w:id="133"/>
    </w:p>
    <w:p>
      <w:pPr>
        <w:widowControl w:val="0"/>
        <w:shd w:val="clear" w:color="auto" w:fill="auto"/>
        <w:tabs>
          <w:tab w:val="clear" w:pos="426"/>
        </w:tabs>
        <w:adjustRightInd/>
        <w:snapToGrid/>
        <w:spacing w:line="300" w:lineRule="auto"/>
        <w:jc w:val="center"/>
        <w:rPr>
          <w:rFonts w:hint="eastAsia" w:cs="Times New Roman"/>
          <w:bCs/>
          <w:kern w:val="2"/>
          <w:sz w:val="32"/>
          <w:szCs w:val="32"/>
          <w:highlight w:val="none"/>
        </w:rPr>
      </w:pPr>
      <w:r>
        <w:rPr>
          <w:rFonts w:hint="eastAsia" w:cs="Times New Roman"/>
          <w:bCs/>
          <w:kern w:val="2"/>
          <w:sz w:val="32"/>
          <w:szCs w:val="32"/>
          <w:highlight w:val="none"/>
        </w:rPr>
        <w:t>投标人综合概况简表</w:t>
      </w:r>
    </w:p>
    <w:p>
      <w:pPr>
        <w:widowControl w:val="0"/>
        <w:shd w:val="clear" w:color="auto" w:fill="auto"/>
        <w:tabs>
          <w:tab w:val="clear" w:pos="426"/>
        </w:tabs>
        <w:adjustRightInd/>
        <w:snapToGrid/>
        <w:rPr>
          <w:rFonts w:hint="eastAsia" w:cs="Arial"/>
          <w:b/>
          <w:szCs w:val="21"/>
          <w:highlight w:val="none"/>
        </w:rPr>
      </w:pPr>
      <w:r>
        <w:rPr>
          <w:rFonts w:hint="eastAsia" w:cs="Arial"/>
          <w:b/>
          <w:szCs w:val="21"/>
          <w:highlight w:val="none"/>
        </w:rPr>
        <w:t>一、</w:t>
      </w:r>
      <w:r>
        <w:rPr>
          <w:rFonts w:cs="Arial"/>
          <w:b/>
          <w:szCs w:val="21"/>
          <w:highlight w:val="none"/>
        </w:rPr>
        <w:t>公司基本情况</w:t>
      </w:r>
    </w:p>
    <w:p>
      <w:pPr>
        <w:widowControl w:val="0"/>
        <w:numPr>
          <w:ilvl w:val="1"/>
          <w:numId w:val="6"/>
        </w:numPr>
        <w:shd w:val="clear" w:color="auto" w:fill="auto"/>
        <w:tabs>
          <w:tab w:val="clear" w:pos="426"/>
        </w:tabs>
        <w:adjustRightInd/>
        <w:snapToGrid/>
        <w:ind w:left="0" w:firstLine="426"/>
        <w:rPr>
          <w:rFonts w:hint="eastAsia" w:cs="Arial"/>
          <w:szCs w:val="21"/>
          <w:highlight w:val="none"/>
        </w:rPr>
      </w:pPr>
      <w:r>
        <w:rPr>
          <w:rFonts w:cs="Arial"/>
          <w:szCs w:val="21"/>
          <w:highlight w:val="none"/>
        </w:rPr>
        <w:t>公司名称：</w:t>
      </w:r>
      <w:r>
        <w:rPr>
          <w:rFonts w:cs="Arial"/>
          <w:szCs w:val="21"/>
          <w:highlight w:val="none"/>
          <w:u w:val="single"/>
        </w:rPr>
        <w:t>______________________________</w:t>
      </w:r>
      <w:r>
        <w:rPr>
          <w:rFonts w:cs="Arial"/>
          <w:szCs w:val="21"/>
          <w:highlight w:val="none"/>
        </w:rPr>
        <w:t xml:space="preserve">  电话号码：</w:t>
      </w:r>
      <w:r>
        <w:rPr>
          <w:rFonts w:cs="Arial"/>
          <w:szCs w:val="21"/>
          <w:highlight w:val="none"/>
          <w:u w:val="single"/>
        </w:rPr>
        <w:t>____________________________</w:t>
      </w:r>
    </w:p>
    <w:p>
      <w:pPr>
        <w:widowControl w:val="0"/>
        <w:numPr>
          <w:ilvl w:val="1"/>
          <w:numId w:val="6"/>
        </w:numPr>
        <w:shd w:val="clear" w:color="auto" w:fill="auto"/>
        <w:tabs>
          <w:tab w:val="clear" w:pos="426"/>
        </w:tabs>
        <w:adjustRightInd/>
        <w:snapToGrid/>
        <w:ind w:left="0" w:firstLine="426"/>
        <w:rPr>
          <w:rFonts w:hint="eastAsia" w:cs="Arial"/>
          <w:szCs w:val="21"/>
          <w:highlight w:val="none"/>
        </w:rPr>
      </w:pPr>
      <w:r>
        <w:rPr>
          <w:rFonts w:cs="Arial"/>
          <w:szCs w:val="21"/>
          <w:highlight w:val="none"/>
        </w:rPr>
        <w:t>地    址：</w:t>
      </w:r>
      <w:r>
        <w:rPr>
          <w:rFonts w:cs="Arial"/>
          <w:szCs w:val="21"/>
          <w:highlight w:val="none"/>
          <w:u w:val="single"/>
        </w:rPr>
        <w:t>______________________________</w:t>
      </w:r>
      <w:r>
        <w:rPr>
          <w:rFonts w:cs="Arial"/>
          <w:szCs w:val="21"/>
          <w:highlight w:val="none"/>
        </w:rPr>
        <w:t xml:space="preserve">  传    真：</w:t>
      </w:r>
      <w:r>
        <w:rPr>
          <w:rFonts w:cs="Arial"/>
          <w:szCs w:val="21"/>
          <w:highlight w:val="none"/>
          <w:u w:val="single"/>
        </w:rPr>
        <w:t>____________________________</w:t>
      </w:r>
    </w:p>
    <w:p>
      <w:pPr>
        <w:widowControl w:val="0"/>
        <w:numPr>
          <w:ilvl w:val="1"/>
          <w:numId w:val="6"/>
        </w:numPr>
        <w:shd w:val="clear" w:color="auto" w:fill="auto"/>
        <w:tabs>
          <w:tab w:val="clear" w:pos="426"/>
        </w:tabs>
        <w:adjustRightInd/>
        <w:snapToGrid/>
        <w:ind w:left="0" w:firstLine="426"/>
        <w:rPr>
          <w:rFonts w:hint="eastAsia" w:cs="Arial"/>
          <w:szCs w:val="21"/>
          <w:highlight w:val="none"/>
          <w:u w:val="single"/>
        </w:rPr>
      </w:pPr>
      <w:r>
        <w:rPr>
          <w:rFonts w:cs="Arial"/>
          <w:szCs w:val="21"/>
          <w:highlight w:val="none"/>
        </w:rPr>
        <w:t>注册资金：</w:t>
      </w:r>
      <w:r>
        <w:rPr>
          <w:rFonts w:cs="Arial"/>
          <w:szCs w:val="21"/>
          <w:highlight w:val="none"/>
          <w:u w:val="single"/>
        </w:rPr>
        <w:t>______________________________</w:t>
      </w:r>
      <w:r>
        <w:rPr>
          <w:rFonts w:cs="Arial"/>
          <w:szCs w:val="21"/>
          <w:highlight w:val="none"/>
        </w:rPr>
        <w:t xml:space="preserve">  经济性质：</w:t>
      </w:r>
      <w:r>
        <w:rPr>
          <w:rFonts w:cs="Arial"/>
          <w:szCs w:val="21"/>
          <w:highlight w:val="none"/>
          <w:u w:val="single"/>
        </w:rPr>
        <w:t>______</w:t>
      </w:r>
      <w:r>
        <w:rPr>
          <w:rFonts w:hint="eastAsia" w:cs="Arial"/>
          <w:szCs w:val="21"/>
          <w:highlight w:val="none"/>
          <w:u w:val="single"/>
        </w:rPr>
        <w:t>___________________</w:t>
      </w:r>
      <w:r>
        <w:rPr>
          <w:rFonts w:cs="Arial"/>
          <w:szCs w:val="21"/>
          <w:highlight w:val="none"/>
          <w:u w:val="single"/>
        </w:rPr>
        <w:t>___</w:t>
      </w:r>
    </w:p>
    <w:p>
      <w:pPr>
        <w:widowControl w:val="0"/>
        <w:numPr>
          <w:ilvl w:val="1"/>
          <w:numId w:val="6"/>
        </w:numPr>
        <w:shd w:val="clear" w:color="auto" w:fill="auto"/>
        <w:tabs>
          <w:tab w:val="clear" w:pos="426"/>
        </w:tabs>
        <w:adjustRightInd/>
        <w:snapToGrid/>
        <w:ind w:left="0" w:firstLine="426"/>
        <w:rPr>
          <w:rFonts w:hint="eastAsia" w:cs="Arial"/>
          <w:szCs w:val="21"/>
          <w:highlight w:val="none"/>
        </w:rPr>
      </w:pPr>
      <w:r>
        <w:rPr>
          <w:rFonts w:cs="Arial"/>
          <w:szCs w:val="21"/>
          <w:highlight w:val="none"/>
        </w:rPr>
        <w:t>公司开户银行名称及账号：</w:t>
      </w:r>
      <w:r>
        <w:rPr>
          <w:rFonts w:hint="eastAsia" w:cs="Arial"/>
          <w:szCs w:val="21"/>
          <w:highlight w:val="none"/>
          <w:u w:val="single"/>
        </w:rPr>
        <w:t>________________________________________________________</w:t>
      </w:r>
    </w:p>
    <w:p>
      <w:pPr>
        <w:widowControl w:val="0"/>
        <w:numPr>
          <w:ilvl w:val="1"/>
          <w:numId w:val="6"/>
        </w:numPr>
        <w:shd w:val="clear" w:color="auto" w:fill="auto"/>
        <w:tabs>
          <w:tab w:val="clear" w:pos="426"/>
        </w:tabs>
        <w:adjustRightInd/>
        <w:snapToGrid/>
        <w:ind w:left="0" w:firstLine="426"/>
        <w:rPr>
          <w:rFonts w:hint="eastAsia" w:cs="Arial"/>
          <w:szCs w:val="21"/>
          <w:highlight w:val="none"/>
        </w:rPr>
      </w:pPr>
      <w:r>
        <w:rPr>
          <w:rFonts w:cs="Arial"/>
          <w:szCs w:val="21"/>
          <w:highlight w:val="none"/>
        </w:rPr>
        <w:t>营业注册执照号：</w:t>
      </w:r>
      <w:r>
        <w:rPr>
          <w:rFonts w:hint="eastAsia" w:cs="Arial"/>
          <w:szCs w:val="21"/>
          <w:highlight w:val="none"/>
          <w:u w:val="single"/>
        </w:rPr>
        <w:t>________________________________________________________________</w:t>
      </w:r>
    </w:p>
    <w:p>
      <w:pPr>
        <w:widowControl w:val="0"/>
        <w:numPr>
          <w:ilvl w:val="1"/>
          <w:numId w:val="6"/>
        </w:numPr>
        <w:shd w:val="clear" w:color="auto" w:fill="auto"/>
        <w:tabs>
          <w:tab w:val="clear" w:pos="426"/>
        </w:tabs>
        <w:adjustRightInd/>
        <w:snapToGrid/>
        <w:ind w:left="0" w:firstLine="426"/>
        <w:rPr>
          <w:rFonts w:hint="eastAsia" w:cs="Arial"/>
          <w:szCs w:val="21"/>
          <w:highlight w:val="none"/>
        </w:rPr>
      </w:pPr>
      <w:r>
        <w:rPr>
          <w:rFonts w:cs="Arial"/>
          <w:szCs w:val="21"/>
          <w:highlight w:val="none"/>
        </w:rPr>
        <w:t>公司简介</w:t>
      </w:r>
    </w:p>
    <w:p>
      <w:pPr>
        <w:tabs>
          <w:tab w:val="clear" w:pos="426"/>
        </w:tabs>
        <w:ind w:firstLine="426"/>
        <w:rPr>
          <w:rFonts w:hint="eastAsia"/>
          <w:highlight w:val="none"/>
        </w:rPr>
      </w:pPr>
      <w:r>
        <w:rPr>
          <w:rFonts w:hint="eastAsia"/>
          <w:highlight w:val="none"/>
        </w:rPr>
        <w:t>文字描述：</w:t>
      </w:r>
      <w:r>
        <w:rPr>
          <w:rFonts w:hint="eastAsia"/>
          <w:bCs/>
          <w:szCs w:val="21"/>
          <w:highlight w:val="none"/>
          <w:lang w:val="en-GB"/>
        </w:rPr>
        <w:t>发展历程、经营规模及服务理念</w:t>
      </w:r>
      <w:r>
        <w:rPr>
          <w:rFonts w:hint="eastAsia"/>
          <w:highlight w:val="none"/>
        </w:rPr>
        <w:t>、技术力量、财务状况、</w:t>
      </w:r>
      <w:r>
        <w:rPr>
          <w:highlight w:val="none"/>
        </w:rPr>
        <w:t>管理水平</w:t>
      </w:r>
      <w:r>
        <w:rPr>
          <w:rFonts w:hint="eastAsia"/>
          <w:highlight w:val="none"/>
        </w:rPr>
        <w:t>等方面进行阐述；</w:t>
      </w:r>
    </w:p>
    <w:p>
      <w:pPr>
        <w:tabs>
          <w:tab w:val="clear" w:pos="426"/>
        </w:tabs>
        <w:ind w:firstLine="426"/>
        <w:rPr>
          <w:rFonts w:hint="eastAsia" w:cs="Arial"/>
          <w:szCs w:val="21"/>
          <w:highlight w:val="none"/>
        </w:rPr>
      </w:pPr>
      <w:r>
        <w:rPr>
          <w:rFonts w:hint="eastAsia"/>
          <w:highlight w:val="none"/>
        </w:rPr>
        <w:t>图片描述：</w:t>
      </w:r>
      <w:r>
        <w:rPr>
          <w:rFonts w:hint="eastAsia"/>
          <w:bCs/>
          <w:szCs w:val="21"/>
          <w:highlight w:val="none"/>
          <w:lang w:val="en-GB"/>
        </w:rPr>
        <w:t>经营场所、主要或关键产品介绍、生产场所及服务流程等。</w:t>
      </w:r>
    </w:p>
    <w:p>
      <w:pPr>
        <w:tabs>
          <w:tab w:val="clear" w:pos="426"/>
        </w:tabs>
        <w:spacing w:line="440" w:lineRule="exact"/>
        <w:rPr>
          <w:rFonts w:hint="eastAsia"/>
          <w:b/>
          <w:bCs/>
          <w:highlight w:val="none"/>
        </w:rPr>
      </w:pPr>
    </w:p>
    <w:p>
      <w:pPr>
        <w:rPr>
          <w:rFonts w:hint="eastAsia"/>
          <w:b/>
          <w:bCs/>
          <w:highlight w:val="none"/>
        </w:rPr>
      </w:pPr>
      <w:r>
        <w:rPr>
          <w:rFonts w:hint="eastAsia"/>
          <w:b/>
          <w:bCs/>
          <w:highlight w:val="none"/>
        </w:rPr>
        <w:br w:type="page"/>
      </w:r>
    </w:p>
    <w:p>
      <w:pPr>
        <w:adjustRightInd/>
        <w:snapToGrid/>
        <w:spacing w:before="280" w:after="290" w:line="377" w:lineRule="auto"/>
        <w:outlineLvl w:val="2"/>
        <w:rPr>
          <w:rFonts w:hint="eastAsia"/>
          <w:b/>
          <w:sz w:val="24"/>
          <w:highlight w:val="none"/>
        </w:rPr>
      </w:pPr>
      <w:bookmarkStart w:id="134" w:name="_Toc22664"/>
      <w:r>
        <w:rPr>
          <w:rFonts w:hint="eastAsia"/>
          <w:b/>
          <w:sz w:val="24"/>
          <w:highlight w:val="none"/>
        </w:rPr>
        <w:t>格式14：企业类型声明函</w:t>
      </w:r>
      <w:bookmarkEnd w:id="134"/>
    </w:p>
    <w:p>
      <w:pPr>
        <w:tabs>
          <w:tab w:val="clear" w:pos="426"/>
        </w:tabs>
        <w:spacing w:line="240" w:lineRule="auto"/>
        <w:ind w:firstLine="420"/>
        <w:rPr>
          <w:rFonts w:ascii="Times New Roman" w:hAnsi="Times New Roman" w:cs="Times New Roman"/>
          <w:szCs w:val="21"/>
          <w:highlight w:val="none"/>
        </w:rPr>
      </w:pPr>
      <w:r>
        <w:rPr>
          <w:rFonts w:ascii="Times New Roman" w:hAnsi="Times New Roman" w:cs="Times New Roman"/>
          <w:szCs w:val="21"/>
          <w:highlight w:val="none"/>
        </w:rPr>
        <w:t>填写指引：</w:t>
      </w:r>
    </w:p>
    <w:p>
      <w:pPr>
        <w:tabs>
          <w:tab w:val="clear" w:pos="426"/>
        </w:tabs>
        <w:spacing w:line="240" w:lineRule="auto"/>
        <w:ind w:left="-2" w:leftChars="-1" w:firstLine="420" w:firstLineChars="200"/>
        <w:rPr>
          <w:rFonts w:ascii="Times New Roman" w:hAnsi="Times New Roman" w:cs="Times New Roman"/>
          <w:bCs/>
          <w:szCs w:val="21"/>
          <w:highlight w:val="none"/>
        </w:rPr>
      </w:pPr>
      <w:r>
        <w:rPr>
          <w:rFonts w:ascii="Times New Roman" w:hAnsi="Times New Roman" w:cs="Times New Roman"/>
          <w:bCs/>
          <w:szCs w:val="21"/>
          <w:highlight w:val="none"/>
        </w:rPr>
        <w:t>1.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2011〕300号）或向深圳市中小企业服务局咨询。</w:t>
      </w:r>
      <w:r>
        <w:rPr>
          <w:rFonts w:hint="eastAsia"/>
          <w:szCs w:val="21"/>
          <w:highlight w:val="none"/>
        </w:rPr>
        <w:t>中小企业参加政府采购活动，应当按照国务院批准的《中小企业划型标准规定》（工信部联企业〔2011〕300 号）、《金融业企业划型标准规定》（银发〔2015〕309 号）和《财政部 工业和信息化部关于印发〈政府采购促进中小企业发展管理办法〉的通知》（财库〔2020〕46 号）的规定，出具《中小企业声明函》，《中小企业声明函》中相关企业所属行业应当与采购标的所属行业相一致。该部分内容填写需要参考的相关文件：(1)财政部《政府采购促进中小企业发展管理办法》（财库〔2020〕46号）；(2)《工业和信息化部、国家统计局、国家发展和改革委员会、财政部关于印发中小企业划型标准规定的通知》（工信部联企业〔2011〕300 号，以下简称300号文）。</w:t>
      </w:r>
      <w:r>
        <w:rPr>
          <w:rFonts w:ascii="Times New Roman" w:hAnsi="Times New Roman" w:cs="Times New Roman"/>
          <w:bCs/>
          <w:szCs w:val="21"/>
          <w:highlight w:val="none"/>
        </w:rPr>
        <w:t xml:space="preserve">  </w:t>
      </w:r>
    </w:p>
    <w:p>
      <w:pPr>
        <w:tabs>
          <w:tab w:val="clear" w:pos="426"/>
        </w:tabs>
        <w:spacing w:line="240" w:lineRule="auto"/>
        <w:ind w:left="-2" w:leftChars="-1" w:firstLine="420" w:firstLineChars="200"/>
        <w:rPr>
          <w:rFonts w:ascii="Times New Roman" w:hAnsi="Times New Roman" w:cs="Times New Roman"/>
          <w:bCs/>
          <w:szCs w:val="21"/>
          <w:highlight w:val="none"/>
        </w:rPr>
      </w:pPr>
      <w:r>
        <w:rPr>
          <w:rFonts w:ascii="Times New Roman" w:hAnsi="Times New Roman" w:cs="Times New Roman"/>
          <w:bCs/>
          <w:szCs w:val="21"/>
          <w:highlight w:val="none"/>
        </w:rPr>
        <w:t>2.该部分内容填写需要参考的相关文件（</w:t>
      </w:r>
      <w:r>
        <w:rPr>
          <w:rStyle w:val="141"/>
          <w:rFonts w:ascii="Times New Roman" w:hAnsi="Times New Roman" w:cs="Times New Roman"/>
          <w:highlight w:val="none"/>
        </w:rPr>
        <w:t>-</w:t>
      </w:r>
      <w:r>
        <w:rPr>
          <w:highlight w:val="none"/>
        </w:rPr>
        <w:fldChar w:fldCharType="begin"/>
      </w:r>
      <w:r>
        <w:rPr>
          <w:highlight w:val="none"/>
        </w:rPr>
        <w:instrText xml:space="preserve"> HYPERLINK "http://www.szsszx.com/Files/Editor/file/202106041655230146.rar" </w:instrText>
      </w:r>
      <w:r>
        <w:rPr>
          <w:highlight w:val="none"/>
        </w:rPr>
        <w:fldChar w:fldCharType="separate"/>
      </w:r>
      <w:r>
        <w:rPr>
          <w:rStyle w:val="141"/>
          <w:rFonts w:ascii="Times New Roman" w:hAnsi="Times New Roman" w:cs="Times New Roman"/>
          <w:bCs/>
          <w:szCs w:val="21"/>
          <w:highlight w:val="none"/>
        </w:rPr>
        <w:t>点此下载</w:t>
      </w:r>
      <w:r>
        <w:rPr>
          <w:rStyle w:val="141"/>
          <w:rFonts w:ascii="Times New Roman" w:hAnsi="Times New Roman" w:cs="Times New Roman"/>
          <w:bCs/>
          <w:szCs w:val="21"/>
          <w:highlight w:val="none"/>
        </w:rPr>
        <w:fldChar w:fldCharType="end"/>
      </w:r>
      <w:r>
        <w:rPr>
          <w:rStyle w:val="141"/>
          <w:rFonts w:ascii="Times New Roman" w:hAnsi="Times New Roman" w:cs="Times New Roman"/>
          <w:highlight w:val="none"/>
        </w:rPr>
        <w:t>-</w:t>
      </w:r>
      <w:r>
        <w:rPr>
          <w:rFonts w:ascii="Times New Roman" w:hAnsi="Times New Roman" w:cs="Times New Roman"/>
          <w:bCs/>
          <w:szCs w:val="21"/>
          <w:highlight w:val="none"/>
        </w:rPr>
        <w:t>）：</w:t>
      </w:r>
    </w:p>
    <w:p>
      <w:pPr>
        <w:tabs>
          <w:tab w:val="clear" w:pos="426"/>
        </w:tabs>
        <w:spacing w:line="240" w:lineRule="auto"/>
        <w:ind w:left="-2" w:leftChars="-1" w:firstLine="420" w:firstLineChars="200"/>
        <w:rPr>
          <w:rFonts w:ascii="Times New Roman" w:hAnsi="Times New Roman" w:cs="Times New Roman"/>
          <w:bCs/>
          <w:szCs w:val="21"/>
          <w:highlight w:val="none"/>
        </w:rPr>
      </w:pPr>
      <w:r>
        <w:rPr>
          <w:rFonts w:ascii="Times New Roman" w:hAnsi="Times New Roman" w:cs="Times New Roman"/>
          <w:bCs/>
          <w:szCs w:val="21"/>
          <w:highlight w:val="none"/>
        </w:rPr>
        <w:t>（1）财政部《关于印发&lt;政府采购促进中小企业发展管理办法&gt;的通知》（财库〔2020〕46号）；</w:t>
      </w:r>
    </w:p>
    <w:p>
      <w:pPr>
        <w:tabs>
          <w:tab w:val="clear" w:pos="426"/>
        </w:tabs>
        <w:spacing w:line="240" w:lineRule="auto"/>
        <w:ind w:left="-2" w:leftChars="-1" w:firstLine="420" w:firstLineChars="200"/>
        <w:rPr>
          <w:rFonts w:ascii="Times New Roman" w:hAnsi="Times New Roman" w:cs="Times New Roman"/>
          <w:bCs/>
          <w:szCs w:val="21"/>
          <w:highlight w:val="none"/>
        </w:rPr>
      </w:pPr>
      <w:r>
        <w:rPr>
          <w:rFonts w:ascii="Times New Roman" w:hAnsi="Times New Roman" w:cs="Times New Roman"/>
          <w:bCs/>
          <w:szCs w:val="21"/>
          <w:highlight w:val="none"/>
        </w:rPr>
        <w:t>（</w:t>
      </w:r>
      <w:r>
        <w:rPr>
          <w:rFonts w:hint="eastAsia" w:ascii="Times New Roman" w:hAnsi="Times New Roman" w:cs="Times New Roman"/>
          <w:bCs/>
          <w:szCs w:val="21"/>
          <w:highlight w:val="none"/>
        </w:rPr>
        <w:t>2</w:t>
      </w:r>
      <w:r>
        <w:rPr>
          <w:rFonts w:ascii="Times New Roman" w:hAnsi="Times New Roman" w:cs="Times New Roman"/>
          <w:bCs/>
          <w:szCs w:val="21"/>
          <w:highlight w:val="none"/>
        </w:rPr>
        <w:t xml:space="preserve">）《工业和信息化部、国家统计局、国家发展和改革委员会、财政部关于印发中小企业划型标准规定的通知》（工信部联企业〔2011〕300号）。 </w:t>
      </w:r>
    </w:p>
    <w:p>
      <w:pPr>
        <w:tabs>
          <w:tab w:val="clear" w:pos="426"/>
        </w:tabs>
        <w:spacing w:line="240" w:lineRule="auto"/>
        <w:ind w:left="-2" w:leftChars="-1" w:firstLine="420" w:firstLineChars="200"/>
        <w:rPr>
          <w:rFonts w:ascii="Times New Roman" w:hAnsi="Times New Roman" w:cs="Times New Roman"/>
          <w:bCs/>
          <w:szCs w:val="21"/>
          <w:highlight w:val="none"/>
        </w:rPr>
      </w:pPr>
      <w:r>
        <w:rPr>
          <w:rFonts w:ascii="Times New Roman" w:hAnsi="Times New Roman" w:cs="Times New Roman"/>
          <w:bCs/>
          <w:szCs w:val="21"/>
          <w:highlight w:val="none"/>
        </w:rPr>
        <w:t xml:space="preserve">3.请依照提供的格式和内容填写声明函，不要随意变更格式或增删内容；满足多项优惠政策的企业，不重复享受多项价格扣除政策。 </w:t>
      </w:r>
    </w:p>
    <w:p>
      <w:pPr>
        <w:tabs>
          <w:tab w:val="clear" w:pos="426"/>
        </w:tabs>
        <w:spacing w:line="240" w:lineRule="auto"/>
        <w:ind w:left="-2" w:leftChars="-1" w:firstLine="420" w:firstLineChars="200"/>
        <w:rPr>
          <w:rFonts w:ascii="Times New Roman" w:hAnsi="Times New Roman" w:cs="Times New Roman"/>
          <w:bCs/>
          <w:szCs w:val="21"/>
          <w:highlight w:val="none"/>
        </w:rPr>
      </w:pPr>
      <w:r>
        <w:rPr>
          <w:rFonts w:ascii="Times New Roman" w:hAnsi="Times New Roman" w:cs="Times New Roman"/>
          <w:bCs/>
          <w:szCs w:val="21"/>
          <w:highlight w:val="none"/>
        </w:rPr>
        <w:t xml:space="preserve">4.声明函具体填写要求： </w:t>
      </w:r>
    </w:p>
    <w:p>
      <w:pPr>
        <w:tabs>
          <w:tab w:val="clear" w:pos="426"/>
        </w:tabs>
        <w:spacing w:line="240" w:lineRule="auto"/>
        <w:ind w:left="-2" w:leftChars="-1" w:firstLine="420" w:firstLineChars="200"/>
        <w:rPr>
          <w:rFonts w:ascii="Times New Roman" w:hAnsi="Times New Roman" w:cs="Times New Roman"/>
          <w:bCs/>
          <w:szCs w:val="21"/>
          <w:highlight w:val="none"/>
        </w:rPr>
      </w:pPr>
      <w:r>
        <w:rPr>
          <w:rFonts w:ascii="Times New Roman" w:hAnsi="Times New Roman" w:cs="Times New Roman"/>
          <w:bCs/>
          <w:szCs w:val="21"/>
          <w:highlight w:val="none"/>
        </w:rPr>
        <w:t xml:space="preserve">（1）声明是中小企业须填写《中小企业声明函》的以下五项内容（填写位置的字体已加粗）： </w:t>
      </w:r>
    </w:p>
    <w:p>
      <w:pPr>
        <w:tabs>
          <w:tab w:val="clear" w:pos="426"/>
        </w:tabs>
        <w:spacing w:line="240" w:lineRule="auto"/>
        <w:ind w:left="-2" w:leftChars="-1" w:firstLine="420" w:firstLineChars="200"/>
        <w:rPr>
          <w:rFonts w:ascii="Times New Roman" w:hAnsi="Times New Roman" w:cs="Times New Roman"/>
          <w:bCs/>
          <w:szCs w:val="21"/>
          <w:highlight w:val="none"/>
        </w:rPr>
      </w:pPr>
      <w:r>
        <w:rPr>
          <w:rFonts w:ascii="Times New Roman" w:hAnsi="Times New Roman" w:cs="Times New Roman"/>
          <w:bCs/>
          <w:szCs w:val="21"/>
          <w:highlight w:val="none"/>
        </w:rPr>
        <w:t xml:space="preserve">第一处，在下划线上如实填写中型或小型或微型； </w:t>
      </w:r>
    </w:p>
    <w:p>
      <w:pPr>
        <w:tabs>
          <w:tab w:val="clear" w:pos="426"/>
        </w:tabs>
        <w:spacing w:line="240" w:lineRule="auto"/>
        <w:ind w:left="-2" w:leftChars="-1" w:firstLine="420" w:firstLineChars="200"/>
        <w:rPr>
          <w:rFonts w:ascii="Times New Roman" w:hAnsi="Times New Roman" w:cs="Times New Roman"/>
          <w:bCs/>
          <w:szCs w:val="21"/>
          <w:highlight w:val="none"/>
        </w:rPr>
      </w:pPr>
      <w:r>
        <w:rPr>
          <w:rFonts w:ascii="Times New Roman" w:hAnsi="Times New Roman" w:cs="Times New Roman"/>
          <w:bCs/>
          <w:szCs w:val="21"/>
          <w:highlight w:val="none"/>
        </w:rPr>
        <w:t xml:space="preserve">第二处，在下划线上如实填写中型或小型或微型； </w:t>
      </w:r>
    </w:p>
    <w:p>
      <w:pPr>
        <w:tabs>
          <w:tab w:val="clear" w:pos="426"/>
        </w:tabs>
        <w:spacing w:line="240" w:lineRule="auto"/>
        <w:ind w:left="-2" w:leftChars="-1" w:firstLine="420" w:firstLineChars="200"/>
        <w:rPr>
          <w:rFonts w:ascii="Times New Roman" w:hAnsi="Times New Roman" w:cs="Times New Roman"/>
          <w:bCs/>
          <w:szCs w:val="21"/>
          <w:highlight w:val="none"/>
        </w:rPr>
      </w:pPr>
      <w:r>
        <w:rPr>
          <w:rFonts w:ascii="Times New Roman" w:hAnsi="Times New Roman" w:cs="Times New Roman"/>
          <w:bCs/>
          <w:szCs w:val="21"/>
          <w:highlight w:val="none"/>
        </w:rPr>
        <w:t xml:space="preserve">第三处，在“采购单位名称”下划线处填写本项目的实际采购单位名称（深圳市深水水务咨询有限公司不是本项目的采购单位，而是本项目的组织实施机构）； </w:t>
      </w:r>
    </w:p>
    <w:p>
      <w:pPr>
        <w:tabs>
          <w:tab w:val="clear" w:pos="426"/>
        </w:tabs>
        <w:spacing w:line="240" w:lineRule="auto"/>
        <w:ind w:left="-2" w:leftChars="-1" w:firstLine="420" w:firstLineChars="200"/>
        <w:rPr>
          <w:rFonts w:ascii="Times New Roman" w:hAnsi="Times New Roman" w:cs="Times New Roman"/>
          <w:bCs/>
          <w:szCs w:val="21"/>
          <w:highlight w:val="none"/>
        </w:rPr>
      </w:pPr>
      <w:r>
        <w:rPr>
          <w:rFonts w:ascii="Times New Roman" w:hAnsi="Times New Roman" w:cs="Times New Roman"/>
          <w:bCs/>
          <w:szCs w:val="21"/>
          <w:highlight w:val="none"/>
        </w:rPr>
        <w:t xml:space="preserve">第四处，在“采购项目名称”下划线处填写本项目的实际项目名称（项目名称可在招标公告处查看）； </w:t>
      </w:r>
    </w:p>
    <w:p>
      <w:pPr>
        <w:tabs>
          <w:tab w:val="clear" w:pos="426"/>
        </w:tabs>
        <w:spacing w:line="240" w:lineRule="auto"/>
        <w:ind w:left="-2" w:leftChars="-1" w:firstLine="420" w:firstLineChars="200"/>
        <w:rPr>
          <w:rFonts w:ascii="Times New Roman" w:hAnsi="Times New Roman" w:cs="Times New Roman"/>
          <w:bCs/>
          <w:szCs w:val="21"/>
          <w:highlight w:val="none"/>
        </w:rPr>
      </w:pPr>
      <w:r>
        <w:rPr>
          <w:rFonts w:ascii="Times New Roman" w:hAnsi="Times New Roman" w:cs="Times New Roman"/>
          <w:bCs/>
          <w:szCs w:val="21"/>
          <w:highlight w:val="none"/>
        </w:rPr>
        <w:t>第五处，在“□本企业制造的货物” 或“□提供其他</w:t>
      </w:r>
      <w:r>
        <w:rPr>
          <w:rFonts w:ascii="Times New Roman" w:hAnsi="Times New Roman" w:cs="Times New Roman"/>
          <w:bCs/>
          <w:szCs w:val="21"/>
          <w:highlight w:val="none"/>
          <w:u w:val="single"/>
        </w:rPr>
        <w:t>______</w:t>
      </w:r>
      <w:r>
        <w:rPr>
          <w:rFonts w:ascii="Times New Roman" w:hAnsi="Times New Roman" w:cs="Times New Roman"/>
          <w:bCs/>
          <w:szCs w:val="21"/>
          <w:highlight w:val="none"/>
        </w:rPr>
        <w:t>企业（请填写：中型、小型、微型）制造的货物”两处中选择一处打√；如选择在“□提供其他</w:t>
      </w:r>
      <w:r>
        <w:rPr>
          <w:rFonts w:ascii="Times New Roman" w:hAnsi="Times New Roman" w:cs="Times New Roman"/>
          <w:bCs/>
          <w:szCs w:val="21"/>
          <w:highlight w:val="none"/>
          <w:u w:val="single"/>
        </w:rPr>
        <w:t>______</w:t>
      </w:r>
      <w:r>
        <w:rPr>
          <w:rFonts w:ascii="Times New Roman" w:hAnsi="Times New Roman" w:cs="Times New Roman"/>
          <w:bCs/>
          <w:szCs w:val="21"/>
          <w:highlight w:val="none"/>
        </w:rPr>
        <w:t xml:space="preserve">企业（请填写：中型、小型、微型）制造的货物”一处打√，还须在此下划线处如实填写中型或小型或微型； </w:t>
      </w:r>
    </w:p>
    <w:p>
      <w:pPr>
        <w:tabs>
          <w:tab w:val="clear" w:pos="426"/>
        </w:tabs>
        <w:spacing w:line="240" w:lineRule="auto"/>
        <w:ind w:left="-2" w:leftChars="-1" w:firstLine="420" w:firstLineChars="200"/>
        <w:rPr>
          <w:rFonts w:ascii="Times New Roman" w:hAnsi="Times New Roman" w:cs="Times New Roman"/>
          <w:bCs/>
          <w:szCs w:val="21"/>
          <w:highlight w:val="none"/>
        </w:rPr>
      </w:pPr>
      <w:r>
        <w:rPr>
          <w:rFonts w:ascii="Times New Roman" w:hAnsi="Times New Roman" w:cs="Times New Roman"/>
          <w:bCs/>
          <w:szCs w:val="21"/>
          <w:highlight w:val="none"/>
        </w:rPr>
        <w:t>同时请注意：“□本企业制造的货物” 、“□提供其他</w:t>
      </w:r>
      <w:r>
        <w:rPr>
          <w:rFonts w:ascii="Times New Roman" w:hAnsi="Times New Roman" w:cs="Times New Roman"/>
          <w:bCs/>
          <w:szCs w:val="21"/>
          <w:highlight w:val="none"/>
          <w:u w:val="single"/>
        </w:rPr>
        <w:t>______</w:t>
      </w:r>
      <w:r>
        <w:rPr>
          <w:rFonts w:ascii="Times New Roman" w:hAnsi="Times New Roman" w:cs="Times New Roman"/>
          <w:bCs/>
          <w:szCs w:val="21"/>
          <w:highlight w:val="none"/>
        </w:rPr>
        <w:t>企业（请填写：中型、小型、微型）制造的货物”中所称的货物是指单一产品采购项目中的货物，或者非单一产品采购项目中的核心产品（货物），不包括使用大型企业注册商标的货物；本项中的货物制造商应当在投标文件“分项报价清单”中明确列明。</w:t>
      </w:r>
    </w:p>
    <w:p>
      <w:pPr>
        <w:spacing w:line="240" w:lineRule="auto"/>
        <w:ind w:firstLine="422" w:firstLineChars="200"/>
        <w:rPr>
          <w:rFonts w:ascii="Times New Roman" w:hAnsi="Times New Roman" w:cs="Times New Roman"/>
          <w:b/>
          <w:bCs/>
          <w:color w:val="FF0000"/>
          <w:highlight w:val="none"/>
        </w:rPr>
      </w:pPr>
      <w:r>
        <w:rPr>
          <w:rFonts w:ascii="Times New Roman" w:hAnsi="Times New Roman" w:cs="Times New Roman"/>
          <w:b/>
          <w:bCs/>
          <w:color w:val="FF0000"/>
          <w:highlight w:val="none"/>
        </w:rPr>
        <w:t>《中小企业声明函》中制造商、承接/承建企业所属行业应当与招标文件要求的行业相一致，供应商如有疑问，可根据《国民经济行业分类》（GB/T4754-2002），结合《关 于 印 发 中 小 企 业 划 型 标 准 规 定 的 通 知 》 （ 工 信 部 联 企 业〔2011〕300 号）进行判断。事业单位、社会组织等非企业主体不享受中小企业扶持政策，但事业单位、社会组织等非企业主体提供全部由中小企业制造的货物参加货物采购项目的除外</w:t>
      </w:r>
      <w:r>
        <w:rPr>
          <w:rFonts w:hint="eastAsia" w:ascii="Times New Roman" w:hAnsi="Times New Roman" w:cs="Times New Roman"/>
          <w:b/>
          <w:bCs/>
          <w:color w:val="FF0000"/>
          <w:highlight w:val="none"/>
        </w:rPr>
        <w:t>。</w:t>
      </w:r>
    </w:p>
    <w:p>
      <w:pPr>
        <w:tabs>
          <w:tab w:val="clear" w:pos="426"/>
        </w:tabs>
        <w:spacing w:line="240" w:lineRule="auto"/>
        <w:ind w:left="-2" w:leftChars="-1" w:firstLine="420" w:firstLineChars="200"/>
        <w:rPr>
          <w:rFonts w:ascii="Times New Roman" w:hAnsi="Times New Roman" w:cs="Times New Roman"/>
          <w:bCs/>
          <w:szCs w:val="21"/>
          <w:highlight w:val="none"/>
        </w:rPr>
      </w:pPr>
      <w:r>
        <w:rPr>
          <w:rFonts w:ascii="Times New Roman" w:hAnsi="Times New Roman" w:cs="Times New Roman"/>
          <w:bCs/>
          <w:szCs w:val="21"/>
          <w:highlight w:val="none"/>
        </w:rPr>
        <w:t xml:space="preserve">（2）声明是监狱企业须填写《监狱企业声明函》的三项内容（填写位置的字体已加粗），具体参照以上《中小企业声明函》填写要求执行。 </w:t>
      </w:r>
    </w:p>
    <w:p>
      <w:pPr>
        <w:tabs>
          <w:tab w:val="clear" w:pos="426"/>
        </w:tabs>
        <w:spacing w:line="240" w:lineRule="auto"/>
        <w:ind w:left="-2" w:leftChars="-1" w:firstLine="420" w:firstLineChars="200"/>
        <w:rPr>
          <w:rFonts w:ascii="Times New Roman" w:hAnsi="Times New Roman" w:cs="Times New Roman"/>
          <w:bCs/>
          <w:szCs w:val="21"/>
          <w:highlight w:val="none"/>
        </w:rPr>
      </w:pPr>
      <w:r>
        <w:rPr>
          <w:rFonts w:ascii="Times New Roman" w:hAnsi="Times New Roman" w:cs="Times New Roman"/>
          <w:bCs/>
          <w:szCs w:val="21"/>
          <w:highlight w:val="none"/>
        </w:rPr>
        <w:t>5.声明函的有效性最终由评审委员会判定。</w:t>
      </w:r>
      <w:r>
        <w:rPr>
          <w:rFonts w:ascii="Times New Roman" w:hAnsi="Times New Roman" w:cs="Times New Roman"/>
          <w:szCs w:val="21"/>
          <w:highlight w:val="none"/>
        </w:rPr>
        <w:br w:type="page"/>
      </w:r>
    </w:p>
    <w:p>
      <w:pPr>
        <w:spacing w:line="240" w:lineRule="auto"/>
        <w:ind w:firstLine="643" w:firstLineChars="200"/>
        <w:jc w:val="center"/>
        <w:rPr>
          <w:rFonts w:ascii="Times New Roman" w:hAnsi="Times New Roman" w:cs="Times New Roman"/>
          <w:b/>
          <w:sz w:val="32"/>
          <w:szCs w:val="32"/>
          <w:highlight w:val="none"/>
        </w:rPr>
      </w:pPr>
      <w:r>
        <w:rPr>
          <w:rFonts w:ascii="Times New Roman" w:hAnsi="Times New Roman" w:cs="Times New Roman"/>
          <w:b/>
          <w:sz w:val="32"/>
          <w:szCs w:val="32"/>
          <w:highlight w:val="none"/>
        </w:rPr>
        <w:t>（一）中小企业声明函（样表）</w:t>
      </w:r>
    </w:p>
    <w:p>
      <w:pPr>
        <w:spacing w:line="240" w:lineRule="auto"/>
        <w:ind w:firstLine="420" w:firstLineChars="200"/>
        <w:jc w:val="left"/>
        <w:rPr>
          <w:rFonts w:ascii="Times New Roman" w:hAnsi="Times New Roman" w:cs="Times New Roman"/>
          <w:szCs w:val="21"/>
          <w:highlight w:val="none"/>
        </w:rPr>
      </w:pPr>
    </w:p>
    <w:p>
      <w:pPr>
        <w:spacing w:line="24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本公司郑重声明，根据《关于印发&lt;政府采购促进中小企业发展管理办法&gt;的通知》（财库〔2020〕46号）的规定，本公司（联合体）参加</w:t>
      </w:r>
      <w:r>
        <w:rPr>
          <w:rFonts w:hint="eastAsia" w:ascii="Times New Roman" w:hAnsi="Times New Roman" w:cs="Times New Roman"/>
          <w:b/>
          <w:bCs/>
          <w:szCs w:val="21"/>
          <w:highlight w:val="none"/>
          <w:u w:val="single"/>
        </w:rPr>
        <w:t xml:space="preserve"> </w:t>
      </w:r>
      <w:r>
        <w:rPr>
          <w:rFonts w:ascii="Times New Roman" w:hAnsi="Times New Roman" w:cs="Times New Roman"/>
          <w:b/>
          <w:bCs/>
          <w:szCs w:val="21"/>
          <w:highlight w:val="none"/>
          <w:u w:val="single"/>
        </w:rPr>
        <w:t xml:space="preserve">(采购单位名称) </w:t>
      </w:r>
      <w:r>
        <w:rPr>
          <w:rFonts w:ascii="Times New Roman" w:hAnsi="Times New Roman" w:cs="Times New Roman"/>
          <w:szCs w:val="21"/>
          <w:highlight w:val="none"/>
        </w:rPr>
        <w:t>的</w:t>
      </w:r>
      <w:r>
        <w:rPr>
          <w:rFonts w:ascii="Times New Roman" w:hAnsi="Times New Roman" w:cs="Times New Roman"/>
          <w:b/>
          <w:bCs/>
          <w:szCs w:val="21"/>
          <w:highlight w:val="none"/>
          <w:u w:val="single"/>
        </w:rPr>
        <w:t>（采购项目名称）</w:t>
      </w:r>
      <w:r>
        <w:rPr>
          <w:rFonts w:hint="eastAsia" w:ascii="Times New Roman" w:hAnsi="Times New Roman" w:cs="Times New Roman"/>
          <w:b/>
          <w:bCs/>
          <w:szCs w:val="21"/>
          <w:highlight w:val="none"/>
          <w:u w:val="single"/>
        </w:rPr>
        <w:t xml:space="preserve"> </w:t>
      </w:r>
      <w:r>
        <w:rPr>
          <w:rFonts w:ascii="Times New Roman" w:hAnsi="Times New Roman" w:cs="Times New Roman"/>
          <w:szCs w:val="21"/>
          <w:highlight w:val="none"/>
        </w:rPr>
        <w:t>采购活动，</w:t>
      </w:r>
      <w:r>
        <w:rPr>
          <w:rFonts w:ascii="Times New Roman" w:hAnsi="Times New Roman" w:cs="Times New Roman"/>
          <w:szCs w:val="21"/>
          <w:highlight w:val="none"/>
          <w:u w:val="single"/>
        </w:rPr>
        <w:t>________________________</w:t>
      </w:r>
      <w:r>
        <w:rPr>
          <w:rFonts w:ascii="Times New Roman" w:hAnsi="Times New Roman" w:cs="Times New Roman"/>
          <w:szCs w:val="21"/>
          <w:highlight w:val="none"/>
        </w:rPr>
        <w:t>（填写说明：</w:t>
      </w:r>
      <w:r>
        <w:rPr>
          <w:rFonts w:ascii="Times New Roman" w:hAnsi="Times New Roman" w:cs="Times New Roman"/>
          <w:b/>
          <w:bCs/>
          <w:szCs w:val="21"/>
          <w:highlight w:val="none"/>
        </w:rPr>
        <w:t>货物类：提供的货物全部由符合政策要求的中小企业制造。</w:t>
      </w:r>
      <w:r>
        <w:rPr>
          <w:rFonts w:ascii="Times New Roman" w:hAnsi="Times New Roman" w:cs="Times New Roman"/>
          <w:szCs w:val="21"/>
          <w:highlight w:val="none"/>
        </w:rPr>
        <w:t>服务类：服务全部由符合政策要求的中小企业承接。工程类：工程的施工单位全部为符合政策要求的中小企业。）相关企业（含联合体中的中小企业、签订分包意向协议的中小企业）的具体情况如下：</w:t>
      </w:r>
    </w:p>
    <w:p>
      <w:pPr>
        <w:spacing w:line="24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1.</w:t>
      </w:r>
      <w:r>
        <w:rPr>
          <w:rFonts w:ascii="Times New Roman" w:hAnsi="Times New Roman" w:cs="Times New Roman"/>
          <w:b/>
          <w:bCs/>
          <w:szCs w:val="21"/>
          <w:highlight w:val="none"/>
          <w:u w:val="single"/>
        </w:rPr>
        <w:t>（标的名称）</w:t>
      </w:r>
      <w:r>
        <w:rPr>
          <w:rFonts w:ascii="Times New Roman" w:hAnsi="Times New Roman" w:cs="Times New Roman"/>
          <w:szCs w:val="21"/>
          <w:highlight w:val="none"/>
        </w:rPr>
        <w:t>，属于</w:t>
      </w:r>
      <w:r>
        <w:rPr>
          <w:rFonts w:ascii="Times New Roman" w:hAnsi="Times New Roman" w:cs="Times New Roman"/>
          <w:b/>
          <w:bCs/>
          <w:szCs w:val="21"/>
          <w:highlight w:val="none"/>
          <w:u w:val="single"/>
        </w:rPr>
        <w:t>（采购文件中明确的所属行业）</w:t>
      </w:r>
      <w:r>
        <w:rPr>
          <w:rFonts w:ascii="Times New Roman" w:hAnsi="Times New Roman" w:cs="Times New Roman"/>
          <w:szCs w:val="21"/>
          <w:highlight w:val="none"/>
        </w:rPr>
        <w:t>；承建（承接）企业为（企业名称），从业人员</w:t>
      </w:r>
      <w:r>
        <w:rPr>
          <w:rFonts w:ascii="Times New Roman" w:hAnsi="Times New Roman" w:cs="Times New Roman"/>
          <w:szCs w:val="21"/>
          <w:highlight w:val="none"/>
          <w:u w:val="single"/>
        </w:rPr>
        <w:t>____</w:t>
      </w:r>
      <w:r>
        <w:rPr>
          <w:rFonts w:ascii="Times New Roman" w:hAnsi="Times New Roman" w:cs="Times New Roman"/>
          <w:szCs w:val="21"/>
          <w:highlight w:val="none"/>
        </w:rPr>
        <w:t>人，营业收入为</w:t>
      </w:r>
      <w:r>
        <w:rPr>
          <w:rFonts w:ascii="Times New Roman" w:hAnsi="Times New Roman" w:cs="Times New Roman"/>
          <w:szCs w:val="21"/>
          <w:highlight w:val="none"/>
          <w:u w:val="single"/>
        </w:rPr>
        <w:t>____</w:t>
      </w:r>
      <w:r>
        <w:rPr>
          <w:rFonts w:ascii="Times New Roman" w:hAnsi="Times New Roman" w:cs="Times New Roman"/>
          <w:szCs w:val="21"/>
          <w:highlight w:val="none"/>
        </w:rPr>
        <w:t>万元，资产总额为</w:t>
      </w:r>
      <w:r>
        <w:rPr>
          <w:rFonts w:ascii="Times New Roman" w:hAnsi="Times New Roman" w:cs="Times New Roman"/>
          <w:szCs w:val="21"/>
          <w:highlight w:val="none"/>
          <w:u w:val="single"/>
        </w:rPr>
        <w:t>____</w:t>
      </w:r>
      <w:r>
        <w:rPr>
          <w:rFonts w:ascii="Times New Roman" w:hAnsi="Times New Roman" w:cs="Times New Roman"/>
          <w:szCs w:val="21"/>
          <w:highlight w:val="none"/>
        </w:rPr>
        <w:t>万元1，属于（中型企业、小型企业、微型企业）；</w:t>
      </w:r>
    </w:p>
    <w:p>
      <w:pPr>
        <w:spacing w:line="24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2.</w:t>
      </w:r>
      <w:r>
        <w:rPr>
          <w:rFonts w:ascii="Times New Roman" w:hAnsi="Times New Roman" w:cs="Times New Roman"/>
          <w:b/>
          <w:bCs/>
          <w:szCs w:val="21"/>
          <w:highlight w:val="none"/>
          <w:u w:val="single"/>
        </w:rPr>
        <w:t>（标的名称）</w:t>
      </w:r>
      <w:r>
        <w:rPr>
          <w:rFonts w:ascii="Times New Roman" w:hAnsi="Times New Roman" w:cs="Times New Roman"/>
          <w:szCs w:val="21"/>
          <w:highlight w:val="none"/>
        </w:rPr>
        <w:t>，属于</w:t>
      </w:r>
      <w:r>
        <w:rPr>
          <w:rFonts w:ascii="Times New Roman" w:hAnsi="Times New Roman" w:cs="Times New Roman"/>
          <w:b/>
          <w:bCs/>
          <w:szCs w:val="21"/>
          <w:highlight w:val="none"/>
          <w:u w:val="single"/>
        </w:rPr>
        <w:t>（采购文件中明确的所属行业）</w:t>
      </w:r>
      <w:r>
        <w:rPr>
          <w:rFonts w:ascii="Times New Roman" w:hAnsi="Times New Roman" w:cs="Times New Roman"/>
          <w:szCs w:val="21"/>
          <w:highlight w:val="none"/>
        </w:rPr>
        <w:t>；承建（承接）企业为（企业名称），从业人员</w:t>
      </w:r>
      <w:r>
        <w:rPr>
          <w:rFonts w:ascii="Times New Roman" w:hAnsi="Times New Roman" w:cs="Times New Roman"/>
          <w:szCs w:val="21"/>
          <w:highlight w:val="none"/>
          <w:u w:val="single"/>
        </w:rPr>
        <w:t>____</w:t>
      </w:r>
      <w:r>
        <w:rPr>
          <w:rFonts w:ascii="Times New Roman" w:hAnsi="Times New Roman" w:cs="Times New Roman"/>
          <w:szCs w:val="21"/>
          <w:highlight w:val="none"/>
        </w:rPr>
        <w:t>人，营业收入为</w:t>
      </w:r>
      <w:r>
        <w:rPr>
          <w:rFonts w:ascii="Times New Roman" w:hAnsi="Times New Roman" w:cs="Times New Roman"/>
          <w:szCs w:val="21"/>
          <w:highlight w:val="none"/>
          <w:u w:val="single"/>
        </w:rPr>
        <w:t>____</w:t>
      </w:r>
      <w:r>
        <w:rPr>
          <w:rFonts w:ascii="Times New Roman" w:hAnsi="Times New Roman" w:cs="Times New Roman"/>
          <w:szCs w:val="21"/>
          <w:highlight w:val="none"/>
        </w:rPr>
        <w:t>万元，资产总额为</w:t>
      </w:r>
      <w:r>
        <w:rPr>
          <w:rFonts w:ascii="Times New Roman" w:hAnsi="Times New Roman" w:cs="Times New Roman"/>
          <w:szCs w:val="21"/>
          <w:highlight w:val="none"/>
          <w:u w:val="single"/>
        </w:rPr>
        <w:t>____</w:t>
      </w:r>
      <w:r>
        <w:rPr>
          <w:rFonts w:ascii="Times New Roman" w:hAnsi="Times New Roman" w:cs="Times New Roman"/>
          <w:szCs w:val="21"/>
          <w:highlight w:val="none"/>
        </w:rPr>
        <w:t>万元，属于（中型企业、小型企业、微型企业）；</w:t>
      </w:r>
    </w:p>
    <w:p>
      <w:pPr>
        <w:spacing w:line="24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w:t>
      </w:r>
    </w:p>
    <w:p>
      <w:pPr>
        <w:spacing w:line="24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以上企业，不属于大企业的分支机构，不存在控股股东为大企业的情形，也不存在与大企业的负责人为同一人的情形。</w:t>
      </w:r>
    </w:p>
    <w:p>
      <w:pPr>
        <w:spacing w:line="24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本企业对上述声明内容的真实性负责。如有虚假，将依法承担相应责任。</w:t>
      </w:r>
    </w:p>
    <w:p>
      <w:pPr>
        <w:spacing w:line="240" w:lineRule="auto"/>
        <w:ind w:firstLine="420" w:firstLineChars="200"/>
        <w:rPr>
          <w:rFonts w:ascii="Times New Roman" w:hAnsi="Times New Roman" w:cs="Times New Roman"/>
          <w:szCs w:val="21"/>
          <w:highlight w:val="none"/>
        </w:rPr>
      </w:pPr>
    </w:p>
    <w:p>
      <w:pPr>
        <w:spacing w:line="24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企业名称（盖章）：</w:t>
      </w:r>
    </w:p>
    <w:p>
      <w:pPr>
        <w:spacing w:line="24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日期：</w:t>
      </w:r>
    </w:p>
    <w:p>
      <w:pPr>
        <w:spacing w:line="240" w:lineRule="auto"/>
        <w:ind w:firstLine="420" w:firstLineChars="200"/>
        <w:rPr>
          <w:rFonts w:ascii="Times New Roman" w:hAnsi="Times New Roman" w:cs="Times New Roman"/>
          <w:szCs w:val="21"/>
          <w:highlight w:val="none"/>
        </w:rPr>
      </w:pPr>
    </w:p>
    <w:p>
      <w:pPr>
        <w:spacing w:line="24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备注：1、从业人员、营业收入、资产总额填报上一年度数据，无上一年度数据的新成立企业可不填报。</w:t>
      </w:r>
    </w:p>
    <w:p>
      <w:pPr>
        <w:ind w:firstLine="420"/>
        <w:rPr>
          <w:rFonts w:ascii="Times New Roman" w:hAnsi="Times New Roman" w:cs="Times New Roman"/>
          <w:highlight w:val="none"/>
        </w:rPr>
      </w:pPr>
    </w:p>
    <w:p>
      <w:pPr>
        <w:ind w:firstLine="420"/>
        <w:rPr>
          <w:rFonts w:ascii="Times New Roman" w:hAnsi="Times New Roman" w:cs="Times New Roman"/>
          <w:highlight w:val="none"/>
        </w:rPr>
      </w:pPr>
    </w:p>
    <w:p>
      <w:pPr>
        <w:spacing w:line="240" w:lineRule="auto"/>
        <w:ind w:firstLine="643" w:firstLineChars="200"/>
        <w:jc w:val="center"/>
        <w:rPr>
          <w:rFonts w:ascii="Times New Roman" w:hAnsi="Times New Roman" w:cs="Times New Roman"/>
          <w:b/>
          <w:sz w:val="32"/>
          <w:szCs w:val="32"/>
          <w:highlight w:val="none"/>
        </w:rPr>
      </w:pPr>
      <w:r>
        <w:rPr>
          <w:rFonts w:ascii="Times New Roman" w:hAnsi="Times New Roman" w:cs="Times New Roman"/>
          <w:b/>
          <w:sz w:val="32"/>
          <w:szCs w:val="32"/>
          <w:highlight w:val="none"/>
        </w:rPr>
        <w:t>（</w:t>
      </w:r>
      <w:r>
        <w:rPr>
          <w:rFonts w:hint="eastAsia" w:ascii="Times New Roman" w:hAnsi="Times New Roman" w:cs="Times New Roman"/>
          <w:b/>
          <w:sz w:val="32"/>
          <w:szCs w:val="32"/>
          <w:highlight w:val="none"/>
        </w:rPr>
        <w:t>二</w:t>
      </w:r>
      <w:r>
        <w:rPr>
          <w:rFonts w:ascii="Times New Roman" w:hAnsi="Times New Roman" w:cs="Times New Roman"/>
          <w:b/>
          <w:sz w:val="32"/>
          <w:szCs w:val="32"/>
          <w:highlight w:val="none"/>
        </w:rPr>
        <w:t>）省级以上监狱管理局、戒毒管理局（含新疆生产建设兵团）出具的属于监狱企业的证明文件（样表）</w:t>
      </w:r>
    </w:p>
    <w:p>
      <w:pPr>
        <w:spacing w:line="240" w:lineRule="auto"/>
        <w:ind w:firstLine="420" w:firstLineChars="200"/>
        <w:rPr>
          <w:rFonts w:ascii="Times New Roman" w:hAnsi="Times New Roman" w:cs="Times New Roman"/>
          <w:szCs w:val="21"/>
          <w:highlight w:val="none"/>
        </w:rPr>
      </w:pPr>
    </w:p>
    <w:p>
      <w:pPr>
        <w:spacing w:line="24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本单位郑重声明，根据《财政部司法部关于政府采购支持监狱企业发展有关问题的通知》（财库〔2014〕68号）的规定，本单位为符合条件的监狱企业，且本单位参加</w:t>
      </w:r>
      <w:r>
        <w:rPr>
          <w:rFonts w:ascii="Times New Roman" w:hAnsi="Times New Roman" w:cs="Times New Roman"/>
          <w:b/>
          <w:bCs/>
          <w:szCs w:val="21"/>
          <w:highlight w:val="none"/>
          <w:u w:val="single"/>
        </w:rPr>
        <w:t>（采购单位名称）</w:t>
      </w:r>
      <w:r>
        <w:rPr>
          <w:rFonts w:ascii="Times New Roman" w:hAnsi="Times New Roman" w:cs="Times New Roman"/>
          <w:szCs w:val="21"/>
          <w:highlight w:val="none"/>
        </w:rPr>
        <w:t>单位的</w:t>
      </w:r>
      <w:r>
        <w:rPr>
          <w:rFonts w:ascii="Times New Roman" w:hAnsi="Times New Roman" w:cs="Times New Roman"/>
          <w:b/>
          <w:bCs/>
          <w:szCs w:val="21"/>
          <w:highlight w:val="none"/>
          <w:u w:val="single"/>
        </w:rPr>
        <w:t>（采购项目名称）</w:t>
      </w:r>
      <w:r>
        <w:rPr>
          <w:rFonts w:ascii="Times New Roman" w:hAnsi="Times New Roman" w:cs="Times New Roman"/>
          <w:szCs w:val="21"/>
          <w:highlight w:val="none"/>
        </w:rPr>
        <w:t>项目采购活动，并提供:</w:t>
      </w:r>
      <w:r>
        <w:rPr>
          <w:rFonts w:ascii="Times New Roman" w:hAnsi="Times New Roman" w:cs="Times New Roman"/>
          <w:b/>
          <w:bCs/>
          <w:szCs w:val="21"/>
          <w:highlight w:val="none"/>
        </w:rPr>
        <w:t>□本单位制造的货物</w:t>
      </w:r>
      <w:r>
        <w:rPr>
          <w:rFonts w:ascii="Times New Roman" w:hAnsi="Times New Roman" w:cs="Times New Roman"/>
          <w:szCs w:val="21"/>
          <w:highlight w:val="none"/>
        </w:rPr>
        <w:t>;□由本单位承担的工程、提供服务</w:t>
      </w:r>
      <w:r>
        <w:rPr>
          <w:rFonts w:ascii="Times New Roman" w:hAnsi="Times New Roman" w:cs="Times New Roman"/>
          <w:b/>
          <w:bCs/>
          <w:szCs w:val="21"/>
          <w:highlight w:val="none"/>
        </w:rPr>
        <w:t>;□提供其他监狱企业制造的货物（承诺人在□处打√）</w:t>
      </w:r>
      <w:r>
        <w:rPr>
          <w:rFonts w:ascii="Times New Roman" w:hAnsi="Times New Roman" w:cs="Times New Roman"/>
          <w:szCs w:val="21"/>
          <w:highlight w:val="none"/>
        </w:rPr>
        <w:t>。本条所称货物是指单一产品采购项目中的货物，或者非单一产品采购项目中的核心产品（货物）。</w:t>
      </w:r>
    </w:p>
    <w:p>
      <w:pPr>
        <w:spacing w:line="24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本单位对上述声明的真实性负责。如有虚假，将依法承担相应责任。</w:t>
      </w:r>
    </w:p>
    <w:p>
      <w:pPr>
        <w:spacing w:line="24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附：省级以上监狱管理局、戒毒管理局（含新疆生产建设兵团）出具的监狱企业证明文件。</w:t>
      </w:r>
    </w:p>
    <w:p>
      <w:pPr>
        <w:spacing w:line="240" w:lineRule="auto"/>
        <w:ind w:firstLine="420" w:firstLineChars="200"/>
        <w:jc w:val="right"/>
        <w:rPr>
          <w:rFonts w:ascii="Times New Roman" w:hAnsi="Times New Roman" w:cs="Times New Roman"/>
          <w:szCs w:val="21"/>
          <w:highlight w:val="none"/>
        </w:rPr>
      </w:pPr>
      <w:r>
        <w:rPr>
          <w:rFonts w:ascii="Times New Roman" w:hAnsi="Times New Roman" w:cs="Times New Roman"/>
          <w:szCs w:val="21"/>
          <w:highlight w:val="none"/>
        </w:rPr>
        <w:t>单位名称（盖章）：</w:t>
      </w:r>
      <w:r>
        <w:rPr>
          <w:rFonts w:ascii="Times New Roman" w:hAnsi="Times New Roman" w:cs="Times New Roman"/>
          <w:szCs w:val="21"/>
          <w:highlight w:val="none"/>
          <w:u w:val="single"/>
        </w:rPr>
        <w:t>__________________</w:t>
      </w:r>
    </w:p>
    <w:p>
      <w:pPr>
        <w:spacing w:line="240" w:lineRule="auto"/>
        <w:ind w:firstLine="420" w:firstLineChars="200"/>
        <w:jc w:val="right"/>
        <w:rPr>
          <w:rFonts w:ascii="Times New Roman" w:hAnsi="Times New Roman" w:cs="Times New Roman"/>
          <w:szCs w:val="21"/>
          <w:highlight w:val="none"/>
        </w:rPr>
      </w:pPr>
      <w:r>
        <w:rPr>
          <w:rFonts w:ascii="Times New Roman" w:hAnsi="Times New Roman" w:cs="Times New Roman"/>
          <w:szCs w:val="21"/>
          <w:highlight w:val="none"/>
        </w:rPr>
        <w:t>日期：</w:t>
      </w:r>
      <w:r>
        <w:rPr>
          <w:rFonts w:ascii="Times New Roman" w:hAnsi="Times New Roman" w:cs="Times New Roman"/>
          <w:szCs w:val="21"/>
          <w:highlight w:val="none"/>
          <w:u w:val="single"/>
        </w:rPr>
        <w:t>_________________</w:t>
      </w:r>
    </w:p>
    <w:p>
      <w:pPr>
        <w:ind w:firstLine="420"/>
        <w:rPr>
          <w:rFonts w:ascii="Times New Roman" w:hAnsi="Times New Roman" w:cs="Times New Roman"/>
          <w:highlight w:val="none"/>
        </w:rPr>
      </w:pPr>
    </w:p>
    <w:p>
      <w:pPr>
        <w:ind w:firstLine="420"/>
        <w:rPr>
          <w:rFonts w:ascii="Times New Roman" w:hAnsi="Times New Roman" w:cs="Times New Roman"/>
          <w:highlight w:val="none"/>
        </w:rPr>
      </w:pPr>
    </w:p>
    <w:p>
      <w:pPr>
        <w:spacing w:line="240" w:lineRule="auto"/>
        <w:ind w:firstLine="643" w:firstLineChars="200"/>
        <w:jc w:val="center"/>
        <w:rPr>
          <w:rFonts w:ascii="Times New Roman" w:hAnsi="Times New Roman" w:cs="Times New Roman"/>
          <w:b/>
          <w:sz w:val="32"/>
          <w:szCs w:val="32"/>
          <w:highlight w:val="none"/>
        </w:rPr>
      </w:pPr>
      <w:r>
        <w:rPr>
          <w:rFonts w:ascii="Times New Roman" w:hAnsi="Times New Roman" w:cs="Times New Roman"/>
          <w:b/>
          <w:sz w:val="32"/>
          <w:szCs w:val="32"/>
          <w:highlight w:val="none"/>
        </w:rPr>
        <w:t>（</w:t>
      </w:r>
      <w:r>
        <w:rPr>
          <w:rFonts w:hint="eastAsia" w:ascii="Times New Roman" w:hAnsi="Times New Roman" w:cs="Times New Roman"/>
          <w:b/>
          <w:sz w:val="32"/>
          <w:szCs w:val="32"/>
          <w:highlight w:val="none"/>
        </w:rPr>
        <w:t>三</w:t>
      </w:r>
      <w:r>
        <w:rPr>
          <w:rFonts w:ascii="Times New Roman" w:hAnsi="Times New Roman" w:cs="Times New Roman"/>
          <w:b/>
          <w:sz w:val="32"/>
          <w:szCs w:val="32"/>
          <w:highlight w:val="none"/>
        </w:rPr>
        <w:t>）含有小型、微型企业的联合体声明函（样表）</w:t>
      </w:r>
    </w:p>
    <w:p>
      <w:pPr>
        <w:spacing w:line="240" w:lineRule="auto"/>
        <w:ind w:firstLine="420" w:firstLineChars="200"/>
        <w:rPr>
          <w:rFonts w:ascii="Times New Roman" w:hAnsi="Times New Roman" w:cs="Times New Roman"/>
          <w:szCs w:val="21"/>
          <w:highlight w:val="none"/>
        </w:rPr>
      </w:pPr>
    </w:p>
    <w:p>
      <w:pPr>
        <w:spacing w:line="24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1.</w:t>
      </w:r>
      <w:r>
        <w:rPr>
          <w:rFonts w:ascii="Times New Roman" w:hAnsi="Times New Roman" w:cs="Times New Roman"/>
          <w:b/>
          <w:bCs/>
          <w:szCs w:val="21"/>
          <w:highlight w:val="none"/>
          <w:u w:val="single"/>
        </w:rPr>
        <w:t>（供应商名称、供应商名称）</w:t>
      </w:r>
      <w:r>
        <w:rPr>
          <w:rFonts w:ascii="Times New Roman" w:hAnsi="Times New Roman" w:cs="Times New Roman"/>
          <w:szCs w:val="21"/>
          <w:highlight w:val="none"/>
        </w:rPr>
        <w:t>共同组成联合体（详见联合体协议）。根据《工业和信息化部、国家统计局、国家发展和改革委员会、财政部关于印发中小企业划型标准规定的通知》（工信部联企业〔2011〕300</w:t>
      </w:r>
      <w:r>
        <w:rPr>
          <w:rFonts w:ascii="Times New Roman" w:hAnsi="Times New Roman" w:cs="Times New Roman"/>
          <w:szCs w:val="21"/>
          <w:highlight w:val="none"/>
          <w:u w:val="single"/>
        </w:rPr>
        <w:t>_</w:t>
      </w:r>
      <w:r>
        <w:rPr>
          <w:rFonts w:ascii="Times New Roman" w:hAnsi="Times New Roman" w:cs="Times New Roman"/>
          <w:szCs w:val="21"/>
          <w:highlight w:val="none"/>
        </w:rPr>
        <w:t>号）规定的划分标准，本联合体中：□</w:t>
      </w:r>
      <w:r>
        <w:rPr>
          <w:rFonts w:ascii="Times New Roman" w:hAnsi="Times New Roman" w:cs="Times New Roman"/>
          <w:szCs w:val="21"/>
          <w:highlight w:val="none"/>
          <w:u w:val="single"/>
        </w:rPr>
        <w:t>______</w:t>
      </w:r>
      <w:r>
        <w:rPr>
          <w:rFonts w:ascii="Times New Roman" w:hAnsi="Times New Roman" w:cs="Times New Roman"/>
          <w:szCs w:val="21"/>
          <w:highlight w:val="none"/>
        </w:rPr>
        <w:t>单位为</w:t>
      </w:r>
      <w:r>
        <w:rPr>
          <w:rFonts w:ascii="Times New Roman" w:hAnsi="Times New Roman" w:cs="Times New Roman"/>
          <w:szCs w:val="21"/>
          <w:highlight w:val="none"/>
          <w:u w:val="single"/>
        </w:rPr>
        <w:t>______</w:t>
      </w:r>
      <w:r>
        <w:rPr>
          <w:rFonts w:ascii="Times New Roman" w:hAnsi="Times New Roman" w:cs="Times New Roman"/>
          <w:szCs w:val="21"/>
          <w:highlight w:val="none"/>
        </w:rPr>
        <w:t>（请填写：中型、小型、微型）企业，</w:t>
      </w:r>
      <w:r>
        <w:rPr>
          <w:rFonts w:ascii="Times New Roman" w:hAnsi="Times New Roman" w:cs="Times New Roman"/>
          <w:szCs w:val="21"/>
          <w:highlight w:val="none"/>
          <w:u w:val="single"/>
        </w:rPr>
        <w:t>______</w:t>
      </w:r>
      <w:r>
        <w:rPr>
          <w:rFonts w:ascii="Times New Roman" w:hAnsi="Times New Roman" w:cs="Times New Roman"/>
          <w:szCs w:val="21"/>
          <w:highlight w:val="none"/>
        </w:rPr>
        <w:t>单位为</w:t>
      </w:r>
      <w:r>
        <w:rPr>
          <w:rFonts w:ascii="Times New Roman" w:hAnsi="Times New Roman" w:cs="Times New Roman"/>
          <w:szCs w:val="21"/>
          <w:highlight w:val="none"/>
          <w:u w:val="single"/>
        </w:rPr>
        <w:t>______</w:t>
      </w:r>
      <w:r>
        <w:rPr>
          <w:rFonts w:ascii="Times New Roman" w:hAnsi="Times New Roman" w:cs="Times New Roman"/>
          <w:szCs w:val="21"/>
          <w:highlight w:val="none"/>
        </w:rPr>
        <w:t>（请填写：中型、小型、微型）企业；□联合体各方均为小微企业（承诺人在□处打√）。</w:t>
      </w:r>
    </w:p>
    <w:p>
      <w:pPr>
        <w:spacing w:line="24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2.本联合体参加</w:t>
      </w:r>
      <w:r>
        <w:rPr>
          <w:rFonts w:ascii="Times New Roman" w:hAnsi="Times New Roman" w:cs="Times New Roman"/>
          <w:b/>
          <w:bCs/>
          <w:szCs w:val="21"/>
          <w:highlight w:val="none"/>
          <w:u w:val="single"/>
        </w:rPr>
        <w:t>（采购单位名称）</w:t>
      </w:r>
      <w:r>
        <w:rPr>
          <w:rFonts w:ascii="Times New Roman" w:hAnsi="Times New Roman" w:cs="Times New Roman"/>
          <w:szCs w:val="21"/>
          <w:highlight w:val="none"/>
        </w:rPr>
        <w:t>单位的</w:t>
      </w:r>
      <w:r>
        <w:rPr>
          <w:rFonts w:ascii="Times New Roman" w:hAnsi="Times New Roman" w:cs="Times New Roman"/>
          <w:b/>
          <w:bCs/>
          <w:szCs w:val="21"/>
          <w:highlight w:val="none"/>
          <w:u w:val="single"/>
        </w:rPr>
        <w:t>（采购项目名称）</w:t>
      </w:r>
      <w:r>
        <w:rPr>
          <w:rFonts w:ascii="Times New Roman" w:hAnsi="Times New Roman" w:cs="Times New Roman"/>
          <w:szCs w:val="21"/>
          <w:highlight w:val="none"/>
        </w:rPr>
        <w:t>项目采购活动，其中，小型、微型企业协议合同金额占到联合体协议总金额比例为</w:t>
      </w:r>
      <w:r>
        <w:rPr>
          <w:rFonts w:ascii="Times New Roman" w:hAnsi="Times New Roman" w:cs="Times New Roman"/>
          <w:szCs w:val="21"/>
          <w:highlight w:val="none"/>
          <w:u w:val="single"/>
        </w:rPr>
        <w:t>_____</w:t>
      </w:r>
      <w:r>
        <w:rPr>
          <w:rFonts w:ascii="Times New Roman" w:hAnsi="Times New Roman" w:cs="Times New Roman"/>
          <w:szCs w:val="21"/>
          <w:highlight w:val="none"/>
        </w:rPr>
        <w:t>%（该合同金额为：</w:t>
      </w:r>
      <w:r>
        <w:rPr>
          <w:rFonts w:ascii="Times New Roman" w:hAnsi="Times New Roman" w:cs="Times New Roman"/>
          <w:b/>
          <w:bCs/>
          <w:szCs w:val="21"/>
          <w:highlight w:val="none"/>
        </w:rPr>
        <w:t>□小微企业制造的货物</w:t>
      </w:r>
      <w:r>
        <w:rPr>
          <w:rFonts w:ascii="Times New Roman" w:hAnsi="Times New Roman" w:cs="Times New Roman"/>
          <w:szCs w:val="21"/>
          <w:highlight w:val="none"/>
        </w:rPr>
        <w:t>，□小微企业承担的工程、提供服务，</w:t>
      </w:r>
      <w:r>
        <w:rPr>
          <w:rFonts w:ascii="Times New Roman" w:hAnsi="Times New Roman" w:cs="Times New Roman"/>
          <w:b/>
          <w:bCs/>
          <w:szCs w:val="21"/>
          <w:highlight w:val="none"/>
        </w:rPr>
        <w:t>□提供其他小微企业制造的货物；不包括使用大型企业注册商标的货物</w:t>
      </w:r>
      <w:r>
        <w:rPr>
          <w:rFonts w:ascii="Times New Roman" w:hAnsi="Times New Roman" w:cs="Times New Roman"/>
          <w:szCs w:val="21"/>
          <w:highlight w:val="none"/>
        </w:rPr>
        <w:t>；请承诺人在□处打√），符合《政府采购促进中小企业发展暂行办法》(财库〔2011〕181</w:t>
      </w:r>
      <w:r>
        <w:rPr>
          <w:rFonts w:ascii="Times New Roman" w:hAnsi="Times New Roman" w:cs="Times New Roman"/>
          <w:szCs w:val="21"/>
          <w:highlight w:val="none"/>
          <w:u w:val="single"/>
        </w:rPr>
        <w:t>_</w:t>
      </w:r>
      <w:r>
        <w:rPr>
          <w:rFonts w:ascii="Times New Roman" w:hAnsi="Times New Roman" w:cs="Times New Roman"/>
          <w:szCs w:val="21"/>
          <w:highlight w:val="none"/>
        </w:rPr>
        <w:t>号)第六条规定的优惠政策。本联合体对上述声明的真实性负责。如有虚假，将依法承担相应责任。</w:t>
      </w:r>
    </w:p>
    <w:p>
      <w:pPr>
        <w:spacing w:line="240" w:lineRule="auto"/>
        <w:ind w:left="424" w:leftChars="202" w:firstLine="420"/>
        <w:jc w:val="left"/>
        <w:rPr>
          <w:rFonts w:ascii="Times New Roman" w:hAnsi="Times New Roman" w:cs="Times New Roman"/>
          <w:szCs w:val="21"/>
          <w:highlight w:val="none"/>
        </w:rPr>
      </w:pPr>
      <w:r>
        <w:rPr>
          <w:rFonts w:ascii="Times New Roman" w:hAnsi="Times New Roman" w:cs="Times New Roman"/>
          <w:szCs w:val="21"/>
          <w:highlight w:val="none"/>
        </w:rPr>
        <w:t>企业1名称（盖章）：</w:t>
      </w:r>
      <w:r>
        <w:rPr>
          <w:rFonts w:ascii="Times New Roman" w:hAnsi="Times New Roman" w:cs="Times New Roman"/>
          <w:szCs w:val="21"/>
          <w:highlight w:val="none"/>
          <w:u w:val="single"/>
        </w:rPr>
        <w:t>_______________________</w:t>
      </w:r>
      <w:r>
        <w:rPr>
          <w:rFonts w:ascii="Times New Roman" w:hAnsi="Times New Roman" w:cs="Times New Roman"/>
          <w:szCs w:val="21"/>
          <w:highlight w:val="none"/>
        </w:rPr>
        <w:t xml:space="preserve"> </w:t>
      </w:r>
    </w:p>
    <w:p>
      <w:pPr>
        <w:spacing w:line="240" w:lineRule="auto"/>
        <w:ind w:left="424" w:leftChars="202" w:firstLine="420"/>
        <w:jc w:val="left"/>
        <w:rPr>
          <w:rFonts w:ascii="Times New Roman" w:hAnsi="Times New Roman" w:cs="Times New Roman"/>
          <w:szCs w:val="21"/>
          <w:highlight w:val="none"/>
        </w:rPr>
      </w:pPr>
      <w:r>
        <w:rPr>
          <w:rFonts w:ascii="Times New Roman" w:hAnsi="Times New Roman" w:cs="Times New Roman"/>
          <w:szCs w:val="21"/>
          <w:highlight w:val="none"/>
        </w:rPr>
        <w:t>日期：</w:t>
      </w:r>
      <w:r>
        <w:rPr>
          <w:rFonts w:ascii="Times New Roman" w:hAnsi="Times New Roman" w:cs="Times New Roman"/>
          <w:szCs w:val="21"/>
          <w:highlight w:val="none"/>
          <w:u w:val="single"/>
        </w:rPr>
        <w:t>_____________________________________</w:t>
      </w:r>
      <w:r>
        <w:rPr>
          <w:rFonts w:ascii="Times New Roman" w:hAnsi="Times New Roman" w:cs="Times New Roman"/>
          <w:szCs w:val="21"/>
          <w:highlight w:val="none"/>
        </w:rPr>
        <w:t xml:space="preserve"> </w:t>
      </w:r>
    </w:p>
    <w:p>
      <w:pPr>
        <w:spacing w:line="240" w:lineRule="auto"/>
        <w:ind w:left="424" w:leftChars="202" w:firstLine="420"/>
        <w:jc w:val="left"/>
        <w:rPr>
          <w:rFonts w:ascii="Times New Roman" w:hAnsi="Times New Roman" w:cs="Times New Roman"/>
          <w:szCs w:val="21"/>
          <w:highlight w:val="none"/>
        </w:rPr>
      </w:pPr>
      <w:r>
        <w:rPr>
          <w:rFonts w:ascii="Times New Roman" w:hAnsi="Times New Roman" w:cs="Times New Roman"/>
          <w:szCs w:val="21"/>
          <w:highlight w:val="none"/>
        </w:rPr>
        <w:t>企业2名称（盖章）：</w:t>
      </w:r>
      <w:r>
        <w:rPr>
          <w:rFonts w:ascii="Times New Roman" w:hAnsi="Times New Roman" w:cs="Times New Roman"/>
          <w:szCs w:val="21"/>
          <w:highlight w:val="none"/>
          <w:u w:val="single"/>
        </w:rPr>
        <w:t>_______________________</w:t>
      </w:r>
    </w:p>
    <w:p>
      <w:pPr>
        <w:tabs>
          <w:tab w:val="clear" w:pos="426"/>
        </w:tabs>
        <w:spacing w:line="240" w:lineRule="auto"/>
        <w:ind w:left="424" w:leftChars="202" w:firstLine="420"/>
        <w:rPr>
          <w:rFonts w:ascii="Times New Roman" w:hAnsi="Times New Roman" w:cs="Times New Roman"/>
          <w:szCs w:val="21"/>
          <w:highlight w:val="none"/>
        </w:rPr>
      </w:pPr>
      <w:r>
        <w:rPr>
          <w:rFonts w:ascii="Times New Roman" w:hAnsi="Times New Roman" w:cs="Times New Roman"/>
          <w:szCs w:val="21"/>
          <w:highlight w:val="none"/>
        </w:rPr>
        <w:t>日期：</w:t>
      </w:r>
      <w:r>
        <w:rPr>
          <w:rFonts w:ascii="Times New Roman" w:hAnsi="Times New Roman" w:cs="Times New Roman"/>
          <w:szCs w:val="21"/>
          <w:highlight w:val="none"/>
          <w:u w:val="single"/>
        </w:rPr>
        <w:t>_____________________________________</w:t>
      </w:r>
    </w:p>
    <w:p>
      <w:pPr>
        <w:rPr>
          <w:rFonts w:hint="eastAsia"/>
          <w:szCs w:val="21"/>
          <w:highlight w:val="none"/>
        </w:rPr>
      </w:pPr>
      <w:r>
        <w:rPr>
          <w:rFonts w:hint="eastAsia"/>
          <w:szCs w:val="21"/>
          <w:highlight w:val="none"/>
        </w:rPr>
        <w:br w:type="page"/>
      </w:r>
    </w:p>
    <w:p>
      <w:pPr>
        <w:adjustRightInd/>
        <w:snapToGrid/>
        <w:spacing w:before="280" w:after="290" w:line="377" w:lineRule="auto"/>
        <w:outlineLvl w:val="2"/>
        <w:rPr>
          <w:rFonts w:hint="eastAsia"/>
          <w:b/>
          <w:sz w:val="24"/>
          <w:highlight w:val="none"/>
        </w:rPr>
      </w:pPr>
      <w:bookmarkStart w:id="135" w:name="_Toc17528"/>
      <w:r>
        <w:rPr>
          <w:rFonts w:hint="eastAsia"/>
          <w:b/>
          <w:sz w:val="24"/>
          <w:highlight w:val="none"/>
        </w:rPr>
        <w:t>格式15：残疾人福利性单位声明函</w:t>
      </w:r>
      <w:bookmarkEnd w:id="135"/>
    </w:p>
    <w:p>
      <w:pPr>
        <w:tabs>
          <w:tab w:val="clear" w:pos="426"/>
        </w:tabs>
        <w:spacing w:line="240" w:lineRule="auto"/>
        <w:ind w:left="-2" w:leftChars="-1" w:firstLine="420" w:firstLineChars="200"/>
        <w:rPr>
          <w:rFonts w:ascii="Times New Roman" w:hAnsi="Times New Roman" w:cs="Times New Roman"/>
          <w:bCs/>
          <w:szCs w:val="21"/>
          <w:highlight w:val="none"/>
        </w:rPr>
      </w:pPr>
      <w:r>
        <w:rPr>
          <w:rFonts w:hint="eastAsia" w:ascii="Times New Roman" w:hAnsi="Times New Roman" w:cs="Times New Roman"/>
          <w:bCs/>
          <w:szCs w:val="21"/>
          <w:highlight w:val="none"/>
        </w:rPr>
        <w:t>填写指引：声明是残疾人福利性单位须填写《残疾人福利性单位声明函》的三项内容（填写位置的字体已加粗），具体参照以上《中小企业声明函》填写要求执行。</w:t>
      </w:r>
    </w:p>
    <w:p>
      <w:pPr>
        <w:rPr>
          <w:rFonts w:hint="eastAsia"/>
          <w:highlight w:val="none"/>
        </w:rPr>
      </w:pPr>
    </w:p>
    <w:p>
      <w:pPr>
        <w:spacing w:line="240" w:lineRule="auto"/>
        <w:ind w:firstLine="643" w:firstLineChars="200"/>
        <w:jc w:val="center"/>
        <w:rPr>
          <w:rFonts w:ascii="Times New Roman" w:hAnsi="Times New Roman" w:cs="Times New Roman"/>
          <w:b/>
          <w:sz w:val="32"/>
          <w:szCs w:val="32"/>
          <w:highlight w:val="none"/>
        </w:rPr>
      </w:pPr>
      <w:r>
        <w:rPr>
          <w:rFonts w:ascii="Times New Roman" w:hAnsi="Times New Roman" w:cs="Times New Roman"/>
          <w:b/>
          <w:sz w:val="32"/>
          <w:szCs w:val="32"/>
          <w:highlight w:val="none"/>
        </w:rPr>
        <w:t>残疾人福利性单位声明函（样表）</w:t>
      </w:r>
    </w:p>
    <w:p>
      <w:pPr>
        <w:spacing w:line="240" w:lineRule="auto"/>
        <w:ind w:firstLine="420" w:firstLineChars="200"/>
        <w:rPr>
          <w:rFonts w:ascii="Times New Roman" w:hAnsi="Times New Roman" w:cs="Times New Roman"/>
          <w:szCs w:val="21"/>
          <w:highlight w:val="none"/>
        </w:rPr>
      </w:pPr>
    </w:p>
    <w:p>
      <w:pPr>
        <w:spacing w:line="24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本单位郑重声明，根据《财政部民政部中国残疾人联合会关于促进残疾人就业政府采购政策的通知》（财库〔2017〕141</w:t>
      </w:r>
      <w:r>
        <w:rPr>
          <w:rFonts w:ascii="Times New Roman" w:hAnsi="Times New Roman" w:cs="Times New Roman"/>
          <w:szCs w:val="21"/>
          <w:highlight w:val="none"/>
          <w:u w:val="single"/>
        </w:rPr>
        <w:t>_</w:t>
      </w:r>
      <w:r>
        <w:rPr>
          <w:rFonts w:ascii="Times New Roman" w:hAnsi="Times New Roman" w:cs="Times New Roman"/>
          <w:szCs w:val="21"/>
          <w:highlight w:val="none"/>
        </w:rPr>
        <w:t>号）的规定，本单位为符合条件的残疾人福利性单位，且本单位参加</w:t>
      </w:r>
      <w:r>
        <w:rPr>
          <w:rFonts w:ascii="Times New Roman" w:hAnsi="Times New Roman" w:cs="Times New Roman"/>
          <w:b/>
          <w:bCs/>
          <w:szCs w:val="21"/>
          <w:highlight w:val="none"/>
          <w:u w:val="single"/>
        </w:rPr>
        <w:t>（采购单位名称）</w:t>
      </w:r>
      <w:r>
        <w:rPr>
          <w:rFonts w:ascii="Times New Roman" w:hAnsi="Times New Roman" w:cs="Times New Roman"/>
          <w:szCs w:val="21"/>
          <w:highlight w:val="none"/>
        </w:rPr>
        <w:t>单位的</w:t>
      </w:r>
      <w:r>
        <w:rPr>
          <w:rFonts w:ascii="Times New Roman" w:hAnsi="Times New Roman" w:cs="Times New Roman"/>
          <w:b/>
          <w:bCs/>
          <w:szCs w:val="21"/>
          <w:highlight w:val="none"/>
          <w:u w:val="single"/>
        </w:rPr>
        <w:t>（采购项目名称）</w:t>
      </w:r>
      <w:r>
        <w:rPr>
          <w:rFonts w:ascii="Times New Roman" w:hAnsi="Times New Roman" w:cs="Times New Roman"/>
          <w:szCs w:val="21"/>
          <w:highlight w:val="none"/>
        </w:rPr>
        <w:t>项目采购活动，并提供:</w:t>
      </w:r>
      <w:r>
        <w:rPr>
          <w:rFonts w:ascii="Times New Roman" w:hAnsi="Times New Roman" w:cs="Times New Roman"/>
          <w:b/>
          <w:bCs/>
          <w:szCs w:val="21"/>
          <w:highlight w:val="none"/>
        </w:rPr>
        <w:t>□本单位制造的货物</w:t>
      </w:r>
      <w:r>
        <w:rPr>
          <w:rFonts w:ascii="Times New Roman" w:hAnsi="Times New Roman" w:cs="Times New Roman"/>
          <w:szCs w:val="21"/>
          <w:highlight w:val="none"/>
        </w:rPr>
        <w:t>;□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本单位对上述声明的真实性负责。如有虚假，将依法承担相应责任。</w:t>
      </w:r>
    </w:p>
    <w:p>
      <w:pPr>
        <w:spacing w:line="240" w:lineRule="auto"/>
        <w:ind w:firstLine="420" w:firstLineChars="200"/>
        <w:jc w:val="right"/>
        <w:rPr>
          <w:rFonts w:ascii="Times New Roman" w:hAnsi="Times New Roman" w:cs="Times New Roman"/>
          <w:szCs w:val="21"/>
          <w:highlight w:val="none"/>
        </w:rPr>
      </w:pPr>
      <w:r>
        <w:rPr>
          <w:rFonts w:ascii="Times New Roman" w:hAnsi="Times New Roman" w:cs="Times New Roman"/>
          <w:szCs w:val="21"/>
          <w:highlight w:val="none"/>
        </w:rPr>
        <w:t>单位名称（盖章）：</w:t>
      </w:r>
      <w:r>
        <w:rPr>
          <w:rFonts w:ascii="Times New Roman" w:hAnsi="Times New Roman" w:cs="Times New Roman"/>
          <w:szCs w:val="21"/>
          <w:highlight w:val="none"/>
          <w:u w:val="single"/>
        </w:rPr>
        <w:t>__________________</w:t>
      </w:r>
    </w:p>
    <w:p>
      <w:pPr>
        <w:spacing w:line="240" w:lineRule="auto"/>
        <w:ind w:firstLine="420" w:firstLineChars="200"/>
        <w:jc w:val="right"/>
        <w:rPr>
          <w:rFonts w:ascii="Times New Roman" w:hAnsi="Times New Roman" w:cs="Times New Roman"/>
          <w:szCs w:val="21"/>
          <w:highlight w:val="none"/>
        </w:rPr>
      </w:pPr>
      <w:r>
        <w:rPr>
          <w:rFonts w:ascii="Times New Roman" w:hAnsi="Times New Roman" w:cs="Times New Roman"/>
          <w:szCs w:val="21"/>
          <w:highlight w:val="none"/>
        </w:rPr>
        <w:t>日期：</w:t>
      </w:r>
      <w:r>
        <w:rPr>
          <w:rFonts w:ascii="Times New Roman" w:hAnsi="Times New Roman" w:cs="Times New Roman"/>
          <w:szCs w:val="21"/>
          <w:highlight w:val="none"/>
          <w:u w:val="single"/>
        </w:rPr>
        <w:t>_________________</w:t>
      </w:r>
    </w:p>
    <w:p>
      <w:pPr>
        <w:tabs>
          <w:tab w:val="clear" w:pos="426"/>
        </w:tabs>
        <w:spacing w:line="440" w:lineRule="exact"/>
        <w:rPr>
          <w:rFonts w:hint="eastAsia"/>
          <w:b/>
          <w:bCs/>
          <w:highlight w:val="none"/>
        </w:rPr>
      </w:pPr>
    </w:p>
    <w:p>
      <w:pPr>
        <w:shd w:val="clear" w:color="auto" w:fill="auto"/>
        <w:tabs>
          <w:tab w:val="clear" w:pos="426"/>
        </w:tabs>
        <w:adjustRightInd/>
        <w:snapToGrid/>
        <w:spacing w:line="240" w:lineRule="auto"/>
        <w:jc w:val="left"/>
        <w:rPr>
          <w:rFonts w:hint="eastAsia"/>
          <w:b/>
          <w:bCs/>
          <w:highlight w:val="none"/>
        </w:rPr>
      </w:pPr>
      <w:r>
        <w:rPr>
          <w:rFonts w:hint="eastAsia"/>
          <w:b/>
          <w:bCs/>
          <w:highlight w:val="none"/>
        </w:rPr>
        <w:br w:type="page"/>
      </w:r>
    </w:p>
    <w:p>
      <w:pPr>
        <w:adjustRightInd/>
        <w:snapToGrid/>
        <w:spacing w:before="280" w:after="290" w:line="377" w:lineRule="auto"/>
        <w:outlineLvl w:val="2"/>
        <w:rPr>
          <w:rFonts w:hint="eastAsia"/>
          <w:b/>
          <w:sz w:val="24"/>
          <w:highlight w:val="none"/>
        </w:rPr>
      </w:pPr>
      <w:bookmarkStart w:id="136" w:name="_Toc14001"/>
      <w:r>
        <w:rPr>
          <w:rFonts w:hint="eastAsia"/>
          <w:b/>
          <w:sz w:val="24"/>
          <w:highlight w:val="none"/>
        </w:rPr>
        <w:t>格式16：同类项目业绩情况</w:t>
      </w:r>
      <w:bookmarkEnd w:id="136"/>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3"/>
        <w:gridCol w:w="2021"/>
        <w:gridCol w:w="1487"/>
        <w:gridCol w:w="1487"/>
        <w:gridCol w:w="1488"/>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 w:type="dxa"/>
            <w:vAlign w:val="center"/>
          </w:tcPr>
          <w:p>
            <w:pPr>
              <w:widowControl w:val="0"/>
              <w:shd w:val="clear" w:color="auto" w:fill="auto"/>
              <w:tabs>
                <w:tab w:val="clear" w:pos="426"/>
              </w:tabs>
              <w:spacing w:line="240" w:lineRule="auto"/>
              <w:jc w:val="center"/>
              <w:rPr>
                <w:rFonts w:hint="eastAsia"/>
                <w:b/>
                <w:bCs/>
                <w:highlight w:val="none"/>
              </w:rPr>
            </w:pPr>
            <w:r>
              <w:rPr>
                <w:rFonts w:hint="eastAsia"/>
                <w:b/>
                <w:bCs/>
                <w:highlight w:val="none"/>
              </w:rPr>
              <w:t>序号</w:t>
            </w:r>
          </w:p>
        </w:tc>
        <w:tc>
          <w:tcPr>
            <w:tcW w:w="2021" w:type="dxa"/>
            <w:vAlign w:val="center"/>
          </w:tcPr>
          <w:p>
            <w:pPr>
              <w:widowControl w:val="0"/>
              <w:shd w:val="clear" w:color="auto" w:fill="auto"/>
              <w:tabs>
                <w:tab w:val="clear" w:pos="426"/>
              </w:tabs>
              <w:spacing w:line="240" w:lineRule="auto"/>
              <w:jc w:val="center"/>
              <w:rPr>
                <w:rFonts w:hint="eastAsia"/>
                <w:b/>
                <w:bCs/>
                <w:highlight w:val="none"/>
              </w:rPr>
            </w:pPr>
            <w:r>
              <w:rPr>
                <w:rFonts w:hint="eastAsia"/>
                <w:b/>
                <w:bCs/>
                <w:highlight w:val="none"/>
              </w:rPr>
              <w:t>项目名称</w:t>
            </w:r>
          </w:p>
        </w:tc>
        <w:tc>
          <w:tcPr>
            <w:tcW w:w="1487" w:type="dxa"/>
            <w:vAlign w:val="center"/>
          </w:tcPr>
          <w:p>
            <w:pPr>
              <w:widowControl w:val="0"/>
              <w:shd w:val="clear" w:color="auto" w:fill="auto"/>
              <w:tabs>
                <w:tab w:val="clear" w:pos="426"/>
              </w:tabs>
              <w:spacing w:line="240" w:lineRule="auto"/>
              <w:jc w:val="center"/>
              <w:rPr>
                <w:rFonts w:hint="eastAsia"/>
                <w:b/>
                <w:bCs/>
                <w:highlight w:val="none"/>
              </w:rPr>
            </w:pPr>
            <w:r>
              <w:rPr>
                <w:rFonts w:hint="eastAsia"/>
                <w:b/>
                <w:bCs/>
                <w:highlight w:val="none"/>
              </w:rPr>
              <w:t>合同金额</w:t>
            </w:r>
          </w:p>
        </w:tc>
        <w:tc>
          <w:tcPr>
            <w:tcW w:w="1487" w:type="dxa"/>
            <w:vAlign w:val="center"/>
          </w:tcPr>
          <w:p>
            <w:pPr>
              <w:widowControl w:val="0"/>
              <w:shd w:val="clear" w:color="auto" w:fill="auto"/>
              <w:tabs>
                <w:tab w:val="clear" w:pos="426"/>
              </w:tabs>
              <w:spacing w:line="240" w:lineRule="auto"/>
              <w:jc w:val="center"/>
              <w:rPr>
                <w:rFonts w:hint="eastAsia"/>
                <w:b/>
                <w:bCs/>
                <w:highlight w:val="none"/>
              </w:rPr>
            </w:pPr>
            <w:r>
              <w:rPr>
                <w:rFonts w:hint="eastAsia"/>
                <w:b/>
                <w:bCs/>
                <w:highlight w:val="none"/>
              </w:rPr>
              <w:t>签约日期</w:t>
            </w:r>
          </w:p>
        </w:tc>
        <w:tc>
          <w:tcPr>
            <w:tcW w:w="1488" w:type="dxa"/>
            <w:vAlign w:val="center"/>
          </w:tcPr>
          <w:p>
            <w:pPr>
              <w:widowControl w:val="0"/>
              <w:shd w:val="clear" w:color="auto" w:fill="auto"/>
              <w:tabs>
                <w:tab w:val="clear" w:pos="426"/>
              </w:tabs>
              <w:spacing w:line="240" w:lineRule="auto"/>
              <w:jc w:val="center"/>
              <w:rPr>
                <w:rFonts w:hint="eastAsia"/>
                <w:b/>
                <w:bCs/>
                <w:highlight w:val="none"/>
              </w:rPr>
            </w:pPr>
            <w:r>
              <w:rPr>
                <w:rFonts w:hint="eastAsia"/>
                <w:b/>
                <w:bCs/>
                <w:highlight w:val="none"/>
              </w:rPr>
              <w:t>完工验收结果</w:t>
            </w:r>
          </w:p>
        </w:tc>
        <w:tc>
          <w:tcPr>
            <w:tcW w:w="1488" w:type="dxa"/>
            <w:vAlign w:val="center"/>
          </w:tcPr>
          <w:p>
            <w:pPr>
              <w:widowControl w:val="0"/>
              <w:shd w:val="clear" w:color="auto" w:fill="auto"/>
              <w:tabs>
                <w:tab w:val="clear" w:pos="426"/>
              </w:tabs>
              <w:spacing w:line="240" w:lineRule="auto"/>
              <w:jc w:val="center"/>
              <w:rPr>
                <w:rFonts w:hint="eastAsia"/>
                <w:b/>
                <w:bCs/>
                <w:highlight w:val="none"/>
              </w:rPr>
            </w:pPr>
            <w:r>
              <w:rPr>
                <w:rFonts w:hint="eastAsia"/>
                <w:b/>
                <w:bCs/>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 w:type="dxa"/>
            <w:vAlign w:val="center"/>
          </w:tcPr>
          <w:p>
            <w:pPr>
              <w:widowControl w:val="0"/>
              <w:shd w:val="clear" w:color="auto" w:fill="auto"/>
              <w:tabs>
                <w:tab w:val="clear" w:pos="426"/>
              </w:tabs>
              <w:spacing w:line="240" w:lineRule="auto"/>
              <w:jc w:val="center"/>
              <w:rPr>
                <w:rFonts w:hint="eastAsia"/>
                <w:b/>
                <w:bCs/>
                <w:highlight w:val="none"/>
              </w:rPr>
            </w:pPr>
            <w:r>
              <w:rPr>
                <w:rFonts w:hint="eastAsia"/>
                <w:b/>
                <w:bCs/>
                <w:highlight w:val="none"/>
              </w:rPr>
              <w:t>1</w:t>
            </w:r>
          </w:p>
        </w:tc>
        <w:tc>
          <w:tcPr>
            <w:tcW w:w="2021" w:type="dxa"/>
            <w:vAlign w:val="center"/>
          </w:tcPr>
          <w:p>
            <w:pPr>
              <w:widowControl w:val="0"/>
              <w:shd w:val="clear" w:color="auto" w:fill="auto"/>
              <w:tabs>
                <w:tab w:val="clear" w:pos="426"/>
              </w:tabs>
              <w:spacing w:line="240" w:lineRule="auto"/>
              <w:jc w:val="center"/>
              <w:rPr>
                <w:rFonts w:hint="eastAsia"/>
                <w:b/>
                <w:bCs/>
                <w:highlight w:val="none"/>
              </w:rPr>
            </w:pPr>
          </w:p>
        </w:tc>
        <w:tc>
          <w:tcPr>
            <w:tcW w:w="1487" w:type="dxa"/>
            <w:vAlign w:val="center"/>
          </w:tcPr>
          <w:p>
            <w:pPr>
              <w:widowControl w:val="0"/>
              <w:shd w:val="clear" w:color="auto" w:fill="auto"/>
              <w:tabs>
                <w:tab w:val="clear" w:pos="426"/>
              </w:tabs>
              <w:spacing w:line="240" w:lineRule="auto"/>
              <w:jc w:val="center"/>
              <w:rPr>
                <w:rFonts w:hint="eastAsia"/>
                <w:b/>
                <w:bCs/>
                <w:highlight w:val="none"/>
              </w:rPr>
            </w:pPr>
          </w:p>
        </w:tc>
        <w:tc>
          <w:tcPr>
            <w:tcW w:w="1487" w:type="dxa"/>
            <w:vAlign w:val="center"/>
          </w:tcPr>
          <w:p>
            <w:pPr>
              <w:widowControl w:val="0"/>
              <w:shd w:val="clear" w:color="auto" w:fill="auto"/>
              <w:tabs>
                <w:tab w:val="clear" w:pos="426"/>
              </w:tabs>
              <w:spacing w:line="240" w:lineRule="auto"/>
              <w:jc w:val="center"/>
              <w:rPr>
                <w:rFonts w:hint="eastAsia"/>
                <w:b/>
                <w:bCs/>
                <w:highlight w:val="none"/>
              </w:rPr>
            </w:pPr>
          </w:p>
        </w:tc>
        <w:tc>
          <w:tcPr>
            <w:tcW w:w="1488" w:type="dxa"/>
            <w:vAlign w:val="center"/>
          </w:tcPr>
          <w:p>
            <w:pPr>
              <w:widowControl w:val="0"/>
              <w:shd w:val="clear" w:color="auto" w:fill="auto"/>
              <w:tabs>
                <w:tab w:val="clear" w:pos="426"/>
              </w:tabs>
              <w:spacing w:line="240" w:lineRule="auto"/>
              <w:jc w:val="center"/>
              <w:rPr>
                <w:rFonts w:hint="eastAsia"/>
                <w:b/>
                <w:bCs/>
                <w:highlight w:val="none"/>
              </w:rPr>
            </w:pPr>
          </w:p>
        </w:tc>
        <w:tc>
          <w:tcPr>
            <w:tcW w:w="1488" w:type="dxa"/>
            <w:vAlign w:val="center"/>
          </w:tcPr>
          <w:p>
            <w:pPr>
              <w:widowControl w:val="0"/>
              <w:shd w:val="clear" w:color="auto" w:fill="auto"/>
              <w:tabs>
                <w:tab w:val="clear" w:pos="426"/>
              </w:tabs>
              <w:spacing w:line="240" w:lineRule="auto"/>
              <w:jc w:val="center"/>
              <w:rPr>
                <w:rFonts w:hint="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 w:type="dxa"/>
            <w:vAlign w:val="center"/>
          </w:tcPr>
          <w:p>
            <w:pPr>
              <w:widowControl w:val="0"/>
              <w:shd w:val="clear" w:color="auto" w:fill="auto"/>
              <w:tabs>
                <w:tab w:val="clear" w:pos="426"/>
              </w:tabs>
              <w:spacing w:line="240" w:lineRule="auto"/>
              <w:jc w:val="center"/>
              <w:rPr>
                <w:rFonts w:hint="eastAsia"/>
                <w:b/>
                <w:bCs/>
                <w:highlight w:val="none"/>
              </w:rPr>
            </w:pPr>
            <w:r>
              <w:rPr>
                <w:rFonts w:hint="eastAsia"/>
                <w:b/>
                <w:bCs/>
                <w:highlight w:val="none"/>
              </w:rPr>
              <w:t>2</w:t>
            </w:r>
          </w:p>
        </w:tc>
        <w:tc>
          <w:tcPr>
            <w:tcW w:w="2021" w:type="dxa"/>
            <w:vAlign w:val="center"/>
          </w:tcPr>
          <w:p>
            <w:pPr>
              <w:widowControl w:val="0"/>
              <w:shd w:val="clear" w:color="auto" w:fill="auto"/>
              <w:tabs>
                <w:tab w:val="clear" w:pos="426"/>
              </w:tabs>
              <w:spacing w:line="240" w:lineRule="auto"/>
              <w:jc w:val="center"/>
              <w:rPr>
                <w:rFonts w:hint="eastAsia"/>
                <w:b/>
                <w:bCs/>
                <w:highlight w:val="none"/>
              </w:rPr>
            </w:pPr>
          </w:p>
        </w:tc>
        <w:tc>
          <w:tcPr>
            <w:tcW w:w="1487" w:type="dxa"/>
            <w:vAlign w:val="center"/>
          </w:tcPr>
          <w:p>
            <w:pPr>
              <w:widowControl w:val="0"/>
              <w:shd w:val="clear" w:color="auto" w:fill="auto"/>
              <w:tabs>
                <w:tab w:val="clear" w:pos="426"/>
              </w:tabs>
              <w:spacing w:line="240" w:lineRule="auto"/>
              <w:jc w:val="center"/>
              <w:rPr>
                <w:rFonts w:hint="eastAsia"/>
                <w:b/>
                <w:bCs/>
                <w:highlight w:val="none"/>
              </w:rPr>
            </w:pPr>
          </w:p>
        </w:tc>
        <w:tc>
          <w:tcPr>
            <w:tcW w:w="1487" w:type="dxa"/>
            <w:vAlign w:val="center"/>
          </w:tcPr>
          <w:p>
            <w:pPr>
              <w:widowControl w:val="0"/>
              <w:shd w:val="clear" w:color="auto" w:fill="auto"/>
              <w:tabs>
                <w:tab w:val="clear" w:pos="426"/>
              </w:tabs>
              <w:spacing w:line="240" w:lineRule="auto"/>
              <w:jc w:val="center"/>
              <w:rPr>
                <w:rFonts w:hint="eastAsia"/>
                <w:b/>
                <w:bCs/>
                <w:highlight w:val="none"/>
              </w:rPr>
            </w:pPr>
          </w:p>
        </w:tc>
        <w:tc>
          <w:tcPr>
            <w:tcW w:w="1488" w:type="dxa"/>
            <w:vAlign w:val="center"/>
          </w:tcPr>
          <w:p>
            <w:pPr>
              <w:widowControl w:val="0"/>
              <w:shd w:val="clear" w:color="auto" w:fill="auto"/>
              <w:tabs>
                <w:tab w:val="clear" w:pos="426"/>
              </w:tabs>
              <w:spacing w:line="240" w:lineRule="auto"/>
              <w:jc w:val="center"/>
              <w:rPr>
                <w:rFonts w:hint="eastAsia"/>
                <w:b/>
                <w:bCs/>
                <w:highlight w:val="none"/>
              </w:rPr>
            </w:pPr>
          </w:p>
        </w:tc>
        <w:tc>
          <w:tcPr>
            <w:tcW w:w="1488" w:type="dxa"/>
            <w:vAlign w:val="center"/>
          </w:tcPr>
          <w:p>
            <w:pPr>
              <w:widowControl w:val="0"/>
              <w:shd w:val="clear" w:color="auto" w:fill="auto"/>
              <w:tabs>
                <w:tab w:val="clear" w:pos="426"/>
              </w:tabs>
              <w:spacing w:line="240" w:lineRule="auto"/>
              <w:jc w:val="center"/>
              <w:rPr>
                <w:rFonts w:hint="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 w:type="dxa"/>
            <w:vAlign w:val="center"/>
          </w:tcPr>
          <w:p>
            <w:pPr>
              <w:widowControl w:val="0"/>
              <w:shd w:val="clear" w:color="auto" w:fill="auto"/>
              <w:tabs>
                <w:tab w:val="clear" w:pos="426"/>
              </w:tabs>
              <w:spacing w:line="240" w:lineRule="auto"/>
              <w:jc w:val="center"/>
              <w:rPr>
                <w:rFonts w:hint="eastAsia"/>
                <w:b/>
                <w:bCs/>
                <w:highlight w:val="none"/>
              </w:rPr>
            </w:pPr>
            <w:r>
              <w:rPr>
                <w:rFonts w:hint="eastAsia"/>
                <w:b/>
                <w:bCs/>
                <w:highlight w:val="none"/>
              </w:rPr>
              <w:t>3</w:t>
            </w:r>
          </w:p>
        </w:tc>
        <w:tc>
          <w:tcPr>
            <w:tcW w:w="2021" w:type="dxa"/>
            <w:vAlign w:val="center"/>
          </w:tcPr>
          <w:p>
            <w:pPr>
              <w:widowControl w:val="0"/>
              <w:shd w:val="clear" w:color="auto" w:fill="auto"/>
              <w:tabs>
                <w:tab w:val="clear" w:pos="426"/>
              </w:tabs>
              <w:spacing w:line="240" w:lineRule="auto"/>
              <w:jc w:val="center"/>
              <w:rPr>
                <w:rFonts w:hint="eastAsia"/>
                <w:b/>
                <w:bCs/>
                <w:highlight w:val="none"/>
              </w:rPr>
            </w:pPr>
          </w:p>
        </w:tc>
        <w:tc>
          <w:tcPr>
            <w:tcW w:w="1487" w:type="dxa"/>
            <w:vAlign w:val="center"/>
          </w:tcPr>
          <w:p>
            <w:pPr>
              <w:widowControl w:val="0"/>
              <w:shd w:val="clear" w:color="auto" w:fill="auto"/>
              <w:tabs>
                <w:tab w:val="clear" w:pos="426"/>
              </w:tabs>
              <w:spacing w:line="240" w:lineRule="auto"/>
              <w:jc w:val="center"/>
              <w:rPr>
                <w:rFonts w:hint="eastAsia"/>
                <w:b/>
                <w:bCs/>
                <w:highlight w:val="none"/>
              </w:rPr>
            </w:pPr>
          </w:p>
        </w:tc>
        <w:tc>
          <w:tcPr>
            <w:tcW w:w="1487" w:type="dxa"/>
            <w:vAlign w:val="center"/>
          </w:tcPr>
          <w:p>
            <w:pPr>
              <w:widowControl w:val="0"/>
              <w:shd w:val="clear" w:color="auto" w:fill="auto"/>
              <w:tabs>
                <w:tab w:val="clear" w:pos="426"/>
              </w:tabs>
              <w:spacing w:line="240" w:lineRule="auto"/>
              <w:jc w:val="center"/>
              <w:rPr>
                <w:rFonts w:hint="eastAsia"/>
                <w:b/>
                <w:bCs/>
                <w:highlight w:val="none"/>
              </w:rPr>
            </w:pPr>
          </w:p>
        </w:tc>
        <w:tc>
          <w:tcPr>
            <w:tcW w:w="1488" w:type="dxa"/>
            <w:vAlign w:val="center"/>
          </w:tcPr>
          <w:p>
            <w:pPr>
              <w:widowControl w:val="0"/>
              <w:shd w:val="clear" w:color="auto" w:fill="auto"/>
              <w:tabs>
                <w:tab w:val="clear" w:pos="426"/>
              </w:tabs>
              <w:spacing w:line="240" w:lineRule="auto"/>
              <w:jc w:val="center"/>
              <w:rPr>
                <w:rFonts w:hint="eastAsia"/>
                <w:b/>
                <w:bCs/>
                <w:highlight w:val="none"/>
              </w:rPr>
            </w:pPr>
          </w:p>
        </w:tc>
        <w:tc>
          <w:tcPr>
            <w:tcW w:w="1488" w:type="dxa"/>
            <w:vAlign w:val="center"/>
          </w:tcPr>
          <w:p>
            <w:pPr>
              <w:widowControl w:val="0"/>
              <w:shd w:val="clear" w:color="auto" w:fill="auto"/>
              <w:tabs>
                <w:tab w:val="clear" w:pos="426"/>
              </w:tabs>
              <w:spacing w:line="240" w:lineRule="auto"/>
              <w:jc w:val="center"/>
              <w:rPr>
                <w:rFonts w:hint="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 w:type="dxa"/>
            <w:vAlign w:val="center"/>
          </w:tcPr>
          <w:p>
            <w:pPr>
              <w:widowControl w:val="0"/>
              <w:shd w:val="clear" w:color="auto" w:fill="auto"/>
              <w:tabs>
                <w:tab w:val="clear" w:pos="426"/>
              </w:tabs>
              <w:spacing w:line="240" w:lineRule="auto"/>
              <w:jc w:val="center"/>
              <w:rPr>
                <w:rFonts w:hint="eastAsia"/>
                <w:b/>
                <w:bCs/>
                <w:highlight w:val="none"/>
              </w:rPr>
            </w:pPr>
            <w:r>
              <w:rPr>
                <w:b/>
                <w:bCs/>
                <w:highlight w:val="none"/>
              </w:rPr>
              <w:t>……</w:t>
            </w:r>
          </w:p>
        </w:tc>
        <w:tc>
          <w:tcPr>
            <w:tcW w:w="2021" w:type="dxa"/>
            <w:vAlign w:val="center"/>
          </w:tcPr>
          <w:p>
            <w:pPr>
              <w:widowControl w:val="0"/>
              <w:shd w:val="clear" w:color="auto" w:fill="auto"/>
              <w:tabs>
                <w:tab w:val="clear" w:pos="426"/>
              </w:tabs>
              <w:spacing w:line="240" w:lineRule="auto"/>
              <w:jc w:val="center"/>
              <w:rPr>
                <w:rFonts w:hint="eastAsia"/>
                <w:b/>
                <w:bCs/>
                <w:highlight w:val="none"/>
              </w:rPr>
            </w:pPr>
          </w:p>
        </w:tc>
        <w:tc>
          <w:tcPr>
            <w:tcW w:w="1487" w:type="dxa"/>
            <w:vAlign w:val="center"/>
          </w:tcPr>
          <w:p>
            <w:pPr>
              <w:widowControl w:val="0"/>
              <w:shd w:val="clear" w:color="auto" w:fill="auto"/>
              <w:tabs>
                <w:tab w:val="clear" w:pos="426"/>
              </w:tabs>
              <w:spacing w:line="240" w:lineRule="auto"/>
              <w:jc w:val="center"/>
              <w:rPr>
                <w:rFonts w:hint="eastAsia"/>
                <w:b/>
                <w:bCs/>
                <w:highlight w:val="none"/>
              </w:rPr>
            </w:pPr>
          </w:p>
        </w:tc>
        <w:tc>
          <w:tcPr>
            <w:tcW w:w="1487" w:type="dxa"/>
            <w:vAlign w:val="center"/>
          </w:tcPr>
          <w:p>
            <w:pPr>
              <w:widowControl w:val="0"/>
              <w:shd w:val="clear" w:color="auto" w:fill="auto"/>
              <w:tabs>
                <w:tab w:val="clear" w:pos="426"/>
              </w:tabs>
              <w:spacing w:line="240" w:lineRule="auto"/>
              <w:jc w:val="center"/>
              <w:rPr>
                <w:rFonts w:hint="eastAsia"/>
                <w:b/>
                <w:bCs/>
                <w:highlight w:val="none"/>
              </w:rPr>
            </w:pPr>
          </w:p>
        </w:tc>
        <w:tc>
          <w:tcPr>
            <w:tcW w:w="1488" w:type="dxa"/>
            <w:vAlign w:val="center"/>
          </w:tcPr>
          <w:p>
            <w:pPr>
              <w:widowControl w:val="0"/>
              <w:shd w:val="clear" w:color="auto" w:fill="auto"/>
              <w:tabs>
                <w:tab w:val="clear" w:pos="426"/>
              </w:tabs>
              <w:spacing w:line="240" w:lineRule="auto"/>
              <w:jc w:val="center"/>
              <w:rPr>
                <w:rFonts w:hint="eastAsia"/>
                <w:b/>
                <w:bCs/>
                <w:highlight w:val="none"/>
              </w:rPr>
            </w:pPr>
          </w:p>
        </w:tc>
        <w:tc>
          <w:tcPr>
            <w:tcW w:w="1488" w:type="dxa"/>
            <w:vAlign w:val="center"/>
          </w:tcPr>
          <w:p>
            <w:pPr>
              <w:widowControl w:val="0"/>
              <w:shd w:val="clear" w:color="auto" w:fill="auto"/>
              <w:tabs>
                <w:tab w:val="clear" w:pos="426"/>
              </w:tabs>
              <w:spacing w:line="240" w:lineRule="auto"/>
              <w:jc w:val="center"/>
              <w:rPr>
                <w:rFonts w:hint="eastAsia"/>
                <w:b/>
                <w:bCs/>
                <w:highlight w:val="none"/>
              </w:rPr>
            </w:pPr>
          </w:p>
        </w:tc>
      </w:tr>
    </w:tbl>
    <w:p>
      <w:pPr>
        <w:tabs>
          <w:tab w:val="clear" w:pos="426"/>
        </w:tabs>
        <w:spacing w:line="440" w:lineRule="exact"/>
        <w:rPr>
          <w:rFonts w:hint="eastAsia"/>
          <w:b/>
          <w:bCs/>
          <w:highlight w:val="none"/>
        </w:rPr>
      </w:pPr>
      <w:r>
        <w:rPr>
          <w:rFonts w:hint="eastAsia"/>
          <w:b/>
          <w:bCs/>
          <w:highlight w:val="none"/>
        </w:rPr>
        <w:t>备注：1.以上表格格式可根据评审表的要求调整，业绩证明材料及其他相关资料附后。</w:t>
      </w:r>
    </w:p>
    <w:p>
      <w:pPr>
        <w:shd w:val="clear" w:color="auto" w:fill="auto"/>
        <w:tabs>
          <w:tab w:val="clear" w:pos="426"/>
        </w:tabs>
        <w:adjustRightInd/>
        <w:snapToGrid/>
        <w:spacing w:line="240" w:lineRule="auto"/>
        <w:jc w:val="left"/>
        <w:rPr>
          <w:rFonts w:hint="eastAsia"/>
          <w:b/>
          <w:bCs/>
          <w:highlight w:val="none"/>
        </w:rPr>
      </w:pPr>
      <w:r>
        <w:rPr>
          <w:rFonts w:hint="eastAsia"/>
          <w:b/>
          <w:bCs/>
          <w:highlight w:val="none"/>
        </w:rPr>
        <w:br w:type="page"/>
      </w:r>
    </w:p>
    <w:p>
      <w:pPr>
        <w:adjustRightInd/>
        <w:snapToGrid/>
        <w:spacing w:before="280" w:after="290" w:line="377" w:lineRule="auto"/>
        <w:outlineLvl w:val="2"/>
        <w:rPr>
          <w:rFonts w:hint="eastAsia"/>
          <w:b/>
          <w:sz w:val="24"/>
          <w:highlight w:val="none"/>
        </w:rPr>
      </w:pPr>
      <w:bookmarkStart w:id="137" w:name="_Toc27416"/>
      <w:r>
        <w:rPr>
          <w:rFonts w:hint="eastAsia"/>
          <w:b/>
          <w:sz w:val="24"/>
          <w:highlight w:val="none"/>
        </w:rPr>
        <w:t>格式17：相关认证情况</w:t>
      </w:r>
      <w:bookmarkEnd w:id="137"/>
    </w:p>
    <w:p>
      <w:pPr>
        <w:tabs>
          <w:tab w:val="clear" w:pos="426"/>
        </w:tabs>
        <w:spacing w:line="440" w:lineRule="exact"/>
        <w:rPr>
          <w:rFonts w:hint="eastAsia"/>
          <w:b/>
          <w:bCs/>
          <w:highlight w:val="none"/>
        </w:rPr>
      </w:pPr>
    </w:p>
    <w:p>
      <w:pPr>
        <w:tabs>
          <w:tab w:val="clear" w:pos="426"/>
        </w:tabs>
        <w:spacing w:line="440" w:lineRule="exact"/>
        <w:rPr>
          <w:rFonts w:hint="eastAsia"/>
          <w:b/>
          <w:szCs w:val="21"/>
          <w:highlight w:val="none"/>
        </w:rPr>
      </w:pPr>
      <w:r>
        <w:rPr>
          <w:rFonts w:hint="eastAsia"/>
          <w:b/>
          <w:bCs/>
          <w:highlight w:val="none"/>
        </w:rPr>
        <w:t>备注：以上节点请</w:t>
      </w:r>
      <w:r>
        <w:rPr>
          <w:rFonts w:hint="eastAsia"/>
          <w:b/>
          <w:szCs w:val="21"/>
          <w:highlight w:val="none"/>
        </w:rPr>
        <w:t>根据评审表的要求提交相应资料，格式自拟。</w:t>
      </w:r>
      <w:bookmarkEnd w:id="92"/>
      <w:bookmarkEnd w:id="93"/>
      <w:bookmarkEnd w:id="94"/>
      <w:bookmarkEnd w:id="95"/>
    </w:p>
    <w:p>
      <w:pPr>
        <w:pStyle w:val="81"/>
        <w:tabs>
          <w:tab w:val="clear" w:pos="426"/>
        </w:tabs>
        <w:rPr>
          <w:highlight w:val="none"/>
        </w:rPr>
      </w:pPr>
      <w:r>
        <w:rPr>
          <w:highlight w:val="none"/>
        </w:rPr>
        <w:br w:type="page"/>
      </w:r>
      <w:bookmarkStart w:id="138" w:name="_Toc530152521"/>
      <w:bookmarkStart w:id="139" w:name="_Toc14427253"/>
      <w:bookmarkStart w:id="140" w:name="_Toc25882"/>
      <w:r>
        <w:rPr>
          <w:rFonts w:hint="eastAsia"/>
          <w:highlight w:val="none"/>
        </w:rPr>
        <w:t>招标文件第二册（通用</w:t>
      </w:r>
      <w:bookmarkEnd w:id="138"/>
      <w:bookmarkEnd w:id="139"/>
      <w:r>
        <w:rPr>
          <w:rFonts w:hint="eastAsia"/>
          <w:highlight w:val="none"/>
        </w:rPr>
        <w:t>部分）</w:t>
      </w:r>
      <w:bookmarkEnd w:id="140"/>
    </w:p>
    <w:p>
      <w:pPr>
        <w:jc w:val="center"/>
        <w:rPr>
          <w:rFonts w:hint="eastAsia"/>
          <w:b/>
          <w:highlight w:val="none"/>
        </w:rPr>
      </w:pPr>
      <w:r>
        <w:rPr>
          <w:rFonts w:hint="eastAsia"/>
          <w:b/>
          <w:highlight w:val="none"/>
        </w:rPr>
        <w:t>（投标供应商须知）</w:t>
      </w:r>
    </w:p>
    <w:p>
      <w:pPr>
        <w:pStyle w:val="5"/>
        <w:rPr>
          <w:rFonts w:hint="eastAsia"/>
          <w:highlight w:val="none"/>
        </w:rPr>
      </w:pPr>
      <w:bookmarkStart w:id="141" w:name="_Toc14427254"/>
      <w:bookmarkStart w:id="142" w:name="_Toc529280581"/>
      <w:bookmarkStart w:id="143" w:name="_Toc530152522"/>
      <w:bookmarkStart w:id="144" w:name="_Toc18466"/>
      <w:r>
        <w:rPr>
          <w:rFonts w:hint="eastAsia"/>
          <w:highlight w:val="none"/>
        </w:rPr>
        <w:t>第一章 总则</w:t>
      </w:r>
      <w:bookmarkEnd w:id="141"/>
      <w:bookmarkEnd w:id="142"/>
      <w:bookmarkEnd w:id="143"/>
      <w:bookmarkEnd w:id="144"/>
    </w:p>
    <w:p>
      <w:pPr>
        <w:tabs>
          <w:tab w:val="clear" w:pos="426"/>
        </w:tabs>
        <w:rPr>
          <w:rFonts w:hint="eastAsia"/>
          <w:highlight w:val="none"/>
        </w:rPr>
      </w:pPr>
      <w:r>
        <w:rPr>
          <w:rFonts w:hint="eastAsia"/>
          <w:highlight w:val="none"/>
        </w:rPr>
        <w:t>1.通用条款说明</w:t>
      </w:r>
    </w:p>
    <w:p>
      <w:pPr>
        <w:tabs>
          <w:tab w:val="clear" w:pos="426"/>
        </w:tabs>
        <w:rPr>
          <w:rFonts w:hint="eastAsia"/>
          <w:highlight w:val="none"/>
        </w:rPr>
      </w:pPr>
      <w:r>
        <w:rPr>
          <w:rFonts w:hint="eastAsia"/>
          <w:highlight w:val="none"/>
        </w:rPr>
        <w:t>1.1采购代理机构发出招标文件通用条款版本，列出采购项目进行招标采购所适用的通用条款内容。如有需要，采购代理机构可以对这些条款增加附录或补充内容。</w:t>
      </w:r>
    </w:p>
    <w:p>
      <w:pPr>
        <w:tabs>
          <w:tab w:val="clear" w:pos="426"/>
        </w:tabs>
        <w:rPr>
          <w:rFonts w:hint="eastAsia"/>
          <w:highlight w:val="none"/>
        </w:rPr>
      </w:pPr>
      <w:r>
        <w:rPr>
          <w:rFonts w:hint="eastAsia"/>
          <w:highlight w:val="none"/>
        </w:rPr>
        <w:t>2</w:t>
      </w:r>
      <w:r>
        <w:rPr>
          <w:highlight w:val="none"/>
        </w:rPr>
        <w:t>．</w:t>
      </w:r>
      <w:r>
        <w:rPr>
          <w:rFonts w:hint="eastAsia"/>
          <w:highlight w:val="none"/>
        </w:rPr>
        <w:t>招标说明</w:t>
      </w:r>
    </w:p>
    <w:p>
      <w:pPr>
        <w:tabs>
          <w:tab w:val="clear" w:pos="426"/>
        </w:tabs>
        <w:rPr>
          <w:rFonts w:hint="eastAsia"/>
          <w:szCs w:val="21"/>
          <w:highlight w:val="none"/>
        </w:rPr>
      </w:pPr>
      <w:r>
        <w:rPr>
          <w:rFonts w:hint="eastAsia"/>
          <w:highlight w:val="none"/>
        </w:rPr>
        <w:t>本项目按照《中华人民共和国政府采购法》《中华人民共和国政府采购法实施条例》的规定，并参考有关法规、政策、规章、规定通过招标择优选定供应商。</w:t>
      </w:r>
      <w:r>
        <w:rPr>
          <w:rFonts w:hint="eastAsia"/>
          <w:szCs w:val="21"/>
          <w:highlight w:val="none"/>
        </w:rPr>
        <w:t>本招标文件适用于采购公告中所述项目的政府采购。</w:t>
      </w:r>
    </w:p>
    <w:p>
      <w:pPr>
        <w:tabs>
          <w:tab w:val="clear" w:pos="426"/>
        </w:tabs>
        <w:rPr>
          <w:rFonts w:hint="eastAsia"/>
          <w:szCs w:val="21"/>
          <w:highlight w:val="none"/>
        </w:rPr>
      </w:pPr>
      <w:r>
        <w:rPr>
          <w:rFonts w:hint="eastAsia"/>
          <w:szCs w:val="21"/>
          <w:highlight w:val="none"/>
        </w:rPr>
        <w:t>本招标文件的解释权归属深圳市深水水务咨询有限公司。</w:t>
      </w:r>
    </w:p>
    <w:p>
      <w:pPr>
        <w:tabs>
          <w:tab w:val="clear" w:pos="426"/>
        </w:tabs>
        <w:rPr>
          <w:rFonts w:hint="eastAsia"/>
          <w:highlight w:val="none"/>
        </w:rPr>
      </w:pPr>
      <w:r>
        <w:rPr>
          <w:highlight w:val="none"/>
        </w:rPr>
        <w:t>3．定义</w:t>
      </w:r>
    </w:p>
    <w:p>
      <w:pPr>
        <w:tabs>
          <w:tab w:val="clear" w:pos="426"/>
        </w:tabs>
        <w:rPr>
          <w:rFonts w:hint="eastAsia"/>
          <w:highlight w:val="none"/>
        </w:rPr>
      </w:pPr>
      <w:r>
        <w:rPr>
          <w:highlight w:val="none"/>
        </w:rPr>
        <w:t>招标文件中下列术语应解释为：</w:t>
      </w:r>
    </w:p>
    <w:p>
      <w:pPr>
        <w:tabs>
          <w:tab w:val="clear" w:pos="426"/>
        </w:tabs>
        <w:rPr>
          <w:rFonts w:hint="eastAsia"/>
          <w:highlight w:val="none"/>
        </w:rPr>
      </w:pPr>
      <w:r>
        <w:rPr>
          <w:szCs w:val="21"/>
          <w:highlight w:val="none"/>
        </w:rPr>
        <w:t>3.1</w:t>
      </w:r>
      <w:r>
        <w:rPr>
          <w:rFonts w:hint="eastAsia"/>
          <w:szCs w:val="21"/>
          <w:highlight w:val="none"/>
        </w:rPr>
        <w:t>“采购代理机构”</w:t>
      </w:r>
      <w:r>
        <w:rPr>
          <w:rFonts w:hint="eastAsia"/>
          <w:highlight w:val="none"/>
        </w:rPr>
        <w:t>系指政府设立的负责本级财政性资金的集中采购和招标组织工作的专门机构；本项目</w:t>
      </w:r>
      <w:r>
        <w:rPr>
          <w:highlight w:val="none"/>
        </w:rPr>
        <w:t>系指</w:t>
      </w:r>
      <w:r>
        <w:rPr>
          <w:rFonts w:hint="eastAsia"/>
          <w:highlight w:val="none"/>
        </w:rPr>
        <w:t>深圳市深水水务咨询有限公司；</w:t>
      </w:r>
    </w:p>
    <w:p>
      <w:pPr>
        <w:tabs>
          <w:tab w:val="clear" w:pos="426"/>
        </w:tabs>
        <w:rPr>
          <w:rFonts w:hint="eastAsia"/>
          <w:highlight w:val="none"/>
        </w:rPr>
      </w:pPr>
      <w:r>
        <w:rPr>
          <w:highlight w:val="none"/>
        </w:rPr>
        <w:t xml:space="preserve">3.2“采购人”或“采购单位”：系指利用财政性资金依法进行采购的国家机关、事业单位、团体组织； </w:t>
      </w:r>
    </w:p>
    <w:p>
      <w:pPr>
        <w:tabs>
          <w:tab w:val="clear" w:pos="426"/>
        </w:tabs>
        <w:rPr>
          <w:rFonts w:hint="eastAsia"/>
          <w:highlight w:val="none"/>
        </w:rPr>
      </w:pPr>
      <w:r>
        <w:rPr>
          <w:highlight w:val="none"/>
        </w:rPr>
        <w:t>3.3“投标供应商”或“投标方”，即供应商，是指参加投标竞争并愿意按照招标文件要求向采购人提供货物、工程或者服务的依法成立的法人、其他组织或者自然人；</w:t>
      </w:r>
    </w:p>
    <w:p>
      <w:pPr>
        <w:tabs>
          <w:tab w:val="clear" w:pos="426"/>
        </w:tabs>
        <w:rPr>
          <w:rFonts w:hint="eastAsia"/>
          <w:highlight w:val="none"/>
        </w:rPr>
      </w:pPr>
      <w:r>
        <w:rPr>
          <w:highlight w:val="none"/>
        </w:rPr>
        <w:t>3.4“评标委员会”和“谈判小组”是依据有关规定组建的专门负责本次招标其评标（谈判）工作的临时性机构；</w:t>
      </w:r>
    </w:p>
    <w:p>
      <w:pPr>
        <w:tabs>
          <w:tab w:val="clear" w:pos="426"/>
        </w:tabs>
        <w:rPr>
          <w:rFonts w:hint="eastAsia"/>
          <w:highlight w:val="none"/>
        </w:rPr>
      </w:pPr>
      <w:r>
        <w:rPr>
          <w:highlight w:val="none"/>
        </w:rPr>
        <w:t>3.5“日期”指</w:t>
      </w:r>
      <w:r>
        <w:rPr>
          <w:rFonts w:hint="eastAsia"/>
          <w:highlight w:val="none"/>
        </w:rPr>
        <w:t>公历日；</w:t>
      </w:r>
    </w:p>
    <w:p>
      <w:pPr>
        <w:tabs>
          <w:tab w:val="clear" w:pos="426"/>
        </w:tabs>
        <w:rPr>
          <w:rFonts w:hint="eastAsia"/>
          <w:highlight w:val="none"/>
        </w:rPr>
      </w:pPr>
      <w:r>
        <w:rPr>
          <w:highlight w:val="none"/>
        </w:rPr>
        <w:t>3.6“合同”指由本次招标所产生的合同或合约文件；</w:t>
      </w:r>
    </w:p>
    <w:p>
      <w:pPr>
        <w:tabs>
          <w:tab w:val="clear" w:pos="426"/>
        </w:tabs>
        <w:rPr>
          <w:rFonts w:hint="eastAsia"/>
          <w:highlight w:val="none"/>
        </w:rPr>
      </w:pPr>
      <w:r>
        <w:rPr>
          <w:highlight w:val="none"/>
        </w:rPr>
        <w:t>3.7招标文件中的标题或题名仅起引导作用，而不应视为对招标文件内容的理解和解释。</w:t>
      </w:r>
    </w:p>
    <w:p>
      <w:pPr>
        <w:tabs>
          <w:tab w:val="clear" w:pos="426"/>
        </w:tabs>
        <w:rPr>
          <w:rFonts w:hint="eastAsia"/>
          <w:highlight w:val="none"/>
        </w:rPr>
      </w:pPr>
      <w:r>
        <w:rPr>
          <w:highlight w:val="none"/>
        </w:rPr>
        <w:t>4.</w:t>
      </w:r>
      <w:r>
        <w:rPr>
          <w:rFonts w:hint="eastAsia"/>
          <w:highlight w:val="none"/>
        </w:rPr>
        <w:t>供应商责任</w:t>
      </w:r>
    </w:p>
    <w:p>
      <w:pPr>
        <w:tabs>
          <w:tab w:val="clear" w:pos="426"/>
        </w:tabs>
        <w:rPr>
          <w:rFonts w:hint="eastAsia"/>
          <w:highlight w:val="none"/>
        </w:rPr>
      </w:pPr>
      <w:r>
        <w:rPr>
          <w:highlight w:val="none"/>
        </w:rPr>
        <w:t>4.1欢迎诚信、有实力和有社会责任心的供应商参与采购事业。</w:t>
      </w:r>
    </w:p>
    <w:p>
      <w:pPr>
        <w:tabs>
          <w:tab w:val="clear" w:pos="426"/>
        </w:tabs>
        <w:rPr>
          <w:rFonts w:hint="eastAsia"/>
          <w:highlight w:val="none"/>
        </w:rPr>
      </w:pPr>
      <w:r>
        <w:rPr>
          <w:highlight w:val="none"/>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相关监督管理部门给予一定年限内禁止参加采购活动的处罚或其他处罚。</w:t>
      </w:r>
    </w:p>
    <w:p>
      <w:pPr>
        <w:tabs>
          <w:tab w:val="clear" w:pos="426"/>
        </w:tabs>
        <w:rPr>
          <w:rFonts w:hint="eastAsia"/>
          <w:highlight w:val="none"/>
        </w:rPr>
      </w:pPr>
      <w:r>
        <w:rPr>
          <w:highlight w:val="none"/>
        </w:rPr>
        <w:t>5．合格的投标供应商</w:t>
      </w:r>
    </w:p>
    <w:p>
      <w:pPr>
        <w:widowControl w:val="0"/>
        <w:shd w:val="clear" w:color="auto" w:fill="auto"/>
        <w:tabs>
          <w:tab w:val="clear" w:pos="426"/>
        </w:tabs>
        <w:autoSpaceDE w:val="0"/>
        <w:autoSpaceDN w:val="0"/>
        <w:rPr>
          <w:rFonts w:hint="eastAsia"/>
          <w:szCs w:val="21"/>
          <w:highlight w:val="none"/>
        </w:rPr>
      </w:pPr>
      <w:r>
        <w:rPr>
          <w:szCs w:val="21"/>
          <w:highlight w:val="none"/>
        </w:rPr>
        <w:t xml:space="preserve">5.1 </w:t>
      </w:r>
      <w:r>
        <w:rPr>
          <w:rFonts w:hint="eastAsia"/>
          <w:szCs w:val="21"/>
          <w:highlight w:val="none"/>
        </w:rPr>
        <w:t>投标供应商是响应招标并且符合招标文件规定资格条件和参加投标竞争的法人、其他组织或者自然人。</w:t>
      </w:r>
    </w:p>
    <w:p>
      <w:pPr>
        <w:widowControl w:val="0"/>
        <w:shd w:val="clear" w:color="auto" w:fill="auto"/>
        <w:tabs>
          <w:tab w:val="clear" w:pos="426"/>
        </w:tabs>
        <w:autoSpaceDE w:val="0"/>
        <w:autoSpaceDN w:val="0"/>
        <w:rPr>
          <w:rFonts w:hint="eastAsia"/>
          <w:szCs w:val="21"/>
          <w:highlight w:val="none"/>
          <w:lang w:eastAsia="zh-TW"/>
        </w:rPr>
      </w:pPr>
      <w:r>
        <w:rPr>
          <w:szCs w:val="21"/>
          <w:highlight w:val="none"/>
        </w:rPr>
        <w:t xml:space="preserve">5.2 </w:t>
      </w:r>
      <w:r>
        <w:rPr>
          <w:rFonts w:hint="eastAsia"/>
          <w:szCs w:val="21"/>
          <w:highlight w:val="none"/>
          <w:lang w:eastAsia="zh-TW"/>
        </w:rPr>
        <w:t>合格的投标供应商</w:t>
      </w:r>
    </w:p>
    <w:p>
      <w:pPr>
        <w:widowControl w:val="0"/>
        <w:shd w:val="clear" w:color="auto" w:fill="auto"/>
        <w:tabs>
          <w:tab w:val="clear" w:pos="426"/>
        </w:tabs>
        <w:autoSpaceDE w:val="0"/>
        <w:autoSpaceDN w:val="0"/>
        <w:rPr>
          <w:rFonts w:hint="eastAsia"/>
          <w:szCs w:val="21"/>
          <w:highlight w:val="none"/>
        </w:rPr>
      </w:pPr>
      <w:r>
        <w:rPr>
          <w:szCs w:val="21"/>
          <w:highlight w:val="none"/>
        </w:rPr>
        <w:t>5.2.1 具有独立承担民事责任的能力。</w:t>
      </w:r>
    </w:p>
    <w:p>
      <w:pPr>
        <w:widowControl w:val="0"/>
        <w:shd w:val="clear" w:color="auto" w:fill="auto"/>
        <w:tabs>
          <w:tab w:val="clear" w:pos="426"/>
        </w:tabs>
        <w:autoSpaceDE w:val="0"/>
        <w:autoSpaceDN w:val="0"/>
        <w:rPr>
          <w:rFonts w:hint="eastAsia"/>
          <w:szCs w:val="21"/>
          <w:highlight w:val="none"/>
        </w:rPr>
      </w:pPr>
      <w:r>
        <w:rPr>
          <w:szCs w:val="21"/>
          <w:highlight w:val="none"/>
        </w:rPr>
        <w:t>5.2.2 具有良好的商业信誉和健全的财务会计制度</w:t>
      </w:r>
      <w:r>
        <w:rPr>
          <w:rFonts w:hint="eastAsia"/>
          <w:szCs w:val="21"/>
          <w:highlight w:val="none"/>
        </w:rPr>
        <w:t>。</w:t>
      </w:r>
    </w:p>
    <w:p>
      <w:pPr>
        <w:widowControl w:val="0"/>
        <w:shd w:val="clear" w:color="auto" w:fill="auto"/>
        <w:tabs>
          <w:tab w:val="clear" w:pos="426"/>
        </w:tabs>
        <w:autoSpaceDE w:val="0"/>
        <w:autoSpaceDN w:val="0"/>
        <w:rPr>
          <w:rFonts w:hint="eastAsia"/>
          <w:szCs w:val="21"/>
          <w:highlight w:val="none"/>
        </w:rPr>
      </w:pPr>
      <w:r>
        <w:rPr>
          <w:szCs w:val="21"/>
          <w:highlight w:val="none"/>
        </w:rPr>
        <w:t>5.2.3 具有履行合同所必需的</w:t>
      </w:r>
      <w:r>
        <w:rPr>
          <w:rFonts w:hint="eastAsia"/>
          <w:szCs w:val="21"/>
          <w:highlight w:val="none"/>
        </w:rPr>
        <w:t>设备</w:t>
      </w:r>
      <w:r>
        <w:rPr>
          <w:szCs w:val="21"/>
          <w:highlight w:val="none"/>
        </w:rPr>
        <w:t>和专业技术能力</w:t>
      </w:r>
      <w:r>
        <w:rPr>
          <w:rFonts w:hint="eastAsia"/>
          <w:szCs w:val="21"/>
          <w:highlight w:val="none"/>
        </w:rPr>
        <w:t>。</w:t>
      </w:r>
    </w:p>
    <w:p>
      <w:pPr>
        <w:widowControl w:val="0"/>
        <w:shd w:val="clear" w:color="auto" w:fill="auto"/>
        <w:tabs>
          <w:tab w:val="clear" w:pos="426"/>
        </w:tabs>
        <w:autoSpaceDE w:val="0"/>
        <w:autoSpaceDN w:val="0"/>
        <w:rPr>
          <w:rFonts w:hint="eastAsia"/>
          <w:szCs w:val="21"/>
          <w:highlight w:val="none"/>
        </w:rPr>
      </w:pPr>
      <w:r>
        <w:rPr>
          <w:szCs w:val="21"/>
          <w:highlight w:val="none"/>
        </w:rPr>
        <w:t>5.2.4 有依法缴纳税收和社会保障资金的良好记录</w:t>
      </w:r>
      <w:r>
        <w:rPr>
          <w:rFonts w:hint="eastAsia"/>
          <w:szCs w:val="21"/>
          <w:highlight w:val="none"/>
        </w:rPr>
        <w:t>。</w:t>
      </w:r>
    </w:p>
    <w:p>
      <w:pPr>
        <w:widowControl w:val="0"/>
        <w:shd w:val="clear" w:color="auto" w:fill="auto"/>
        <w:tabs>
          <w:tab w:val="clear" w:pos="426"/>
        </w:tabs>
        <w:autoSpaceDE w:val="0"/>
        <w:autoSpaceDN w:val="0"/>
        <w:rPr>
          <w:rFonts w:hint="eastAsia"/>
          <w:szCs w:val="21"/>
          <w:highlight w:val="none"/>
        </w:rPr>
      </w:pPr>
      <w:r>
        <w:rPr>
          <w:szCs w:val="21"/>
          <w:highlight w:val="none"/>
        </w:rPr>
        <w:t>5.2.5 参加采购活动前三年内，在经营活动中没有重大违法记录</w:t>
      </w:r>
      <w:r>
        <w:rPr>
          <w:rFonts w:hint="eastAsia"/>
          <w:szCs w:val="21"/>
          <w:highlight w:val="none"/>
        </w:rPr>
        <w:t>。</w:t>
      </w:r>
    </w:p>
    <w:p>
      <w:pPr>
        <w:widowControl w:val="0"/>
        <w:shd w:val="clear" w:color="auto" w:fill="auto"/>
        <w:tabs>
          <w:tab w:val="clear" w:pos="426"/>
        </w:tabs>
        <w:autoSpaceDE w:val="0"/>
        <w:autoSpaceDN w:val="0"/>
        <w:rPr>
          <w:rFonts w:hint="eastAsia"/>
          <w:szCs w:val="21"/>
          <w:highlight w:val="none"/>
        </w:rPr>
      </w:pPr>
      <w:r>
        <w:rPr>
          <w:szCs w:val="21"/>
          <w:highlight w:val="none"/>
        </w:rPr>
        <w:t>5.2.6 法律、行政法规规定的其他条件</w:t>
      </w:r>
      <w:r>
        <w:rPr>
          <w:rFonts w:hint="eastAsia"/>
          <w:szCs w:val="21"/>
          <w:highlight w:val="none"/>
        </w:rPr>
        <w:t>。</w:t>
      </w:r>
    </w:p>
    <w:p>
      <w:pPr>
        <w:widowControl w:val="0"/>
        <w:shd w:val="clear" w:color="auto" w:fill="auto"/>
        <w:tabs>
          <w:tab w:val="clear" w:pos="426"/>
        </w:tabs>
        <w:autoSpaceDE w:val="0"/>
        <w:autoSpaceDN w:val="0"/>
        <w:rPr>
          <w:rFonts w:hint="eastAsia"/>
          <w:szCs w:val="21"/>
          <w:highlight w:val="none"/>
        </w:rPr>
      </w:pPr>
      <w:r>
        <w:rPr>
          <w:szCs w:val="21"/>
          <w:highlight w:val="none"/>
        </w:rPr>
        <w:t xml:space="preserve">5.2.7 </w:t>
      </w:r>
      <w:r>
        <w:rPr>
          <w:rFonts w:hint="eastAsia"/>
          <w:szCs w:val="21"/>
          <w:highlight w:val="none"/>
        </w:rPr>
        <w:t>只有在法律上和财务上独立、合法运作并独立于采购人和代理机构的供货商才能参加投标。</w:t>
      </w:r>
    </w:p>
    <w:p>
      <w:pPr>
        <w:widowControl w:val="0"/>
        <w:shd w:val="clear" w:color="auto" w:fill="auto"/>
        <w:tabs>
          <w:tab w:val="clear" w:pos="426"/>
        </w:tabs>
        <w:autoSpaceDE w:val="0"/>
        <w:autoSpaceDN w:val="0"/>
        <w:rPr>
          <w:rFonts w:hint="eastAsia"/>
          <w:b/>
          <w:szCs w:val="21"/>
          <w:highlight w:val="none"/>
        </w:rPr>
      </w:pPr>
      <w:r>
        <w:rPr>
          <w:szCs w:val="21"/>
          <w:highlight w:val="none"/>
        </w:rPr>
        <w:t xml:space="preserve">5.2.8 </w:t>
      </w:r>
      <w:r>
        <w:rPr>
          <w:rFonts w:hint="eastAsia"/>
          <w:szCs w:val="21"/>
          <w:highlight w:val="none"/>
        </w:rPr>
        <w:t>法定代表人或单位负责人为同一人或者存在直接控股、管理关系的不同单位不得同时参与同一个项目（包组）的竞争。</w:t>
      </w:r>
    </w:p>
    <w:p>
      <w:pPr>
        <w:widowControl w:val="0"/>
        <w:shd w:val="clear" w:color="auto" w:fill="auto"/>
        <w:tabs>
          <w:tab w:val="clear" w:pos="426"/>
        </w:tabs>
        <w:autoSpaceDE w:val="0"/>
        <w:autoSpaceDN w:val="0"/>
        <w:rPr>
          <w:rFonts w:hint="eastAsia"/>
          <w:szCs w:val="21"/>
          <w:highlight w:val="none"/>
        </w:rPr>
      </w:pPr>
      <w:r>
        <w:rPr>
          <w:szCs w:val="21"/>
          <w:highlight w:val="none"/>
        </w:rPr>
        <w:t xml:space="preserve">5.2.9 </w:t>
      </w:r>
      <w:r>
        <w:rPr>
          <w:rFonts w:hint="eastAsia"/>
          <w:szCs w:val="21"/>
          <w:highlight w:val="none"/>
        </w:rPr>
        <w:t>符合</w:t>
      </w:r>
      <w:r>
        <w:rPr>
          <w:rFonts w:hint="eastAsia" w:cs="黑体"/>
          <w:szCs w:val="21"/>
          <w:highlight w:val="none"/>
        </w:rPr>
        <w:t>第一章采购公告“投标供应商资格要求”</w:t>
      </w:r>
      <w:r>
        <w:rPr>
          <w:rFonts w:hint="eastAsia"/>
          <w:szCs w:val="21"/>
          <w:highlight w:val="none"/>
        </w:rPr>
        <w:t>的条款</w:t>
      </w:r>
      <w:r>
        <w:rPr>
          <w:rFonts w:hint="eastAsia" w:cs="黑体"/>
          <w:szCs w:val="21"/>
          <w:highlight w:val="none"/>
        </w:rPr>
        <w:t>。</w:t>
      </w:r>
    </w:p>
    <w:p>
      <w:pPr>
        <w:widowControl w:val="0"/>
        <w:shd w:val="clear" w:color="auto" w:fill="auto"/>
        <w:tabs>
          <w:tab w:val="clear" w:pos="426"/>
        </w:tabs>
        <w:autoSpaceDE w:val="0"/>
        <w:autoSpaceDN w:val="0"/>
        <w:rPr>
          <w:rFonts w:hint="eastAsia"/>
          <w:szCs w:val="21"/>
          <w:highlight w:val="none"/>
        </w:rPr>
      </w:pPr>
      <w:r>
        <w:rPr>
          <w:szCs w:val="21"/>
          <w:highlight w:val="none"/>
        </w:rPr>
        <w:t xml:space="preserve">5.3 </w:t>
      </w:r>
      <w:r>
        <w:rPr>
          <w:rFonts w:hint="eastAsia"/>
          <w:szCs w:val="21"/>
          <w:highlight w:val="none"/>
        </w:rPr>
        <w:t>中标供应商是指经法定程序确定并授予合同的投标供应商。</w:t>
      </w:r>
    </w:p>
    <w:p>
      <w:pPr>
        <w:tabs>
          <w:tab w:val="clear" w:pos="426"/>
        </w:tabs>
        <w:rPr>
          <w:rFonts w:hint="eastAsia"/>
          <w:highlight w:val="none"/>
        </w:rPr>
      </w:pPr>
      <w:r>
        <w:rPr>
          <w:highlight w:val="none"/>
        </w:rPr>
        <w:t>6．联合体投标</w:t>
      </w:r>
    </w:p>
    <w:p>
      <w:pPr>
        <w:tabs>
          <w:tab w:val="clear" w:pos="426"/>
        </w:tabs>
        <w:rPr>
          <w:rFonts w:hint="eastAsia"/>
          <w:highlight w:val="none"/>
        </w:rPr>
      </w:pPr>
      <w:r>
        <w:rPr>
          <w:highlight w:val="none"/>
        </w:rPr>
        <w:t>6.1　以下有关联合体投标的条款仅适用于允许投标供应商组成联合体投标的项目。</w:t>
      </w:r>
    </w:p>
    <w:p>
      <w:pPr>
        <w:tabs>
          <w:tab w:val="clear" w:pos="426"/>
        </w:tabs>
        <w:rPr>
          <w:rFonts w:hint="eastAsia"/>
          <w:highlight w:val="none"/>
        </w:rPr>
      </w:pPr>
      <w:r>
        <w:rPr>
          <w:highlight w:val="none"/>
        </w:rPr>
        <w:t>6.2　由两个或两个以上的自然人、法人或者其他组织可以组成一个联合体，以一个供应商的身份共同投标时，应符合以下原则：</w:t>
      </w:r>
    </w:p>
    <w:p>
      <w:pPr>
        <w:tabs>
          <w:tab w:val="clear" w:pos="426"/>
        </w:tabs>
        <w:rPr>
          <w:rFonts w:hint="eastAsia"/>
          <w:highlight w:val="none"/>
        </w:rPr>
      </w:pPr>
      <w:r>
        <w:rPr>
          <w:highlight w:val="none"/>
        </w:rPr>
        <w:t>6.2.</w:t>
      </w:r>
      <w:r>
        <w:rPr>
          <w:bCs/>
          <w:highlight w:val="none"/>
        </w:rPr>
        <w:t>1投标联合体应满足采购公告有关投标供应商资格要求中对联合体的要求；</w:t>
      </w:r>
    </w:p>
    <w:p>
      <w:pPr>
        <w:tabs>
          <w:tab w:val="clear" w:pos="426"/>
        </w:tabs>
        <w:rPr>
          <w:rFonts w:hint="eastAsia"/>
          <w:highlight w:val="none"/>
        </w:rPr>
      </w:pPr>
      <w:r>
        <w:rPr>
          <w:highlight w:val="none"/>
        </w:rPr>
        <w:t>6.2.2对于采购公告中所要求投标供应商应具有的某一资质，若联合体各方均具有，则将以联合体各方中最低的资质等级作为联合体在这一资质条件上的资质等级；联合体各方的不同资质可优势互补。</w:t>
      </w:r>
    </w:p>
    <w:p>
      <w:pPr>
        <w:tabs>
          <w:tab w:val="clear" w:pos="426"/>
        </w:tabs>
        <w:rPr>
          <w:rFonts w:hint="eastAsia"/>
          <w:highlight w:val="none"/>
        </w:rPr>
      </w:pPr>
      <w:r>
        <w:rPr>
          <w:highlight w:val="none"/>
        </w:rPr>
        <w:t>6.2.3投标供应商的投标文件及中标后签署的合同协议对联合体各方均具法律约束力；</w:t>
      </w:r>
    </w:p>
    <w:p>
      <w:pPr>
        <w:tabs>
          <w:tab w:val="clear" w:pos="426"/>
        </w:tabs>
        <w:rPr>
          <w:rFonts w:hint="eastAsia"/>
          <w:highlight w:val="none"/>
        </w:rPr>
      </w:pPr>
      <w:r>
        <w:rPr>
          <w:highlight w:val="none"/>
        </w:rPr>
        <w:t>6.2.4联合体各方应当签订共同投标协议，明确约定各方拟承担的工作和责任，并将该共同投标协议随投标文件一并递交给代理机构；</w:t>
      </w:r>
    </w:p>
    <w:p>
      <w:pPr>
        <w:tabs>
          <w:tab w:val="clear" w:pos="426"/>
        </w:tabs>
        <w:rPr>
          <w:rFonts w:hint="eastAsia"/>
          <w:highlight w:val="none"/>
        </w:rPr>
      </w:pPr>
      <w:r>
        <w:rPr>
          <w:highlight w:val="none"/>
        </w:rPr>
        <w:t>6.2.5联合体的各方应当共同推荐一联合体投标授权代表人，由联合体各方提交一份授权书，证明其有资格代表联合体各方签署投标文件，该授权书作为投标文件的组成部分一并提交给代理机构；</w:t>
      </w:r>
    </w:p>
    <w:p>
      <w:pPr>
        <w:tabs>
          <w:tab w:val="clear" w:pos="426"/>
        </w:tabs>
        <w:rPr>
          <w:rFonts w:hint="eastAsia"/>
          <w:highlight w:val="none"/>
        </w:rPr>
      </w:pPr>
      <w:r>
        <w:rPr>
          <w:highlight w:val="none"/>
        </w:rPr>
        <w:t>6.2.6参加联合体的各方不得再以自己的名义单独投标，不得同时参加两个或两个以上的联合体投标、不得以分包商或其它形式参与投标，出现上述情况者，其投标和与此有关联合体、总包单位的投标将被拒绝；</w:t>
      </w:r>
    </w:p>
    <w:p>
      <w:pPr>
        <w:tabs>
          <w:tab w:val="clear" w:pos="426"/>
        </w:tabs>
        <w:rPr>
          <w:rFonts w:hint="eastAsia"/>
          <w:highlight w:val="none"/>
        </w:rPr>
      </w:pPr>
      <w:r>
        <w:rPr>
          <w:highlight w:val="none"/>
        </w:rPr>
        <w:t>6.2.7除非另有规定或说明，本须知中“投标供应商”一词亦指联合体各方。</w:t>
      </w:r>
    </w:p>
    <w:p>
      <w:pPr>
        <w:tabs>
          <w:tab w:val="clear" w:pos="426"/>
        </w:tabs>
        <w:rPr>
          <w:rFonts w:hint="eastAsia"/>
          <w:highlight w:val="none"/>
        </w:rPr>
      </w:pPr>
      <w:r>
        <w:rPr>
          <w:highlight w:val="none"/>
        </w:rPr>
        <w:t xml:space="preserve">7. </w:t>
      </w:r>
      <w:r>
        <w:rPr>
          <w:rFonts w:hint="eastAsia"/>
          <w:highlight w:val="none"/>
        </w:rPr>
        <w:t>合格的服务和货物</w:t>
      </w:r>
    </w:p>
    <w:p>
      <w:pPr>
        <w:widowControl w:val="0"/>
        <w:shd w:val="clear" w:color="auto" w:fill="auto"/>
        <w:tabs>
          <w:tab w:val="clear" w:pos="426"/>
        </w:tabs>
        <w:autoSpaceDE w:val="0"/>
        <w:autoSpaceDN w:val="0"/>
        <w:rPr>
          <w:rFonts w:hint="eastAsia"/>
          <w:szCs w:val="21"/>
          <w:highlight w:val="none"/>
        </w:rPr>
      </w:pPr>
      <w:r>
        <w:rPr>
          <w:szCs w:val="21"/>
          <w:highlight w:val="none"/>
        </w:rPr>
        <w:t xml:space="preserve">7.1 </w:t>
      </w:r>
      <w:r>
        <w:rPr>
          <w:rFonts w:hint="eastAsia"/>
          <w:szCs w:val="21"/>
          <w:highlight w:val="none"/>
        </w:rPr>
        <w:t>“服务”是指投标供应商按招标文件规定完成的全部服务内容，其中包括完成服务所需的货物，及须承担的技术支持、培训和其它伴随服务。</w:t>
      </w:r>
    </w:p>
    <w:p>
      <w:pPr>
        <w:widowControl w:val="0"/>
        <w:shd w:val="clear" w:color="auto" w:fill="auto"/>
        <w:tabs>
          <w:tab w:val="clear" w:pos="426"/>
        </w:tabs>
        <w:autoSpaceDE w:val="0"/>
        <w:autoSpaceDN w:val="0"/>
        <w:rPr>
          <w:rFonts w:hint="eastAsia" w:cs="黑体"/>
          <w:b/>
          <w:bCs/>
          <w:szCs w:val="21"/>
          <w:highlight w:val="none"/>
        </w:rPr>
      </w:pPr>
      <w:r>
        <w:rPr>
          <w:szCs w:val="21"/>
          <w:highlight w:val="none"/>
        </w:rPr>
        <w:t xml:space="preserve">7.2 </w:t>
      </w:r>
      <w:r>
        <w:rPr>
          <w:rFonts w:hint="eastAsia"/>
          <w:szCs w:val="21"/>
          <w:highlight w:val="none"/>
        </w:rPr>
        <w:t>“货物”是指投标供应商制造或组织符合招标文件要求的货物等。投标的货物必须是其合法生产、合法来源的符合国家有关标准要求的货物，并满足招标文件规定的规格、参数、质量、价格、有效期、售后服务等要求。</w:t>
      </w:r>
    </w:p>
    <w:p>
      <w:pPr>
        <w:widowControl w:val="0"/>
        <w:shd w:val="clear" w:color="auto" w:fill="auto"/>
        <w:tabs>
          <w:tab w:val="clear" w:pos="426"/>
        </w:tabs>
        <w:autoSpaceDE w:val="0"/>
        <w:autoSpaceDN w:val="0"/>
        <w:rPr>
          <w:rFonts w:hint="eastAsia"/>
          <w:szCs w:val="21"/>
          <w:highlight w:val="none"/>
        </w:rPr>
      </w:pPr>
      <w:r>
        <w:rPr>
          <w:szCs w:val="21"/>
          <w:highlight w:val="none"/>
        </w:rPr>
        <w:t xml:space="preserve">7.3 </w:t>
      </w:r>
      <w:r>
        <w:rPr>
          <w:rFonts w:hint="eastAsia"/>
          <w:szCs w:val="21"/>
          <w:highlight w:val="none"/>
        </w:rPr>
        <w:t>投标供应商提供的所有服务，其质量、技术等特征必须符合国家、行业现行法律、法规的相关标准和《中华人民共和国政府采购法》的有关规定及用户需求。</w:t>
      </w:r>
    </w:p>
    <w:p>
      <w:pPr>
        <w:widowControl w:val="0"/>
        <w:shd w:val="clear" w:color="auto" w:fill="auto"/>
        <w:tabs>
          <w:tab w:val="clear" w:pos="426"/>
        </w:tabs>
        <w:autoSpaceDE w:val="0"/>
        <w:autoSpaceDN w:val="0"/>
        <w:rPr>
          <w:rFonts w:hint="eastAsia"/>
          <w:szCs w:val="21"/>
          <w:highlight w:val="none"/>
        </w:rPr>
      </w:pPr>
      <w:r>
        <w:rPr>
          <w:szCs w:val="21"/>
          <w:highlight w:val="none"/>
        </w:rPr>
        <w:t xml:space="preserve">7.4 </w:t>
      </w:r>
      <w:r>
        <w:rPr>
          <w:rFonts w:hint="eastAsia"/>
          <w:szCs w:val="21"/>
          <w:highlight w:val="none"/>
        </w:rPr>
        <w:t>采购人有权拒绝接受任何不合格的服务，由此产生的费用及相关后果均由供应商自行承担。</w:t>
      </w:r>
    </w:p>
    <w:p>
      <w:pPr>
        <w:widowControl w:val="0"/>
        <w:shd w:val="clear" w:color="auto" w:fill="auto"/>
        <w:tabs>
          <w:tab w:val="clear" w:pos="426"/>
        </w:tabs>
        <w:autoSpaceDE w:val="0"/>
        <w:autoSpaceDN w:val="0"/>
        <w:rPr>
          <w:rFonts w:hint="eastAsia"/>
          <w:szCs w:val="21"/>
          <w:highlight w:val="none"/>
        </w:rPr>
      </w:pPr>
      <w:r>
        <w:rPr>
          <w:szCs w:val="21"/>
          <w:highlight w:val="none"/>
        </w:rPr>
        <w:t xml:space="preserve">7.5 </w:t>
      </w:r>
      <w:r>
        <w:rPr>
          <w:rFonts w:hint="eastAsia"/>
          <w:szCs w:val="21"/>
          <w:highlight w:val="none"/>
        </w:rPr>
        <w:t>投标供应商应保证本项目的投标技术、服务或其任何一部分不会产生因第三方提出侵犯其专利权、商标权或其他知识产权而引起的法律和经济纠纷；如果投标供应商不拥有相应的知识产权，则须在报价中包括合法获取该知识产权的相关费用，并在投标文件中附有相关证明文件。如因第三方提出其专利权、商标权或其他知识产权的侵权之诉，则一切法律责任由投标供应商承担。</w:t>
      </w:r>
    </w:p>
    <w:p>
      <w:pPr>
        <w:tabs>
          <w:tab w:val="clear" w:pos="426"/>
        </w:tabs>
        <w:rPr>
          <w:rFonts w:hint="eastAsia"/>
          <w:highlight w:val="none"/>
        </w:rPr>
      </w:pPr>
      <w:r>
        <w:rPr>
          <w:highlight w:val="none"/>
        </w:rPr>
        <w:t>8．投标费用</w:t>
      </w:r>
    </w:p>
    <w:p>
      <w:pPr>
        <w:tabs>
          <w:tab w:val="clear" w:pos="426"/>
        </w:tabs>
        <w:rPr>
          <w:rFonts w:hint="eastAsia"/>
          <w:highlight w:val="none"/>
        </w:rPr>
      </w:pPr>
      <w:r>
        <w:rPr>
          <w:rFonts w:hint="eastAsia"/>
          <w:highlight w:val="none"/>
        </w:rPr>
        <w:t>不论投标结果如何，投标供应商应承担其编制投标文件与递交投标文件所涉及的一切费用。</w:t>
      </w:r>
      <w:r>
        <w:rPr>
          <w:rFonts w:hint="eastAsia"/>
          <w:szCs w:val="21"/>
          <w:highlight w:val="none"/>
          <w:lang w:eastAsia="zh-TW"/>
        </w:rPr>
        <w:t>不论投标的结果如何</w:t>
      </w:r>
      <w:r>
        <w:rPr>
          <w:rFonts w:hint="eastAsia"/>
          <w:szCs w:val="21"/>
          <w:highlight w:val="none"/>
        </w:rPr>
        <w:t>，</w:t>
      </w:r>
      <w:r>
        <w:rPr>
          <w:rFonts w:hint="eastAsia"/>
          <w:szCs w:val="21"/>
          <w:highlight w:val="none"/>
          <w:lang w:eastAsia="zh-TW"/>
        </w:rPr>
        <w:t>招标采购单位均无义务和责任承担这些费用</w:t>
      </w:r>
      <w:r>
        <w:rPr>
          <w:rFonts w:hint="eastAsia"/>
          <w:szCs w:val="21"/>
          <w:highlight w:val="none"/>
        </w:rPr>
        <w:t>。</w:t>
      </w:r>
    </w:p>
    <w:p>
      <w:pPr>
        <w:tabs>
          <w:tab w:val="clear" w:pos="426"/>
        </w:tabs>
        <w:rPr>
          <w:rFonts w:hint="eastAsia"/>
          <w:highlight w:val="none"/>
        </w:rPr>
      </w:pPr>
      <w:r>
        <w:rPr>
          <w:highlight w:val="none"/>
        </w:rPr>
        <w:t>9．踏勘现场</w:t>
      </w:r>
    </w:p>
    <w:p>
      <w:pPr>
        <w:tabs>
          <w:tab w:val="clear" w:pos="426"/>
        </w:tabs>
        <w:rPr>
          <w:rFonts w:hint="eastAsia"/>
          <w:highlight w:val="none"/>
        </w:rPr>
      </w:pPr>
      <w:r>
        <w:rPr>
          <w:highlight w:val="none"/>
        </w:rPr>
        <w:t>9.1如有需要，采购代理机构或采购单位将组织投标供应商对项目现场及周围环境进行踏勘，以便投标供应商获取有关编制投标文件和签署合同所需的所有资料。踏勘现场所发生的费用和风险由投标供应商自己承担，投标供应商应按采购公告所约定的时间、地点统一踏勘现场。</w:t>
      </w:r>
    </w:p>
    <w:p>
      <w:pPr>
        <w:tabs>
          <w:tab w:val="clear" w:pos="426"/>
        </w:tabs>
        <w:rPr>
          <w:rFonts w:hint="eastAsia"/>
          <w:highlight w:val="none"/>
        </w:rPr>
      </w:pPr>
      <w:r>
        <w:rPr>
          <w:highlight w:val="none"/>
        </w:rPr>
        <w:t>9.2投标供应商及其人员经过采购单位的允许，可以踏勘目的进入采购单位的项目现场。若本项目招标文件要求投标供应商于统一时间地点踏勘现场的，投标供应商按时前往。</w:t>
      </w:r>
    </w:p>
    <w:p>
      <w:pPr>
        <w:tabs>
          <w:tab w:val="clear" w:pos="426"/>
        </w:tabs>
        <w:rPr>
          <w:rFonts w:hint="eastAsia"/>
          <w:highlight w:val="none"/>
        </w:rPr>
      </w:pPr>
      <w:r>
        <w:rPr>
          <w:highlight w:val="none"/>
        </w:rPr>
        <w:t>9.3采购单位必须通过采购代理机构向投标供应商提供有关现场的资料和数据。</w:t>
      </w:r>
    </w:p>
    <w:p>
      <w:pPr>
        <w:tabs>
          <w:tab w:val="clear" w:pos="426"/>
        </w:tabs>
        <w:rPr>
          <w:rFonts w:hint="eastAsia"/>
          <w:highlight w:val="none"/>
        </w:rPr>
      </w:pPr>
      <w:r>
        <w:rPr>
          <w:highlight w:val="none"/>
        </w:rPr>
        <w:t>9.4任何人或任何组织在踏勘现场时向投标供应商提交的任何书面或口头上的资料，未经采购代理机构在网上发布或书面通知，均作无效处理。采购代理机构对投标供应商由此而做出的推论、理解和结论概不负责。</w:t>
      </w:r>
    </w:p>
    <w:p>
      <w:pPr>
        <w:tabs>
          <w:tab w:val="clear" w:pos="426"/>
        </w:tabs>
        <w:rPr>
          <w:rFonts w:hint="eastAsia"/>
          <w:highlight w:val="none"/>
        </w:rPr>
      </w:pPr>
      <w:r>
        <w:rPr>
          <w:highlight w:val="none"/>
        </w:rPr>
        <w:t xml:space="preserve">9.5 </w:t>
      </w:r>
      <w:r>
        <w:rPr>
          <w:rFonts w:hint="eastAsia"/>
          <w:highlight w:val="none"/>
        </w:rPr>
        <w:t>未参与现场踏勘不作为否定投标供应商资格的理由。</w:t>
      </w:r>
    </w:p>
    <w:p>
      <w:pPr>
        <w:tabs>
          <w:tab w:val="clear" w:pos="426"/>
        </w:tabs>
        <w:rPr>
          <w:rFonts w:hint="eastAsia"/>
          <w:highlight w:val="none"/>
        </w:rPr>
      </w:pPr>
      <w:r>
        <w:rPr>
          <w:highlight w:val="none"/>
        </w:rPr>
        <w:t>10．招标答疑</w:t>
      </w:r>
    </w:p>
    <w:p>
      <w:pPr>
        <w:tabs>
          <w:tab w:val="clear" w:pos="426"/>
        </w:tabs>
        <w:rPr>
          <w:rFonts w:hint="eastAsia"/>
          <w:highlight w:val="none"/>
        </w:rPr>
      </w:pPr>
      <w:r>
        <w:rPr>
          <w:highlight w:val="none"/>
        </w:rPr>
        <w:t>10.1招标答疑的目的是澄清、解答投标供应商在查阅招标文件后或现场踏勘中可能提出的与投标有关的疑问或询问。</w:t>
      </w:r>
    </w:p>
    <w:p>
      <w:pPr>
        <w:tabs>
          <w:tab w:val="clear" w:pos="426"/>
        </w:tabs>
        <w:rPr>
          <w:rFonts w:hint="eastAsia"/>
          <w:highlight w:val="none"/>
        </w:rPr>
      </w:pPr>
      <w:r>
        <w:rPr>
          <w:highlight w:val="none"/>
        </w:rPr>
        <w:t xml:space="preserve">10.2投标供应商提出的与投标有关的问题须在招标文件规定的答疑截止时间前以 </w:t>
      </w:r>
      <w:r>
        <w:rPr>
          <w:rFonts w:hint="eastAsia"/>
          <w:highlight w:val="none"/>
        </w:rPr>
        <w:t>“质疑函</w:t>
      </w:r>
      <w:r>
        <w:rPr>
          <w:highlight w:val="none"/>
        </w:rPr>
        <w:t>”</w:t>
      </w:r>
      <w:r>
        <w:rPr>
          <w:rFonts w:hint="eastAsia"/>
          <w:highlight w:val="none"/>
        </w:rPr>
        <w:t>的形式提交给采购代理机构，质疑函应该加盖质疑单位公章。</w:t>
      </w:r>
    </w:p>
    <w:p>
      <w:pPr>
        <w:tabs>
          <w:tab w:val="clear" w:pos="426"/>
        </w:tabs>
        <w:rPr>
          <w:rFonts w:hint="eastAsia"/>
          <w:highlight w:val="none"/>
        </w:rPr>
      </w:pPr>
      <w:r>
        <w:rPr>
          <w:highlight w:val="none"/>
        </w:rPr>
        <w:t>10.3采购代理机构对疑问所做出的澄清和解答，以书面答复（包括网站发布信息）为准。答疑纪要的有效性规定按照本通用条款第13.3</w:t>
      </w:r>
      <w:r>
        <w:rPr>
          <w:rFonts w:hint="eastAsia"/>
          <w:highlight w:val="none"/>
        </w:rPr>
        <w:t>、</w:t>
      </w:r>
      <w:r>
        <w:rPr>
          <w:highlight w:val="none"/>
        </w:rPr>
        <w:t>13.4</w:t>
      </w:r>
      <w:r>
        <w:rPr>
          <w:rFonts w:hint="eastAsia"/>
          <w:highlight w:val="none"/>
        </w:rPr>
        <w:t>款规定执行。</w:t>
      </w:r>
    </w:p>
    <w:p>
      <w:pPr>
        <w:tabs>
          <w:tab w:val="clear" w:pos="426"/>
        </w:tabs>
        <w:rPr>
          <w:rFonts w:hint="eastAsia"/>
          <w:highlight w:val="none"/>
        </w:rPr>
      </w:pPr>
      <w:r>
        <w:rPr>
          <w:highlight w:val="none"/>
        </w:rPr>
        <w:t>10.4如采购代理机构认为有必要组织现场答疑会，投标供应商应按照招标文件规定的时间或采购代理机构另行书面通知（包括网站发布的通知）的时间和地点，参与现场答疑会。</w:t>
      </w:r>
    </w:p>
    <w:p>
      <w:pPr>
        <w:tabs>
          <w:tab w:val="clear" w:pos="426"/>
        </w:tabs>
        <w:rPr>
          <w:rFonts w:hint="eastAsia"/>
          <w:highlight w:val="none"/>
        </w:rPr>
      </w:pPr>
      <w:r>
        <w:rPr>
          <w:highlight w:val="none"/>
        </w:rPr>
        <w:t>10.5未参与招标答疑不作为否定投标供应商资格的理由。</w:t>
      </w:r>
    </w:p>
    <w:p>
      <w:pPr>
        <w:pStyle w:val="5"/>
        <w:tabs>
          <w:tab w:val="clear" w:pos="426"/>
        </w:tabs>
        <w:rPr>
          <w:rFonts w:hint="eastAsia"/>
          <w:highlight w:val="none"/>
        </w:rPr>
      </w:pPr>
      <w:bookmarkStart w:id="145" w:name="_Toc10191"/>
      <w:bookmarkStart w:id="146" w:name="_Toc530152523"/>
      <w:bookmarkStart w:id="147" w:name="_Toc529280582"/>
      <w:bookmarkStart w:id="148" w:name="_Toc14427255"/>
      <w:r>
        <w:rPr>
          <w:rFonts w:hint="eastAsia"/>
          <w:highlight w:val="none"/>
        </w:rPr>
        <w:t>第二章 招标文件</w:t>
      </w:r>
      <w:bookmarkEnd w:id="145"/>
      <w:bookmarkEnd w:id="146"/>
      <w:bookmarkEnd w:id="147"/>
      <w:bookmarkEnd w:id="148"/>
    </w:p>
    <w:p>
      <w:pPr>
        <w:tabs>
          <w:tab w:val="clear" w:pos="426"/>
        </w:tabs>
        <w:rPr>
          <w:rFonts w:hint="eastAsia"/>
          <w:highlight w:val="none"/>
        </w:rPr>
      </w:pPr>
      <w:r>
        <w:rPr>
          <w:highlight w:val="none"/>
        </w:rPr>
        <w:t>11．招标文件的编制与组成</w:t>
      </w:r>
    </w:p>
    <w:p>
      <w:pPr>
        <w:tabs>
          <w:tab w:val="clear" w:pos="426"/>
        </w:tabs>
        <w:rPr>
          <w:rFonts w:hint="eastAsia"/>
          <w:highlight w:val="none"/>
        </w:rPr>
      </w:pPr>
      <w:r>
        <w:rPr>
          <w:highlight w:val="none"/>
        </w:rPr>
        <w:t>11.1招标文件除以下内容外，采购代理机构在招标（或谈判）期间发出的答疑纪要和其他补充修改函件，均是招标文件的组成部分，对投标供应商起约束作用；</w:t>
      </w:r>
    </w:p>
    <w:p>
      <w:pPr>
        <w:tabs>
          <w:tab w:val="clear" w:pos="426"/>
        </w:tabs>
        <w:rPr>
          <w:rFonts w:hint="eastAsia"/>
          <w:highlight w:val="none"/>
        </w:rPr>
      </w:pPr>
      <w:r>
        <w:rPr>
          <w:rFonts w:hint="eastAsia"/>
          <w:highlight w:val="none"/>
        </w:rPr>
        <w:t>招标文件包括下列内容：</w:t>
      </w:r>
    </w:p>
    <w:p>
      <w:pPr>
        <w:tabs>
          <w:tab w:val="clear" w:pos="426"/>
        </w:tabs>
        <w:rPr>
          <w:rFonts w:hint="eastAsia"/>
          <w:highlight w:val="none"/>
        </w:rPr>
      </w:pPr>
      <w:r>
        <w:rPr>
          <w:rFonts w:hint="eastAsia"/>
          <w:highlight w:val="none"/>
        </w:rPr>
        <w:t>项目关键信息</w:t>
      </w:r>
    </w:p>
    <w:p>
      <w:pPr>
        <w:tabs>
          <w:tab w:val="clear" w:pos="426"/>
        </w:tabs>
        <w:rPr>
          <w:rFonts w:hint="eastAsia"/>
          <w:highlight w:val="none"/>
        </w:rPr>
      </w:pPr>
      <w:r>
        <w:rPr>
          <w:rFonts w:hint="eastAsia"/>
          <w:highlight w:val="none"/>
        </w:rPr>
        <w:t>招标文件第一册（专用部分）</w:t>
      </w:r>
    </w:p>
    <w:p>
      <w:pPr>
        <w:tabs>
          <w:tab w:val="clear" w:pos="426"/>
        </w:tabs>
        <w:rPr>
          <w:rFonts w:hint="eastAsia"/>
          <w:highlight w:val="none"/>
        </w:rPr>
      </w:pPr>
      <w:r>
        <w:rPr>
          <w:rFonts w:hint="eastAsia"/>
          <w:highlight w:val="none"/>
        </w:rPr>
        <w:t>第一章 投标邀请</w:t>
      </w:r>
    </w:p>
    <w:p>
      <w:pPr>
        <w:tabs>
          <w:tab w:val="clear" w:pos="426"/>
        </w:tabs>
        <w:rPr>
          <w:rFonts w:hint="eastAsia"/>
          <w:highlight w:val="none"/>
        </w:rPr>
      </w:pPr>
      <w:r>
        <w:rPr>
          <w:rFonts w:hint="eastAsia"/>
          <w:highlight w:val="none"/>
        </w:rPr>
        <w:t>第二章 项目需求</w:t>
      </w:r>
    </w:p>
    <w:p>
      <w:pPr>
        <w:tabs>
          <w:tab w:val="clear" w:pos="426"/>
        </w:tabs>
        <w:rPr>
          <w:rFonts w:hint="eastAsia"/>
          <w:highlight w:val="none"/>
        </w:rPr>
      </w:pPr>
      <w:r>
        <w:rPr>
          <w:rFonts w:hint="eastAsia"/>
          <w:highlight w:val="none"/>
        </w:rPr>
        <w:t>第三章 定价方式、合同类型和风险管理措施</w:t>
      </w:r>
    </w:p>
    <w:p>
      <w:pPr>
        <w:tabs>
          <w:tab w:val="clear" w:pos="426"/>
        </w:tabs>
        <w:rPr>
          <w:rFonts w:hint="eastAsia"/>
          <w:highlight w:val="none"/>
        </w:rPr>
      </w:pPr>
      <w:r>
        <w:rPr>
          <w:rFonts w:hint="eastAsia"/>
          <w:highlight w:val="none"/>
        </w:rPr>
        <w:t>第四章 资格审查和评标方法</w:t>
      </w:r>
    </w:p>
    <w:p>
      <w:pPr>
        <w:tabs>
          <w:tab w:val="clear" w:pos="426"/>
        </w:tabs>
        <w:rPr>
          <w:rFonts w:hint="eastAsia"/>
          <w:highlight w:val="none"/>
        </w:rPr>
      </w:pPr>
      <w:r>
        <w:rPr>
          <w:rFonts w:hint="eastAsia"/>
          <w:highlight w:val="none"/>
        </w:rPr>
        <w:t>第五章 合同文本</w:t>
      </w:r>
    </w:p>
    <w:p>
      <w:pPr>
        <w:tabs>
          <w:tab w:val="clear" w:pos="426"/>
        </w:tabs>
        <w:rPr>
          <w:rFonts w:hint="eastAsia"/>
          <w:highlight w:val="none"/>
        </w:rPr>
      </w:pPr>
      <w:r>
        <w:rPr>
          <w:rFonts w:hint="eastAsia"/>
          <w:highlight w:val="none"/>
        </w:rPr>
        <w:t>第六章 投标资料表</w:t>
      </w:r>
    </w:p>
    <w:p>
      <w:pPr>
        <w:tabs>
          <w:tab w:val="clear" w:pos="426"/>
        </w:tabs>
        <w:rPr>
          <w:rFonts w:hint="eastAsia"/>
          <w:highlight w:val="none"/>
        </w:rPr>
      </w:pPr>
      <w:r>
        <w:rPr>
          <w:rFonts w:hint="eastAsia"/>
          <w:highlight w:val="none"/>
        </w:rPr>
        <w:t>第七章 投标文件格式</w:t>
      </w:r>
    </w:p>
    <w:p>
      <w:pPr>
        <w:tabs>
          <w:tab w:val="clear" w:pos="426"/>
        </w:tabs>
        <w:rPr>
          <w:rFonts w:hint="eastAsia"/>
          <w:highlight w:val="none"/>
        </w:rPr>
      </w:pPr>
      <w:r>
        <w:rPr>
          <w:rFonts w:hint="eastAsia"/>
          <w:highlight w:val="none"/>
        </w:rPr>
        <w:t>招标文件第二册（通用部分）</w:t>
      </w:r>
    </w:p>
    <w:p>
      <w:pPr>
        <w:tabs>
          <w:tab w:val="clear" w:pos="426"/>
        </w:tabs>
        <w:rPr>
          <w:rFonts w:hint="eastAsia"/>
          <w:highlight w:val="none"/>
        </w:rPr>
      </w:pPr>
      <w:r>
        <w:rPr>
          <w:rFonts w:hint="eastAsia"/>
          <w:highlight w:val="none"/>
        </w:rPr>
        <w:t>第一章 总则</w:t>
      </w:r>
    </w:p>
    <w:p>
      <w:pPr>
        <w:tabs>
          <w:tab w:val="clear" w:pos="426"/>
        </w:tabs>
        <w:rPr>
          <w:rFonts w:hint="eastAsia"/>
          <w:highlight w:val="none"/>
        </w:rPr>
      </w:pPr>
      <w:r>
        <w:rPr>
          <w:rFonts w:hint="eastAsia"/>
          <w:highlight w:val="none"/>
        </w:rPr>
        <w:t>第二章 招标文件</w:t>
      </w:r>
    </w:p>
    <w:p>
      <w:pPr>
        <w:tabs>
          <w:tab w:val="clear" w:pos="426"/>
        </w:tabs>
        <w:rPr>
          <w:rFonts w:hint="eastAsia"/>
          <w:highlight w:val="none"/>
        </w:rPr>
      </w:pPr>
      <w:r>
        <w:rPr>
          <w:rFonts w:hint="eastAsia"/>
          <w:highlight w:val="none"/>
        </w:rPr>
        <w:t>第三章 投标文件的编制与递交</w:t>
      </w:r>
    </w:p>
    <w:p>
      <w:pPr>
        <w:tabs>
          <w:tab w:val="clear" w:pos="426"/>
        </w:tabs>
        <w:rPr>
          <w:rFonts w:hint="eastAsia"/>
          <w:highlight w:val="none"/>
        </w:rPr>
      </w:pPr>
      <w:r>
        <w:rPr>
          <w:rFonts w:hint="eastAsia"/>
          <w:highlight w:val="none"/>
        </w:rPr>
        <w:t>第四章 开标</w:t>
      </w:r>
    </w:p>
    <w:p>
      <w:pPr>
        <w:tabs>
          <w:tab w:val="clear" w:pos="426"/>
        </w:tabs>
        <w:rPr>
          <w:rFonts w:hint="eastAsia"/>
          <w:highlight w:val="none"/>
        </w:rPr>
      </w:pPr>
      <w:r>
        <w:rPr>
          <w:rFonts w:hint="eastAsia"/>
          <w:highlight w:val="none"/>
        </w:rPr>
        <w:t>第五章 评标要求</w:t>
      </w:r>
    </w:p>
    <w:p>
      <w:pPr>
        <w:tabs>
          <w:tab w:val="clear" w:pos="426"/>
        </w:tabs>
        <w:rPr>
          <w:rFonts w:hint="eastAsia"/>
          <w:highlight w:val="none"/>
        </w:rPr>
      </w:pPr>
      <w:r>
        <w:rPr>
          <w:rFonts w:hint="eastAsia"/>
          <w:highlight w:val="none"/>
        </w:rPr>
        <w:t>第六章 评标程序及评标方法</w:t>
      </w:r>
    </w:p>
    <w:p>
      <w:pPr>
        <w:tabs>
          <w:tab w:val="clear" w:pos="426"/>
        </w:tabs>
        <w:rPr>
          <w:rFonts w:hint="eastAsia"/>
          <w:highlight w:val="none"/>
        </w:rPr>
      </w:pPr>
      <w:r>
        <w:rPr>
          <w:rFonts w:hint="eastAsia"/>
          <w:highlight w:val="none"/>
        </w:rPr>
        <w:t>第七章 定标及公示</w:t>
      </w:r>
    </w:p>
    <w:p>
      <w:pPr>
        <w:tabs>
          <w:tab w:val="clear" w:pos="426"/>
        </w:tabs>
        <w:rPr>
          <w:rFonts w:hint="eastAsia"/>
          <w:highlight w:val="none"/>
        </w:rPr>
      </w:pPr>
      <w:r>
        <w:rPr>
          <w:rFonts w:hint="eastAsia"/>
          <w:highlight w:val="none"/>
        </w:rPr>
        <w:t>第八章 公开招标失败的后续处理</w:t>
      </w:r>
    </w:p>
    <w:p>
      <w:pPr>
        <w:tabs>
          <w:tab w:val="clear" w:pos="426"/>
        </w:tabs>
        <w:rPr>
          <w:rFonts w:hint="eastAsia"/>
          <w:highlight w:val="none"/>
        </w:rPr>
      </w:pPr>
      <w:r>
        <w:rPr>
          <w:rFonts w:hint="eastAsia"/>
          <w:highlight w:val="none"/>
        </w:rPr>
        <w:t>第九章 合同的授予与备案</w:t>
      </w:r>
    </w:p>
    <w:p>
      <w:pPr>
        <w:tabs>
          <w:tab w:val="clear" w:pos="426"/>
        </w:tabs>
        <w:rPr>
          <w:rFonts w:hint="eastAsia"/>
          <w:highlight w:val="none"/>
        </w:rPr>
      </w:pPr>
      <w:r>
        <w:rPr>
          <w:rFonts w:hint="eastAsia"/>
          <w:highlight w:val="none"/>
        </w:rPr>
        <w:t>第十章 质疑受理</w:t>
      </w:r>
    </w:p>
    <w:p>
      <w:pPr>
        <w:tabs>
          <w:tab w:val="clear" w:pos="426"/>
        </w:tabs>
        <w:rPr>
          <w:rFonts w:hint="eastAsia"/>
          <w:highlight w:val="none"/>
        </w:rPr>
      </w:pPr>
      <w:r>
        <w:rPr>
          <w:rFonts w:hint="eastAsia"/>
          <w:highlight w:val="none"/>
        </w:rPr>
        <w:t>招标代理服务取费说明</w:t>
      </w:r>
    </w:p>
    <w:p>
      <w:pPr>
        <w:tabs>
          <w:tab w:val="clear" w:pos="426"/>
        </w:tabs>
        <w:rPr>
          <w:rFonts w:hint="eastAsia"/>
          <w:highlight w:val="none"/>
        </w:rPr>
      </w:pPr>
      <w:r>
        <w:rPr>
          <w:highlight w:val="none"/>
        </w:rPr>
        <w:t xml:space="preserve">11.2 </w:t>
      </w:r>
      <w:r>
        <w:rPr>
          <w:rFonts w:hint="eastAsia"/>
          <w:highlight w:val="none"/>
        </w:rPr>
        <w:t>投标供应商购买招标文件后，应仔细检查招标文件的所有内容，如有残缺应在答疑截止时间之前向采购代理机构提出，否则，由此引起的投标损失自负；投标供应商同时应认真审阅招标文件所有的事项、格式、条款和规范要求等，如果投标供应商的投标文件没有按招标文件要求提交全部资料或者投标文件没有对招标文件做出实质性响应，其风险应由投标供应商自行承担，并根据有关条款规定，其投标有可能被拒绝。</w:t>
      </w:r>
    </w:p>
    <w:p>
      <w:pPr>
        <w:tabs>
          <w:tab w:val="clear" w:pos="426"/>
        </w:tabs>
        <w:rPr>
          <w:rFonts w:hint="eastAsia"/>
          <w:szCs w:val="21"/>
          <w:highlight w:val="none"/>
        </w:rPr>
      </w:pPr>
      <w:r>
        <w:rPr>
          <w:szCs w:val="21"/>
          <w:highlight w:val="none"/>
        </w:rPr>
        <w:t>11.3</w:t>
      </w:r>
      <w:r>
        <w:rPr>
          <w:rFonts w:hint="eastAsia"/>
          <w:highlight w:val="none"/>
        </w:rPr>
        <w:t>任何人或任何组织向投标供应商提交的任何书面或口头资料，未经采购代理机构在网上发布或书面通知，均作无效处理，不得作为招标文件的组成部分。采购代理机构对投标供应商由此而做出的推论、理解和结论概不负责。</w:t>
      </w:r>
    </w:p>
    <w:p>
      <w:pPr>
        <w:tabs>
          <w:tab w:val="clear" w:pos="426"/>
        </w:tabs>
        <w:rPr>
          <w:rFonts w:hint="eastAsia"/>
          <w:highlight w:val="none"/>
        </w:rPr>
      </w:pPr>
      <w:r>
        <w:rPr>
          <w:highlight w:val="none"/>
        </w:rPr>
        <w:t>12．招标文件的澄清</w:t>
      </w:r>
    </w:p>
    <w:p>
      <w:pPr>
        <w:tabs>
          <w:tab w:val="clear" w:pos="426"/>
        </w:tabs>
        <w:rPr>
          <w:rFonts w:hint="eastAsia"/>
          <w:highlight w:val="none"/>
        </w:rPr>
      </w:pPr>
      <w:r>
        <w:rPr>
          <w:highlight w:val="none"/>
        </w:rPr>
        <w:t>12.1投标供应商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供应商的要求对招标文件做出澄清，采购代理机构都将在投标截止日期前以书面形式答复或发送给所有投标供应商。澄清纪要作为招标文件的组成部分，对投标供应商起约束作用；</w:t>
      </w:r>
    </w:p>
    <w:p>
      <w:pPr>
        <w:tabs>
          <w:tab w:val="clear" w:pos="426"/>
        </w:tabs>
        <w:rPr>
          <w:rFonts w:hint="eastAsia"/>
          <w:highlight w:val="none"/>
        </w:rPr>
      </w:pPr>
      <w:r>
        <w:rPr>
          <w:highlight w:val="none"/>
        </w:rPr>
        <w:t>12.2对于没有提出澄清又参与了该项目投标的供应商将被视为完全认同该招标文件（含澄清纪要），投标截止期后不再受理针对招标文件的相关质疑或投诉。</w:t>
      </w:r>
    </w:p>
    <w:p>
      <w:pPr>
        <w:tabs>
          <w:tab w:val="clear" w:pos="426"/>
        </w:tabs>
        <w:rPr>
          <w:rFonts w:hint="eastAsia"/>
          <w:highlight w:val="none"/>
        </w:rPr>
      </w:pPr>
      <w:r>
        <w:rPr>
          <w:highlight w:val="none"/>
        </w:rPr>
        <w:t xml:space="preserve">12.3 </w:t>
      </w:r>
      <w:r>
        <w:rPr>
          <w:rFonts w:hint="eastAsia"/>
          <w:highlight w:val="none"/>
        </w:rPr>
        <w:t>对招标文件中描述有歧意或前后不一致的地方，评标委员会有权进行评判，但对同一条款的评判应适用于每个投标供应商。</w:t>
      </w:r>
    </w:p>
    <w:p>
      <w:pPr>
        <w:tabs>
          <w:tab w:val="clear" w:pos="426"/>
        </w:tabs>
        <w:rPr>
          <w:rFonts w:hint="eastAsia"/>
          <w:highlight w:val="none"/>
        </w:rPr>
      </w:pPr>
      <w:r>
        <w:rPr>
          <w:highlight w:val="none"/>
        </w:rPr>
        <w:t>13．招标文件的修改</w:t>
      </w:r>
    </w:p>
    <w:p>
      <w:pPr>
        <w:tabs>
          <w:tab w:val="clear" w:pos="426"/>
        </w:tabs>
        <w:rPr>
          <w:rFonts w:hint="eastAsia"/>
          <w:highlight w:val="none"/>
        </w:rPr>
      </w:pPr>
      <w:r>
        <w:rPr>
          <w:highlight w:val="none"/>
        </w:rPr>
        <w:t>13.1招标文件发出后，在投标截止日期前任何时候，确需要变更招标内容的，采购代理机构可主动地或在解答投标供应商提出的澄清问题时对招标文件进行修改；</w:t>
      </w:r>
    </w:p>
    <w:p>
      <w:pPr>
        <w:tabs>
          <w:tab w:val="clear" w:pos="426"/>
        </w:tabs>
        <w:rPr>
          <w:rFonts w:hint="eastAsia"/>
          <w:highlight w:val="none"/>
        </w:rPr>
      </w:pPr>
      <w:r>
        <w:rPr>
          <w:highlight w:val="none"/>
        </w:rPr>
        <w:t>13.2招标文件的修改以书面形式（包括网站公开发布方式）发送给所有投标供应商，招标文件的修改内容作为招标文件的组成部分，并具有约束力。</w:t>
      </w:r>
    </w:p>
    <w:p>
      <w:pPr>
        <w:tabs>
          <w:tab w:val="clear" w:pos="426"/>
        </w:tabs>
        <w:rPr>
          <w:rFonts w:hint="eastAsia"/>
          <w:highlight w:val="none"/>
        </w:rPr>
      </w:pPr>
      <w:r>
        <w:rPr>
          <w:highlight w:val="none"/>
        </w:rPr>
        <w:t>13.3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pPr>
        <w:tabs>
          <w:tab w:val="clear" w:pos="426"/>
        </w:tabs>
        <w:rPr>
          <w:rFonts w:hint="eastAsia"/>
          <w:highlight w:val="none"/>
        </w:rPr>
      </w:pPr>
      <w:r>
        <w:rPr>
          <w:highlight w:val="none"/>
        </w:rPr>
        <w:t>13.4采购代理机构保证招标文件澄清（答疑）纪要和招标文件修改补充通知在投标截止时间前以网站公开发布形式或书面形式发送给所有投标供应商。为使投标供应商在编写投标文件时有充分时间对招标文件的修改部分进行研究，采购代理机构可以酌情延长递交投标文件的截止日期，具体时间将在修改补充通知中明确。</w:t>
      </w:r>
    </w:p>
    <w:p>
      <w:pPr>
        <w:pStyle w:val="5"/>
        <w:tabs>
          <w:tab w:val="clear" w:pos="426"/>
        </w:tabs>
        <w:rPr>
          <w:rFonts w:hint="eastAsia"/>
          <w:highlight w:val="none"/>
        </w:rPr>
      </w:pPr>
      <w:bookmarkStart w:id="149" w:name="_Toc14427256"/>
      <w:bookmarkStart w:id="150" w:name="_Toc15015"/>
      <w:bookmarkStart w:id="151" w:name="_Toc530152524"/>
      <w:bookmarkStart w:id="152" w:name="_Toc529280583"/>
      <w:r>
        <w:rPr>
          <w:rFonts w:hint="eastAsia"/>
          <w:highlight w:val="none"/>
        </w:rPr>
        <w:t>第三章 投标文件的编制与递交</w:t>
      </w:r>
      <w:bookmarkEnd w:id="149"/>
      <w:bookmarkEnd w:id="150"/>
      <w:bookmarkEnd w:id="151"/>
      <w:bookmarkEnd w:id="152"/>
    </w:p>
    <w:p>
      <w:pPr>
        <w:tabs>
          <w:tab w:val="clear" w:pos="426"/>
        </w:tabs>
        <w:rPr>
          <w:rFonts w:hint="eastAsia"/>
          <w:highlight w:val="none"/>
        </w:rPr>
      </w:pPr>
      <w:r>
        <w:rPr>
          <w:highlight w:val="none"/>
        </w:rPr>
        <w:t>14．投标文件的语言及度量单位</w:t>
      </w:r>
    </w:p>
    <w:p>
      <w:pPr>
        <w:tabs>
          <w:tab w:val="clear" w:pos="426"/>
        </w:tabs>
        <w:rPr>
          <w:rFonts w:hint="eastAsia"/>
          <w:highlight w:val="none"/>
        </w:rPr>
      </w:pPr>
      <w:r>
        <w:rPr>
          <w:highlight w:val="none"/>
        </w:rPr>
        <w:t xml:space="preserve">14.1 </w:t>
      </w:r>
      <w:r>
        <w:rPr>
          <w:rFonts w:hint="eastAsia"/>
          <w:highlight w:val="none"/>
        </w:rPr>
        <w:t>投标供应商与采购代理机构之间与投标有关的所有往来通知、函件和投标文件均用中文表述。投标供应商随投标文件提供的证明文件和资料可以为其它语言，但必须附中文译文。翻译的中文资料与外文资料如果出现差异时，以中文为准，但翻译错误的除外。</w:t>
      </w:r>
    </w:p>
    <w:p>
      <w:pPr>
        <w:tabs>
          <w:tab w:val="clear" w:pos="426"/>
        </w:tabs>
        <w:rPr>
          <w:rFonts w:hint="eastAsia"/>
          <w:highlight w:val="none"/>
        </w:rPr>
      </w:pPr>
      <w:r>
        <w:rPr>
          <w:highlight w:val="none"/>
        </w:rPr>
        <w:t xml:space="preserve">14.2 </w:t>
      </w:r>
      <w:r>
        <w:rPr>
          <w:rFonts w:hint="eastAsia"/>
          <w:highlight w:val="none"/>
        </w:rPr>
        <w:t>除技术规范另有规定外，投标文件使用的度量单位，均采用中华人民共和国法定计量单位。</w:t>
      </w:r>
    </w:p>
    <w:p>
      <w:pPr>
        <w:tabs>
          <w:tab w:val="clear" w:pos="426"/>
        </w:tabs>
        <w:rPr>
          <w:rFonts w:hint="eastAsia"/>
          <w:highlight w:val="none"/>
        </w:rPr>
      </w:pPr>
      <w:r>
        <w:rPr>
          <w:highlight w:val="none"/>
        </w:rPr>
        <w:t>15．投标文件的组成</w:t>
      </w:r>
    </w:p>
    <w:p>
      <w:pPr>
        <w:tabs>
          <w:tab w:val="clear" w:pos="426"/>
        </w:tabs>
        <w:rPr>
          <w:rFonts w:hint="eastAsia"/>
          <w:highlight w:val="none"/>
        </w:rPr>
      </w:pPr>
      <w:r>
        <w:rPr>
          <w:rFonts w:hint="eastAsia"/>
          <w:highlight w:val="none"/>
        </w:rPr>
        <w:t>具体内容请详见本项目专用条款的相关内容。</w:t>
      </w:r>
    </w:p>
    <w:p>
      <w:pPr>
        <w:tabs>
          <w:tab w:val="clear" w:pos="426"/>
        </w:tabs>
        <w:rPr>
          <w:rFonts w:hint="eastAsia"/>
          <w:highlight w:val="none"/>
        </w:rPr>
      </w:pPr>
      <w:r>
        <w:rPr>
          <w:highlight w:val="none"/>
        </w:rPr>
        <w:t xml:space="preserve">16. </w:t>
      </w:r>
      <w:r>
        <w:rPr>
          <w:rFonts w:hint="eastAsia"/>
          <w:highlight w:val="none"/>
        </w:rPr>
        <w:t>投标文件格式</w:t>
      </w:r>
    </w:p>
    <w:p>
      <w:pPr>
        <w:tabs>
          <w:tab w:val="clear" w:pos="426"/>
        </w:tabs>
        <w:rPr>
          <w:rFonts w:hint="eastAsia"/>
          <w:highlight w:val="none"/>
        </w:rPr>
      </w:pPr>
      <w:r>
        <w:rPr>
          <w:highlight w:val="none"/>
        </w:rPr>
        <w:t>16.1</w:t>
      </w:r>
      <w:r>
        <w:rPr>
          <w:rFonts w:hint="eastAsia"/>
          <w:highlight w:val="none"/>
        </w:rPr>
        <w:t>投标文件包括本通用条款第</w:t>
      </w:r>
      <w:r>
        <w:rPr>
          <w:highlight w:val="none"/>
        </w:rPr>
        <w:t>15条中规定的内容。如招标文件提供了投标文件格式，则投标供应商提交的投标文件必须毫无例外地使用招标文件所提供的相应格式并统一使用A4篇幅（表格可以按同样格式扩展）。</w:t>
      </w:r>
    </w:p>
    <w:p>
      <w:pPr>
        <w:tabs>
          <w:tab w:val="clear" w:pos="426"/>
        </w:tabs>
        <w:rPr>
          <w:rFonts w:hint="eastAsia"/>
          <w:highlight w:val="none"/>
        </w:rPr>
      </w:pPr>
      <w:r>
        <w:rPr>
          <w:highlight w:val="none"/>
        </w:rPr>
        <w:t>17．投标货币</w:t>
      </w:r>
    </w:p>
    <w:p>
      <w:pPr>
        <w:tabs>
          <w:tab w:val="clear" w:pos="426"/>
        </w:tabs>
        <w:rPr>
          <w:rFonts w:hint="eastAsia"/>
          <w:highlight w:val="none"/>
        </w:rPr>
      </w:pPr>
      <w:r>
        <w:rPr>
          <w:rFonts w:hint="eastAsia"/>
          <w:highlight w:val="none"/>
        </w:rPr>
        <w:t>本项目的投标应以人民币计。</w:t>
      </w:r>
    </w:p>
    <w:p>
      <w:pPr>
        <w:widowControl w:val="0"/>
        <w:shd w:val="clear" w:color="auto" w:fill="auto"/>
        <w:tabs>
          <w:tab w:val="clear" w:pos="426"/>
        </w:tabs>
        <w:autoSpaceDE w:val="0"/>
        <w:autoSpaceDN w:val="0"/>
        <w:rPr>
          <w:rFonts w:hint="eastAsia"/>
          <w:highlight w:val="none"/>
        </w:rPr>
      </w:pPr>
      <w:r>
        <w:rPr>
          <w:highlight w:val="none"/>
        </w:rPr>
        <w:t xml:space="preserve">18. </w:t>
      </w:r>
      <w:r>
        <w:rPr>
          <w:rFonts w:hint="eastAsia"/>
          <w:highlight w:val="none"/>
        </w:rPr>
        <w:t>证明投标供应商合格和资格的文件</w:t>
      </w:r>
    </w:p>
    <w:p>
      <w:pPr>
        <w:widowControl w:val="0"/>
        <w:shd w:val="clear" w:color="auto" w:fill="auto"/>
        <w:tabs>
          <w:tab w:val="clear" w:pos="426"/>
        </w:tabs>
        <w:autoSpaceDE w:val="0"/>
        <w:autoSpaceDN w:val="0"/>
        <w:rPr>
          <w:rFonts w:hint="eastAsia" w:cs="黑体"/>
          <w:b/>
          <w:bCs/>
          <w:szCs w:val="21"/>
          <w:highlight w:val="none"/>
        </w:rPr>
      </w:pPr>
      <w:r>
        <w:rPr>
          <w:szCs w:val="21"/>
          <w:highlight w:val="none"/>
        </w:rPr>
        <w:t xml:space="preserve">18.1 </w:t>
      </w:r>
      <w:r>
        <w:rPr>
          <w:rFonts w:hint="eastAsia"/>
          <w:szCs w:val="21"/>
          <w:highlight w:val="none"/>
          <w:lang w:eastAsia="zh-TW"/>
        </w:rPr>
        <w:t>投标供应商应提交证明其有资格参加投标和中标后有能力履行合同的文件</w:t>
      </w:r>
      <w:r>
        <w:rPr>
          <w:rFonts w:hint="eastAsia"/>
          <w:szCs w:val="21"/>
          <w:highlight w:val="none"/>
        </w:rPr>
        <w:t>，</w:t>
      </w:r>
      <w:r>
        <w:rPr>
          <w:rFonts w:hint="eastAsia"/>
          <w:szCs w:val="21"/>
          <w:highlight w:val="none"/>
          <w:lang w:eastAsia="zh-TW"/>
        </w:rPr>
        <w:t>并作为其投标文件的一部分。如果投标供应商为联合体</w:t>
      </w:r>
      <w:r>
        <w:rPr>
          <w:rFonts w:hint="eastAsia"/>
          <w:szCs w:val="21"/>
          <w:highlight w:val="none"/>
        </w:rPr>
        <w:t>，</w:t>
      </w:r>
      <w:r>
        <w:rPr>
          <w:rFonts w:hint="eastAsia"/>
          <w:szCs w:val="21"/>
          <w:highlight w:val="none"/>
          <w:lang w:eastAsia="zh-TW"/>
        </w:rPr>
        <w:t>应提交联合体各方的资格证明文件、</w:t>
      </w:r>
      <w:r>
        <w:rPr>
          <w:rFonts w:hint="eastAsia"/>
          <w:szCs w:val="21"/>
          <w:highlight w:val="none"/>
        </w:rPr>
        <w:t>共同投标协议</w:t>
      </w:r>
      <w:r>
        <w:rPr>
          <w:rFonts w:hint="eastAsia"/>
          <w:szCs w:val="21"/>
          <w:highlight w:val="none"/>
          <w:lang w:eastAsia="zh-TW"/>
        </w:rPr>
        <w:t>并注明</w:t>
      </w:r>
      <w:r>
        <w:rPr>
          <w:rFonts w:hint="eastAsia"/>
          <w:szCs w:val="21"/>
          <w:highlight w:val="none"/>
        </w:rPr>
        <w:t>主体方及各方拟承担的工作和责任。</w:t>
      </w:r>
      <w:r>
        <w:rPr>
          <w:rFonts w:hint="eastAsia"/>
          <w:szCs w:val="21"/>
          <w:highlight w:val="none"/>
          <w:lang w:eastAsia="zh-TW"/>
        </w:rPr>
        <w:t>否则</w:t>
      </w:r>
      <w:r>
        <w:rPr>
          <w:rFonts w:hint="eastAsia"/>
          <w:szCs w:val="21"/>
          <w:highlight w:val="none"/>
        </w:rPr>
        <w:t>，</w:t>
      </w:r>
      <w:r>
        <w:rPr>
          <w:rFonts w:hint="eastAsia"/>
          <w:szCs w:val="21"/>
          <w:highlight w:val="none"/>
          <w:lang w:eastAsia="zh-TW"/>
        </w:rPr>
        <w:t>将导致其投标</w:t>
      </w:r>
      <w:r>
        <w:rPr>
          <w:rFonts w:hint="eastAsia"/>
          <w:szCs w:val="21"/>
          <w:highlight w:val="none"/>
        </w:rPr>
        <w:t>无效。</w:t>
      </w:r>
    </w:p>
    <w:p>
      <w:pPr>
        <w:widowControl w:val="0"/>
        <w:shd w:val="clear" w:color="auto" w:fill="auto"/>
        <w:tabs>
          <w:tab w:val="clear" w:pos="426"/>
        </w:tabs>
        <w:autoSpaceDE w:val="0"/>
        <w:autoSpaceDN w:val="0"/>
        <w:rPr>
          <w:rFonts w:hint="eastAsia"/>
          <w:szCs w:val="21"/>
          <w:highlight w:val="none"/>
          <w:lang w:eastAsia="zh-TW"/>
        </w:rPr>
      </w:pPr>
      <w:r>
        <w:rPr>
          <w:szCs w:val="21"/>
          <w:highlight w:val="none"/>
        </w:rPr>
        <w:t xml:space="preserve">18.2 </w:t>
      </w:r>
      <w:r>
        <w:rPr>
          <w:rFonts w:hint="eastAsia"/>
          <w:szCs w:val="21"/>
          <w:highlight w:val="none"/>
          <w:lang w:eastAsia="zh-TW"/>
        </w:rPr>
        <w:t>投标供应商提交的资格证明文件应证明其</w:t>
      </w:r>
      <w:r>
        <w:rPr>
          <w:rFonts w:hint="eastAsia"/>
          <w:szCs w:val="21"/>
          <w:highlight w:val="none"/>
        </w:rPr>
        <w:t>满足</w:t>
      </w:r>
      <w:r>
        <w:rPr>
          <w:rFonts w:hint="eastAsia"/>
          <w:szCs w:val="21"/>
          <w:highlight w:val="none"/>
          <w:lang w:eastAsia="zh-TW"/>
        </w:rPr>
        <w:t>本须知定义的合格投标供应商。</w:t>
      </w:r>
    </w:p>
    <w:p>
      <w:pPr>
        <w:tabs>
          <w:tab w:val="clear" w:pos="426"/>
        </w:tabs>
        <w:rPr>
          <w:rFonts w:hint="eastAsia"/>
          <w:highlight w:val="none"/>
        </w:rPr>
      </w:pPr>
      <w:r>
        <w:rPr>
          <w:highlight w:val="none"/>
        </w:rPr>
        <w:t>19．证明投标文件投标技术方案的合格性和符合招标文件规定的文件要求</w:t>
      </w:r>
    </w:p>
    <w:p>
      <w:pPr>
        <w:tabs>
          <w:tab w:val="clear" w:pos="426"/>
        </w:tabs>
        <w:rPr>
          <w:rFonts w:hint="eastAsia"/>
          <w:highlight w:val="none"/>
        </w:rPr>
      </w:pPr>
      <w:r>
        <w:rPr>
          <w:highlight w:val="none"/>
        </w:rPr>
        <w:t xml:space="preserve">19.1 </w:t>
      </w:r>
      <w:r>
        <w:rPr>
          <w:rFonts w:hint="eastAsia"/>
          <w:highlight w:val="none"/>
        </w:rPr>
        <w:t>投标供应商应提交证明文件证明其投标技术方案项下的货物、工程和服务的合格性符合招标文件规定。该投标技术方案及其证明文件作为投标文件的一部分。</w:t>
      </w:r>
    </w:p>
    <w:p>
      <w:pPr>
        <w:tabs>
          <w:tab w:val="clear" w:pos="426"/>
        </w:tabs>
        <w:rPr>
          <w:rFonts w:hint="eastAsia"/>
          <w:highlight w:val="none"/>
        </w:rPr>
      </w:pPr>
      <w:r>
        <w:rPr>
          <w:highlight w:val="none"/>
        </w:rPr>
        <w:t xml:space="preserve">19.2 </w:t>
      </w:r>
      <w:r>
        <w:rPr>
          <w:rFonts w:hint="eastAsia"/>
          <w:highlight w:val="none"/>
        </w:rPr>
        <w:t>投标供应商提供证明投标技术方案与招标文件的要求相一致的文件，可以是文字资料、图纸、数据或数码照片、制造商公布的产品说明书、产品彩页和我国政府机构出具的产品检验和核准证件等，以证明投标供应商响应的真实性。它包括并应符合以下要求：</w:t>
      </w:r>
    </w:p>
    <w:p>
      <w:pPr>
        <w:tabs>
          <w:tab w:val="clear" w:pos="426"/>
        </w:tabs>
        <w:rPr>
          <w:rFonts w:hint="eastAsia"/>
          <w:highlight w:val="none"/>
        </w:rPr>
      </w:pPr>
      <w:r>
        <w:rPr>
          <w:highlight w:val="none"/>
        </w:rPr>
        <w:t>19.2.1主要技术指标和性能的详细说明。</w:t>
      </w:r>
    </w:p>
    <w:p>
      <w:pPr>
        <w:tabs>
          <w:tab w:val="clear" w:pos="426"/>
        </w:tabs>
        <w:rPr>
          <w:rFonts w:hint="eastAsia"/>
          <w:highlight w:val="none"/>
        </w:rPr>
      </w:pPr>
      <w:r>
        <w:rPr>
          <w:highlight w:val="none"/>
        </w:rPr>
        <w:t>19.2.2</w:t>
      </w:r>
      <w:r>
        <w:rPr>
          <w:rFonts w:hint="eastAsia"/>
          <w:highlight w:val="none"/>
        </w:rPr>
        <w:t>投标产品从采购单位开始使用至招标文件中规定的周期内正常、连续地使用所必须的备件和专用工具清单，包括备件和专用工具的货源及现行价格。</w:t>
      </w:r>
    </w:p>
    <w:p>
      <w:pPr>
        <w:tabs>
          <w:tab w:val="clear" w:pos="426"/>
        </w:tabs>
        <w:rPr>
          <w:rFonts w:hint="eastAsia"/>
          <w:highlight w:val="none"/>
        </w:rPr>
      </w:pPr>
      <w:r>
        <w:rPr>
          <w:highlight w:val="none"/>
        </w:rPr>
        <w:t>19.2.3</w:t>
      </w:r>
      <w:r>
        <w:rPr>
          <w:rFonts w:hint="eastAsia"/>
          <w:highlight w:val="none"/>
        </w:rPr>
        <w:t>对照招标文件技术规格，逐条说明投标技术方案已对采购单位的技术规格做出了实质性的响应，或申明与技术规格条文的偏差和例外。投标供应商应详细说明投标技术方案中产品的具体参数，不得照搬照抄招标文件的技术要求。</w:t>
      </w:r>
    </w:p>
    <w:p>
      <w:pPr>
        <w:tabs>
          <w:tab w:val="clear" w:pos="426"/>
        </w:tabs>
        <w:rPr>
          <w:rFonts w:hint="eastAsia"/>
          <w:highlight w:val="none"/>
        </w:rPr>
      </w:pPr>
      <w:r>
        <w:rPr>
          <w:highlight w:val="none"/>
        </w:rP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pPr>
        <w:tabs>
          <w:tab w:val="clear" w:pos="426"/>
        </w:tabs>
        <w:rPr>
          <w:rFonts w:hint="eastAsia"/>
          <w:highlight w:val="none"/>
        </w:rPr>
      </w:pPr>
      <w:r>
        <w:rPr>
          <w:highlight w:val="none"/>
        </w:rPr>
        <w:t>19.2.5我国政府机构出具的产品检验和核准证件应为证件正面、背面和附件标注的全部具体内容；产品检验和核准证件应能清晰的阅读、识别和判断，提供原件复印件。</w:t>
      </w:r>
    </w:p>
    <w:p>
      <w:pPr>
        <w:tabs>
          <w:tab w:val="clear" w:pos="426"/>
        </w:tabs>
        <w:rPr>
          <w:rFonts w:hint="eastAsia"/>
          <w:highlight w:val="none"/>
        </w:rPr>
      </w:pPr>
      <w:r>
        <w:rPr>
          <w:highlight w:val="none"/>
        </w:rPr>
        <w:t>19.3相关资料不符合19.2款要求的，评标委员会有权认定为投标技术方案不合格响应，其相关分数予以扣减或作废标处理。</w:t>
      </w:r>
    </w:p>
    <w:p>
      <w:pPr>
        <w:tabs>
          <w:tab w:val="clear" w:pos="426"/>
        </w:tabs>
        <w:rPr>
          <w:rFonts w:hint="eastAsia"/>
          <w:highlight w:val="none"/>
        </w:rPr>
      </w:pPr>
      <w:r>
        <w:rPr>
          <w:highlight w:val="none"/>
        </w:rPr>
        <w:t>19.4评标委员会有权对以谋取中标为目的的技术规格模糊响应（如有意照搬照抄招标文件的技术要求）或虚假响应予以认定。供应商上述行为一经发现或查实，除扣分或废标外，采购代理机构可视情况报相关监督管理部门做进一步处理。</w:t>
      </w:r>
    </w:p>
    <w:p>
      <w:pPr>
        <w:tabs>
          <w:tab w:val="clear" w:pos="426"/>
        </w:tabs>
        <w:rPr>
          <w:rFonts w:hint="eastAsia"/>
          <w:highlight w:val="none"/>
        </w:rPr>
      </w:pPr>
      <w:r>
        <w:rPr>
          <w:highlight w:val="none"/>
        </w:rPr>
        <w:t>19.5投标供应商在阐述上述第18.2时应注意采购单位在技术规格中指出的工艺、材料和</w:t>
      </w:r>
      <w:r>
        <w:rPr>
          <w:rFonts w:hint="eastAsia"/>
          <w:highlight w:val="none"/>
        </w:rPr>
        <w:t>设备</w:t>
      </w:r>
      <w:r>
        <w:rPr>
          <w:highlight w:val="none"/>
        </w:rPr>
        <w:t>的标准以及参照的牌号或分类号仅起说明作用，并没有任何限制性。投标供应商在投标中可以选用替代标准、牌号或分类号，但这些替代要实质上满足招标文件中技术规格的要求，是否满足要求，由评标委员会来评判。</w:t>
      </w:r>
    </w:p>
    <w:p>
      <w:pPr>
        <w:tabs>
          <w:tab w:val="clear" w:pos="426"/>
        </w:tabs>
        <w:rPr>
          <w:rFonts w:hint="eastAsia"/>
          <w:highlight w:val="none"/>
        </w:rPr>
      </w:pPr>
      <w:r>
        <w:rPr>
          <w:highlight w:val="none"/>
        </w:rPr>
        <w:t>19.6为保证公平公正，除非另有规定或说明，投标供应商对同一货物或服务投标时，不得同时提供两套或两套以上的投标方案。</w:t>
      </w:r>
    </w:p>
    <w:p>
      <w:pPr>
        <w:tabs>
          <w:tab w:val="clear" w:pos="426"/>
        </w:tabs>
        <w:rPr>
          <w:rFonts w:hint="eastAsia"/>
          <w:highlight w:val="none"/>
        </w:rPr>
      </w:pPr>
      <w:r>
        <w:rPr>
          <w:highlight w:val="none"/>
        </w:rPr>
        <w:t>20．投标文件其他证明文件的要求</w:t>
      </w:r>
    </w:p>
    <w:p>
      <w:pPr>
        <w:tabs>
          <w:tab w:val="clear" w:pos="426"/>
        </w:tabs>
        <w:rPr>
          <w:rFonts w:hint="eastAsia"/>
          <w:highlight w:val="none"/>
        </w:rPr>
      </w:pPr>
      <w:r>
        <w:rPr>
          <w:highlight w:val="none"/>
        </w:rPr>
        <w:t>20.1对项目招标文件《评标信息》评分项中涉及的相关业绩、社保情况、纳税情况、银行资信等级和资金流状况等内容以及《投标文件初审表》中涉及的资格证书，投标供应商应提供相关部门出具的证明材料原件复印件，原件中标备查。上述证明材料应为证件正面、背面和附件标注的全部具体内容；有关原件复印件应能清晰的阅读、识别和判断。若投标供应商未按要求提供证明材料或提供的是部分证明材料或提供不清晰的，评标委员会有权认定其投标文件未对招标文件有关需求进行响应，涉及资格性检查或符合性检查的予以无效标处理，涉及《评标信息》打分项的则该项评分予以0分处理。</w:t>
      </w:r>
    </w:p>
    <w:p>
      <w:pPr>
        <w:tabs>
          <w:tab w:val="clear" w:pos="426"/>
        </w:tabs>
        <w:rPr>
          <w:rFonts w:hint="eastAsia"/>
          <w:highlight w:val="none"/>
        </w:rPr>
      </w:pPr>
      <w:r>
        <w:rPr>
          <w:highlight w:val="none"/>
        </w:rPr>
        <w:t>20.2本项目涉及提供的有关资质证书，若原有资质证书处于年审期间，投标供应商提供年审证明的可按原资质投标；若投标供应商正在申报上一级别资质，在未获批准之前，仍按原级别资质投标。</w:t>
      </w:r>
    </w:p>
    <w:p>
      <w:pPr>
        <w:tabs>
          <w:tab w:val="clear" w:pos="426"/>
        </w:tabs>
        <w:rPr>
          <w:rFonts w:hint="eastAsia"/>
          <w:highlight w:val="none"/>
        </w:rPr>
      </w:pPr>
      <w:r>
        <w:rPr>
          <w:highlight w:val="none"/>
        </w:rPr>
        <w:t>21．投标有效期</w:t>
      </w:r>
    </w:p>
    <w:p>
      <w:pPr>
        <w:tabs>
          <w:tab w:val="clear" w:pos="426"/>
        </w:tabs>
        <w:rPr>
          <w:rFonts w:hint="eastAsia"/>
          <w:highlight w:val="none"/>
        </w:rPr>
      </w:pPr>
      <w:r>
        <w:rPr>
          <w:highlight w:val="none"/>
        </w:rPr>
        <w:t xml:space="preserve">21.1 </w:t>
      </w:r>
      <w:r>
        <w:rPr>
          <w:rFonts w:hint="eastAsia"/>
          <w:highlight w:val="none"/>
        </w:rPr>
        <w:t>投标有效期为从投标截止之日算起的日历天数，具体见专用条款中投标有效期的天数要求。在此期限内，所有投标文件均保持有效；</w:t>
      </w:r>
    </w:p>
    <w:p>
      <w:pPr>
        <w:tabs>
          <w:tab w:val="clear" w:pos="426"/>
        </w:tabs>
        <w:rPr>
          <w:rFonts w:hint="eastAsia"/>
          <w:highlight w:val="none"/>
        </w:rPr>
      </w:pPr>
      <w:r>
        <w:rPr>
          <w:highlight w:val="none"/>
        </w:rPr>
        <w:t xml:space="preserve">21.2 </w:t>
      </w:r>
      <w:r>
        <w:rPr>
          <w:rFonts w:hint="eastAsia"/>
          <w:highlight w:val="none"/>
        </w:rPr>
        <w:t>在特殊的情况下，采购代理机构在原定的投标有效期满之前，采购代理机构可以根据需要以书面形式（包括网站公开发布方式）向投标供应商提出延长投标有效期的要求，对此要求投标供应商须以书面形式予以答复，投标供应商可以拒绝采购代理机构此项要求，而不被没收投标保证金，其投标在原投标有效期满后不再有效。同意延长投标有效期的投标供应商不能要求也不允许修改其投标文件，但应当相应的延长投标担保的有效期，在延长的投标有效期内本通用条款第</w:t>
      </w:r>
      <w:r>
        <w:rPr>
          <w:highlight w:val="none"/>
        </w:rPr>
        <w:t>22条关于投标保证金的退还与没收的规定仍然适用；</w:t>
      </w:r>
    </w:p>
    <w:p>
      <w:pPr>
        <w:tabs>
          <w:tab w:val="clear" w:pos="426"/>
        </w:tabs>
        <w:rPr>
          <w:rFonts w:hint="eastAsia"/>
          <w:highlight w:val="none"/>
        </w:rPr>
      </w:pPr>
      <w:r>
        <w:rPr>
          <w:highlight w:val="none"/>
        </w:rPr>
        <w:t>21.3 中标单位的投标书有效期，截止于完成本招标文件规定的全部项目内容，并通过竣工验收及保修结束。</w:t>
      </w:r>
    </w:p>
    <w:p>
      <w:pPr>
        <w:tabs>
          <w:tab w:val="clear" w:pos="426"/>
        </w:tabs>
        <w:rPr>
          <w:rFonts w:hint="eastAsia"/>
          <w:highlight w:val="none"/>
        </w:rPr>
      </w:pPr>
      <w:r>
        <w:rPr>
          <w:highlight w:val="none"/>
        </w:rPr>
        <w:t>22．投标保证金</w:t>
      </w:r>
    </w:p>
    <w:p>
      <w:pPr>
        <w:tabs>
          <w:tab w:val="clear" w:pos="426"/>
        </w:tabs>
        <w:rPr>
          <w:rFonts w:hint="eastAsia"/>
          <w:highlight w:val="none"/>
        </w:rPr>
      </w:pPr>
      <w:r>
        <w:rPr>
          <w:highlight w:val="none"/>
        </w:rPr>
        <w:t>22.1投标保证金的缴纳：</w:t>
      </w:r>
      <w:r>
        <w:rPr>
          <w:rFonts w:hint="eastAsia"/>
          <w:b/>
          <w:highlight w:val="none"/>
        </w:rPr>
        <w:t>（本项目不适用）</w:t>
      </w:r>
    </w:p>
    <w:p>
      <w:pPr>
        <w:tabs>
          <w:tab w:val="clear" w:pos="426"/>
        </w:tabs>
        <w:rPr>
          <w:rFonts w:hint="eastAsia"/>
          <w:highlight w:val="none"/>
        </w:rPr>
      </w:pPr>
      <w:r>
        <w:rPr>
          <w:highlight w:val="none"/>
        </w:rPr>
        <w:t>22.1.1缴纳投标保证金的方式：参与投标前须缴纳</w:t>
      </w:r>
      <w:r>
        <w:rPr>
          <w:rFonts w:hint="eastAsia"/>
          <w:highlight w:val="none"/>
        </w:rPr>
        <w:t>/</w:t>
      </w:r>
      <w:r>
        <w:rPr>
          <w:highlight w:val="none"/>
        </w:rPr>
        <w:t>万元保证金，落标或中标项目完成后返还，参与投标前未缴纳的，其投标将不予受理。</w:t>
      </w:r>
    </w:p>
    <w:p>
      <w:pPr>
        <w:tabs>
          <w:tab w:val="clear" w:pos="426"/>
        </w:tabs>
        <w:rPr>
          <w:rFonts w:hint="eastAsia"/>
          <w:highlight w:val="none"/>
        </w:rPr>
      </w:pPr>
      <w:r>
        <w:rPr>
          <w:highlight w:val="none"/>
        </w:rPr>
        <w:t xml:space="preserve">22.1.2 </w:t>
      </w:r>
      <w:r>
        <w:rPr>
          <w:rFonts w:hint="eastAsia"/>
          <w:highlight w:val="none"/>
        </w:rPr>
        <w:t>若为重大项目，采购代理机构可自行决定另外收取投标保证金，不受</w:t>
      </w:r>
      <w:r>
        <w:rPr>
          <w:highlight w:val="none"/>
        </w:rPr>
        <w:t>22.1.1款限制。是否另外收取投标保证金，请见本招标文件专用条款《对通用条款的补充内容》中的相关要求。</w:t>
      </w:r>
    </w:p>
    <w:p>
      <w:pPr>
        <w:tabs>
          <w:tab w:val="clear" w:pos="426"/>
        </w:tabs>
        <w:rPr>
          <w:rFonts w:hint="eastAsia"/>
          <w:szCs w:val="21"/>
          <w:highlight w:val="none"/>
        </w:rPr>
      </w:pPr>
      <w:r>
        <w:rPr>
          <w:szCs w:val="21"/>
          <w:highlight w:val="none"/>
        </w:rPr>
        <w:t>22.2</w:t>
      </w:r>
      <w:r>
        <w:rPr>
          <w:rFonts w:hint="eastAsia"/>
          <w:highlight w:val="none"/>
        </w:rPr>
        <w:t>投标保证金是为了保护采购代理机构和采购单位免因投标供应商的行为而蒙受损失。采购代理机构和采购单位因投标供应商的行为受到损害时可根据本通用条款第</w:t>
      </w:r>
      <w:r>
        <w:rPr>
          <w:szCs w:val="21"/>
          <w:highlight w:val="none"/>
        </w:rPr>
        <w:t>22.3款</w:t>
      </w:r>
      <w:r>
        <w:rPr>
          <w:rFonts w:hint="eastAsia"/>
          <w:highlight w:val="none"/>
        </w:rPr>
        <w:t>的规定没收投标供应商的投标保证金。</w:t>
      </w:r>
    </w:p>
    <w:p>
      <w:pPr>
        <w:tabs>
          <w:tab w:val="clear" w:pos="426"/>
        </w:tabs>
        <w:rPr>
          <w:rFonts w:hint="eastAsia"/>
          <w:highlight w:val="none"/>
        </w:rPr>
      </w:pPr>
      <w:r>
        <w:rPr>
          <w:highlight w:val="none"/>
        </w:rPr>
        <w:t>22.3如下列任何情况发生时，投标保证金将被没收。</w:t>
      </w:r>
    </w:p>
    <w:p>
      <w:pPr>
        <w:tabs>
          <w:tab w:val="clear" w:pos="426"/>
        </w:tabs>
        <w:rPr>
          <w:rFonts w:hint="eastAsia"/>
          <w:highlight w:val="none"/>
        </w:rPr>
      </w:pPr>
      <w:r>
        <w:rPr>
          <w:highlight w:val="none"/>
        </w:rPr>
        <w:t>1）投标供应商在招标文件中规定的投标有效期内撤回其投标；</w:t>
      </w:r>
    </w:p>
    <w:p>
      <w:pPr>
        <w:tabs>
          <w:tab w:val="clear" w:pos="426"/>
        </w:tabs>
        <w:rPr>
          <w:rFonts w:hint="eastAsia"/>
          <w:highlight w:val="none"/>
        </w:rPr>
      </w:pPr>
      <w:r>
        <w:rPr>
          <w:highlight w:val="none"/>
        </w:rPr>
        <w:t>2）中标供应商在规定期限内未能根据本项通用条款第47条规定签订合同；</w:t>
      </w:r>
    </w:p>
    <w:p>
      <w:pPr>
        <w:tabs>
          <w:tab w:val="clear" w:pos="426"/>
        </w:tabs>
        <w:rPr>
          <w:rFonts w:hint="eastAsia"/>
          <w:highlight w:val="none"/>
        </w:rPr>
      </w:pPr>
      <w:r>
        <w:rPr>
          <w:highlight w:val="none"/>
        </w:rPr>
        <w:t>3）投标供应商提供虚假投标文件或虚假补充文件：</w:t>
      </w:r>
    </w:p>
    <w:p>
      <w:pPr>
        <w:tabs>
          <w:tab w:val="clear" w:pos="426"/>
        </w:tabs>
        <w:rPr>
          <w:rFonts w:hint="eastAsia"/>
          <w:highlight w:val="none"/>
        </w:rPr>
      </w:pPr>
      <w:r>
        <w:rPr>
          <w:highlight w:val="none"/>
        </w:rPr>
        <w:t>4）投标供应商以谋取中标为目的的技术规格模糊响应（如有意照搬照抄招标文件的技术要求）或虚假响应的；</w:t>
      </w:r>
    </w:p>
    <w:p>
      <w:pPr>
        <w:tabs>
          <w:tab w:val="clear" w:pos="426"/>
        </w:tabs>
        <w:rPr>
          <w:rFonts w:hint="eastAsia"/>
          <w:highlight w:val="none"/>
        </w:rPr>
      </w:pPr>
      <w:r>
        <w:rPr>
          <w:highlight w:val="none"/>
        </w:rPr>
        <w:t>5）投标供应商质疑投诉提供虚假情况。</w:t>
      </w:r>
    </w:p>
    <w:p>
      <w:pPr>
        <w:tabs>
          <w:tab w:val="clear" w:pos="426"/>
        </w:tabs>
        <w:rPr>
          <w:rFonts w:hint="eastAsia"/>
          <w:highlight w:val="none"/>
        </w:rPr>
      </w:pPr>
      <w:r>
        <w:rPr>
          <w:highlight w:val="none"/>
        </w:rPr>
        <w:t>22.4</w:t>
      </w:r>
      <w:r>
        <w:rPr>
          <w:rFonts w:hint="eastAsia"/>
          <w:highlight w:val="none"/>
        </w:rPr>
        <w:t>不再收取</w:t>
      </w:r>
      <w:r>
        <w:rPr>
          <w:highlight w:val="none"/>
        </w:rPr>
        <w:t>投标保证金</w:t>
      </w:r>
      <w:r>
        <w:rPr>
          <w:rFonts w:hint="eastAsia"/>
          <w:highlight w:val="none"/>
        </w:rPr>
        <w:t>。</w:t>
      </w:r>
    </w:p>
    <w:p>
      <w:pPr>
        <w:tabs>
          <w:tab w:val="clear" w:pos="426"/>
        </w:tabs>
        <w:rPr>
          <w:rFonts w:hint="eastAsia"/>
          <w:highlight w:val="none"/>
        </w:rPr>
      </w:pPr>
      <w:r>
        <w:rPr>
          <w:highlight w:val="none"/>
        </w:rPr>
        <w:t>23．投标供应商的替代方案</w:t>
      </w:r>
    </w:p>
    <w:p>
      <w:pPr>
        <w:tabs>
          <w:tab w:val="clear" w:pos="426"/>
        </w:tabs>
        <w:rPr>
          <w:rFonts w:hint="eastAsia"/>
          <w:highlight w:val="none"/>
        </w:rPr>
      </w:pPr>
      <w:r>
        <w:rPr>
          <w:highlight w:val="none"/>
        </w:rPr>
        <w:t>23.1投标供应商所提交的投标文件应完全满足招标文件（包括图纸和技术规范所示的基本技术设计）的要求。除非招标的项目明确允许投标供应商提交替代方案，否则投标供应商有关替代方案的条款将不予考虑。</w:t>
      </w:r>
    </w:p>
    <w:p>
      <w:pPr>
        <w:tabs>
          <w:tab w:val="clear" w:pos="426"/>
        </w:tabs>
        <w:rPr>
          <w:rFonts w:hint="eastAsia"/>
          <w:bCs/>
          <w:sz w:val="30"/>
          <w:szCs w:val="30"/>
          <w:highlight w:val="none"/>
        </w:rPr>
      </w:pPr>
      <w:r>
        <w:rPr>
          <w:highlight w:val="none"/>
        </w:rPr>
        <w:t xml:space="preserve">23.2 </w:t>
      </w:r>
      <w:r>
        <w:rPr>
          <w:rFonts w:hint="eastAsia"/>
          <w:highlight w:val="none"/>
        </w:rPr>
        <w:t>如果允许投标供应商提交替代方案，则准备提交替代方案的投标供应商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tabs>
          <w:tab w:val="clear" w:pos="426"/>
        </w:tabs>
        <w:rPr>
          <w:rFonts w:hint="eastAsia"/>
          <w:highlight w:val="none"/>
        </w:rPr>
      </w:pPr>
      <w:r>
        <w:rPr>
          <w:highlight w:val="none"/>
        </w:rPr>
        <w:t xml:space="preserve">24． </w:t>
      </w:r>
      <w:r>
        <w:rPr>
          <w:rFonts w:hint="eastAsia"/>
          <w:highlight w:val="none"/>
        </w:rPr>
        <w:t>投标文件的密封、标记和装订</w:t>
      </w:r>
    </w:p>
    <w:p>
      <w:pPr>
        <w:widowControl w:val="0"/>
        <w:shd w:val="clear" w:color="auto" w:fill="auto"/>
        <w:tabs>
          <w:tab w:val="clear" w:pos="426"/>
        </w:tabs>
        <w:autoSpaceDE w:val="0"/>
        <w:autoSpaceDN w:val="0"/>
        <w:rPr>
          <w:rFonts w:hint="eastAsia" w:cs="黑体"/>
          <w:bCs/>
          <w:szCs w:val="21"/>
          <w:highlight w:val="none"/>
        </w:rPr>
      </w:pPr>
      <w:r>
        <w:rPr>
          <w:highlight w:val="none"/>
        </w:rPr>
        <w:t xml:space="preserve">24.1 </w:t>
      </w:r>
      <w:r>
        <w:rPr>
          <w:rFonts w:hint="eastAsia" w:cs="黑体"/>
          <w:bCs/>
          <w:szCs w:val="21"/>
          <w:highlight w:val="none"/>
        </w:rPr>
        <w:t>为方便开标唱标，投标供应商应单独提交一个密封信封，并在信封上标明“开标信封”的字样，内容包括开标一览表</w:t>
      </w:r>
      <w:r>
        <w:rPr>
          <w:rFonts w:cs="黑体"/>
          <w:bCs/>
          <w:szCs w:val="21"/>
          <w:highlight w:val="none"/>
        </w:rPr>
        <w:t>(报价表)、法定代表人证明书或法定代表人授权委托书、</w:t>
      </w:r>
      <w:r>
        <w:rPr>
          <w:rFonts w:hint="eastAsia"/>
          <w:szCs w:val="21"/>
          <w:highlight w:val="none"/>
        </w:rPr>
        <w:t>投标文件电子光盘</w:t>
      </w:r>
      <w:r>
        <w:rPr>
          <w:rFonts w:hint="eastAsia" w:cs="黑体"/>
          <w:bCs/>
          <w:szCs w:val="21"/>
          <w:highlight w:val="none"/>
        </w:rPr>
        <w:t>，若本项目（或包组）接受联合体投标，则联合体投标，应将各方共同签署的《联合投标协议》和《投标联合体授权主体方协议书》一并提交。开标信封是投标文件的组成部分。</w:t>
      </w:r>
    </w:p>
    <w:p>
      <w:pPr>
        <w:tabs>
          <w:tab w:val="clear" w:pos="426"/>
        </w:tabs>
        <w:rPr>
          <w:rFonts w:hint="eastAsia"/>
          <w:szCs w:val="21"/>
          <w:highlight w:val="none"/>
        </w:rPr>
      </w:pPr>
      <w:r>
        <w:rPr>
          <w:highlight w:val="none"/>
        </w:rPr>
        <w:t xml:space="preserve">24.2 </w:t>
      </w:r>
      <w:r>
        <w:rPr>
          <w:rFonts w:hint="eastAsia"/>
          <w:highlight w:val="none"/>
        </w:rPr>
        <w:t>投标文件为纸质投标文件，</w:t>
      </w:r>
      <w:r>
        <w:rPr>
          <w:rFonts w:hint="eastAsia"/>
          <w:szCs w:val="21"/>
          <w:highlight w:val="none"/>
        </w:rPr>
        <w:t>含正本和副本，投标文件应标明项目编号、招标项目名称及“正本”或“副本”。</w:t>
      </w:r>
      <w:r>
        <w:rPr>
          <w:rFonts w:hint="eastAsia"/>
          <w:highlight w:val="none"/>
        </w:rPr>
        <w:t>投标文件的所有内容应按</w:t>
      </w:r>
      <w:r>
        <w:rPr>
          <w:highlight w:val="none"/>
        </w:rPr>
        <w:t>A4篇幅装订成一册，装订应牢固不可拆卸。装订好的投标文件密封包装在一个外密封袋中，并在外密封袋上注明：</w:t>
      </w:r>
    </w:p>
    <w:p>
      <w:pPr>
        <w:tabs>
          <w:tab w:val="clear" w:pos="426"/>
        </w:tabs>
        <w:rPr>
          <w:rFonts w:hint="eastAsia"/>
          <w:highlight w:val="none"/>
        </w:rPr>
      </w:pPr>
      <w:r>
        <w:rPr>
          <w:rFonts w:hint="eastAsia"/>
          <w:highlight w:val="none"/>
        </w:rPr>
        <w:t>投标文件</w:t>
      </w:r>
    </w:p>
    <w:p>
      <w:pPr>
        <w:tabs>
          <w:tab w:val="clear" w:pos="426"/>
        </w:tabs>
        <w:rPr>
          <w:rFonts w:hint="eastAsia"/>
          <w:highlight w:val="none"/>
        </w:rPr>
      </w:pPr>
      <w:r>
        <w:rPr>
          <w:rFonts w:hint="eastAsia"/>
          <w:highlight w:val="none"/>
        </w:rPr>
        <w:t>项目编号：</w:t>
      </w:r>
    </w:p>
    <w:p>
      <w:pPr>
        <w:tabs>
          <w:tab w:val="clear" w:pos="426"/>
        </w:tabs>
        <w:rPr>
          <w:rFonts w:hint="eastAsia"/>
          <w:highlight w:val="none"/>
        </w:rPr>
      </w:pPr>
      <w:r>
        <w:rPr>
          <w:rFonts w:hint="eastAsia"/>
          <w:highlight w:val="none"/>
        </w:rPr>
        <w:t>项目名称：</w:t>
      </w:r>
    </w:p>
    <w:p>
      <w:pPr>
        <w:tabs>
          <w:tab w:val="clear" w:pos="426"/>
        </w:tabs>
        <w:rPr>
          <w:rFonts w:hint="eastAsia"/>
          <w:highlight w:val="none"/>
        </w:rPr>
      </w:pPr>
      <w:r>
        <w:rPr>
          <w:rFonts w:hint="eastAsia"/>
          <w:highlight w:val="none"/>
        </w:rPr>
        <w:t>投标供应商名称（盖章）：</w:t>
      </w:r>
    </w:p>
    <w:p>
      <w:pPr>
        <w:tabs>
          <w:tab w:val="clear" w:pos="426"/>
        </w:tabs>
        <w:rPr>
          <w:rFonts w:hint="eastAsia"/>
          <w:highlight w:val="none"/>
        </w:rPr>
      </w:pPr>
      <w:r>
        <w:rPr>
          <w:rFonts w:hint="eastAsia"/>
          <w:highlight w:val="none"/>
        </w:rPr>
        <w:t>投标截止时间：</w:t>
      </w:r>
      <w:r>
        <w:rPr>
          <w:highlight w:val="none"/>
          <w:u w:val="single"/>
        </w:rPr>
        <w:t>_______年______月______日______时______分（前不得开封）</w:t>
      </w:r>
      <w:r>
        <w:rPr>
          <w:rFonts w:hint="eastAsia"/>
          <w:highlight w:val="none"/>
        </w:rPr>
        <w:t>。</w:t>
      </w:r>
    </w:p>
    <w:p>
      <w:pPr>
        <w:tabs>
          <w:tab w:val="clear" w:pos="426"/>
        </w:tabs>
        <w:rPr>
          <w:rFonts w:hint="eastAsia"/>
          <w:highlight w:val="none"/>
        </w:rPr>
      </w:pPr>
      <w:r>
        <w:rPr>
          <w:highlight w:val="none"/>
        </w:rPr>
        <w:t xml:space="preserve">24.3  </w:t>
      </w:r>
      <w:r>
        <w:rPr>
          <w:rFonts w:hint="eastAsia"/>
          <w:highlight w:val="none"/>
        </w:rPr>
        <w:t>所有投标文件的密封袋的封口处均应加盖投标供应商公章。</w:t>
      </w:r>
    </w:p>
    <w:p>
      <w:pPr>
        <w:tabs>
          <w:tab w:val="clear" w:pos="426"/>
        </w:tabs>
        <w:rPr>
          <w:rFonts w:hint="eastAsia"/>
          <w:highlight w:val="none"/>
        </w:rPr>
      </w:pPr>
      <w:r>
        <w:rPr>
          <w:highlight w:val="none"/>
        </w:rPr>
        <w:t xml:space="preserve">24.4  </w:t>
      </w:r>
      <w:r>
        <w:rPr>
          <w:rFonts w:hint="eastAsia"/>
          <w:highlight w:val="none"/>
        </w:rPr>
        <w:t>对于因标书标识不清、装订不牢、密封不严等导致的不利后果由该投标供应商自负。</w:t>
      </w:r>
    </w:p>
    <w:p>
      <w:pPr>
        <w:tabs>
          <w:tab w:val="clear" w:pos="426"/>
        </w:tabs>
        <w:rPr>
          <w:rFonts w:hint="eastAsia"/>
          <w:szCs w:val="21"/>
          <w:highlight w:val="none"/>
        </w:rPr>
      </w:pPr>
      <w:r>
        <w:rPr>
          <w:szCs w:val="21"/>
          <w:highlight w:val="none"/>
        </w:rPr>
        <w:t xml:space="preserve">24.5  </w:t>
      </w:r>
      <w:r>
        <w:rPr>
          <w:rFonts w:hint="eastAsia"/>
          <w:szCs w:val="21"/>
          <w:highlight w:val="none"/>
        </w:rPr>
        <w:t>投标方应将投标文件按</w:t>
      </w:r>
      <w:r>
        <w:rPr>
          <w:szCs w:val="21"/>
          <w:highlight w:val="none"/>
        </w:rPr>
        <w:t>24.1-24.2中的规定进行密封和标记后，按专用条款中采购公告注明的地址送至招标机构。</w:t>
      </w:r>
    </w:p>
    <w:p>
      <w:pPr>
        <w:tabs>
          <w:tab w:val="clear" w:pos="426"/>
        </w:tabs>
        <w:rPr>
          <w:rFonts w:hint="eastAsia"/>
          <w:szCs w:val="21"/>
          <w:highlight w:val="none"/>
        </w:rPr>
      </w:pPr>
      <w:r>
        <w:rPr>
          <w:szCs w:val="21"/>
          <w:highlight w:val="none"/>
        </w:rPr>
        <w:t xml:space="preserve">24.6  </w:t>
      </w:r>
      <w:r>
        <w:rPr>
          <w:rFonts w:hint="eastAsia"/>
          <w:szCs w:val="21"/>
          <w:highlight w:val="none"/>
        </w:rPr>
        <w:t>邮寄、电报、电话、传真形式的投标概不接受。</w:t>
      </w:r>
    </w:p>
    <w:p>
      <w:pPr>
        <w:tabs>
          <w:tab w:val="clear" w:pos="426"/>
        </w:tabs>
        <w:rPr>
          <w:rFonts w:hint="eastAsia"/>
          <w:b/>
          <w:szCs w:val="21"/>
          <w:highlight w:val="none"/>
        </w:rPr>
      </w:pPr>
      <w:r>
        <w:rPr>
          <w:b/>
          <w:szCs w:val="21"/>
          <w:highlight w:val="none"/>
        </w:rPr>
        <w:t xml:space="preserve">24.7  </w:t>
      </w:r>
      <w:r>
        <w:rPr>
          <w:rFonts w:hint="eastAsia"/>
          <w:b/>
          <w:bCs/>
          <w:szCs w:val="21"/>
          <w:highlight w:val="none"/>
        </w:rPr>
        <w:t>投标文件电子版：电子光盘一张或U盘一个（WORD及投标文件正本盖章后的彩色复印件，复印件要求为</w:t>
      </w:r>
      <w:r>
        <w:rPr>
          <w:b/>
          <w:bCs/>
          <w:szCs w:val="21"/>
          <w:highlight w:val="none"/>
        </w:rPr>
        <w:t>PDF格式），请将该光盘放在开标信封中，并在光盘上标明项目编号、项目名称及投标供应商名称。</w:t>
      </w:r>
    </w:p>
    <w:p>
      <w:pPr>
        <w:tabs>
          <w:tab w:val="clear" w:pos="426"/>
        </w:tabs>
        <w:rPr>
          <w:rFonts w:hint="eastAsia"/>
          <w:szCs w:val="21"/>
          <w:highlight w:val="none"/>
        </w:rPr>
      </w:pPr>
      <w:r>
        <w:rPr>
          <w:szCs w:val="21"/>
          <w:highlight w:val="none"/>
        </w:rPr>
        <w:t xml:space="preserve">25． </w:t>
      </w:r>
      <w:r>
        <w:rPr>
          <w:rFonts w:hint="eastAsia"/>
          <w:szCs w:val="21"/>
          <w:highlight w:val="none"/>
        </w:rPr>
        <w:t>投标截止时间</w:t>
      </w:r>
    </w:p>
    <w:p>
      <w:pPr>
        <w:tabs>
          <w:tab w:val="clear" w:pos="426"/>
        </w:tabs>
        <w:rPr>
          <w:rFonts w:hint="eastAsia"/>
          <w:szCs w:val="21"/>
          <w:highlight w:val="none"/>
        </w:rPr>
      </w:pPr>
      <w:r>
        <w:rPr>
          <w:rFonts w:hint="eastAsia"/>
          <w:szCs w:val="21"/>
          <w:highlight w:val="none"/>
        </w:rPr>
        <w:t>招标机构在投标供应商须知第</w:t>
      </w:r>
      <w:r>
        <w:rPr>
          <w:szCs w:val="21"/>
          <w:highlight w:val="none"/>
        </w:rPr>
        <w:t>24.5条规定的地址收到投标书的时间不得迟于“投标供应商须知前附表”第19</w:t>
      </w:r>
      <w:r>
        <w:rPr>
          <w:rFonts w:hint="eastAsia"/>
          <w:szCs w:val="21"/>
          <w:highlight w:val="none"/>
        </w:rPr>
        <w:t>项所规定的时间。</w:t>
      </w:r>
    </w:p>
    <w:p>
      <w:pPr>
        <w:tabs>
          <w:tab w:val="clear" w:pos="426"/>
        </w:tabs>
        <w:rPr>
          <w:rFonts w:hint="eastAsia"/>
          <w:szCs w:val="21"/>
          <w:highlight w:val="none"/>
        </w:rPr>
      </w:pPr>
      <w:r>
        <w:rPr>
          <w:szCs w:val="21"/>
          <w:highlight w:val="none"/>
        </w:rPr>
        <w:t>26．迟交的投标书</w:t>
      </w:r>
    </w:p>
    <w:p>
      <w:pPr>
        <w:tabs>
          <w:tab w:val="clear" w:pos="426"/>
        </w:tabs>
        <w:rPr>
          <w:rFonts w:hint="eastAsia"/>
          <w:szCs w:val="21"/>
          <w:highlight w:val="none"/>
        </w:rPr>
      </w:pPr>
      <w:r>
        <w:rPr>
          <w:szCs w:val="21"/>
          <w:highlight w:val="none"/>
        </w:rPr>
        <w:t xml:space="preserve">    按照本通用条款第25条规定，招标机构将拒绝并原封退回在其规定的投标截止期后收到的任何投标书。</w:t>
      </w:r>
    </w:p>
    <w:p>
      <w:pPr>
        <w:tabs>
          <w:tab w:val="clear" w:pos="426"/>
        </w:tabs>
        <w:rPr>
          <w:rFonts w:hint="eastAsia"/>
          <w:highlight w:val="none"/>
        </w:rPr>
      </w:pPr>
      <w:r>
        <w:rPr>
          <w:highlight w:val="none"/>
        </w:rPr>
        <w:t xml:space="preserve">27． </w:t>
      </w:r>
      <w:r>
        <w:rPr>
          <w:rFonts w:hint="eastAsia"/>
          <w:highlight w:val="none"/>
        </w:rPr>
        <w:t>投标文件的提交和截标时投标文件的数量要求</w:t>
      </w:r>
    </w:p>
    <w:p>
      <w:pPr>
        <w:tabs>
          <w:tab w:val="clear" w:pos="426"/>
        </w:tabs>
        <w:rPr>
          <w:rFonts w:hint="eastAsia"/>
          <w:highlight w:val="none"/>
        </w:rPr>
      </w:pPr>
      <w:r>
        <w:rPr>
          <w:highlight w:val="none"/>
        </w:rPr>
        <w:t xml:space="preserve">27.1  </w:t>
      </w:r>
      <w:r>
        <w:rPr>
          <w:rFonts w:hint="eastAsia"/>
          <w:highlight w:val="none"/>
        </w:rPr>
        <w:t>投标截止时间和地点。投标供应商应根据“专用条款”的规定，在投标截止时间前将投标文件密封送达指定地点。未及时送达指定地点及不符合密封、标记、签章、装订要求的投标文件采购代理机构将拒绝接收。</w:t>
      </w:r>
    </w:p>
    <w:p>
      <w:pPr>
        <w:tabs>
          <w:tab w:val="clear" w:pos="426"/>
        </w:tabs>
        <w:rPr>
          <w:rFonts w:hint="eastAsia"/>
          <w:highlight w:val="none"/>
        </w:rPr>
      </w:pPr>
      <w:r>
        <w:rPr>
          <w:highlight w:val="none"/>
        </w:rPr>
        <w:t>27.2  截标时</w:t>
      </w:r>
      <w:r>
        <w:rPr>
          <w:rFonts w:hint="eastAsia"/>
          <w:highlight w:val="none"/>
        </w:rPr>
        <w:t>递</w:t>
      </w:r>
      <w:r>
        <w:rPr>
          <w:highlight w:val="none"/>
        </w:rPr>
        <w:t>交标书的投标供应商数</w:t>
      </w:r>
      <w:r>
        <w:rPr>
          <w:rFonts w:hint="eastAsia"/>
          <w:highlight w:val="none"/>
        </w:rPr>
        <w:t>量未达到法定家数的，采购代理机构将按法律法规的规定暂停</w:t>
      </w:r>
      <w:r>
        <w:rPr>
          <w:highlight w:val="none"/>
        </w:rPr>
        <w:t>开标和评标程序</w:t>
      </w:r>
      <w:r>
        <w:rPr>
          <w:rFonts w:hint="eastAsia"/>
          <w:highlight w:val="none"/>
        </w:rPr>
        <w:t>。如导致招标失败，采购人或采购代理机构将不负担因此给</w:t>
      </w:r>
      <w:r>
        <w:rPr>
          <w:highlight w:val="none"/>
        </w:rPr>
        <w:t>投标供应商</w:t>
      </w:r>
      <w:r>
        <w:rPr>
          <w:rFonts w:hint="eastAsia"/>
          <w:highlight w:val="none"/>
        </w:rPr>
        <w:t>造成的损失。</w:t>
      </w:r>
    </w:p>
    <w:p>
      <w:pPr>
        <w:tabs>
          <w:tab w:val="clear" w:pos="426"/>
        </w:tabs>
        <w:rPr>
          <w:rFonts w:hint="eastAsia"/>
          <w:highlight w:val="none"/>
        </w:rPr>
      </w:pPr>
      <w:r>
        <w:rPr>
          <w:highlight w:val="none"/>
        </w:rPr>
        <w:t xml:space="preserve">28．  </w:t>
      </w:r>
      <w:r>
        <w:rPr>
          <w:rFonts w:hint="eastAsia"/>
          <w:highlight w:val="none"/>
        </w:rPr>
        <w:t>投标文件的修改或撤回</w:t>
      </w:r>
    </w:p>
    <w:p>
      <w:pPr>
        <w:tabs>
          <w:tab w:val="clear" w:pos="426"/>
        </w:tabs>
        <w:rPr>
          <w:rFonts w:hint="eastAsia"/>
          <w:highlight w:val="none"/>
        </w:rPr>
      </w:pPr>
      <w:r>
        <w:rPr>
          <w:highlight w:val="none"/>
        </w:rPr>
        <w:t xml:space="preserve">28.1  </w:t>
      </w:r>
      <w:r>
        <w:rPr>
          <w:rFonts w:hint="eastAsia"/>
          <w:highlight w:val="none"/>
        </w:rPr>
        <w:t>投标供应商已提交投标文件，规定的投标</w:t>
      </w:r>
      <w:r>
        <w:rPr>
          <w:highlight w:val="none"/>
        </w:rPr>
        <w:t>截止</w:t>
      </w:r>
      <w:r>
        <w:rPr>
          <w:rFonts w:hint="eastAsia"/>
          <w:highlight w:val="none"/>
        </w:rPr>
        <w:t>时间还未到，投标供应商可提出对其投标文件的修改或撤回。投标供应商须提交由投标供应商代表签名的修改或撤回的书面通知。</w:t>
      </w:r>
    </w:p>
    <w:p>
      <w:pPr>
        <w:tabs>
          <w:tab w:val="clear" w:pos="426"/>
        </w:tabs>
        <w:rPr>
          <w:rFonts w:hint="eastAsia"/>
          <w:highlight w:val="none"/>
        </w:rPr>
      </w:pPr>
      <w:r>
        <w:rPr>
          <w:highlight w:val="none"/>
        </w:rPr>
        <w:t xml:space="preserve">28.2  </w:t>
      </w:r>
      <w:r>
        <w:rPr>
          <w:rFonts w:hint="eastAsia"/>
          <w:highlight w:val="none"/>
        </w:rPr>
        <w:t>采购代理机构收到由投标供应商代表签名的修改或撤回的书面通知并确认后，投标供应商可对其投标文件进行修改，或是撤回其投标。</w:t>
      </w:r>
    </w:p>
    <w:p>
      <w:pPr>
        <w:tabs>
          <w:tab w:val="clear" w:pos="426"/>
        </w:tabs>
        <w:rPr>
          <w:rFonts w:hint="eastAsia"/>
          <w:highlight w:val="none"/>
        </w:rPr>
      </w:pPr>
      <w:r>
        <w:rPr>
          <w:highlight w:val="none"/>
        </w:rPr>
        <w:t xml:space="preserve">28.3  </w:t>
      </w:r>
      <w:r>
        <w:rPr>
          <w:rFonts w:hint="eastAsia"/>
          <w:highlight w:val="none"/>
        </w:rPr>
        <w:t>投标供应商的修改文件应按照本招标文件的规定进行编制、密封、标记和提交，并在密封袋上注明“投标修改”。</w:t>
      </w:r>
    </w:p>
    <w:p>
      <w:pPr>
        <w:tabs>
          <w:tab w:val="clear" w:pos="426"/>
        </w:tabs>
        <w:rPr>
          <w:rFonts w:hint="eastAsia"/>
          <w:highlight w:val="none"/>
        </w:rPr>
      </w:pPr>
      <w:r>
        <w:rPr>
          <w:highlight w:val="none"/>
        </w:rPr>
        <w:t xml:space="preserve">28.4  </w:t>
      </w:r>
      <w:r>
        <w:rPr>
          <w:rFonts w:hint="eastAsia"/>
          <w:highlight w:val="none"/>
        </w:rPr>
        <w:t>投标截止时间之后至投标文件有效期终止之前，投标供应商不得要求撤回其投标。在此期间撤回投标的，其投标担保将会被没收。</w:t>
      </w:r>
    </w:p>
    <w:p>
      <w:pPr>
        <w:tabs>
          <w:tab w:val="clear" w:pos="426"/>
        </w:tabs>
        <w:rPr>
          <w:rFonts w:hint="eastAsia"/>
          <w:highlight w:val="none"/>
        </w:rPr>
      </w:pPr>
      <w:r>
        <w:rPr>
          <w:highlight w:val="none"/>
        </w:rPr>
        <w:t xml:space="preserve">28.5  </w:t>
      </w:r>
      <w:r>
        <w:rPr>
          <w:rFonts w:hint="eastAsia"/>
          <w:highlight w:val="none"/>
        </w:rPr>
        <w:t>评标结束后，不论中标与否，投标供应商均不得收回投标文件。</w:t>
      </w:r>
    </w:p>
    <w:p>
      <w:pPr>
        <w:pStyle w:val="5"/>
        <w:tabs>
          <w:tab w:val="clear" w:pos="426"/>
        </w:tabs>
        <w:rPr>
          <w:rFonts w:hint="eastAsia"/>
          <w:highlight w:val="none"/>
        </w:rPr>
      </w:pPr>
      <w:bookmarkStart w:id="153" w:name="_Toc18415"/>
      <w:bookmarkStart w:id="154" w:name="_Toc14427257"/>
      <w:bookmarkStart w:id="155" w:name="_Toc529280584"/>
      <w:bookmarkStart w:id="156" w:name="_Toc530152525"/>
      <w:r>
        <w:rPr>
          <w:rFonts w:hint="eastAsia"/>
          <w:highlight w:val="none"/>
        </w:rPr>
        <w:t>第四章 开标</w:t>
      </w:r>
      <w:bookmarkEnd w:id="153"/>
      <w:bookmarkEnd w:id="154"/>
      <w:bookmarkEnd w:id="155"/>
      <w:bookmarkEnd w:id="156"/>
    </w:p>
    <w:p>
      <w:pPr>
        <w:tabs>
          <w:tab w:val="clear" w:pos="426"/>
        </w:tabs>
        <w:rPr>
          <w:rFonts w:hint="eastAsia"/>
          <w:highlight w:val="none"/>
        </w:rPr>
      </w:pPr>
      <w:r>
        <w:rPr>
          <w:highlight w:val="none"/>
        </w:rPr>
        <w:t>29．　开标</w:t>
      </w:r>
    </w:p>
    <w:p>
      <w:pPr>
        <w:tabs>
          <w:tab w:val="clear" w:pos="426"/>
        </w:tabs>
        <w:rPr>
          <w:rFonts w:hint="eastAsia"/>
          <w:highlight w:val="none"/>
        </w:rPr>
      </w:pPr>
      <w:r>
        <w:rPr>
          <w:highlight w:val="none"/>
        </w:rPr>
        <w:t xml:space="preserve">29.1  </w:t>
      </w:r>
      <w:r>
        <w:rPr>
          <w:rFonts w:hint="eastAsia"/>
          <w:highlight w:val="none"/>
        </w:rPr>
        <w:t>采购人在“投标须知前附表”中规定的时间、地点组织公开开标。邀请所有投标供应商代表参加。不参加开标会的投标供应商，视为其认可开标程序和结果。</w:t>
      </w:r>
    </w:p>
    <w:p>
      <w:pPr>
        <w:tabs>
          <w:tab w:val="clear" w:pos="426"/>
        </w:tabs>
        <w:rPr>
          <w:rFonts w:hint="eastAsia"/>
          <w:highlight w:val="none"/>
        </w:rPr>
      </w:pPr>
      <w:r>
        <w:rPr>
          <w:highlight w:val="none"/>
        </w:rPr>
        <w:t xml:space="preserve">29.2  </w:t>
      </w:r>
      <w:r>
        <w:rPr>
          <w:rFonts w:hint="eastAsia"/>
          <w:highlight w:val="none"/>
        </w:rPr>
        <w:t>参加开标会议的投标供应商只委派一名代表，且必须是本单位法定代表人或授权代表，参加会议人员须提供相应的授权委托书。</w:t>
      </w:r>
    </w:p>
    <w:p>
      <w:pPr>
        <w:tabs>
          <w:tab w:val="clear" w:pos="426"/>
        </w:tabs>
        <w:rPr>
          <w:rFonts w:hint="eastAsia"/>
          <w:highlight w:val="none"/>
        </w:rPr>
      </w:pPr>
      <w:r>
        <w:rPr>
          <w:highlight w:val="none"/>
        </w:rPr>
        <w:t xml:space="preserve">29.3  </w:t>
      </w:r>
      <w:r>
        <w:rPr>
          <w:rFonts w:hint="eastAsia"/>
          <w:highlight w:val="none"/>
        </w:rPr>
        <w:t>开标会由采购代理机构主持，开标程序如下：</w:t>
      </w:r>
    </w:p>
    <w:p>
      <w:pPr>
        <w:tabs>
          <w:tab w:val="clear" w:pos="426"/>
        </w:tabs>
        <w:rPr>
          <w:rFonts w:hint="eastAsia"/>
          <w:highlight w:val="none"/>
        </w:rPr>
      </w:pPr>
      <w:r>
        <w:rPr>
          <w:highlight w:val="none"/>
        </w:rPr>
        <w:t xml:space="preserve">29.3.1  采购代理机构核对法人代表或其授权代表身份证明，若不能提供相应的身份证明或不相符，则不能参与开标会议； </w:t>
      </w:r>
    </w:p>
    <w:p>
      <w:pPr>
        <w:tabs>
          <w:tab w:val="clear" w:pos="426"/>
        </w:tabs>
        <w:rPr>
          <w:rFonts w:hint="eastAsia"/>
          <w:szCs w:val="21"/>
          <w:highlight w:val="none"/>
        </w:rPr>
      </w:pPr>
      <w:r>
        <w:rPr>
          <w:szCs w:val="21"/>
          <w:highlight w:val="none"/>
        </w:rPr>
        <w:t xml:space="preserve">29.3.2  </w:t>
      </w:r>
      <w:r>
        <w:rPr>
          <w:rFonts w:hint="eastAsia"/>
          <w:szCs w:val="21"/>
          <w:highlight w:val="none"/>
        </w:rPr>
        <w:t>招标机构将按“采购公告”规定的时间和地点组织公开开标。投标供应商应委派代表参加，参加开标的代表应签名报到以证明出席。</w:t>
      </w:r>
    </w:p>
    <w:p>
      <w:pPr>
        <w:tabs>
          <w:tab w:val="clear" w:pos="426"/>
        </w:tabs>
        <w:rPr>
          <w:rFonts w:hint="eastAsia"/>
          <w:szCs w:val="21"/>
          <w:highlight w:val="none"/>
        </w:rPr>
      </w:pPr>
      <w:r>
        <w:rPr>
          <w:szCs w:val="21"/>
          <w:highlight w:val="none"/>
        </w:rPr>
        <w:t xml:space="preserve">29.3.3  </w:t>
      </w:r>
      <w:r>
        <w:rPr>
          <w:rFonts w:hint="eastAsia"/>
          <w:szCs w:val="21"/>
          <w:highlight w:val="none"/>
        </w:rPr>
        <w:t>开标时，招标机构将当众宣读投标供应商名称、修改和撤回投标的通知、开标一览表（以招标文件规定的开标一览表内容为准）。投标文件中开标一览表内容与投标报价明细表内容不一致的，以开标一览表为准。</w:t>
      </w:r>
    </w:p>
    <w:p>
      <w:pPr>
        <w:tabs>
          <w:tab w:val="clear" w:pos="426"/>
        </w:tabs>
        <w:ind w:firstLine="411" w:firstLineChars="196"/>
        <w:rPr>
          <w:rFonts w:hint="eastAsia"/>
          <w:szCs w:val="21"/>
          <w:highlight w:val="none"/>
        </w:rPr>
      </w:pPr>
      <w:r>
        <w:rPr>
          <w:rFonts w:hint="eastAsia"/>
          <w:szCs w:val="21"/>
          <w:highlight w:val="none"/>
        </w:rPr>
        <w:t>除了按照本通用条款第</w:t>
      </w:r>
      <w:r>
        <w:rPr>
          <w:szCs w:val="21"/>
          <w:highlight w:val="none"/>
        </w:rPr>
        <w:t>26条规定原封退回的投标之外，开标时将不得拒绝任何投标书。</w:t>
      </w:r>
    </w:p>
    <w:p>
      <w:pPr>
        <w:tabs>
          <w:tab w:val="clear" w:pos="426"/>
        </w:tabs>
        <w:rPr>
          <w:rFonts w:hint="eastAsia"/>
          <w:szCs w:val="21"/>
          <w:highlight w:val="none"/>
        </w:rPr>
      </w:pPr>
      <w:r>
        <w:rPr>
          <w:szCs w:val="21"/>
          <w:highlight w:val="none"/>
        </w:rPr>
        <w:t xml:space="preserve">29.3.4  </w:t>
      </w:r>
      <w:r>
        <w:rPr>
          <w:rFonts w:hint="eastAsia"/>
          <w:szCs w:val="21"/>
          <w:highlight w:val="none"/>
        </w:rPr>
        <w:t>开标时，招标机构仅拆封开标信封。如投标供应商未单独密封包装开标信封，招标机构有权拆封投标文件。</w:t>
      </w:r>
    </w:p>
    <w:p>
      <w:pPr>
        <w:tabs>
          <w:tab w:val="clear" w:pos="426"/>
        </w:tabs>
        <w:rPr>
          <w:rFonts w:hint="eastAsia"/>
          <w:szCs w:val="21"/>
          <w:highlight w:val="none"/>
        </w:rPr>
      </w:pPr>
      <w:r>
        <w:rPr>
          <w:szCs w:val="21"/>
          <w:highlight w:val="none"/>
        </w:rPr>
        <w:t xml:space="preserve">29.3.5  </w:t>
      </w:r>
      <w:r>
        <w:rPr>
          <w:rFonts w:hint="eastAsia"/>
          <w:szCs w:val="21"/>
          <w:highlight w:val="none"/>
        </w:rPr>
        <w:t>按照投标供应商须知第</w:t>
      </w:r>
      <w:r>
        <w:rPr>
          <w:szCs w:val="21"/>
          <w:highlight w:val="none"/>
        </w:rPr>
        <w:t>28条规定，提交了可接受的“撤回”通知的投标将不予开封。</w:t>
      </w:r>
    </w:p>
    <w:p>
      <w:pPr>
        <w:tabs>
          <w:tab w:val="clear" w:pos="426"/>
        </w:tabs>
        <w:rPr>
          <w:rFonts w:hint="eastAsia"/>
          <w:szCs w:val="21"/>
          <w:highlight w:val="none"/>
        </w:rPr>
      </w:pPr>
      <w:r>
        <w:rPr>
          <w:szCs w:val="21"/>
          <w:highlight w:val="none"/>
        </w:rPr>
        <w:t xml:space="preserve">29.3.6  </w:t>
      </w:r>
      <w:r>
        <w:rPr>
          <w:rFonts w:hint="eastAsia"/>
          <w:szCs w:val="21"/>
          <w:highlight w:val="none"/>
        </w:rPr>
        <w:t>无论如何在开标时没有启封和读出的投标书在评标时将不予考虑。撤回的投标书将原封退回投标供应商。</w:t>
      </w:r>
    </w:p>
    <w:p>
      <w:pPr>
        <w:tabs>
          <w:tab w:val="clear" w:pos="426"/>
        </w:tabs>
        <w:rPr>
          <w:rFonts w:hint="eastAsia"/>
          <w:szCs w:val="21"/>
          <w:highlight w:val="none"/>
        </w:rPr>
      </w:pPr>
      <w:r>
        <w:rPr>
          <w:szCs w:val="21"/>
          <w:highlight w:val="none"/>
        </w:rPr>
        <w:t xml:space="preserve">29.3.7  </w:t>
      </w:r>
      <w:r>
        <w:rPr>
          <w:rFonts w:hint="eastAsia"/>
          <w:szCs w:val="21"/>
          <w:highlight w:val="none"/>
        </w:rPr>
        <w:t>招标机构将做开标记录，开标记录包括按本通用条款第</w:t>
      </w:r>
      <w:r>
        <w:rPr>
          <w:szCs w:val="21"/>
          <w:highlight w:val="none"/>
        </w:rPr>
        <w:t>29.3.3的规定在开标时宣读的全部内容。</w:t>
      </w:r>
    </w:p>
    <w:p>
      <w:pPr>
        <w:tabs>
          <w:tab w:val="clear" w:pos="426"/>
        </w:tabs>
        <w:rPr>
          <w:rFonts w:hint="eastAsia"/>
          <w:highlight w:val="none"/>
        </w:rPr>
      </w:pPr>
      <w:r>
        <w:rPr>
          <w:highlight w:val="none"/>
        </w:rPr>
        <w:t xml:space="preserve">29.3.8  </w:t>
      </w:r>
      <w:r>
        <w:rPr>
          <w:rFonts w:hint="eastAsia"/>
          <w:highlight w:val="none"/>
        </w:rPr>
        <w:t>供应商在开标过程中知道或者应知其权益受到损害时必须现场明确提出，未明确提出的，即视为认可开标结果。</w:t>
      </w:r>
    </w:p>
    <w:p>
      <w:pPr>
        <w:pStyle w:val="5"/>
        <w:tabs>
          <w:tab w:val="clear" w:pos="426"/>
        </w:tabs>
        <w:rPr>
          <w:rFonts w:hint="eastAsia"/>
          <w:highlight w:val="none"/>
        </w:rPr>
      </w:pPr>
      <w:bookmarkStart w:id="157" w:name="_Toc31833"/>
      <w:bookmarkStart w:id="158" w:name="_Toc529280585"/>
      <w:bookmarkStart w:id="159" w:name="_Toc14427258"/>
      <w:bookmarkStart w:id="160" w:name="_Toc530152526"/>
      <w:r>
        <w:rPr>
          <w:rFonts w:hint="eastAsia"/>
          <w:highlight w:val="none"/>
        </w:rPr>
        <w:t>第五章 评标要求</w:t>
      </w:r>
      <w:bookmarkEnd w:id="157"/>
      <w:bookmarkEnd w:id="158"/>
      <w:bookmarkEnd w:id="159"/>
      <w:bookmarkEnd w:id="160"/>
    </w:p>
    <w:p>
      <w:pPr>
        <w:tabs>
          <w:tab w:val="clear" w:pos="426"/>
        </w:tabs>
        <w:rPr>
          <w:rFonts w:hint="eastAsia"/>
          <w:highlight w:val="none"/>
        </w:rPr>
      </w:pPr>
      <w:r>
        <w:rPr>
          <w:highlight w:val="none"/>
        </w:rPr>
        <w:t>30．评标委员会组成</w:t>
      </w:r>
    </w:p>
    <w:p>
      <w:pPr>
        <w:tabs>
          <w:tab w:val="clear" w:pos="426"/>
        </w:tabs>
        <w:rPr>
          <w:rFonts w:hint="eastAsia"/>
          <w:highlight w:val="none"/>
        </w:rPr>
      </w:pPr>
      <w:r>
        <w:rPr>
          <w:highlight w:val="none"/>
        </w:rPr>
        <w:t>30.1开标结束后召开评标会议，评标委员会由采购代理机构依法组建，负责评标活动。</w:t>
      </w:r>
    </w:p>
    <w:p>
      <w:pPr>
        <w:tabs>
          <w:tab w:val="clear" w:pos="426"/>
        </w:tabs>
        <w:rPr>
          <w:rFonts w:hint="eastAsia"/>
          <w:highlight w:val="none"/>
        </w:rPr>
      </w:pPr>
      <w:r>
        <w:rPr>
          <w:rFonts w:hint="eastAsia"/>
          <w:highlight w:val="none"/>
        </w:rPr>
        <w:t>评标委员会的组成及行为规范执行《中华人民共和国政府采购法》《中华人民共和国政府采购法实施条例》，评标委员会由采购单位代表和有关技术、经济等方面的专家组成，成员人数为</w:t>
      </w:r>
      <w:r>
        <w:rPr>
          <w:highlight w:val="none"/>
        </w:rPr>
        <w:t>5</w:t>
      </w:r>
      <w:r>
        <w:rPr>
          <w:rFonts w:hint="eastAsia"/>
          <w:highlight w:val="none"/>
        </w:rPr>
        <w:t>人以上（含</w:t>
      </w:r>
      <w:r>
        <w:rPr>
          <w:highlight w:val="none"/>
        </w:rPr>
        <w:t>5</w:t>
      </w:r>
      <w:r>
        <w:rPr>
          <w:rFonts w:hint="eastAsia"/>
          <w:highlight w:val="none"/>
        </w:rPr>
        <w:t>人）单数，其中技术、经济等方面的专家不少于成员总数的三分之二。</w:t>
      </w:r>
    </w:p>
    <w:p>
      <w:pPr>
        <w:tabs>
          <w:tab w:val="clear" w:pos="426"/>
        </w:tabs>
        <w:rPr>
          <w:rFonts w:hint="eastAsia"/>
          <w:highlight w:val="none"/>
        </w:rPr>
      </w:pPr>
      <w:r>
        <w:rPr>
          <w:rFonts w:hint="eastAsia"/>
          <w:highlight w:val="none"/>
        </w:rPr>
        <w:t>为保证评委人选的专业性，以及评标中的公平公正性，评标委员会成员从深圳市财政委员会评标专家库中随机抽取。</w:t>
      </w:r>
    </w:p>
    <w:p>
      <w:pPr>
        <w:tabs>
          <w:tab w:val="clear" w:pos="426"/>
        </w:tabs>
        <w:rPr>
          <w:rFonts w:hint="eastAsia"/>
          <w:highlight w:val="none"/>
        </w:rPr>
      </w:pPr>
      <w:r>
        <w:rPr>
          <w:rFonts w:hint="eastAsia"/>
          <w:highlight w:val="none"/>
        </w:rPr>
        <w:t>采购单位代表须持本单位签发的《评标授权书》参加评标。</w:t>
      </w:r>
    </w:p>
    <w:p>
      <w:pPr>
        <w:tabs>
          <w:tab w:val="clear" w:pos="426"/>
        </w:tabs>
        <w:rPr>
          <w:rFonts w:hint="eastAsia"/>
          <w:highlight w:val="none"/>
        </w:rPr>
      </w:pPr>
      <w:r>
        <w:rPr>
          <w:rFonts w:hint="eastAsia"/>
          <w:highlight w:val="none"/>
        </w:rPr>
        <w:t>采购单位无代表参与评标，应在开标前一天提交《采购单位不派评委参与项目评标承诺书》给采购代理机构。</w:t>
      </w:r>
    </w:p>
    <w:p>
      <w:pPr>
        <w:tabs>
          <w:tab w:val="clear" w:pos="426"/>
        </w:tabs>
        <w:rPr>
          <w:rFonts w:hint="eastAsia"/>
          <w:sz w:val="24"/>
          <w:highlight w:val="none"/>
        </w:rPr>
      </w:pPr>
      <w:r>
        <w:rPr>
          <w:rFonts w:hint="eastAsia"/>
          <w:highlight w:val="none"/>
        </w:rPr>
        <w:t>注：《评标授权书》《采购单位不派评委参与项目评标承诺书》模板由采购代理机构提供</w:t>
      </w:r>
      <w:r>
        <w:rPr>
          <w:rFonts w:hint="eastAsia"/>
          <w:sz w:val="24"/>
          <w:highlight w:val="none"/>
        </w:rPr>
        <w:t>。</w:t>
      </w:r>
    </w:p>
    <w:p>
      <w:pPr>
        <w:tabs>
          <w:tab w:val="clear" w:pos="426"/>
        </w:tabs>
        <w:rPr>
          <w:rFonts w:hint="eastAsia"/>
          <w:highlight w:val="none"/>
        </w:rPr>
      </w:pPr>
      <w:r>
        <w:rPr>
          <w:highlight w:val="none"/>
        </w:rPr>
        <w:t>30.2评标定标应当遵循公平、公正、科学、择优的原则。</w:t>
      </w:r>
    </w:p>
    <w:p>
      <w:pPr>
        <w:tabs>
          <w:tab w:val="clear" w:pos="426"/>
        </w:tabs>
        <w:rPr>
          <w:rFonts w:hint="eastAsia"/>
          <w:highlight w:val="none"/>
        </w:rPr>
      </w:pPr>
      <w:r>
        <w:rPr>
          <w:highlight w:val="none"/>
        </w:rPr>
        <w:t>30.3评标活动依法进行，任何单位和个人不得非法干预评标过程和结果。</w:t>
      </w:r>
    </w:p>
    <w:p>
      <w:pPr>
        <w:tabs>
          <w:tab w:val="clear" w:pos="426"/>
        </w:tabs>
        <w:rPr>
          <w:rFonts w:hint="eastAsia"/>
          <w:highlight w:val="none"/>
        </w:rPr>
      </w:pPr>
      <w:r>
        <w:rPr>
          <w:highlight w:val="none"/>
        </w:rPr>
        <w:t>30.4评标过程中不允许违背评标程序或采用招标文件未载明的评标方法或评标因素进行评标。</w:t>
      </w:r>
    </w:p>
    <w:p>
      <w:pPr>
        <w:tabs>
          <w:tab w:val="clear" w:pos="426"/>
        </w:tabs>
        <w:rPr>
          <w:rFonts w:hint="eastAsia"/>
          <w:highlight w:val="none"/>
        </w:rPr>
      </w:pPr>
      <w:r>
        <w:rPr>
          <w:highlight w:val="none"/>
        </w:rPr>
        <w:t xml:space="preserve">30.5 </w:t>
      </w:r>
      <w:r>
        <w:rPr>
          <w:rFonts w:hint="eastAsia"/>
          <w:highlight w:val="none"/>
        </w:rPr>
        <w:t>开标后，直到授予中标供应商合同为止，凡属于对投标文件的审查、澄清、评价和比较的有关资料以及中标候选人的推荐情况、与评标有关的其他任何情况均严格保密。</w:t>
      </w:r>
    </w:p>
    <w:p>
      <w:pPr>
        <w:tabs>
          <w:tab w:val="clear" w:pos="426"/>
        </w:tabs>
        <w:rPr>
          <w:rFonts w:hint="eastAsia"/>
          <w:highlight w:val="none"/>
        </w:rPr>
      </w:pPr>
      <w:r>
        <w:rPr>
          <w:highlight w:val="none"/>
        </w:rPr>
        <w:t>31．向评标委员会提供的资料</w:t>
      </w:r>
    </w:p>
    <w:p>
      <w:pPr>
        <w:tabs>
          <w:tab w:val="clear" w:pos="426"/>
        </w:tabs>
        <w:rPr>
          <w:rFonts w:hint="eastAsia"/>
          <w:highlight w:val="none"/>
        </w:rPr>
      </w:pPr>
      <w:r>
        <w:rPr>
          <w:highlight w:val="none"/>
        </w:rPr>
        <w:t>31.1公开发布的招标文件，包括图纸、服务清单、答疑文件等；</w:t>
      </w:r>
    </w:p>
    <w:p>
      <w:pPr>
        <w:tabs>
          <w:tab w:val="clear" w:pos="426"/>
        </w:tabs>
        <w:rPr>
          <w:rFonts w:hint="eastAsia"/>
          <w:highlight w:val="none"/>
        </w:rPr>
      </w:pPr>
      <w:r>
        <w:rPr>
          <w:highlight w:val="none"/>
        </w:rPr>
        <w:t>31.2其他评标必须的资料。</w:t>
      </w:r>
    </w:p>
    <w:p>
      <w:pPr>
        <w:tabs>
          <w:tab w:val="clear" w:pos="426"/>
        </w:tabs>
        <w:rPr>
          <w:rFonts w:hint="eastAsia"/>
          <w:highlight w:val="none"/>
        </w:rPr>
      </w:pPr>
      <w:r>
        <w:rPr>
          <w:highlight w:val="none"/>
        </w:rPr>
        <w:t>31.3评标委员会应当认真研究招标文件，至少应了解熟悉以下</w:t>
      </w:r>
      <w:r>
        <w:rPr>
          <w:rFonts w:hint="eastAsia"/>
          <w:highlight w:val="none"/>
        </w:rPr>
        <w:t>内容：</w:t>
      </w:r>
    </w:p>
    <w:p>
      <w:pPr>
        <w:tabs>
          <w:tab w:val="clear" w:pos="426"/>
        </w:tabs>
        <w:rPr>
          <w:rFonts w:hint="eastAsia"/>
          <w:highlight w:val="none"/>
        </w:rPr>
      </w:pPr>
      <w:r>
        <w:rPr>
          <w:rFonts w:hint="eastAsia"/>
          <w:highlight w:val="none"/>
        </w:rPr>
        <w:t>（1）招标的目的；</w:t>
      </w:r>
    </w:p>
    <w:p>
      <w:pPr>
        <w:tabs>
          <w:tab w:val="clear" w:pos="426"/>
        </w:tabs>
        <w:rPr>
          <w:rFonts w:hint="eastAsia"/>
          <w:highlight w:val="none"/>
        </w:rPr>
      </w:pPr>
      <w:r>
        <w:rPr>
          <w:rFonts w:hint="eastAsia"/>
          <w:highlight w:val="none"/>
        </w:rPr>
        <w:t>（2）招标项目需求的范围和性质；</w:t>
      </w:r>
    </w:p>
    <w:p>
      <w:pPr>
        <w:tabs>
          <w:tab w:val="clear" w:pos="426"/>
        </w:tabs>
        <w:rPr>
          <w:rFonts w:hint="eastAsia"/>
          <w:highlight w:val="none"/>
        </w:rPr>
      </w:pPr>
      <w:r>
        <w:rPr>
          <w:rFonts w:hint="eastAsia"/>
          <w:highlight w:val="none"/>
        </w:rPr>
        <w:t>（3）招标文件规定的投标供应商的资格、财政预算限额、商务条款；</w:t>
      </w:r>
    </w:p>
    <w:p>
      <w:pPr>
        <w:tabs>
          <w:tab w:val="clear" w:pos="426"/>
        </w:tabs>
        <w:rPr>
          <w:rFonts w:hint="eastAsia"/>
          <w:highlight w:val="none"/>
        </w:rPr>
      </w:pPr>
      <w:r>
        <w:rPr>
          <w:rFonts w:hint="eastAsia"/>
          <w:highlight w:val="none"/>
        </w:rPr>
        <w:t>（4）招标文件规定的评标程序、评标方法和评标因素；</w:t>
      </w:r>
    </w:p>
    <w:p>
      <w:pPr>
        <w:tabs>
          <w:tab w:val="clear" w:pos="426"/>
        </w:tabs>
        <w:rPr>
          <w:rFonts w:hint="eastAsia"/>
          <w:highlight w:val="none"/>
        </w:rPr>
      </w:pPr>
      <w:r>
        <w:rPr>
          <w:rFonts w:hint="eastAsia"/>
          <w:highlight w:val="none"/>
        </w:rPr>
        <w:t>（5）招标文件所列示的投标文件“资格、符合性评审条款”。</w:t>
      </w:r>
    </w:p>
    <w:p>
      <w:pPr>
        <w:tabs>
          <w:tab w:val="clear" w:pos="426"/>
        </w:tabs>
        <w:rPr>
          <w:rFonts w:hint="eastAsia"/>
          <w:highlight w:val="none"/>
        </w:rPr>
      </w:pPr>
      <w:r>
        <w:rPr>
          <w:rFonts w:hint="eastAsia"/>
          <w:highlight w:val="none"/>
        </w:rPr>
        <w:t>32．独立评标</w:t>
      </w:r>
    </w:p>
    <w:p>
      <w:pPr>
        <w:tabs>
          <w:tab w:val="clear" w:pos="426"/>
        </w:tabs>
        <w:rPr>
          <w:rFonts w:hint="eastAsia"/>
          <w:szCs w:val="21"/>
          <w:highlight w:val="none"/>
        </w:rPr>
      </w:pPr>
      <w:r>
        <w:rPr>
          <w:rFonts w:hint="eastAsia"/>
          <w:highlight w:val="none"/>
        </w:rPr>
        <w:t>32.1评标委员会成员的评标活动应当独立进行，并应遵循投标文件初审、澄清有关问题、比较与评价、确定中标候选供应商、编写评标报告的工作程序。</w:t>
      </w:r>
    </w:p>
    <w:p>
      <w:pPr>
        <w:pStyle w:val="5"/>
        <w:tabs>
          <w:tab w:val="clear" w:pos="426"/>
        </w:tabs>
        <w:rPr>
          <w:rFonts w:hint="eastAsia"/>
          <w:highlight w:val="none"/>
        </w:rPr>
      </w:pPr>
      <w:bookmarkStart w:id="161" w:name="_Toc14427259"/>
      <w:bookmarkStart w:id="162" w:name="_Toc530152527"/>
      <w:bookmarkStart w:id="163" w:name="_Toc329"/>
      <w:bookmarkStart w:id="164" w:name="_Toc529280586"/>
      <w:r>
        <w:rPr>
          <w:rFonts w:hint="eastAsia"/>
          <w:highlight w:val="none"/>
        </w:rPr>
        <w:t>第六章 评标程序及评标方法</w:t>
      </w:r>
      <w:bookmarkEnd w:id="161"/>
      <w:bookmarkEnd w:id="162"/>
      <w:bookmarkEnd w:id="163"/>
      <w:bookmarkEnd w:id="164"/>
    </w:p>
    <w:p>
      <w:pPr>
        <w:tabs>
          <w:tab w:val="clear" w:pos="426"/>
        </w:tabs>
        <w:rPr>
          <w:rFonts w:hint="eastAsia"/>
          <w:highlight w:val="none"/>
        </w:rPr>
      </w:pPr>
      <w:r>
        <w:rPr>
          <w:rFonts w:hint="eastAsia"/>
          <w:highlight w:val="none"/>
        </w:rPr>
        <w:t>33．投标文件初审</w:t>
      </w:r>
    </w:p>
    <w:p>
      <w:pPr>
        <w:widowControl w:val="0"/>
        <w:shd w:val="clear" w:color="auto" w:fill="auto"/>
        <w:tabs>
          <w:tab w:val="clear" w:pos="426"/>
        </w:tabs>
        <w:autoSpaceDE w:val="0"/>
        <w:autoSpaceDN w:val="0"/>
        <w:rPr>
          <w:rFonts w:hint="eastAsia" w:cs="黑体"/>
          <w:b/>
          <w:bCs/>
          <w:szCs w:val="21"/>
          <w:highlight w:val="none"/>
        </w:rPr>
      </w:pPr>
      <w:r>
        <w:rPr>
          <w:rFonts w:hint="eastAsia"/>
          <w:highlight w:val="none"/>
        </w:rPr>
        <w:t xml:space="preserve">33.1 </w:t>
      </w:r>
      <w:r>
        <w:rPr>
          <w:rFonts w:hint="eastAsia"/>
          <w:szCs w:val="21"/>
          <w:highlight w:val="none"/>
          <w:lang w:eastAsia="zh-TW"/>
        </w:rPr>
        <w:t>评标委员会将</w:t>
      </w:r>
      <w:r>
        <w:rPr>
          <w:rFonts w:hint="eastAsia"/>
          <w:szCs w:val="21"/>
          <w:highlight w:val="none"/>
        </w:rPr>
        <w:t>依法对投标文件进行初审。</w:t>
      </w:r>
      <w:r>
        <w:rPr>
          <w:rFonts w:hint="eastAsia"/>
          <w:highlight w:val="none"/>
        </w:rPr>
        <w:t>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pPr>
        <w:tabs>
          <w:tab w:val="clear" w:pos="426"/>
        </w:tabs>
        <w:rPr>
          <w:rFonts w:hint="eastAsia"/>
          <w:b/>
          <w:highlight w:val="none"/>
        </w:rPr>
      </w:pPr>
      <w:r>
        <w:rPr>
          <w:rFonts w:hint="eastAsia"/>
          <w:highlight w:val="none"/>
        </w:rPr>
        <w:t>33.2 投标文件初审内容请详见“</w:t>
      </w:r>
      <w:r>
        <w:rPr>
          <w:rFonts w:hint="eastAsia"/>
          <w:b/>
          <w:highlight w:val="none"/>
        </w:rPr>
        <w:t>资格、符合性评审条款</w:t>
      </w:r>
      <w:r>
        <w:rPr>
          <w:rFonts w:hint="eastAsia"/>
          <w:highlight w:val="none"/>
        </w:rPr>
        <w:t>”。投标供应商若有一条审查不通过则按无效标处理。评标委员会对投标单位打√为通过审查，打×为未通过审查。</w:t>
      </w:r>
    </w:p>
    <w:p>
      <w:pPr>
        <w:tabs>
          <w:tab w:val="clear" w:pos="426"/>
        </w:tabs>
        <w:rPr>
          <w:rFonts w:hint="eastAsia"/>
          <w:highlight w:val="none"/>
        </w:rPr>
      </w:pPr>
      <w:r>
        <w:rPr>
          <w:rFonts w:hint="eastAsia"/>
          <w:highlight w:val="none"/>
        </w:rPr>
        <w:t>33.3 投标文件初审中关于供应商家数的计算。</w:t>
      </w:r>
    </w:p>
    <w:p>
      <w:pPr>
        <w:tabs>
          <w:tab w:val="clear" w:pos="426"/>
        </w:tabs>
        <w:rPr>
          <w:rFonts w:hint="eastAsia"/>
          <w:highlight w:val="none"/>
        </w:rPr>
      </w:pPr>
      <w:r>
        <w:rPr>
          <w:rFonts w:hint="eastAsia"/>
          <w:highlight w:val="none"/>
        </w:rPr>
        <w:t>33.3.1 采用最低评标价法的采购项目，提供相同品牌产品的不同投标供应商参加同一合同项下投标的，以其中通过资格审查、符合性审查且报价最低的参加评标；报价相同的，由采购人或者采购人委托评标委员会按照招标文件规定的方式确定一个参加评标的投标供应商，招标文件未规定的采取随机抽取方式确定，其他投标无效。</w:t>
      </w:r>
    </w:p>
    <w:p>
      <w:pPr>
        <w:tabs>
          <w:tab w:val="clear" w:pos="426"/>
        </w:tabs>
        <w:rPr>
          <w:rFonts w:hint="eastAsia"/>
          <w:highlight w:val="none"/>
        </w:rPr>
      </w:pPr>
      <w:r>
        <w:rPr>
          <w:highlight w:val="none"/>
        </w:rPr>
        <w:t>33.3.</w:t>
      </w:r>
      <w:r>
        <w:rPr>
          <w:rFonts w:hint="eastAsia"/>
          <w:highlight w:val="none"/>
        </w:rPr>
        <w:t>2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招标文件规定的方式确定一个投标供应商获得中标供应商推荐资格，招标文件未规定的采取随机抽取方式确定，其他同品牌投标供应商不作为中标候选人。</w:t>
      </w:r>
    </w:p>
    <w:p>
      <w:pPr>
        <w:tabs>
          <w:tab w:val="clear" w:pos="426"/>
        </w:tabs>
        <w:rPr>
          <w:rFonts w:hint="eastAsia"/>
          <w:highlight w:val="none"/>
        </w:rPr>
      </w:pPr>
      <w:r>
        <w:rPr>
          <w:highlight w:val="none"/>
        </w:rPr>
        <w:t>33.3.</w:t>
      </w:r>
      <w:r>
        <w:rPr>
          <w:rFonts w:hint="eastAsia"/>
          <w:highlight w:val="none"/>
        </w:rPr>
        <w:t>3非单一产品采购项目，采购人应当根据采购项目技术构成、产品价格比重等合理确定核心产品，并在招标文件中载明。多家投标供应商提供的核心产品品牌相同的，按前两款规定处理。</w:t>
      </w:r>
    </w:p>
    <w:p>
      <w:pPr>
        <w:tabs>
          <w:tab w:val="clear" w:pos="426"/>
        </w:tabs>
        <w:rPr>
          <w:rFonts w:hint="eastAsia"/>
          <w:highlight w:val="none"/>
        </w:rPr>
      </w:pPr>
      <w:r>
        <w:rPr>
          <w:rFonts w:hint="eastAsia"/>
          <w:highlight w:val="none"/>
        </w:rPr>
        <w:t>33.3.4公开招标以外采购方式以及采购服务和工程涉及采购货物的项目，也按此方法计算供应商家数。</w:t>
      </w:r>
    </w:p>
    <w:p>
      <w:pPr>
        <w:tabs>
          <w:tab w:val="clear" w:pos="426"/>
        </w:tabs>
        <w:rPr>
          <w:rFonts w:hint="eastAsia"/>
          <w:b/>
          <w:bCs/>
          <w:highlight w:val="none"/>
        </w:rPr>
      </w:pPr>
      <w:r>
        <w:rPr>
          <w:rFonts w:hint="eastAsia"/>
          <w:highlight w:val="none"/>
        </w:rPr>
        <w:t>33.4 对不属于投标文件“</w:t>
      </w:r>
      <w:r>
        <w:rPr>
          <w:rFonts w:hint="eastAsia"/>
          <w:b/>
          <w:highlight w:val="none"/>
        </w:rPr>
        <w:t>资格、符合性评审条款</w:t>
      </w:r>
      <w:r>
        <w:rPr>
          <w:rFonts w:hint="eastAsia"/>
          <w:highlight w:val="none"/>
        </w:rPr>
        <w:t>”要所列不符合的情形，除法律法规另有规定外，不得作为废标的理由。</w:t>
      </w:r>
    </w:p>
    <w:p>
      <w:pPr>
        <w:tabs>
          <w:tab w:val="clear" w:pos="426"/>
        </w:tabs>
        <w:rPr>
          <w:rFonts w:hint="eastAsia"/>
          <w:highlight w:val="none"/>
        </w:rPr>
      </w:pPr>
      <w:r>
        <w:rPr>
          <w:rFonts w:hint="eastAsia"/>
          <w:highlight w:val="none"/>
        </w:rPr>
        <w:t>34．澄清有关问题</w:t>
      </w:r>
    </w:p>
    <w:p>
      <w:pPr>
        <w:tabs>
          <w:tab w:val="clear" w:pos="426"/>
        </w:tabs>
        <w:rPr>
          <w:rFonts w:hint="eastAsia"/>
          <w:highlight w:val="none"/>
        </w:rPr>
      </w:pPr>
      <w:r>
        <w:rPr>
          <w:rFonts w:hint="eastAsia"/>
          <w:highlight w:val="none"/>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供应商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pPr>
        <w:tabs>
          <w:tab w:val="clear" w:pos="426"/>
        </w:tabs>
        <w:rPr>
          <w:rFonts w:hint="eastAsia"/>
          <w:highlight w:val="none"/>
        </w:rPr>
      </w:pPr>
      <w:r>
        <w:rPr>
          <w:rFonts w:hint="eastAsia"/>
          <w:highlight w:val="none"/>
        </w:rPr>
        <w:t>35．错误的修正</w:t>
      </w:r>
    </w:p>
    <w:p>
      <w:pPr>
        <w:tabs>
          <w:tab w:val="clear" w:pos="426"/>
        </w:tabs>
        <w:rPr>
          <w:rFonts w:hint="eastAsia"/>
          <w:highlight w:val="none"/>
        </w:rPr>
      </w:pPr>
      <w:r>
        <w:rPr>
          <w:rFonts w:hint="eastAsia"/>
          <w:highlight w:val="none"/>
        </w:rPr>
        <w:t>35</w:t>
      </w:r>
      <w:r>
        <w:rPr>
          <w:highlight w:val="none"/>
        </w:rPr>
        <w:t xml:space="preserve">.1 </w:t>
      </w:r>
      <w:r>
        <w:rPr>
          <w:rFonts w:hint="eastAsia"/>
          <w:highlight w:val="none"/>
        </w:rPr>
        <w:t>评标委员会将审查投标文件是否完整、总体编排是否有序、文件签署是否合格、投标供应商是否提交了投标保证金、有无计算上的错误等。</w:t>
      </w:r>
    </w:p>
    <w:p>
      <w:pPr>
        <w:tabs>
          <w:tab w:val="clear" w:pos="426"/>
        </w:tabs>
        <w:rPr>
          <w:rFonts w:hint="eastAsia"/>
          <w:highlight w:val="none"/>
        </w:rPr>
      </w:pPr>
      <w:r>
        <w:rPr>
          <w:rFonts w:hint="eastAsia"/>
          <w:highlight w:val="none"/>
        </w:rPr>
        <w:t>35.2  算术错误将按以下方法更正（次序排先者优先）：</w:t>
      </w:r>
    </w:p>
    <w:p>
      <w:pPr>
        <w:tabs>
          <w:tab w:val="clear" w:pos="426"/>
        </w:tabs>
        <w:rPr>
          <w:rFonts w:hint="eastAsia"/>
          <w:highlight w:val="none"/>
        </w:rPr>
      </w:pPr>
      <w:r>
        <w:rPr>
          <w:rFonts w:hint="eastAsia"/>
          <w:highlight w:val="none"/>
        </w:rPr>
        <w:t>35.2.1投标文件中开标一览表（报价表）内容与投标文件中相应内容不一致的，以开标一览表（报价表）为准；</w:t>
      </w:r>
    </w:p>
    <w:p>
      <w:pPr>
        <w:tabs>
          <w:tab w:val="clear" w:pos="426"/>
        </w:tabs>
        <w:rPr>
          <w:rFonts w:hint="eastAsia"/>
          <w:highlight w:val="none"/>
        </w:rPr>
      </w:pPr>
      <w:r>
        <w:rPr>
          <w:rFonts w:hint="eastAsia"/>
          <w:highlight w:val="none"/>
        </w:rPr>
        <w:t>35.2.2大写金额和小写金额不一致的，以大写金额为准；</w:t>
      </w:r>
    </w:p>
    <w:p>
      <w:pPr>
        <w:tabs>
          <w:tab w:val="clear" w:pos="426"/>
        </w:tabs>
        <w:rPr>
          <w:rFonts w:hint="eastAsia"/>
          <w:highlight w:val="none"/>
        </w:rPr>
      </w:pPr>
      <w:r>
        <w:rPr>
          <w:rFonts w:hint="eastAsia"/>
          <w:highlight w:val="none"/>
        </w:rPr>
        <w:t>35.2.3单价金额小数点或者百分比有明显错位的，以开标一览表的总价为准，并修改单价；</w:t>
      </w:r>
    </w:p>
    <w:p>
      <w:pPr>
        <w:tabs>
          <w:tab w:val="clear" w:pos="426"/>
        </w:tabs>
        <w:rPr>
          <w:rFonts w:hint="eastAsia"/>
          <w:highlight w:val="none"/>
        </w:rPr>
      </w:pPr>
      <w:r>
        <w:rPr>
          <w:rFonts w:hint="eastAsia"/>
          <w:highlight w:val="none"/>
        </w:rPr>
        <w:t>35.2.4总价金额与按单价汇总金额不一致的，以单价金额计算结果为准；</w:t>
      </w:r>
    </w:p>
    <w:p>
      <w:pPr>
        <w:tabs>
          <w:tab w:val="clear" w:pos="426"/>
        </w:tabs>
        <w:rPr>
          <w:rFonts w:hint="eastAsia"/>
          <w:highlight w:val="none"/>
        </w:rPr>
      </w:pPr>
      <w:r>
        <w:rPr>
          <w:rFonts w:hint="eastAsia"/>
          <w:highlight w:val="none"/>
        </w:rPr>
        <w:t>35.2.5 对不同文字文本投标文件的解释发生异议的，以中文文本为准。</w:t>
      </w:r>
    </w:p>
    <w:p>
      <w:pPr>
        <w:tabs>
          <w:tab w:val="clear" w:pos="426"/>
        </w:tabs>
        <w:rPr>
          <w:rFonts w:hint="eastAsia"/>
          <w:highlight w:val="none"/>
        </w:rPr>
      </w:pPr>
      <w:r>
        <w:rPr>
          <w:rFonts w:hint="eastAsia"/>
          <w:highlight w:val="none"/>
        </w:rPr>
        <w:t>35</w:t>
      </w:r>
      <w:r>
        <w:rPr>
          <w:highlight w:val="none"/>
        </w:rPr>
        <w:t xml:space="preserve">.3  </w:t>
      </w:r>
      <w:r>
        <w:rPr>
          <w:rFonts w:hint="eastAsia"/>
          <w:highlight w:val="none"/>
        </w:rPr>
        <w:t>对于投标文件中不构成实质性偏差的不正规、不一致或不规则，给评审带来不便，评标委员会可以接受。</w:t>
      </w:r>
    </w:p>
    <w:p>
      <w:pPr>
        <w:tabs>
          <w:tab w:val="clear" w:pos="426"/>
        </w:tabs>
        <w:rPr>
          <w:rFonts w:hint="eastAsia"/>
          <w:highlight w:val="none"/>
        </w:rPr>
      </w:pPr>
      <w:r>
        <w:rPr>
          <w:rFonts w:hint="eastAsia"/>
          <w:highlight w:val="none"/>
        </w:rPr>
        <w:t>35.4  投标供应商的投标报价是可变动价格的，或包含了价格调整要求的，或投标报价中提供</w:t>
      </w:r>
      <w:r>
        <w:rPr>
          <w:highlight w:val="none"/>
        </w:rPr>
        <w:t>两个</w:t>
      </w:r>
      <w:r>
        <w:rPr>
          <w:rFonts w:hint="eastAsia"/>
          <w:highlight w:val="none"/>
        </w:rPr>
        <w:t>（含两个）以上的</w:t>
      </w:r>
      <w:r>
        <w:rPr>
          <w:highlight w:val="none"/>
        </w:rPr>
        <w:t>报价</w:t>
      </w:r>
      <w:r>
        <w:rPr>
          <w:rFonts w:hint="eastAsia"/>
          <w:highlight w:val="none"/>
        </w:rPr>
        <w:t>（</w:t>
      </w:r>
      <w:r>
        <w:rPr>
          <w:highlight w:val="none"/>
        </w:rPr>
        <w:t>招标文件规定提交备选投标方案的除外</w:t>
      </w:r>
      <w:r>
        <w:rPr>
          <w:rFonts w:hint="eastAsia"/>
          <w:highlight w:val="none"/>
        </w:rPr>
        <w:t>），或严重漏项，评标委员会无法进行判断的，评标委员会可以作无效标处理。</w:t>
      </w:r>
    </w:p>
    <w:p>
      <w:pPr>
        <w:tabs>
          <w:tab w:val="clear" w:pos="426"/>
        </w:tabs>
        <w:rPr>
          <w:rFonts w:hint="eastAsia"/>
          <w:highlight w:val="none"/>
        </w:rPr>
      </w:pPr>
      <w:r>
        <w:rPr>
          <w:rFonts w:hint="eastAsia"/>
          <w:highlight w:val="none"/>
        </w:rPr>
        <w:t>35.5根据上述修正错误的原则及方法调整或修正投标文件的投标报价，投标供应商同意后，调整后的投标报价对投标供应商起约束作用。</w:t>
      </w:r>
      <w:r>
        <w:rPr>
          <w:rFonts w:hint="eastAsia"/>
          <w:bCs/>
          <w:highlight w:val="none"/>
        </w:rPr>
        <w:t>如果投标供应商不接受修正后的报价，则其投标将被拒绝并且其投标保证金也将被没收，并不影响评标工作。</w:t>
      </w:r>
    </w:p>
    <w:p>
      <w:pPr>
        <w:tabs>
          <w:tab w:val="clear" w:pos="426"/>
        </w:tabs>
        <w:rPr>
          <w:rFonts w:hint="eastAsia"/>
          <w:highlight w:val="none"/>
        </w:rPr>
      </w:pPr>
      <w:r>
        <w:rPr>
          <w:rFonts w:hint="eastAsia"/>
          <w:highlight w:val="none"/>
        </w:rPr>
        <w:t>36．投标文件的比较与评价</w:t>
      </w:r>
    </w:p>
    <w:p>
      <w:pPr>
        <w:tabs>
          <w:tab w:val="clear" w:pos="426"/>
        </w:tabs>
        <w:rPr>
          <w:rFonts w:hint="eastAsia"/>
          <w:highlight w:val="none"/>
        </w:rPr>
      </w:pPr>
      <w:r>
        <w:rPr>
          <w:rFonts w:hint="eastAsia"/>
          <w:highlight w:val="none"/>
        </w:rPr>
        <w:t>36.1评标委员会将参照相关法律、法规、规定，仅对通过资格性审查和符合性审查的投标文件进行综合比较与评价。</w:t>
      </w:r>
    </w:p>
    <w:p>
      <w:pPr>
        <w:tabs>
          <w:tab w:val="clear" w:pos="426"/>
        </w:tabs>
        <w:rPr>
          <w:rFonts w:hint="eastAsia"/>
          <w:highlight w:val="none"/>
        </w:rPr>
      </w:pPr>
      <w:r>
        <w:rPr>
          <w:rFonts w:hint="eastAsia"/>
          <w:bCs/>
          <w:highlight w:val="none"/>
        </w:rPr>
        <w:t xml:space="preserve">36.2  </w:t>
      </w:r>
      <w:r>
        <w:rPr>
          <w:rFonts w:hint="eastAsia"/>
          <w:highlight w:val="none"/>
        </w:rPr>
        <w:t>评标委员会应当根据招标文件，审查并逐项列出投标文件的全部投标偏离。投标偏离分为重大偏离和细微偏离。</w:t>
      </w:r>
    </w:p>
    <w:p>
      <w:pPr>
        <w:tabs>
          <w:tab w:val="clear" w:pos="426"/>
        </w:tabs>
        <w:rPr>
          <w:rFonts w:hint="eastAsia"/>
          <w:highlight w:val="none"/>
        </w:rPr>
      </w:pPr>
      <w:r>
        <w:rPr>
          <w:rFonts w:hint="eastAsia"/>
          <w:highlight w:val="none"/>
        </w:rPr>
        <w:t>36.3 评标委员会应当对投标供应商的投标文件进行分析和比较。</w:t>
      </w:r>
    </w:p>
    <w:p>
      <w:pPr>
        <w:tabs>
          <w:tab w:val="clear" w:pos="426"/>
        </w:tabs>
        <w:rPr>
          <w:rFonts w:hint="eastAsia"/>
          <w:highlight w:val="none"/>
        </w:rPr>
      </w:pPr>
      <w:r>
        <w:rPr>
          <w:rFonts w:hint="eastAsia"/>
          <w:highlight w:val="none"/>
        </w:rPr>
        <w:t>36.4  评标委员会应当根据招标文件规定，对投标文件中的每项评审内容进行评审。</w:t>
      </w:r>
    </w:p>
    <w:p>
      <w:pPr>
        <w:tabs>
          <w:tab w:val="clear" w:pos="426"/>
        </w:tabs>
        <w:rPr>
          <w:rFonts w:hint="eastAsia"/>
          <w:kern w:val="10"/>
          <w:highlight w:val="none"/>
        </w:rPr>
      </w:pPr>
      <w:r>
        <w:rPr>
          <w:rFonts w:hint="eastAsia"/>
          <w:kern w:val="10"/>
          <w:highlight w:val="none"/>
        </w:rPr>
        <w:t>36.5  投标文件存在重大偏离的，应作废标处理。下列情况属于重大偏离：</w:t>
      </w:r>
    </w:p>
    <w:p>
      <w:pPr>
        <w:tabs>
          <w:tab w:val="clear" w:pos="426"/>
        </w:tabs>
        <w:rPr>
          <w:rFonts w:hint="eastAsia"/>
          <w:kern w:val="10"/>
          <w:highlight w:val="none"/>
        </w:rPr>
      </w:pPr>
      <w:r>
        <w:rPr>
          <w:rFonts w:hint="eastAsia"/>
          <w:kern w:val="10"/>
          <w:highlight w:val="none"/>
        </w:rPr>
        <w:t>36.5.1  投标供应商以他人的名义投标或出现下列串通投标、弄虚作假投标嫌疑的：</w:t>
      </w:r>
    </w:p>
    <w:p>
      <w:pPr>
        <w:tabs>
          <w:tab w:val="clear" w:pos="426"/>
        </w:tabs>
        <w:rPr>
          <w:rFonts w:hint="eastAsia"/>
          <w:kern w:val="10"/>
          <w:highlight w:val="none"/>
        </w:rPr>
      </w:pPr>
      <w:r>
        <w:rPr>
          <w:rFonts w:hint="eastAsia"/>
          <w:kern w:val="10"/>
          <w:highlight w:val="none"/>
        </w:rPr>
        <w:t xml:space="preserve">36.5.1.1  </w:t>
      </w:r>
      <w:r>
        <w:rPr>
          <w:kern w:val="10"/>
          <w:highlight w:val="none"/>
        </w:rPr>
        <w:t>不同投标供应商的投标文件内容存在非正常一致</w:t>
      </w:r>
      <w:r>
        <w:rPr>
          <w:rFonts w:hint="eastAsia"/>
          <w:kern w:val="10"/>
          <w:highlight w:val="none"/>
        </w:rPr>
        <w:t>的</w:t>
      </w:r>
      <w:r>
        <w:rPr>
          <w:kern w:val="10"/>
          <w:highlight w:val="none"/>
        </w:rPr>
        <w:t>；</w:t>
      </w:r>
    </w:p>
    <w:p>
      <w:pPr>
        <w:tabs>
          <w:tab w:val="clear" w:pos="426"/>
        </w:tabs>
        <w:rPr>
          <w:rFonts w:hint="eastAsia"/>
          <w:kern w:val="10"/>
          <w:highlight w:val="none"/>
        </w:rPr>
      </w:pPr>
      <w:r>
        <w:rPr>
          <w:rFonts w:hint="eastAsia"/>
          <w:kern w:val="10"/>
          <w:highlight w:val="none"/>
        </w:rPr>
        <w:t xml:space="preserve">36.5.1.2  </w:t>
      </w:r>
      <w:r>
        <w:rPr>
          <w:kern w:val="10"/>
          <w:highlight w:val="none"/>
        </w:rPr>
        <w:t>不同投标供应商的投标文件错漏之处一致的；</w:t>
      </w:r>
    </w:p>
    <w:p>
      <w:pPr>
        <w:tabs>
          <w:tab w:val="clear" w:pos="426"/>
        </w:tabs>
        <w:rPr>
          <w:rFonts w:hint="eastAsia"/>
          <w:kern w:val="10"/>
          <w:highlight w:val="none"/>
        </w:rPr>
      </w:pPr>
      <w:r>
        <w:rPr>
          <w:rFonts w:hint="eastAsia"/>
          <w:kern w:val="10"/>
          <w:highlight w:val="none"/>
        </w:rPr>
        <w:t xml:space="preserve">36.5.1.3  </w:t>
      </w:r>
      <w:r>
        <w:rPr>
          <w:kern w:val="10"/>
          <w:highlight w:val="none"/>
        </w:rPr>
        <w:t>不同投标供应商的投标报价或者报价组成异常一致或者呈规律性变化的；</w:t>
      </w:r>
    </w:p>
    <w:p>
      <w:pPr>
        <w:tabs>
          <w:tab w:val="clear" w:pos="426"/>
        </w:tabs>
        <w:rPr>
          <w:rFonts w:hint="eastAsia"/>
          <w:kern w:val="10"/>
          <w:highlight w:val="none"/>
        </w:rPr>
      </w:pPr>
      <w:r>
        <w:rPr>
          <w:rFonts w:hint="eastAsia"/>
          <w:kern w:val="10"/>
          <w:highlight w:val="none"/>
        </w:rPr>
        <w:t xml:space="preserve">36.5.1.4  </w:t>
      </w:r>
      <w:r>
        <w:rPr>
          <w:kern w:val="10"/>
          <w:highlight w:val="none"/>
        </w:rPr>
        <w:t>不同投标供应商的投标文件由同一单位或者同一个人编制的；</w:t>
      </w:r>
    </w:p>
    <w:p>
      <w:pPr>
        <w:tabs>
          <w:tab w:val="clear" w:pos="426"/>
        </w:tabs>
        <w:rPr>
          <w:rFonts w:hint="eastAsia"/>
          <w:kern w:val="10"/>
          <w:highlight w:val="none"/>
        </w:rPr>
      </w:pPr>
      <w:r>
        <w:rPr>
          <w:rFonts w:hint="eastAsia"/>
          <w:kern w:val="10"/>
          <w:highlight w:val="none"/>
        </w:rPr>
        <w:t xml:space="preserve">36.5.1.5  </w:t>
      </w:r>
      <w:r>
        <w:rPr>
          <w:kern w:val="10"/>
          <w:highlight w:val="none"/>
        </w:rPr>
        <w:t>不同投标供应商的投标文件载明的</w:t>
      </w:r>
      <w:r>
        <w:rPr>
          <w:rFonts w:hint="eastAsia"/>
          <w:kern w:val="10"/>
          <w:highlight w:val="none"/>
        </w:rPr>
        <w:t>项目负责人与主要技术人员</w:t>
      </w:r>
      <w:r>
        <w:rPr>
          <w:kern w:val="10"/>
          <w:highlight w:val="none"/>
        </w:rPr>
        <w:t>出现同一人的；</w:t>
      </w:r>
    </w:p>
    <w:p>
      <w:pPr>
        <w:tabs>
          <w:tab w:val="clear" w:pos="426"/>
        </w:tabs>
        <w:rPr>
          <w:rFonts w:hint="eastAsia"/>
          <w:kern w:val="10"/>
          <w:highlight w:val="none"/>
        </w:rPr>
      </w:pPr>
      <w:r>
        <w:rPr>
          <w:rFonts w:hint="eastAsia"/>
          <w:kern w:val="10"/>
          <w:highlight w:val="none"/>
        </w:rPr>
        <w:t xml:space="preserve">36.5.1.6  </w:t>
      </w:r>
      <w:r>
        <w:rPr>
          <w:kern w:val="10"/>
          <w:highlight w:val="none"/>
        </w:rPr>
        <w:t>不同投标供应商的投标文件相互混装的；</w:t>
      </w:r>
    </w:p>
    <w:p>
      <w:pPr>
        <w:tabs>
          <w:tab w:val="clear" w:pos="426"/>
        </w:tabs>
        <w:rPr>
          <w:rFonts w:hint="eastAsia"/>
          <w:kern w:val="10"/>
          <w:highlight w:val="none"/>
        </w:rPr>
      </w:pPr>
      <w:r>
        <w:rPr>
          <w:rFonts w:hint="eastAsia"/>
          <w:kern w:val="10"/>
          <w:highlight w:val="none"/>
        </w:rPr>
        <w:t xml:space="preserve">36.5.1.7  </w:t>
      </w:r>
      <w:r>
        <w:rPr>
          <w:kern w:val="10"/>
          <w:highlight w:val="none"/>
        </w:rPr>
        <w:t>不同投标供应商委托同一人投标的</w:t>
      </w:r>
      <w:r>
        <w:rPr>
          <w:rFonts w:hint="eastAsia"/>
          <w:kern w:val="10"/>
          <w:highlight w:val="none"/>
        </w:rPr>
        <w:t>；</w:t>
      </w:r>
    </w:p>
    <w:p>
      <w:pPr>
        <w:tabs>
          <w:tab w:val="clear" w:pos="426"/>
        </w:tabs>
        <w:rPr>
          <w:rFonts w:hint="eastAsia"/>
          <w:kern w:val="10"/>
          <w:highlight w:val="none"/>
        </w:rPr>
      </w:pPr>
      <w:r>
        <w:rPr>
          <w:rFonts w:hint="eastAsia"/>
          <w:kern w:val="10"/>
          <w:highlight w:val="none"/>
        </w:rPr>
        <w:t>36.5.1.8  不同投标供应商聘请同一人为其投标提供技术或者经济咨询服务的，但招标工程本身要求采用专有技术的除外；</w:t>
      </w:r>
    </w:p>
    <w:p>
      <w:pPr>
        <w:tabs>
          <w:tab w:val="clear" w:pos="426"/>
        </w:tabs>
        <w:rPr>
          <w:rFonts w:hint="eastAsia"/>
          <w:kern w:val="10"/>
          <w:highlight w:val="none"/>
        </w:rPr>
      </w:pPr>
      <w:r>
        <w:rPr>
          <w:rFonts w:hint="eastAsia"/>
          <w:kern w:val="10"/>
          <w:highlight w:val="none"/>
        </w:rPr>
        <w:t xml:space="preserve">36.5.1.9  </w:t>
      </w:r>
      <w:r>
        <w:rPr>
          <w:kern w:val="10"/>
          <w:highlight w:val="none"/>
        </w:rPr>
        <w:t>评标委员会认定的其他串通投标情形。</w:t>
      </w:r>
    </w:p>
    <w:p>
      <w:pPr>
        <w:tabs>
          <w:tab w:val="clear" w:pos="426"/>
        </w:tabs>
        <w:rPr>
          <w:rFonts w:hint="eastAsia"/>
          <w:highlight w:val="none"/>
        </w:rPr>
      </w:pPr>
      <w:r>
        <w:rPr>
          <w:rFonts w:hint="eastAsia"/>
          <w:kern w:val="10"/>
          <w:highlight w:val="none"/>
        </w:rPr>
        <w:t xml:space="preserve">36.5.2 </w:t>
      </w:r>
      <w:r>
        <w:rPr>
          <w:rFonts w:hint="eastAsia"/>
          <w:highlight w:val="none"/>
        </w:rPr>
        <w:t xml:space="preserve"> 投标文件不满足招标文件规定的任何一项实质性要求的；</w:t>
      </w:r>
    </w:p>
    <w:p>
      <w:pPr>
        <w:tabs>
          <w:tab w:val="clear" w:pos="426"/>
        </w:tabs>
        <w:rPr>
          <w:rFonts w:hint="eastAsia"/>
          <w:highlight w:val="none"/>
        </w:rPr>
      </w:pPr>
      <w:r>
        <w:rPr>
          <w:rFonts w:hint="eastAsia"/>
          <w:bCs/>
          <w:kern w:val="10"/>
          <w:highlight w:val="none"/>
        </w:rPr>
        <w:t xml:space="preserve">36.5.3 </w:t>
      </w:r>
      <w:r>
        <w:rPr>
          <w:rFonts w:hint="eastAsia"/>
          <w:highlight w:val="none"/>
        </w:rPr>
        <w:t xml:space="preserve"> 投标文件对招标文件规定的非实质性要求的偏离，超出允许偏离的最大范围或最高项数的；</w:t>
      </w:r>
    </w:p>
    <w:p>
      <w:pPr>
        <w:tabs>
          <w:tab w:val="clear" w:pos="426"/>
        </w:tabs>
        <w:rPr>
          <w:rFonts w:hint="eastAsia"/>
          <w:highlight w:val="none"/>
        </w:rPr>
      </w:pPr>
      <w:r>
        <w:rPr>
          <w:kern w:val="10"/>
          <w:highlight w:val="none"/>
        </w:rPr>
        <w:t>3</w:t>
      </w:r>
      <w:r>
        <w:rPr>
          <w:rFonts w:hint="eastAsia"/>
          <w:kern w:val="10"/>
          <w:highlight w:val="none"/>
        </w:rPr>
        <w:t>6</w:t>
      </w:r>
      <w:r>
        <w:rPr>
          <w:kern w:val="10"/>
          <w:highlight w:val="none"/>
        </w:rPr>
        <w:t>.5.</w:t>
      </w:r>
      <w:r>
        <w:rPr>
          <w:rFonts w:hint="eastAsia"/>
          <w:kern w:val="10"/>
          <w:highlight w:val="none"/>
        </w:rPr>
        <w:t xml:space="preserve">4 </w:t>
      </w:r>
      <w:r>
        <w:rPr>
          <w:rFonts w:hint="eastAsia"/>
          <w:highlight w:val="none"/>
        </w:rPr>
        <w:t xml:space="preserve"> 评标委员会根据招标文件的规定对投标文件的投标价格进行调整，投标供应商不接受调整方式的，或不接受调整后的价格的；</w:t>
      </w:r>
    </w:p>
    <w:p>
      <w:pPr>
        <w:tabs>
          <w:tab w:val="clear" w:pos="426"/>
        </w:tabs>
        <w:rPr>
          <w:rFonts w:hint="eastAsia"/>
          <w:kern w:val="10"/>
          <w:highlight w:val="none"/>
        </w:rPr>
      </w:pPr>
      <w:r>
        <w:rPr>
          <w:rFonts w:hint="eastAsia"/>
          <w:kern w:val="10"/>
          <w:highlight w:val="none"/>
        </w:rPr>
        <w:t>36.6  细微偏离是指投标文件在实质上响应招标文件要求，但在个别地方存在漏项或者提供了不完整的技术信息和数据等情况，并且补正这些漏项或者不完整不会对其他投标供应商造成不公平的结果。细微偏离不影响投标文件的有效性。</w:t>
      </w:r>
    </w:p>
    <w:p>
      <w:pPr>
        <w:tabs>
          <w:tab w:val="clear" w:pos="426"/>
        </w:tabs>
        <w:rPr>
          <w:rFonts w:hint="eastAsia"/>
          <w:kern w:val="10"/>
          <w:highlight w:val="none"/>
        </w:rPr>
      </w:pPr>
      <w:r>
        <w:rPr>
          <w:rFonts w:hint="eastAsia"/>
          <w:kern w:val="10"/>
          <w:highlight w:val="none"/>
        </w:rPr>
        <w:t>36.7 评标委员会应书面要求存在细微偏离的投标供应商在评标结束前予以补正。拒不补正的，在详细评审时可以对细微偏离按照不利于该投标供应商的原则进行调整，且投标供应商不得因此提出任何异议。</w:t>
      </w:r>
    </w:p>
    <w:p>
      <w:pPr>
        <w:tabs>
          <w:tab w:val="clear" w:pos="426"/>
        </w:tabs>
        <w:rPr>
          <w:rFonts w:hint="eastAsia"/>
          <w:highlight w:val="none"/>
        </w:rPr>
      </w:pPr>
      <w:r>
        <w:rPr>
          <w:rFonts w:hint="eastAsia"/>
          <w:highlight w:val="none"/>
        </w:rPr>
        <w:t>37.实地考察、演示或设备测试</w:t>
      </w:r>
    </w:p>
    <w:p>
      <w:pPr>
        <w:tabs>
          <w:tab w:val="clear" w:pos="426"/>
        </w:tabs>
        <w:rPr>
          <w:rFonts w:hint="eastAsia"/>
          <w:highlight w:val="none"/>
        </w:rPr>
      </w:pPr>
      <w:r>
        <w:rPr>
          <w:rFonts w:hint="eastAsia"/>
          <w:highlight w:val="none"/>
        </w:rPr>
        <w:t>37.1在招标过程中，评标委员会有权决定是否对本项目投标供应商进行现场勘察或实地考察或检验有关证明材料的原件。投标供应商应随时做好接受检查的准备。</w:t>
      </w:r>
    </w:p>
    <w:p>
      <w:pPr>
        <w:tabs>
          <w:tab w:val="clear" w:pos="426"/>
        </w:tabs>
        <w:rPr>
          <w:rFonts w:hint="eastAsia"/>
          <w:highlight w:val="none"/>
        </w:rPr>
      </w:pPr>
      <w:r>
        <w:rPr>
          <w:rFonts w:hint="eastAsia"/>
          <w:highlight w:val="none"/>
        </w:rPr>
        <w:t>37.2若招标文件要求进行现场演示或设备测试的，投标供应商应做好相应准备。</w:t>
      </w:r>
    </w:p>
    <w:p>
      <w:pPr>
        <w:tabs>
          <w:tab w:val="clear" w:pos="426"/>
        </w:tabs>
        <w:rPr>
          <w:rFonts w:hint="eastAsia"/>
          <w:highlight w:val="none"/>
        </w:rPr>
      </w:pPr>
      <w:r>
        <w:rPr>
          <w:rFonts w:hint="eastAsia"/>
          <w:highlight w:val="none"/>
        </w:rPr>
        <w:t>38．评标方法</w:t>
      </w:r>
    </w:p>
    <w:p>
      <w:pPr>
        <w:tabs>
          <w:tab w:val="clear" w:pos="426"/>
        </w:tabs>
        <w:rPr>
          <w:rFonts w:hint="eastAsia"/>
          <w:szCs w:val="21"/>
          <w:highlight w:val="none"/>
        </w:rPr>
      </w:pPr>
      <w:r>
        <w:rPr>
          <w:rFonts w:hint="eastAsia"/>
          <w:szCs w:val="21"/>
          <w:highlight w:val="none"/>
        </w:rPr>
        <w:t>38.1</w:t>
      </w:r>
      <w:r>
        <w:rPr>
          <w:rFonts w:hint="eastAsia"/>
          <w:highlight w:val="none"/>
        </w:rPr>
        <w:t>根据有关要求，</w:t>
      </w:r>
      <w:r>
        <w:rPr>
          <w:rFonts w:hint="eastAsia"/>
          <w:szCs w:val="21"/>
          <w:highlight w:val="none"/>
        </w:rPr>
        <w:t>项目评标方法根据是否是评定分离项目进行选择。</w:t>
      </w:r>
    </w:p>
    <w:p>
      <w:pPr>
        <w:tabs>
          <w:tab w:val="clear" w:pos="426"/>
        </w:tabs>
        <w:rPr>
          <w:rFonts w:hint="eastAsia"/>
          <w:highlight w:val="none"/>
        </w:rPr>
      </w:pPr>
      <w:r>
        <w:rPr>
          <w:rFonts w:hint="eastAsia"/>
          <w:highlight w:val="none"/>
        </w:rPr>
        <w:t>38.2非评定分离项目</w:t>
      </w:r>
    </w:p>
    <w:p>
      <w:pPr>
        <w:tabs>
          <w:tab w:val="clear" w:pos="426"/>
        </w:tabs>
        <w:rPr>
          <w:rFonts w:hint="eastAsia"/>
          <w:highlight w:val="none"/>
        </w:rPr>
      </w:pPr>
      <w:r>
        <w:rPr>
          <w:rFonts w:hint="eastAsia"/>
          <w:highlight w:val="none"/>
        </w:rPr>
        <w:t>非评定分离项目评分方法为最低评标价法、综合评标法、性价比法及法律、法规允许的其它评标办法。</w:t>
      </w:r>
    </w:p>
    <w:p>
      <w:pPr>
        <w:tabs>
          <w:tab w:val="clear" w:pos="426"/>
        </w:tabs>
        <w:rPr>
          <w:rFonts w:hint="eastAsia"/>
          <w:b/>
          <w:highlight w:val="none"/>
        </w:rPr>
      </w:pPr>
      <w:r>
        <w:rPr>
          <w:rFonts w:hint="eastAsia"/>
          <w:highlight w:val="none"/>
        </w:rPr>
        <w:t>38.2.1最低评标价法</w:t>
      </w:r>
    </w:p>
    <w:p>
      <w:pPr>
        <w:tabs>
          <w:tab w:val="clear" w:pos="426"/>
        </w:tabs>
        <w:rPr>
          <w:rFonts w:hint="eastAsia"/>
          <w:highlight w:val="none"/>
        </w:rPr>
      </w:pPr>
      <w:r>
        <w:rPr>
          <w:rFonts w:hint="eastAsia"/>
          <w:highlight w:val="none"/>
        </w:rPr>
        <w:t>最低价法是指以价格因素确定中标候选供应商的评标方法，即在满足招标文件实质性要求前提下，以报价最低的投标供应商作为中标候选供应商或中标供应商的评标方法；</w:t>
      </w:r>
    </w:p>
    <w:p>
      <w:pPr>
        <w:tabs>
          <w:tab w:val="clear" w:pos="426"/>
        </w:tabs>
        <w:rPr>
          <w:rFonts w:hint="eastAsia"/>
          <w:b/>
          <w:highlight w:val="none"/>
        </w:rPr>
      </w:pPr>
      <w:r>
        <w:rPr>
          <w:rFonts w:hint="eastAsia"/>
          <w:highlight w:val="none"/>
        </w:rPr>
        <w:t>38.2.2综合评分法</w:t>
      </w:r>
    </w:p>
    <w:p>
      <w:pPr>
        <w:tabs>
          <w:tab w:val="clear" w:pos="426"/>
        </w:tabs>
        <w:rPr>
          <w:rFonts w:hint="eastAsia"/>
          <w:highlight w:val="none"/>
        </w:rPr>
      </w:pPr>
      <w:r>
        <w:rPr>
          <w:rFonts w:hint="eastAsia"/>
          <w:highlight w:val="none"/>
        </w:rPr>
        <w:t>综合评分法是指在最大限度地满足招标文件实质性要求前提下，按照招标文件中规定的各项因素进行量化打分，每个投标供应商的总得分确定，以评标总得分最高的投标供应商作为中标候选供应商或中标供应商的评标方法。</w:t>
      </w:r>
    </w:p>
    <w:p>
      <w:pPr>
        <w:tabs>
          <w:tab w:val="clear" w:pos="426"/>
        </w:tabs>
        <w:rPr>
          <w:rFonts w:hint="eastAsia"/>
          <w:b/>
          <w:bCs/>
          <w:highlight w:val="none"/>
        </w:rPr>
      </w:pPr>
      <w:r>
        <w:rPr>
          <w:rFonts w:hint="eastAsia"/>
          <w:highlight w:val="none"/>
        </w:rPr>
        <w:t>38.2.3</w:t>
      </w:r>
      <w:r>
        <w:rPr>
          <w:rFonts w:hint="eastAsia"/>
          <w:bCs/>
          <w:highlight w:val="none"/>
        </w:rPr>
        <w:t>性价比法</w:t>
      </w:r>
    </w:p>
    <w:p>
      <w:pPr>
        <w:tabs>
          <w:tab w:val="clear" w:pos="426"/>
        </w:tabs>
        <w:rPr>
          <w:rFonts w:hint="eastAsia"/>
          <w:highlight w:val="none"/>
        </w:rPr>
      </w:pPr>
      <w:r>
        <w:rPr>
          <w:rFonts w:hint="eastAsia"/>
          <w:highlight w:val="none"/>
        </w:rPr>
        <w:t>性价比法是指除价格因素外，经对投标文件进行评审，计算出评分因素的总分，除以投标报价，以商数最高的投标供应商作为中标候选供应商或中标供应商的评标方法。</w:t>
      </w:r>
    </w:p>
    <w:p>
      <w:pPr>
        <w:tabs>
          <w:tab w:val="clear" w:pos="426"/>
        </w:tabs>
        <w:rPr>
          <w:rFonts w:hint="eastAsia"/>
          <w:highlight w:val="none"/>
        </w:rPr>
      </w:pPr>
      <w:r>
        <w:rPr>
          <w:rFonts w:hint="eastAsia"/>
          <w:highlight w:val="none"/>
        </w:rPr>
        <w:t>38.3评定分离项目</w:t>
      </w:r>
    </w:p>
    <w:p>
      <w:pPr>
        <w:tabs>
          <w:tab w:val="clear" w:pos="426"/>
        </w:tabs>
        <w:rPr>
          <w:rFonts w:hint="eastAsia"/>
          <w:highlight w:val="none"/>
        </w:rPr>
      </w:pPr>
      <w:r>
        <w:rPr>
          <w:rFonts w:hint="eastAsia"/>
          <w:highlight w:val="none"/>
        </w:rPr>
        <w:t>评定分离项目，评审委员会应当按照综合评分法、定性评审法、最低价法或者法律、法规及规章规定的其他评审方法对投标文件进行评审。</w:t>
      </w:r>
    </w:p>
    <w:p>
      <w:pPr>
        <w:tabs>
          <w:tab w:val="clear" w:pos="426"/>
        </w:tabs>
        <w:rPr>
          <w:rFonts w:hint="eastAsia"/>
          <w:b/>
          <w:highlight w:val="none"/>
        </w:rPr>
      </w:pPr>
      <w:r>
        <w:rPr>
          <w:rFonts w:hint="eastAsia"/>
          <w:highlight w:val="none"/>
        </w:rPr>
        <w:t>38.3.1综合评分法</w:t>
      </w:r>
    </w:p>
    <w:p>
      <w:pPr>
        <w:tabs>
          <w:tab w:val="clear" w:pos="426"/>
        </w:tabs>
        <w:rPr>
          <w:rFonts w:hint="eastAsia"/>
          <w:highlight w:val="none"/>
        </w:rPr>
      </w:pPr>
      <w:r>
        <w:rPr>
          <w:rFonts w:hint="eastAsia"/>
          <w:highlight w:val="none"/>
        </w:rPr>
        <w:t>综合评分法是指在最大限度满足招标文件实质性要求的前提下，按照招标文件中规定的各项因素进行综合评审，评审总得分排名前列的投标供应商，作为推荐的候选中标供应商。</w:t>
      </w:r>
    </w:p>
    <w:p>
      <w:pPr>
        <w:tabs>
          <w:tab w:val="clear" w:pos="426"/>
        </w:tabs>
        <w:rPr>
          <w:rFonts w:hint="eastAsia"/>
          <w:sz w:val="18"/>
          <w:szCs w:val="18"/>
          <w:highlight w:val="none"/>
          <w:shd w:val="clear" w:color="auto" w:fill="FFFFFF"/>
        </w:rPr>
      </w:pPr>
      <w:r>
        <w:rPr>
          <w:rFonts w:hint="eastAsia"/>
          <w:highlight w:val="none"/>
        </w:rPr>
        <w:t>38.3.2</w:t>
      </w:r>
      <w:r>
        <w:rPr>
          <w:rFonts w:hint="eastAsia"/>
          <w:bCs/>
          <w:highlight w:val="none"/>
        </w:rPr>
        <w:t>定性评审法</w:t>
      </w:r>
    </w:p>
    <w:p>
      <w:pPr>
        <w:tabs>
          <w:tab w:val="clear" w:pos="426"/>
        </w:tabs>
        <w:rPr>
          <w:rFonts w:hint="eastAsia"/>
          <w:highlight w:val="none"/>
        </w:rPr>
      </w:pPr>
      <w:r>
        <w:rPr>
          <w:rFonts w:hint="eastAsia"/>
          <w:highlight w:val="none"/>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废标或者无效标的投标供应商，均推荐为候选中标供应商。</w:t>
      </w:r>
    </w:p>
    <w:p>
      <w:pPr>
        <w:tabs>
          <w:tab w:val="clear" w:pos="426"/>
        </w:tabs>
        <w:rPr>
          <w:rFonts w:hint="eastAsia"/>
          <w:highlight w:val="none"/>
        </w:rPr>
      </w:pPr>
      <w:r>
        <w:rPr>
          <w:rFonts w:hint="eastAsia"/>
          <w:highlight w:val="none"/>
        </w:rPr>
        <w:t>38.3.3最低价法</w:t>
      </w:r>
    </w:p>
    <w:p>
      <w:pPr>
        <w:tabs>
          <w:tab w:val="clear" w:pos="426"/>
        </w:tabs>
        <w:rPr>
          <w:rFonts w:hint="eastAsia"/>
          <w:highlight w:val="none"/>
        </w:rPr>
      </w:pPr>
      <w:r>
        <w:rPr>
          <w:rFonts w:hint="eastAsia"/>
          <w:highlight w:val="none"/>
        </w:rPr>
        <w:t>最低价法是指以价格为主要因素确定候选中标供应商的评审方法。</w:t>
      </w:r>
    </w:p>
    <w:p>
      <w:pPr>
        <w:tabs>
          <w:tab w:val="clear" w:pos="426"/>
        </w:tabs>
        <w:rPr>
          <w:rFonts w:hint="eastAsia"/>
          <w:highlight w:val="none"/>
        </w:rPr>
      </w:pPr>
      <w:r>
        <w:rPr>
          <w:rFonts w:hint="eastAsia"/>
          <w:highlight w:val="none"/>
        </w:rPr>
        <w:t>38.4本项目采用的评标方法见本项目招标文件专用条款的相关内容。</w:t>
      </w:r>
    </w:p>
    <w:p>
      <w:pPr>
        <w:pStyle w:val="5"/>
        <w:tabs>
          <w:tab w:val="clear" w:pos="426"/>
        </w:tabs>
        <w:rPr>
          <w:rFonts w:hint="eastAsia"/>
          <w:highlight w:val="none"/>
        </w:rPr>
      </w:pPr>
      <w:bookmarkStart w:id="165" w:name="_Toc14427260"/>
      <w:bookmarkStart w:id="166" w:name="_Toc10018"/>
      <w:bookmarkStart w:id="167" w:name="_Toc529280587"/>
      <w:bookmarkStart w:id="168" w:name="_Toc530152528"/>
      <w:r>
        <w:rPr>
          <w:rFonts w:hint="eastAsia"/>
          <w:highlight w:val="none"/>
        </w:rPr>
        <w:t>第七章 定标及公示</w:t>
      </w:r>
      <w:bookmarkEnd w:id="165"/>
      <w:bookmarkEnd w:id="166"/>
      <w:bookmarkEnd w:id="167"/>
      <w:bookmarkEnd w:id="168"/>
    </w:p>
    <w:p>
      <w:pPr>
        <w:tabs>
          <w:tab w:val="clear" w:pos="426"/>
        </w:tabs>
        <w:rPr>
          <w:rFonts w:hint="eastAsia"/>
          <w:highlight w:val="none"/>
        </w:rPr>
      </w:pPr>
      <w:r>
        <w:rPr>
          <w:rFonts w:hint="eastAsia"/>
          <w:highlight w:val="none"/>
        </w:rPr>
        <w:t>39．定标方法</w:t>
      </w:r>
    </w:p>
    <w:p>
      <w:pPr>
        <w:tabs>
          <w:tab w:val="clear" w:pos="426"/>
        </w:tabs>
        <w:rPr>
          <w:rFonts w:hint="eastAsia"/>
          <w:highlight w:val="none"/>
        </w:rPr>
      </w:pPr>
      <w:r>
        <w:rPr>
          <w:rFonts w:hint="eastAsia"/>
          <w:highlight w:val="none"/>
        </w:rPr>
        <w:t>39</w:t>
      </w:r>
      <w:r>
        <w:rPr>
          <w:highlight w:val="none"/>
        </w:rPr>
        <w:t>.</w:t>
      </w:r>
      <w:r>
        <w:rPr>
          <w:rFonts w:hint="eastAsia"/>
          <w:highlight w:val="none"/>
        </w:rPr>
        <w:t>1项目定标方法根据是否是评定分离项目进行选择。</w:t>
      </w:r>
    </w:p>
    <w:p>
      <w:pPr>
        <w:tabs>
          <w:tab w:val="clear" w:pos="426"/>
        </w:tabs>
        <w:rPr>
          <w:rFonts w:hint="eastAsia"/>
          <w:highlight w:val="none"/>
        </w:rPr>
      </w:pPr>
      <w:r>
        <w:rPr>
          <w:rFonts w:hint="eastAsia"/>
          <w:highlight w:val="none"/>
        </w:rPr>
        <w:t>39</w:t>
      </w:r>
      <w:r>
        <w:rPr>
          <w:highlight w:val="none"/>
        </w:rPr>
        <w:t>.</w:t>
      </w:r>
      <w:r>
        <w:rPr>
          <w:rFonts w:hint="eastAsia"/>
          <w:highlight w:val="none"/>
        </w:rPr>
        <w:t>2非评定分离项目</w:t>
      </w:r>
    </w:p>
    <w:p>
      <w:pPr>
        <w:tabs>
          <w:tab w:val="clear" w:pos="426"/>
        </w:tabs>
        <w:rPr>
          <w:rFonts w:hint="eastAsia"/>
          <w:highlight w:val="none"/>
        </w:rPr>
      </w:pPr>
      <w:r>
        <w:rPr>
          <w:rFonts w:hint="eastAsia"/>
          <w:highlight w:val="none"/>
        </w:rPr>
        <w:t>评标委员会依据本项目招标文件所约定的评标方法进行评审和比较，向采购代理机构提交书面评标报告，并根据评标方法比较评价结果从优到劣进行排序，并推荐中标候选人或确定中标供应商；</w:t>
      </w:r>
    </w:p>
    <w:p>
      <w:pPr>
        <w:tabs>
          <w:tab w:val="clear" w:pos="426"/>
        </w:tabs>
        <w:rPr>
          <w:rFonts w:hint="eastAsia"/>
          <w:highlight w:val="none"/>
        </w:rPr>
      </w:pPr>
      <w:r>
        <w:rPr>
          <w:rFonts w:hint="eastAsia"/>
          <w:highlight w:val="none"/>
        </w:rPr>
        <w:t>39</w:t>
      </w:r>
      <w:r>
        <w:rPr>
          <w:highlight w:val="none"/>
        </w:rPr>
        <w:t>.</w:t>
      </w:r>
      <w:r>
        <w:rPr>
          <w:rFonts w:hint="eastAsia"/>
          <w:highlight w:val="none"/>
        </w:rPr>
        <w:t>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pPr>
        <w:tabs>
          <w:tab w:val="clear" w:pos="426"/>
        </w:tabs>
        <w:rPr>
          <w:rFonts w:hint="eastAsia"/>
          <w:highlight w:val="none"/>
        </w:rPr>
      </w:pPr>
      <w:r>
        <w:rPr>
          <w:rFonts w:hint="eastAsia"/>
          <w:highlight w:val="none"/>
        </w:rPr>
        <w:t>39</w:t>
      </w:r>
      <w:r>
        <w:rPr>
          <w:highlight w:val="none"/>
        </w:rPr>
        <w:t>.</w:t>
      </w:r>
      <w:r>
        <w:rPr>
          <w:rFonts w:hint="eastAsia"/>
          <w:highlight w:val="none"/>
        </w:rPr>
        <w:t>2.2</w:t>
      </w:r>
      <w:r>
        <w:rPr>
          <w:highlight w:val="none"/>
        </w:rPr>
        <w:t>采用综合评</w:t>
      </w:r>
      <w:r>
        <w:rPr>
          <w:rFonts w:hint="eastAsia"/>
          <w:highlight w:val="none"/>
        </w:rPr>
        <w:t>分</w:t>
      </w:r>
      <w:r>
        <w:rPr>
          <w:highlight w:val="none"/>
        </w:rPr>
        <w:t>法的，按评审后得分由高到低顺序排列。得分相同的，按投标报价由低到高顺序排列。得分且投标报价相同的，按技术指标优劣顺序排列。</w:t>
      </w:r>
    </w:p>
    <w:p>
      <w:pPr>
        <w:tabs>
          <w:tab w:val="clear" w:pos="426"/>
        </w:tabs>
        <w:rPr>
          <w:rFonts w:hint="eastAsia"/>
          <w:highlight w:val="none"/>
        </w:rPr>
      </w:pPr>
      <w:r>
        <w:rPr>
          <w:rFonts w:hint="eastAsia"/>
          <w:highlight w:val="none"/>
        </w:rPr>
        <w:t>39</w:t>
      </w:r>
      <w:r>
        <w:rPr>
          <w:highlight w:val="none"/>
        </w:rPr>
        <w:t>.</w:t>
      </w:r>
      <w:r>
        <w:rPr>
          <w:rFonts w:hint="eastAsia"/>
          <w:highlight w:val="none"/>
        </w:rPr>
        <w:t>2.3</w:t>
      </w:r>
      <w:r>
        <w:rPr>
          <w:highlight w:val="none"/>
        </w:rPr>
        <w:t>采用</w:t>
      </w:r>
      <w:r>
        <w:rPr>
          <w:rFonts w:hint="eastAsia"/>
          <w:highlight w:val="none"/>
        </w:rPr>
        <w:t>性价比</w:t>
      </w:r>
      <w:r>
        <w:rPr>
          <w:highlight w:val="none"/>
        </w:rPr>
        <w:t>法的</w:t>
      </w:r>
      <w:r>
        <w:rPr>
          <w:rFonts w:hint="eastAsia"/>
          <w:highlight w:val="none"/>
        </w:rPr>
        <w:t>，按商数得分由高到低顺序排列。商数得分相同的，按投标报价由低到高顺序排列。商数得分且投标报价相同的，按技术指标优劣顺序排列。</w:t>
      </w:r>
    </w:p>
    <w:p>
      <w:pPr>
        <w:tabs>
          <w:tab w:val="clear" w:pos="426"/>
        </w:tabs>
        <w:rPr>
          <w:rFonts w:hint="eastAsia"/>
          <w:highlight w:val="none"/>
        </w:rPr>
      </w:pPr>
      <w:r>
        <w:rPr>
          <w:rFonts w:hint="eastAsia"/>
          <w:highlight w:val="none"/>
        </w:rPr>
        <w:t>39</w:t>
      </w:r>
      <w:r>
        <w:rPr>
          <w:highlight w:val="none"/>
        </w:rPr>
        <w:t>.</w:t>
      </w:r>
      <w:r>
        <w:rPr>
          <w:rFonts w:hint="eastAsia"/>
          <w:highlight w:val="none"/>
        </w:rPr>
        <w:t>3评定分离项目</w:t>
      </w:r>
    </w:p>
    <w:p>
      <w:pPr>
        <w:tabs>
          <w:tab w:val="clear" w:pos="426"/>
        </w:tabs>
        <w:rPr>
          <w:rFonts w:hint="eastAsia"/>
          <w:highlight w:val="none"/>
        </w:rPr>
      </w:pPr>
      <w:r>
        <w:rPr>
          <w:rFonts w:hint="eastAsia"/>
          <w:highlight w:val="none"/>
        </w:rPr>
        <w:t>适用评定分离的采购项目，采购人应当根据不同的项目选用自定法、抽签法、竞价法或者法律、法规及规章规定的其他定标方法确定中标供应商。</w:t>
      </w:r>
    </w:p>
    <w:p>
      <w:pPr>
        <w:tabs>
          <w:tab w:val="clear" w:pos="426"/>
        </w:tabs>
        <w:rPr>
          <w:rFonts w:hint="eastAsia"/>
          <w:highlight w:val="none"/>
        </w:rPr>
      </w:pPr>
      <w:r>
        <w:rPr>
          <w:rFonts w:hint="eastAsia"/>
          <w:highlight w:val="none"/>
        </w:rPr>
        <w:t>39</w:t>
      </w:r>
      <w:r>
        <w:rPr>
          <w:highlight w:val="none"/>
        </w:rPr>
        <w:t>.</w:t>
      </w:r>
      <w:r>
        <w:rPr>
          <w:rFonts w:hint="eastAsia"/>
          <w:highlight w:val="none"/>
        </w:rPr>
        <w:t>3.1自定法是指采购人组织定标委员会，由定标委员会在候选中标供应商中确定中标供应商。</w:t>
      </w:r>
    </w:p>
    <w:p>
      <w:pPr>
        <w:tabs>
          <w:tab w:val="clear" w:pos="426"/>
        </w:tabs>
        <w:rPr>
          <w:rFonts w:hint="eastAsia"/>
          <w:highlight w:val="none"/>
        </w:rPr>
      </w:pPr>
      <w:r>
        <w:rPr>
          <w:rFonts w:hint="eastAsia"/>
          <w:highlight w:val="none"/>
        </w:rPr>
        <w:t>39</w:t>
      </w:r>
      <w:r>
        <w:rPr>
          <w:highlight w:val="none"/>
        </w:rPr>
        <w:t>.</w:t>
      </w:r>
      <w:r>
        <w:rPr>
          <w:rFonts w:hint="eastAsia"/>
          <w:highlight w:val="none"/>
        </w:rPr>
        <w:t>3.2 抽签法是指候选中标供应商产生后，由采购人委托招标机构按照随机抽签的方式在候选中标供应商中确定中标供应商。 </w:t>
      </w:r>
    </w:p>
    <w:p>
      <w:pPr>
        <w:tabs>
          <w:tab w:val="clear" w:pos="426"/>
        </w:tabs>
        <w:rPr>
          <w:rFonts w:hint="eastAsia"/>
          <w:highlight w:val="none"/>
        </w:rPr>
      </w:pPr>
      <w:r>
        <w:rPr>
          <w:rFonts w:hint="eastAsia"/>
          <w:highlight w:val="none"/>
        </w:rPr>
        <w:t>39</w:t>
      </w:r>
      <w:r>
        <w:rPr>
          <w:highlight w:val="none"/>
        </w:rPr>
        <w:t>.</w:t>
      </w:r>
      <w:r>
        <w:rPr>
          <w:rFonts w:hint="eastAsia"/>
          <w:highlight w:val="none"/>
        </w:rPr>
        <w:t>3.3竞价法是指候选中标供应商产生后，由采购人委托招标机构组织候选中标供应商进行二次竞价，最终报价最低的为中标供应商</w:t>
      </w:r>
    </w:p>
    <w:p>
      <w:pPr>
        <w:tabs>
          <w:tab w:val="clear" w:pos="426"/>
        </w:tabs>
        <w:rPr>
          <w:rFonts w:hint="eastAsia"/>
          <w:highlight w:val="none"/>
        </w:rPr>
      </w:pPr>
      <w:r>
        <w:rPr>
          <w:rFonts w:hint="eastAsia"/>
          <w:highlight w:val="none"/>
        </w:rPr>
        <w:t>39.4本项目采用的定标方法见本项目招标文件专用条款的相关内容。</w:t>
      </w:r>
    </w:p>
    <w:p>
      <w:pPr>
        <w:tabs>
          <w:tab w:val="clear" w:pos="426"/>
        </w:tabs>
        <w:rPr>
          <w:rFonts w:hint="eastAsia"/>
          <w:highlight w:val="none"/>
        </w:rPr>
      </w:pPr>
      <w:r>
        <w:rPr>
          <w:rFonts w:hint="eastAsia"/>
          <w:highlight w:val="none"/>
        </w:rPr>
        <w:t>40．编写评标报告</w:t>
      </w:r>
    </w:p>
    <w:p>
      <w:pPr>
        <w:tabs>
          <w:tab w:val="clear" w:pos="426"/>
        </w:tabs>
        <w:rPr>
          <w:rFonts w:hint="eastAsia"/>
          <w:highlight w:val="none"/>
        </w:rPr>
      </w:pPr>
      <w:r>
        <w:rPr>
          <w:rFonts w:hint="eastAsia"/>
          <w:highlight w:val="none"/>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tabs>
          <w:tab w:val="clear" w:pos="426"/>
        </w:tabs>
        <w:rPr>
          <w:rFonts w:hint="eastAsia"/>
          <w:highlight w:val="none"/>
        </w:rPr>
      </w:pPr>
      <w:r>
        <w:rPr>
          <w:rFonts w:hint="eastAsia"/>
          <w:highlight w:val="none"/>
        </w:rPr>
        <w:t>41．中标公告</w:t>
      </w:r>
    </w:p>
    <w:p>
      <w:pPr>
        <w:tabs>
          <w:tab w:val="clear" w:pos="426"/>
        </w:tabs>
        <w:rPr>
          <w:rFonts w:hint="eastAsia"/>
          <w:highlight w:val="none"/>
        </w:rPr>
      </w:pPr>
      <w:r>
        <w:rPr>
          <w:rFonts w:hint="eastAsia"/>
          <w:highlight w:val="none"/>
        </w:rPr>
        <w:t>41.1为体现“公开、公平、公正”的原则，评标结束后，将在深圳海关门户网  （</w:t>
      </w:r>
      <w:r>
        <w:rPr>
          <w:highlight w:val="none"/>
        </w:rPr>
        <w:t>http://shenzhen.customs.gov.cn</w:t>
      </w:r>
      <w:r>
        <w:rPr>
          <w:rFonts w:hint="eastAsia"/>
          <w:highlight w:val="none"/>
        </w:rPr>
        <w:t>）、采购代理机构官网：（</w:t>
      </w:r>
      <w:r>
        <w:rPr>
          <w:highlight w:val="none"/>
        </w:rPr>
        <w:t>http://www.szsszx.com/</w:t>
      </w:r>
      <w:r>
        <w:rPr>
          <w:rFonts w:hint="eastAsia"/>
          <w:highlight w:val="none"/>
        </w:rPr>
        <w:t>）上发布中标结果公告， 公示期为1个工作日。供应商如对评标结果有异议，请于公示期内，以书面的形式向我公司反映。若在公示期内未提出异议，则视为认同该评标结果。</w:t>
      </w:r>
    </w:p>
    <w:p>
      <w:pPr>
        <w:tabs>
          <w:tab w:val="clear" w:pos="426"/>
        </w:tabs>
        <w:rPr>
          <w:rFonts w:hint="eastAsia"/>
          <w:highlight w:val="none"/>
        </w:rPr>
      </w:pPr>
      <w:r>
        <w:rPr>
          <w:rFonts w:hint="eastAsia"/>
          <w:highlight w:val="none"/>
        </w:rPr>
        <w:t>41.2质疑投诉人应保证质疑投诉内容的真实性和可靠性，并承担相应的法律责任。</w:t>
      </w:r>
    </w:p>
    <w:p>
      <w:pPr>
        <w:tabs>
          <w:tab w:val="clear" w:pos="426"/>
        </w:tabs>
        <w:rPr>
          <w:rFonts w:hint="eastAsia"/>
          <w:highlight w:val="none"/>
        </w:rPr>
      </w:pPr>
      <w:r>
        <w:rPr>
          <w:rFonts w:hint="eastAsia"/>
          <w:highlight w:val="none"/>
        </w:rPr>
        <w:t>42．中标通知书</w:t>
      </w:r>
    </w:p>
    <w:p>
      <w:pPr>
        <w:tabs>
          <w:tab w:val="clear" w:pos="426"/>
        </w:tabs>
        <w:rPr>
          <w:rFonts w:hint="eastAsia"/>
          <w:highlight w:val="none"/>
        </w:rPr>
      </w:pPr>
      <w:r>
        <w:rPr>
          <w:rFonts w:hint="eastAsia"/>
          <w:highlight w:val="none"/>
        </w:rPr>
        <w:t>42</w:t>
      </w:r>
      <w:r>
        <w:rPr>
          <w:highlight w:val="none"/>
        </w:rPr>
        <w:t>.</w:t>
      </w:r>
      <w:r>
        <w:rPr>
          <w:rFonts w:hint="eastAsia"/>
          <w:highlight w:val="none"/>
        </w:rPr>
        <w:t>1中标公告公布后,公示期内无人投诉,请中标供应商凭单位证明及本人身份证到采购代理机构领取《中标通知书》。</w:t>
      </w:r>
    </w:p>
    <w:p>
      <w:pPr>
        <w:tabs>
          <w:tab w:val="clear" w:pos="426"/>
        </w:tabs>
        <w:rPr>
          <w:rFonts w:hint="eastAsia"/>
          <w:highlight w:val="none"/>
        </w:rPr>
      </w:pPr>
      <w:r>
        <w:rPr>
          <w:rFonts w:hint="eastAsia"/>
          <w:highlight w:val="none"/>
        </w:rPr>
        <w:t>42</w:t>
      </w:r>
      <w:r>
        <w:rPr>
          <w:highlight w:val="none"/>
        </w:rPr>
        <w:t>.2</w:t>
      </w:r>
      <w:r>
        <w:rPr>
          <w:rFonts w:hint="eastAsia"/>
          <w:highlight w:val="none"/>
        </w:rPr>
        <w:t>中标通知书是合同的重要组成部分。</w:t>
      </w:r>
    </w:p>
    <w:p>
      <w:pPr>
        <w:tabs>
          <w:tab w:val="clear" w:pos="426"/>
        </w:tabs>
        <w:rPr>
          <w:rFonts w:hint="eastAsia"/>
          <w:highlight w:val="none"/>
        </w:rPr>
      </w:pPr>
      <w:r>
        <w:rPr>
          <w:rFonts w:hint="eastAsia"/>
          <w:highlight w:val="none"/>
        </w:rPr>
        <w:t>42.3因质疑投诉或其它原因导致项目结果变更或采购终止的，我公司有权收回中标通知书或终止采购合同。</w:t>
      </w:r>
    </w:p>
    <w:p>
      <w:pPr>
        <w:pStyle w:val="5"/>
        <w:tabs>
          <w:tab w:val="clear" w:pos="426"/>
        </w:tabs>
        <w:rPr>
          <w:rFonts w:hint="eastAsia"/>
          <w:highlight w:val="none"/>
        </w:rPr>
      </w:pPr>
      <w:bookmarkStart w:id="169" w:name="_Toc529280588"/>
      <w:bookmarkStart w:id="170" w:name="_Toc14427261"/>
      <w:bookmarkStart w:id="171" w:name="_Toc530152529"/>
      <w:bookmarkStart w:id="172" w:name="_Toc1549"/>
      <w:r>
        <w:rPr>
          <w:rFonts w:hint="eastAsia"/>
          <w:highlight w:val="none"/>
        </w:rPr>
        <w:t>第八章 公开招标失败的后续处理</w:t>
      </w:r>
      <w:bookmarkEnd w:id="169"/>
      <w:bookmarkEnd w:id="170"/>
      <w:bookmarkEnd w:id="171"/>
      <w:bookmarkEnd w:id="172"/>
    </w:p>
    <w:p>
      <w:pPr>
        <w:rPr>
          <w:rFonts w:hAnsi="Times New Roman"/>
          <w:b/>
          <w:bCs/>
          <w:highlight w:val="none"/>
        </w:rPr>
      </w:pPr>
      <w:r>
        <w:rPr>
          <w:rFonts w:hint="eastAsia"/>
          <w:highlight w:val="none"/>
        </w:rPr>
        <w:t>43．公开招标失败的处理</w:t>
      </w:r>
      <w:r>
        <w:rPr>
          <w:rFonts w:hint="eastAsia" w:hAnsi="Times New Roman"/>
          <w:b/>
          <w:bCs/>
          <w:highlight w:val="none"/>
        </w:rPr>
        <w:t>（本项目选择方式一）</w:t>
      </w:r>
    </w:p>
    <w:p>
      <w:pPr>
        <w:rPr>
          <w:rFonts w:hAnsi="Times New Roman"/>
          <w:b/>
          <w:bCs/>
          <w:szCs w:val="21"/>
          <w:highlight w:val="none"/>
        </w:rPr>
      </w:pPr>
      <w:r>
        <w:rPr>
          <w:rFonts w:hint="eastAsia" w:hAnsi="Times New Roman"/>
          <w:b/>
          <w:bCs/>
          <w:szCs w:val="21"/>
          <w:highlight w:val="none"/>
        </w:rPr>
        <w:t>43.1方式一：公开招标的货物、服务采购项目，招标过程中提交投标文件或者经评审实质性响应招标文件要求的供应商只有两家时，经评审委员会审核采购文件无歧视性、排他性等不合理条款，可现场直接转为与该两家供应商进行竞争性谈判采购。（《深圳海关非政府采购管理办法》第二十七条）。根据《财库〔2012〕69号财政部关于进一步规范政府采购评审工作有关问题的通知》的规定，评审委员会要在采购项目招标失败时，出具招标文件是否存在不合理条款的论证意见，论证意见写进评审报告中。</w:t>
      </w:r>
    </w:p>
    <w:p>
      <w:pPr>
        <w:tabs>
          <w:tab w:val="clear" w:pos="426"/>
        </w:tabs>
        <w:rPr>
          <w:rFonts w:hint="eastAsia"/>
          <w:highlight w:val="none"/>
        </w:rPr>
      </w:pPr>
      <w:r>
        <w:rPr>
          <w:rFonts w:hint="eastAsia" w:hAnsi="Times New Roman"/>
          <w:szCs w:val="21"/>
          <w:highlight w:val="none"/>
        </w:rPr>
        <w:t>方式二：</w:t>
      </w:r>
      <w:r>
        <w:rPr>
          <w:rFonts w:hint="eastAsia"/>
          <w:szCs w:val="21"/>
          <w:highlight w:val="none"/>
        </w:rPr>
        <w:t>本项目公开招标过程中若由于投标截止后</w:t>
      </w:r>
      <w:r>
        <w:rPr>
          <w:rFonts w:hint="eastAsia"/>
          <w:highlight w:val="none"/>
        </w:rPr>
        <w:t>实际递交</w:t>
      </w:r>
      <w:r>
        <w:rPr>
          <w:highlight w:val="none"/>
        </w:rPr>
        <w:t>投标</w:t>
      </w:r>
      <w:r>
        <w:rPr>
          <w:rFonts w:hint="eastAsia"/>
          <w:highlight w:val="none"/>
        </w:rPr>
        <w:t>文件的供应商数量不足、经评标委员会评审对招标文件作实质响应的供应商不足等原因造成公开招标失败，可由采购代理机构重新组织采购。</w:t>
      </w:r>
    </w:p>
    <w:p>
      <w:pPr>
        <w:tabs>
          <w:tab w:val="clear" w:pos="426"/>
        </w:tabs>
        <w:rPr>
          <w:rFonts w:hint="eastAsia"/>
          <w:highlight w:val="none"/>
        </w:rPr>
      </w:pPr>
      <w:r>
        <w:rPr>
          <w:rFonts w:hint="eastAsia"/>
          <w:highlight w:val="none"/>
        </w:rPr>
        <w:t>43.2对公开招标失败的项目，评标委员会在出具该项目招标失败结论的同时，提出重新采购组织形式的建议，以及进一步完善招标文件的资格、技术、商务要求的修改建议。</w:t>
      </w:r>
    </w:p>
    <w:p>
      <w:pPr>
        <w:tabs>
          <w:tab w:val="clear" w:pos="426"/>
        </w:tabs>
        <w:rPr>
          <w:rFonts w:hint="eastAsia"/>
          <w:highlight w:val="none"/>
        </w:rPr>
      </w:pPr>
      <w:r>
        <w:rPr>
          <w:rFonts w:hint="eastAsia"/>
          <w:highlight w:val="none"/>
        </w:rPr>
        <w:t>43.3评审委员会要在采购项目招标失败时，出具招标文件是否存在不合理条款的论证意见，要协助采购人、采购代理机构、财政部门答复质疑或处理投诉事项。</w:t>
      </w:r>
    </w:p>
    <w:p>
      <w:pPr>
        <w:tabs>
          <w:tab w:val="clear" w:pos="426"/>
        </w:tabs>
        <w:rPr>
          <w:rFonts w:hint="eastAsia"/>
          <w:highlight w:val="none"/>
        </w:rPr>
      </w:pPr>
      <w:r>
        <w:rPr>
          <w:rFonts w:hint="eastAsia"/>
          <w:highlight w:val="none"/>
        </w:rPr>
        <w:t>43.4重新组织采购有以下两种组织形式：</w:t>
      </w:r>
    </w:p>
    <w:p>
      <w:pPr>
        <w:tabs>
          <w:tab w:val="clear" w:pos="426"/>
        </w:tabs>
        <w:rPr>
          <w:rFonts w:hint="eastAsia"/>
          <w:highlight w:val="none"/>
        </w:rPr>
      </w:pPr>
      <w:r>
        <w:rPr>
          <w:rFonts w:hint="eastAsia"/>
          <w:highlight w:val="none"/>
        </w:rPr>
        <w:t>（1）由采购代理机构重新组织公开招标；</w:t>
      </w:r>
    </w:p>
    <w:p>
      <w:pPr>
        <w:tabs>
          <w:tab w:val="clear" w:pos="426"/>
        </w:tabs>
        <w:rPr>
          <w:rFonts w:hint="eastAsia"/>
          <w:highlight w:val="none"/>
        </w:rPr>
      </w:pPr>
      <w:r>
        <w:rPr>
          <w:rFonts w:hint="eastAsia"/>
          <w:highlight w:val="none"/>
        </w:rPr>
        <w:t>（2）根据实际情况需要向相关监督管理部门提出非公开招标方式申请，经相关监督管理部门批准公开招标失败采购项目可转为竞争性谈判或单一来源谈判方式采购。</w:t>
      </w:r>
    </w:p>
    <w:p>
      <w:pPr>
        <w:tabs>
          <w:tab w:val="clear" w:pos="426"/>
        </w:tabs>
        <w:rPr>
          <w:rFonts w:hint="eastAsia"/>
          <w:highlight w:val="none"/>
        </w:rPr>
      </w:pPr>
      <w:r>
        <w:rPr>
          <w:rFonts w:hint="eastAsia"/>
          <w:highlight w:val="none"/>
        </w:rPr>
        <w:t>43.5公开招标失败的采购项目重新组织公开招标，采购代理机构要重新按公开招标流程发布采购公告和招标文件、组成评标委员会等组织采购活动。</w:t>
      </w:r>
    </w:p>
    <w:p>
      <w:pPr>
        <w:tabs>
          <w:tab w:val="clear" w:pos="426"/>
        </w:tabs>
        <w:rPr>
          <w:rFonts w:hint="eastAsia"/>
          <w:highlight w:val="none"/>
        </w:rPr>
      </w:pPr>
      <w:r>
        <w:rPr>
          <w:rFonts w:hint="eastAsia"/>
          <w:highlight w:val="none"/>
        </w:rPr>
        <w:t>43.6公开招标失败的采购项目经相关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pPr>
        <w:tabs>
          <w:tab w:val="clear" w:pos="426"/>
        </w:tabs>
        <w:rPr>
          <w:rFonts w:hint="eastAsia"/>
          <w:highlight w:val="none"/>
        </w:rPr>
      </w:pPr>
      <w:r>
        <w:rPr>
          <w:rFonts w:hint="eastAsia"/>
          <w:highlight w:val="none"/>
        </w:rPr>
        <w:t>44．公开招标失败项目转为竞争性谈判方式采购的</w:t>
      </w:r>
    </w:p>
    <w:p>
      <w:pPr>
        <w:tabs>
          <w:tab w:val="clear" w:pos="426"/>
        </w:tabs>
        <w:rPr>
          <w:rFonts w:hint="eastAsia"/>
          <w:highlight w:val="none"/>
        </w:rPr>
      </w:pPr>
      <w:r>
        <w:rPr>
          <w:rFonts w:hint="eastAsia"/>
          <w:highlight w:val="none"/>
        </w:rPr>
        <w:t>44.1谈判文件</w:t>
      </w:r>
    </w:p>
    <w:p>
      <w:pPr>
        <w:tabs>
          <w:tab w:val="clear" w:pos="426"/>
        </w:tabs>
        <w:rPr>
          <w:rFonts w:hint="eastAsia"/>
          <w:highlight w:val="none"/>
        </w:rPr>
      </w:pPr>
      <w:r>
        <w:rPr>
          <w:rFonts w:hint="eastAsia"/>
          <w:highlight w:val="none"/>
        </w:rPr>
        <w:t>44.1.1公开招标失败项目转为竞争性谈判方式采购的，原招标文件转为谈判文件。</w:t>
      </w:r>
    </w:p>
    <w:p>
      <w:pPr>
        <w:tabs>
          <w:tab w:val="clear" w:pos="426"/>
        </w:tabs>
        <w:rPr>
          <w:rFonts w:hint="eastAsia"/>
          <w:highlight w:val="none"/>
        </w:rPr>
      </w:pPr>
      <w:r>
        <w:rPr>
          <w:rFonts w:hint="eastAsia"/>
          <w:highlight w:val="none"/>
        </w:rPr>
        <w:t>44.2谈判小组</w:t>
      </w:r>
    </w:p>
    <w:p>
      <w:pPr>
        <w:tabs>
          <w:tab w:val="clear" w:pos="426"/>
        </w:tabs>
        <w:rPr>
          <w:rFonts w:hint="eastAsia"/>
          <w:highlight w:val="none"/>
        </w:rPr>
      </w:pPr>
      <w:r>
        <w:rPr>
          <w:rFonts w:hint="eastAsia"/>
          <w:highlight w:val="none"/>
        </w:rPr>
        <w:t>44.2.1公开招标失败项目转为竞争性谈判方式采购后，评标委员会转为谈判小组；专家可重新抽取也可继续采用评标委员会内专家。</w:t>
      </w:r>
    </w:p>
    <w:p>
      <w:pPr>
        <w:tabs>
          <w:tab w:val="clear" w:pos="426"/>
        </w:tabs>
        <w:rPr>
          <w:rFonts w:hint="eastAsia"/>
          <w:highlight w:val="none"/>
        </w:rPr>
      </w:pPr>
      <w:r>
        <w:rPr>
          <w:rFonts w:hint="eastAsia"/>
          <w:szCs w:val="21"/>
          <w:highlight w:val="none"/>
        </w:rPr>
        <w:t>44.2.2</w:t>
      </w:r>
      <w:r>
        <w:rPr>
          <w:rFonts w:hint="eastAsia"/>
          <w:highlight w:val="none"/>
        </w:rPr>
        <w:t>谈判前，谈判小组将对各供应商的谈判应答文件进行审查，</w:t>
      </w:r>
      <w:r>
        <w:rPr>
          <w:rFonts w:hint="eastAsia"/>
          <w:bCs/>
          <w:highlight w:val="none"/>
        </w:rPr>
        <w:t>当谈判应答文件出现下列情况之一的将视为无效，按无效标或废标处理，不得进入谈判，</w:t>
      </w:r>
      <w:r>
        <w:rPr>
          <w:rFonts w:hint="eastAsia"/>
          <w:highlight w:val="none"/>
        </w:rPr>
        <w:t>具体内容见原招标文件中“资格、符合性评审</w:t>
      </w:r>
      <w:r>
        <w:rPr>
          <w:rFonts w:hint="eastAsia"/>
          <w:bCs/>
          <w:highlight w:val="none"/>
        </w:rPr>
        <w:t>”</w:t>
      </w:r>
      <w:r>
        <w:rPr>
          <w:rFonts w:hint="eastAsia"/>
          <w:highlight w:val="none"/>
        </w:rPr>
        <w:t>部分以及谈判邀请中相应的变动部分。</w:t>
      </w:r>
    </w:p>
    <w:p>
      <w:pPr>
        <w:tabs>
          <w:tab w:val="clear" w:pos="426"/>
        </w:tabs>
        <w:rPr>
          <w:rFonts w:hint="eastAsia"/>
          <w:highlight w:val="none"/>
        </w:rPr>
      </w:pPr>
      <w:r>
        <w:rPr>
          <w:rFonts w:hint="eastAsia"/>
          <w:highlight w:val="none"/>
        </w:rPr>
        <w:t>44.3谈判程序</w:t>
      </w:r>
    </w:p>
    <w:p>
      <w:pPr>
        <w:tabs>
          <w:tab w:val="clear" w:pos="426"/>
        </w:tabs>
        <w:rPr>
          <w:rFonts w:hint="eastAsia"/>
          <w:highlight w:val="none"/>
        </w:rPr>
      </w:pPr>
      <w:r>
        <w:rPr>
          <w:rFonts w:hint="eastAsia"/>
          <w:highlight w:val="none"/>
        </w:rPr>
        <w:t>44.3.1参加谈判的供应商和谈判小组成员填写谈判登记表，并交验证明文件（法定代表人证明书、法人授权委托书、被授权的谈判代表身份证原件）。</w:t>
      </w:r>
    </w:p>
    <w:p>
      <w:pPr>
        <w:tabs>
          <w:tab w:val="clear" w:pos="426"/>
        </w:tabs>
        <w:rPr>
          <w:rFonts w:hint="eastAsia"/>
          <w:highlight w:val="none"/>
        </w:rPr>
      </w:pPr>
      <w:r>
        <w:rPr>
          <w:rFonts w:hint="eastAsia"/>
          <w:highlight w:val="none"/>
        </w:rPr>
        <w:t>44.3</w:t>
      </w:r>
      <w:r>
        <w:rPr>
          <w:highlight w:val="none"/>
        </w:rPr>
        <w:t>.2</w:t>
      </w:r>
      <w:r>
        <w:rPr>
          <w:rFonts w:hint="eastAsia"/>
          <w:highlight w:val="none"/>
        </w:rPr>
        <w:t>谈判小组主持人宣布谈判规则和谈判纪律。</w:t>
      </w:r>
    </w:p>
    <w:p>
      <w:pPr>
        <w:tabs>
          <w:tab w:val="clear" w:pos="426"/>
        </w:tabs>
        <w:rPr>
          <w:rFonts w:hint="eastAsia"/>
          <w:highlight w:val="none"/>
        </w:rPr>
      </w:pPr>
      <w:r>
        <w:rPr>
          <w:rFonts w:hint="eastAsia"/>
          <w:highlight w:val="none"/>
        </w:rPr>
        <w:t>44.3</w:t>
      </w:r>
      <w:r>
        <w:rPr>
          <w:highlight w:val="none"/>
        </w:rPr>
        <w:t>.3</w:t>
      </w:r>
      <w:r>
        <w:rPr>
          <w:rFonts w:hint="eastAsia"/>
          <w:highlight w:val="none"/>
        </w:rPr>
        <w:t>在谈判中，谈判小组将就以下谈判内容跟供应商进行谈判：</w:t>
      </w:r>
    </w:p>
    <w:p>
      <w:pPr>
        <w:tabs>
          <w:tab w:val="clear" w:pos="426"/>
        </w:tabs>
        <w:rPr>
          <w:rFonts w:hint="eastAsia"/>
          <w:highlight w:val="none"/>
        </w:rPr>
      </w:pPr>
      <w:r>
        <w:rPr>
          <w:rFonts w:hint="eastAsia"/>
          <w:highlight w:val="none"/>
        </w:rPr>
        <w:t>（</w:t>
      </w:r>
      <w:r>
        <w:rPr>
          <w:highlight w:val="none"/>
        </w:rPr>
        <w:t>1</w:t>
      </w:r>
      <w:r>
        <w:rPr>
          <w:rFonts w:hint="eastAsia"/>
          <w:highlight w:val="none"/>
        </w:rPr>
        <w:t>）项目方案；</w:t>
      </w:r>
    </w:p>
    <w:p>
      <w:pPr>
        <w:tabs>
          <w:tab w:val="clear" w:pos="426"/>
        </w:tabs>
        <w:rPr>
          <w:rFonts w:hint="eastAsia"/>
          <w:highlight w:val="none"/>
        </w:rPr>
      </w:pPr>
      <w:r>
        <w:rPr>
          <w:rFonts w:hint="eastAsia"/>
          <w:highlight w:val="none"/>
        </w:rPr>
        <w:t>（2）报价；</w:t>
      </w:r>
    </w:p>
    <w:p>
      <w:pPr>
        <w:tabs>
          <w:tab w:val="clear" w:pos="426"/>
        </w:tabs>
        <w:rPr>
          <w:rFonts w:hint="eastAsia"/>
          <w:highlight w:val="none"/>
        </w:rPr>
      </w:pPr>
      <w:r>
        <w:rPr>
          <w:rFonts w:hint="eastAsia"/>
          <w:highlight w:val="none"/>
        </w:rPr>
        <w:t>（3）其它相关事项。</w:t>
      </w:r>
    </w:p>
    <w:p>
      <w:pPr>
        <w:tabs>
          <w:tab w:val="clear" w:pos="426"/>
        </w:tabs>
        <w:rPr>
          <w:rFonts w:hint="eastAsia"/>
          <w:highlight w:val="none"/>
        </w:rPr>
      </w:pPr>
      <w:r>
        <w:rPr>
          <w:rFonts w:hint="eastAsia"/>
          <w:highlight w:val="none"/>
        </w:rPr>
        <w:t>原招标文件或谈判邀请文件有实质性变动的，谈判小组应当通过采购代理机构通知所有参加谈判的供应商。</w:t>
      </w:r>
    </w:p>
    <w:p>
      <w:pPr>
        <w:tabs>
          <w:tab w:val="clear" w:pos="426"/>
        </w:tabs>
        <w:rPr>
          <w:rFonts w:hint="eastAsia"/>
          <w:highlight w:val="none"/>
        </w:rPr>
      </w:pPr>
      <w:r>
        <w:rPr>
          <w:rFonts w:hint="eastAsia"/>
          <w:highlight w:val="none"/>
        </w:rPr>
        <w:t>44.3.4谈判小组可以用书面形式要求各供应商对其谈判应答文件含义不明确的内容作必要的澄清或者说明，重要问题供应商应以书面形式进行澄清、说明。</w:t>
      </w:r>
    </w:p>
    <w:p>
      <w:pPr>
        <w:tabs>
          <w:tab w:val="clear" w:pos="426"/>
        </w:tabs>
        <w:rPr>
          <w:rFonts w:hint="eastAsia"/>
          <w:highlight w:val="none"/>
        </w:rPr>
      </w:pPr>
      <w:r>
        <w:rPr>
          <w:rFonts w:hint="eastAsia"/>
          <w:highlight w:val="none"/>
        </w:rPr>
        <w:t>44.3</w:t>
      </w:r>
      <w:r>
        <w:rPr>
          <w:highlight w:val="none"/>
        </w:rPr>
        <w:t>.</w:t>
      </w:r>
      <w:r>
        <w:rPr>
          <w:rFonts w:hint="eastAsia"/>
          <w:highlight w:val="none"/>
        </w:rPr>
        <w:t>5 允许供应商在谈判结束之前根据谈判小组提出的内容进行澄清、修改或完善，或对项目方案进行相应的调整。</w:t>
      </w:r>
    </w:p>
    <w:p>
      <w:pPr>
        <w:tabs>
          <w:tab w:val="clear" w:pos="426"/>
        </w:tabs>
        <w:rPr>
          <w:rFonts w:hint="eastAsia"/>
          <w:highlight w:val="none"/>
        </w:rPr>
      </w:pPr>
      <w:r>
        <w:rPr>
          <w:rFonts w:hint="eastAsia"/>
          <w:highlight w:val="none"/>
        </w:rPr>
        <w:t>44.3</w:t>
      </w:r>
      <w:r>
        <w:rPr>
          <w:highlight w:val="none"/>
        </w:rPr>
        <w:t>.</w:t>
      </w:r>
      <w:r>
        <w:rPr>
          <w:rFonts w:hint="eastAsia"/>
          <w:highlight w:val="none"/>
        </w:rPr>
        <w:t>6供应商对谈判应答文件进行修改，都应形成文字材料，并经供应商谈判授权人签字认可。</w:t>
      </w:r>
    </w:p>
    <w:p>
      <w:pPr>
        <w:tabs>
          <w:tab w:val="clear" w:pos="426"/>
        </w:tabs>
        <w:rPr>
          <w:rFonts w:hint="eastAsia"/>
          <w:highlight w:val="none"/>
        </w:rPr>
      </w:pPr>
      <w:r>
        <w:rPr>
          <w:rFonts w:hint="eastAsia"/>
          <w:highlight w:val="none"/>
        </w:rPr>
        <w:t>44.3.7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tabs>
          <w:tab w:val="clear" w:pos="426"/>
        </w:tabs>
        <w:rPr>
          <w:rFonts w:hint="eastAsia"/>
          <w:szCs w:val="21"/>
          <w:highlight w:val="none"/>
        </w:rPr>
      </w:pPr>
      <w:r>
        <w:rPr>
          <w:rFonts w:hint="eastAsia"/>
          <w:szCs w:val="21"/>
          <w:highlight w:val="none"/>
        </w:rPr>
        <w:t>44.3.8有下列情形之一的，该供应商的谈判结果</w:t>
      </w:r>
      <w:r>
        <w:rPr>
          <w:rFonts w:hint="eastAsia"/>
          <w:bCs/>
          <w:highlight w:val="none"/>
        </w:rPr>
        <w:t>按无效标或废标处理</w:t>
      </w:r>
      <w:r>
        <w:rPr>
          <w:rFonts w:hint="eastAsia"/>
          <w:szCs w:val="21"/>
          <w:highlight w:val="none"/>
        </w:rPr>
        <w:t>，</w:t>
      </w:r>
      <w:r>
        <w:rPr>
          <w:rFonts w:hint="eastAsia"/>
          <w:highlight w:val="none"/>
        </w:rPr>
        <w:t>具体内容见原招标文件中不符合“资格、符合性评审条款”部分以及谈判邀请中相应的变动部分。</w:t>
      </w:r>
    </w:p>
    <w:p>
      <w:pPr>
        <w:tabs>
          <w:tab w:val="clear" w:pos="426"/>
        </w:tabs>
        <w:rPr>
          <w:rFonts w:hint="eastAsia"/>
          <w:highlight w:val="none"/>
        </w:rPr>
      </w:pPr>
      <w:r>
        <w:rPr>
          <w:rFonts w:hint="eastAsia"/>
          <w:highlight w:val="none"/>
        </w:rPr>
        <w:t>44.3</w:t>
      </w:r>
      <w:r>
        <w:rPr>
          <w:highlight w:val="none"/>
        </w:rPr>
        <w:t>.</w:t>
      </w:r>
      <w:r>
        <w:rPr>
          <w:rFonts w:hint="eastAsia"/>
          <w:highlight w:val="none"/>
        </w:rPr>
        <w:t>9谈判结束后，谈判小组根据供应商提供的谈判应答文件、谈判过程中产生的相关资料，对供应商谈判应答文件进行评估与比较，提出书面评审意见。</w:t>
      </w:r>
    </w:p>
    <w:p>
      <w:pPr>
        <w:tabs>
          <w:tab w:val="clear" w:pos="426"/>
        </w:tabs>
        <w:rPr>
          <w:rFonts w:hint="eastAsia"/>
          <w:highlight w:val="none"/>
        </w:rPr>
      </w:pPr>
      <w:r>
        <w:rPr>
          <w:rFonts w:hint="eastAsia"/>
          <w:highlight w:val="none"/>
        </w:rPr>
        <w:t>44.3.10谈判小组将对谈判过程进行记录，以存档备查。</w:t>
      </w:r>
    </w:p>
    <w:p>
      <w:pPr>
        <w:tabs>
          <w:tab w:val="clear" w:pos="426"/>
        </w:tabs>
        <w:rPr>
          <w:rFonts w:hint="eastAsia"/>
          <w:highlight w:val="none"/>
        </w:rPr>
      </w:pPr>
      <w:r>
        <w:rPr>
          <w:rFonts w:hint="eastAsia"/>
          <w:highlight w:val="none"/>
        </w:rPr>
        <w:t>44.4评标方法和定标原则</w:t>
      </w:r>
    </w:p>
    <w:p>
      <w:pPr>
        <w:tabs>
          <w:tab w:val="clear" w:pos="426"/>
        </w:tabs>
        <w:rPr>
          <w:rFonts w:hint="eastAsia"/>
          <w:highlight w:val="none"/>
        </w:rPr>
      </w:pPr>
      <w:r>
        <w:rPr>
          <w:rFonts w:hint="eastAsia"/>
          <w:highlight w:val="none"/>
        </w:rPr>
        <w:t>44.4.1竞争性谈判采购项目的评标方法要比照最低评标价法规定执行。如确因实际情况需要采用其他评标方法的，应报经同级相关监督管理部门批准。原招标文件若采用</w:t>
      </w:r>
      <w:r>
        <w:rPr>
          <w:rFonts w:hint="eastAsia"/>
          <w:bCs/>
          <w:highlight w:val="none"/>
        </w:rPr>
        <w:t>最低评标价法以外的评标方法，转为竞争性谈判后，评标方法应采用</w:t>
      </w:r>
      <w:r>
        <w:rPr>
          <w:rFonts w:hint="eastAsia"/>
          <w:highlight w:val="none"/>
        </w:rPr>
        <w:t>最低评标价法。</w:t>
      </w:r>
    </w:p>
    <w:p>
      <w:pPr>
        <w:tabs>
          <w:tab w:val="clear" w:pos="426"/>
        </w:tabs>
        <w:rPr>
          <w:rFonts w:hint="eastAsia"/>
          <w:highlight w:val="none"/>
        </w:rPr>
      </w:pPr>
      <w:r>
        <w:rPr>
          <w:rFonts w:hint="eastAsia"/>
          <w:szCs w:val="21"/>
          <w:highlight w:val="none"/>
        </w:rPr>
        <w:t>44.4.2对公开招标失败转为竞争性谈判方式采购的项目，谈判小组</w:t>
      </w:r>
      <w:r>
        <w:rPr>
          <w:rFonts w:hint="eastAsia"/>
          <w:highlight w:val="none"/>
        </w:rPr>
        <w:t>对谈判应答文件进行评审和比较，综合各家供应商最终的方案、服务和投资等谈判结果并按本通用条款第</w:t>
      </w:r>
      <w:r>
        <w:rPr>
          <w:rFonts w:hint="eastAsia"/>
          <w:bCs/>
          <w:szCs w:val="21"/>
          <w:highlight w:val="none"/>
        </w:rPr>
        <w:t>37.1.1款</w:t>
      </w:r>
      <w:r>
        <w:rPr>
          <w:rFonts w:hint="eastAsia"/>
          <w:highlight w:val="none"/>
        </w:rPr>
        <w:t>的</w:t>
      </w:r>
      <w:r>
        <w:rPr>
          <w:rFonts w:hint="eastAsia"/>
          <w:bCs/>
          <w:highlight w:val="none"/>
        </w:rPr>
        <w:t>最低评标价法</w:t>
      </w:r>
      <w:r>
        <w:rPr>
          <w:rFonts w:hint="eastAsia"/>
          <w:highlight w:val="none"/>
        </w:rPr>
        <w:t>进行评审。</w:t>
      </w:r>
    </w:p>
    <w:p>
      <w:pPr>
        <w:tabs>
          <w:tab w:val="clear" w:pos="426"/>
        </w:tabs>
        <w:rPr>
          <w:rFonts w:hint="eastAsia"/>
          <w:highlight w:val="none"/>
        </w:rPr>
      </w:pPr>
      <w:r>
        <w:rPr>
          <w:rFonts w:hint="eastAsia"/>
          <w:highlight w:val="none"/>
        </w:rPr>
        <w:t>44.4.3若要采用其他评标方法的，必须报经相关监督管理部门批准，谈判小组按批准的评标方法进行评审。谈判邀请文件中应注明批准的评标方法。</w:t>
      </w:r>
    </w:p>
    <w:p>
      <w:pPr>
        <w:tabs>
          <w:tab w:val="clear" w:pos="426"/>
        </w:tabs>
        <w:rPr>
          <w:rFonts w:hint="eastAsia"/>
          <w:highlight w:val="none"/>
        </w:rPr>
      </w:pPr>
      <w:r>
        <w:rPr>
          <w:rFonts w:hint="eastAsia"/>
          <w:highlight w:val="none"/>
        </w:rPr>
        <w:t>44.4.4谈判小组向采购代理机构提交书面评标报告，并推荐中标候选人或确定中标供应商。</w:t>
      </w:r>
    </w:p>
    <w:p>
      <w:pPr>
        <w:tabs>
          <w:tab w:val="clear" w:pos="426"/>
        </w:tabs>
        <w:rPr>
          <w:rFonts w:hint="eastAsia"/>
          <w:highlight w:val="none"/>
        </w:rPr>
      </w:pPr>
      <w:r>
        <w:rPr>
          <w:rFonts w:hint="eastAsia"/>
          <w:highlight w:val="none"/>
        </w:rPr>
        <w:t>45．公开招标失败项目转为单一来源谈判方式采购</w:t>
      </w:r>
    </w:p>
    <w:p>
      <w:pPr>
        <w:tabs>
          <w:tab w:val="clear" w:pos="426"/>
        </w:tabs>
        <w:rPr>
          <w:rFonts w:hint="eastAsia"/>
          <w:highlight w:val="none"/>
        </w:rPr>
      </w:pPr>
      <w:r>
        <w:rPr>
          <w:rFonts w:hint="eastAsia"/>
          <w:highlight w:val="none"/>
        </w:rPr>
        <w:t>45.1谈判文件</w:t>
      </w:r>
    </w:p>
    <w:p>
      <w:pPr>
        <w:tabs>
          <w:tab w:val="clear" w:pos="426"/>
        </w:tabs>
        <w:rPr>
          <w:rFonts w:hint="eastAsia"/>
          <w:highlight w:val="none"/>
        </w:rPr>
      </w:pPr>
      <w:r>
        <w:rPr>
          <w:rFonts w:hint="eastAsia"/>
          <w:highlight w:val="none"/>
        </w:rPr>
        <w:t>45.1.1公开招标失败项目转为单一来源谈判方式采购的，原招标文件转为谈判文件。</w:t>
      </w:r>
    </w:p>
    <w:p>
      <w:pPr>
        <w:tabs>
          <w:tab w:val="clear" w:pos="426"/>
        </w:tabs>
        <w:rPr>
          <w:rFonts w:hint="eastAsia"/>
          <w:highlight w:val="none"/>
        </w:rPr>
      </w:pPr>
      <w:r>
        <w:rPr>
          <w:rFonts w:hint="eastAsia"/>
          <w:highlight w:val="none"/>
        </w:rPr>
        <w:t>45.2谈判小组</w:t>
      </w:r>
    </w:p>
    <w:p>
      <w:pPr>
        <w:tabs>
          <w:tab w:val="clear" w:pos="426"/>
        </w:tabs>
        <w:rPr>
          <w:rFonts w:hint="eastAsia"/>
          <w:highlight w:val="none"/>
        </w:rPr>
      </w:pPr>
      <w:r>
        <w:rPr>
          <w:rFonts w:hint="eastAsia"/>
          <w:highlight w:val="none"/>
        </w:rPr>
        <w:t>45.2.1公开招标失败项目转为单一来源谈判方式采购后，评标委员会转为谈判小组，专家可重新抽取也可继续采用评标委员会内专家。</w:t>
      </w:r>
    </w:p>
    <w:p>
      <w:pPr>
        <w:tabs>
          <w:tab w:val="clear" w:pos="426"/>
        </w:tabs>
        <w:rPr>
          <w:rFonts w:hint="eastAsia"/>
          <w:highlight w:val="none"/>
        </w:rPr>
      </w:pPr>
      <w:r>
        <w:rPr>
          <w:rFonts w:hint="eastAsia"/>
          <w:szCs w:val="21"/>
          <w:highlight w:val="none"/>
        </w:rPr>
        <w:t>45.2.2</w:t>
      </w:r>
      <w:r>
        <w:rPr>
          <w:rFonts w:hint="eastAsia"/>
          <w:highlight w:val="none"/>
        </w:rPr>
        <w:t>谈判前，谈判小组将对单一来源供应商的谈判应答文件进行审查，</w:t>
      </w:r>
      <w:r>
        <w:rPr>
          <w:rFonts w:hint="eastAsia"/>
          <w:bCs/>
          <w:highlight w:val="none"/>
        </w:rPr>
        <w:t>当谈判应答文件出现下列情况之一的将视为无效，按无效标或废标处理，不得进入谈判，</w:t>
      </w:r>
      <w:r>
        <w:rPr>
          <w:rFonts w:hint="eastAsia"/>
          <w:highlight w:val="none"/>
        </w:rPr>
        <w:t>具体内容见原招标文件中“资格、符合性评审条款</w:t>
      </w:r>
      <w:r>
        <w:rPr>
          <w:rFonts w:hint="eastAsia"/>
          <w:bCs/>
          <w:highlight w:val="none"/>
        </w:rPr>
        <w:t>”</w:t>
      </w:r>
      <w:r>
        <w:rPr>
          <w:rFonts w:hint="eastAsia"/>
          <w:highlight w:val="none"/>
        </w:rPr>
        <w:t>部分以及谈判邀请中相应的变动部分。</w:t>
      </w:r>
    </w:p>
    <w:p>
      <w:pPr>
        <w:tabs>
          <w:tab w:val="clear" w:pos="426"/>
        </w:tabs>
        <w:rPr>
          <w:rFonts w:hint="eastAsia"/>
          <w:highlight w:val="none"/>
        </w:rPr>
      </w:pPr>
      <w:r>
        <w:rPr>
          <w:rFonts w:hint="eastAsia"/>
          <w:highlight w:val="none"/>
        </w:rPr>
        <w:t>45.3谈判程序</w:t>
      </w:r>
    </w:p>
    <w:p>
      <w:pPr>
        <w:tabs>
          <w:tab w:val="clear" w:pos="426"/>
        </w:tabs>
        <w:rPr>
          <w:rFonts w:hint="eastAsia"/>
          <w:highlight w:val="none"/>
        </w:rPr>
      </w:pPr>
      <w:r>
        <w:rPr>
          <w:rFonts w:hint="eastAsia"/>
          <w:highlight w:val="none"/>
        </w:rPr>
        <w:t>45.3.1参加谈判的供应商和谈判小组成员填写谈判登记表，并交验证明文件（法定代表人证明书、法人授权委托书、被授权的谈判代表身份证原件）。</w:t>
      </w:r>
    </w:p>
    <w:p>
      <w:pPr>
        <w:tabs>
          <w:tab w:val="clear" w:pos="426"/>
        </w:tabs>
        <w:rPr>
          <w:rFonts w:hint="eastAsia"/>
          <w:highlight w:val="none"/>
        </w:rPr>
      </w:pPr>
      <w:r>
        <w:rPr>
          <w:rFonts w:hint="eastAsia"/>
          <w:highlight w:val="none"/>
        </w:rPr>
        <w:t>45.3</w:t>
      </w:r>
      <w:r>
        <w:rPr>
          <w:highlight w:val="none"/>
        </w:rPr>
        <w:t>.2</w:t>
      </w:r>
      <w:r>
        <w:rPr>
          <w:rFonts w:hint="eastAsia"/>
          <w:highlight w:val="none"/>
        </w:rPr>
        <w:t>谈判小组主持人宣布谈判规则和谈判纪律。</w:t>
      </w:r>
    </w:p>
    <w:p>
      <w:pPr>
        <w:tabs>
          <w:tab w:val="clear" w:pos="426"/>
        </w:tabs>
        <w:rPr>
          <w:rFonts w:hint="eastAsia"/>
          <w:highlight w:val="none"/>
        </w:rPr>
      </w:pPr>
      <w:r>
        <w:rPr>
          <w:rFonts w:hint="eastAsia"/>
          <w:highlight w:val="none"/>
        </w:rPr>
        <w:t>45.3</w:t>
      </w:r>
      <w:r>
        <w:rPr>
          <w:highlight w:val="none"/>
        </w:rPr>
        <w:t>.3</w:t>
      </w:r>
      <w:r>
        <w:rPr>
          <w:rFonts w:hint="eastAsia"/>
          <w:highlight w:val="none"/>
        </w:rPr>
        <w:t>在谈判中，谈判小组将就以下谈判内容跟供应商进行谈判：</w:t>
      </w:r>
    </w:p>
    <w:p>
      <w:pPr>
        <w:tabs>
          <w:tab w:val="clear" w:pos="426"/>
        </w:tabs>
        <w:rPr>
          <w:rFonts w:hint="eastAsia"/>
          <w:highlight w:val="none"/>
        </w:rPr>
      </w:pPr>
      <w:r>
        <w:rPr>
          <w:rFonts w:hint="eastAsia"/>
          <w:highlight w:val="none"/>
        </w:rPr>
        <w:t>（</w:t>
      </w:r>
      <w:r>
        <w:rPr>
          <w:highlight w:val="none"/>
        </w:rPr>
        <w:t>1</w:t>
      </w:r>
      <w:r>
        <w:rPr>
          <w:rFonts w:hint="eastAsia"/>
          <w:highlight w:val="none"/>
        </w:rPr>
        <w:t>）项目方案；</w:t>
      </w:r>
    </w:p>
    <w:p>
      <w:pPr>
        <w:tabs>
          <w:tab w:val="clear" w:pos="426"/>
        </w:tabs>
        <w:rPr>
          <w:rFonts w:hint="eastAsia"/>
          <w:highlight w:val="none"/>
        </w:rPr>
      </w:pPr>
      <w:r>
        <w:rPr>
          <w:rFonts w:hint="eastAsia"/>
          <w:highlight w:val="none"/>
        </w:rPr>
        <w:t>（2）报价；</w:t>
      </w:r>
    </w:p>
    <w:p>
      <w:pPr>
        <w:tabs>
          <w:tab w:val="clear" w:pos="426"/>
        </w:tabs>
        <w:rPr>
          <w:rFonts w:hint="eastAsia"/>
          <w:highlight w:val="none"/>
        </w:rPr>
      </w:pPr>
      <w:r>
        <w:rPr>
          <w:rFonts w:hint="eastAsia"/>
          <w:highlight w:val="none"/>
        </w:rPr>
        <w:t>（3）其它相关事项。</w:t>
      </w:r>
    </w:p>
    <w:p>
      <w:pPr>
        <w:tabs>
          <w:tab w:val="clear" w:pos="426"/>
        </w:tabs>
        <w:rPr>
          <w:rFonts w:hint="eastAsia"/>
          <w:highlight w:val="none"/>
        </w:rPr>
      </w:pPr>
      <w:r>
        <w:rPr>
          <w:rFonts w:hint="eastAsia"/>
          <w:highlight w:val="none"/>
        </w:rPr>
        <w:t>原招标文件或谈判邀请文件有实质性变动的，谈判小组应当通过采购代理机构通知供应商。</w:t>
      </w:r>
    </w:p>
    <w:p>
      <w:pPr>
        <w:tabs>
          <w:tab w:val="clear" w:pos="426"/>
        </w:tabs>
        <w:rPr>
          <w:rFonts w:hint="eastAsia"/>
          <w:highlight w:val="none"/>
        </w:rPr>
      </w:pPr>
      <w:r>
        <w:rPr>
          <w:rFonts w:hint="eastAsia"/>
          <w:highlight w:val="none"/>
        </w:rPr>
        <w:t>45.3.4谈判小组可以用书面形式要求供应商对其谈判应答文件含义不明确的内容作必要的澄清或者说明，重要问题供应商应以书面形式进行澄清、说明。</w:t>
      </w:r>
    </w:p>
    <w:p>
      <w:pPr>
        <w:tabs>
          <w:tab w:val="clear" w:pos="426"/>
        </w:tabs>
        <w:rPr>
          <w:rFonts w:hint="eastAsia"/>
          <w:highlight w:val="none"/>
        </w:rPr>
      </w:pPr>
      <w:r>
        <w:rPr>
          <w:rFonts w:hint="eastAsia"/>
          <w:highlight w:val="none"/>
        </w:rPr>
        <w:t>45.3</w:t>
      </w:r>
      <w:r>
        <w:rPr>
          <w:highlight w:val="none"/>
        </w:rPr>
        <w:t>.</w:t>
      </w:r>
      <w:r>
        <w:rPr>
          <w:rFonts w:hint="eastAsia"/>
          <w:highlight w:val="none"/>
        </w:rPr>
        <w:t>5 允许供应商在谈判结束之前根据谈判小组提出的内容进行澄清、修改或完善，或对项目方案进行相应的调整。</w:t>
      </w:r>
    </w:p>
    <w:p>
      <w:pPr>
        <w:tabs>
          <w:tab w:val="clear" w:pos="426"/>
        </w:tabs>
        <w:rPr>
          <w:rFonts w:hint="eastAsia"/>
          <w:highlight w:val="none"/>
        </w:rPr>
      </w:pPr>
      <w:r>
        <w:rPr>
          <w:rFonts w:hint="eastAsia"/>
          <w:highlight w:val="none"/>
        </w:rPr>
        <w:t>45.3</w:t>
      </w:r>
      <w:r>
        <w:rPr>
          <w:highlight w:val="none"/>
        </w:rPr>
        <w:t>.</w:t>
      </w:r>
      <w:r>
        <w:rPr>
          <w:rFonts w:hint="eastAsia"/>
          <w:highlight w:val="none"/>
        </w:rPr>
        <w:t>6供应商对谈判应答文件进行修改，都应形成文字材料，并经供应商谈判授权人签字认可。</w:t>
      </w:r>
    </w:p>
    <w:p>
      <w:pPr>
        <w:tabs>
          <w:tab w:val="clear" w:pos="426"/>
        </w:tabs>
        <w:rPr>
          <w:rFonts w:hint="eastAsia"/>
          <w:highlight w:val="none"/>
        </w:rPr>
      </w:pPr>
      <w:r>
        <w:rPr>
          <w:rFonts w:hint="eastAsia"/>
          <w:highlight w:val="none"/>
        </w:rPr>
        <w:t>45.3.7谈判小组与单一来源供应商进行谈判。供应商有两次更改机会；供应商应在规定的时间内提出最后更改及书面承诺。</w:t>
      </w:r>
    </w:p>
    <w:p>
      <w:pPr>
        <w:tabs>
          <w:tab w:val="clear" w:pos="426"/>
        </w:tabs>
        <w:rPr>
          <w:rFonts w:hint="eastAsia"/>
          <w:szCs w:val="21"/>
          <w:highlight w:val="none"/>
        </w:rPr>
      </w:pPr>
      <w:r>
        <w:rPr>
          <w:rFonts w:hint="eastAsia"/>
          <w:szCs w:val="21"/>
          <w:highlight w:val="none"/>
        </w:rPr>
        <w:t>45.3.8有下列情形之一的，供应商的谈判结果作废标处理，</w:t>
      </w:r>
      <w:r>
        <w:rPr>
          <w:rFonts w:hint="eastAsia"/>
          <w:highlight w:val="none"/>
        </w:rPr>
        <w:t>具体内容见原招标文件中不符合“资格、符合性评审条款”部分以及谈判邀请中相应的变动部分。</w:t>
      </w:r>
    </w:p>
    <w:p>
      <w:pPr>
        <w:tabs>
          <w:tab w:val="clear" w:pos="426"/>
        </w:tabs>
        <w:rPr>
          <w:rFonts w:hint="eastAsia"/>
          <w:highlight w:val="none"/>
        </w:rPr>
      </w:pPr>
      <w:r>
        <w:rPr>
          <w:rFonts w:hint="eastAsia"/>
          <w:highlight w:val="none"/>
        </w:rPr>
        <w:t>45.3</w:t>
      </w:r>
      <w:r>
        <w:rPr>
          <w:highlight w:val="none"/>
        </w:rPr>
        <w:t>.</w:t>
      </w:r>
      <w:r>
        <w:rPr>
          <w:rFonts w:hint="eastAsia"/>
          <w:highlight w:val="none"/>
        </w:rPr>
        <w:t>9谈判结束后，谈判小组根据供应商提供的谈判应答文件、谈判过程中产生的相关资料，对供应商谈判应答文件进行评估与比较，提出书面评审意见。</w:t>
      </w:r>
    </w:p>
    <w:p>
      <w:pPr>
        <w:tabs>
          <w:tab w:val="clear" w:pos="426"/>
        </w:tabs>
        <w:rPr>
          <w:rFonts w:hint="eastAsia"/>
          <w:highlight w:val="none"/>
        </w:rPr>
      </w:pPr>
      <w:r>
        <w:rPr>
          <w:rFonts w:hint="eastAsia"/>
          <w:highlight w:val="none"/>
        </w:rPr>
        <w:t>45.3.10谈判小组将对谈判过程进行记录，以存档备查。</w:t>
      </w:r>
    </w:p>
    <w:p>
      <w:pPr>
        <w:tabs>
          <w:tab w:val="clear" w:pos="426"/>
        </w:tabs>
        <w:rPr>
          <w:rFonts w:hint="eastAsia"/>
          <w:highlight w:val="none"/>
        </w:rPr>
      </w:pPr>
      <w:r>
        <w:rPr>
          <w:rFonts w:hint="eastAsia"/>
          <w:highlight w:val="none"/>
        </w:rPr>
        <w:t>45.4评标方法和定标原则</w:t>
      </w:r>
    </w:p>
    <w:p>
      <w:pPr>
        <w:tabs>
          <w:tab w:val="clear" w:pos="426"/>
        </w:tabs>
        <w:rPr>
          <w:rFonts w:hint="eastAsia"/>
          <w:highlight w:val="none"/>
        </w:rPr>
      </w:pPr>
      <w:r>
        <w:rPr>
          <w:rFonts w:hint="eastAsia"/>
          <w:szCs w:val="21"/>
          <w:highlight w:val="none"/>
        </w:rPr>
        <w:t>45.4.1单一来源谈判采用最低评标价法。</w:t>
      </w:r>
      <w:r>
        <w:rPr>
          <w:rFonts w:hint="eastAsia"/>
          <w:highlight w:val="none"/>
        </w:rPr>
        <w:t>原招标文件若采用</w:t>
      </w:r>
      <w:r>
        <w:rPr>
          <w:rFonts w:hint="eastAsia"/>
          <w:bCs/>
          <w:highlight w:val="none"/>
        </w:rPr>
        <w:t>最低评标价法以外的评标方法，转为单一来源谈判后，评标方法改为</w:t>
      </w:r>
      <w:r>
        <w:rPr>
          <w:rFonts w:hint="eastAsia"/>
          <w:szCs w:val="21"/>
          <w:highlight w:val="none"/>
        </w:rPr>
        <w:t>最低评标价法。谈判小组</w:t>
      </w:r>
      <w:r>
        <w:rPr>
          <w:rFonts w:hint="eastAsia"/>
          <w:highlight w:val="none"/>
        </w:rPr>
        <w:t>对谈判应答文件进行评审和比较，对供应商最终的方案、服务和投资等谈判结果按本通用条款第37.1.1的</w:t>
      </w:r>
      <w:r>
        <w:rPr>
          <w:rFonts w:hint="eastAsia"/>
          <w:bCs/>
          <w:highlight w:val="none"/>
        </w:rPr>
        <w:t>最低评标价法</w:t>
      </w:r>
      <w:r>
        <w:rPr>
          <w:rFonts w:hint="eastAsia"/>
          <w:highlight w:val="none"/>
        </w:rPr>
        <w:t>进行评审。</w:t>
      </w:r>
    </w:p>
    <w:p>
      <w:pPr>
        <w:tabs>
          <w:tab w:val="clear" w:pos="426"/>
        </w:tabs>
        <w:rPr>
          <w:rFonts w:hint="eastAsia"/>
          <w:szCs w:val="21"/>
          <w:highlight w:val="none"/>
        </w:rPr>
      </w:pPr>
      <w:r>
        <w:rPr>
          <w:rFonts w:hint="eastAsia"/>
          <w:highlight w:val="none"/>
        </w:rPr>
        <w:t>45.4.2谈判小组向采购代理机构提交书面评标报告，并推荐中标候选人或确定中标供应商。</w:t>
      </w:r>
    </w:p>
    <w:p>
      <w:pPr>
        <w:pStyle w:val="5"/>
        <w:tabs>
          <w:tab w:val="clear" w:pos="426"/>
        </w:tabs>
        <w:rPr>
          <w:rFonts w:hint="eastAsia"/>
          <w:sz w:val="28"/>
          <w:szCs w:val="28"/>
          <w:highlight w:val="none"/>
        </w:rPr>
      </w:pPr>
      <w:bookmarkStart w:id="173" w:name="_Toc14427262"/>
      <w:bookmarkStart w:id="174" w:name="_Toc27804"/>
      <w:bookmarkStart w:id="175" w:name="_Toc530152530"/>
      <w:bookmarkStart w:id="176" w:name="_Toc529280589"/>
      <w:r>
        <w:rPr>
          <w:rFonts w:hint="eastAsia"/>
          <w:highlight w:val="none"/>
        </w:rPr>
        <w:t>第九章 合同的授予与备案</w:t>
      </w:r>
      <w:bookmarkEnd w:id="173"/>
      <w:bookmarkEnd w:id="174"/>
      <w:bookmarkEnd w:id="175"/>
      <w:bookmarkEnd w:id="176"/>
    </w:p>
    <w:p>
      <w:pPr>
        <w:tabs>
          <w:tab w:val="clear" w:pos="426"/>
        </w:tabs>
        <w:rPr>
          <w:rFonts w:hint="eastAsia"/>
          <w:highlight w:val="none"/>
        </w:rPr>
      </w:pPr>
      <w:r>
        <w:rPr>
          <w:rFonts w:hint="eastAsia"/>
          <w:highlight w:val="none"/>
        </w:rPr>
        <w:t>46．  履约担保</w:t>
      </w:r>
    </w:p>
    <w:p>
      <w:pPr>
        <w:tabs>
          <w:tab w:val="clear" w:pos="426"/>
        </w:tabs>
        <w:rPr>
          <w:rFonts w:hint="eastAsia"/>
          <w:highlight w:val="none"/>
        </w:rPr>
      </w:pPr>
      <w:r>
        <w:rPr>
          <w:rFonts w:hint="eastAsia"/>
          <w:highlight w:val="none"/>
        </w:rPr>
        <w:t>46.1  本项目履约担保的相关要求：详见“投标须知前附表”。</w:t>
      </w:r>
    </w:p>
    <w:p>
      <w:pPr>
        <w:tabs>
          <w:tab w:val="clear" w:pos="426"/>
        </w:tabs>
        <w:rPr>
          <w:rFonts w:hint="eastAsia"/>
          <w:highlight w:val="none"/>
        </w:rPr>
      </w:pPr>
      <w:r>
        <w:rPr>
          <w:rFonts w:hint="eastAsia"/>
          <w:highlight w:val="none"/>
        </w:rPr>
        <w:t>46.2  在签订合同前，中标供应商应按规定向采购人提交履约担保，采用履约保函形式的可参照使用本招标文件提供的格式。</w:t>
      </w:r>
    </w:p>
    <w:p>
      <w:pPr>
        <w:tabs>
          <w:tab w:val="clear" w:pos="426"/>
        </w:tabs>
        <w:rPr>
          <w:rFonts w:hint="eastAsia"/>
          <w:highlight w:val="none"/>
        </w:rPr>
      </w:pPr>
      <w:r>
        <w:rPr>
          <w:rFonts w:hint="eastAsia"/>
          <w:highlight w:val="none"/>
        </w:rPr>
        <w:t>46.3  联合体中标的，其履约担保由联合体牵头人提交，并应符合本节第42.1条、第45.2条的规定。</w:t>
      </w:r>
    </w:p>
    <w:p>
      <w:pPr>
        <w:tabs>
          <w:tab w:val="clear" w:pos="426"/>
        </w:tabs>
        <w:rPr>
          <w:rFonts w:hint="eastAsia"/>
          <w:highlight w:val="none"/>
        </w:rPr>
      </w:pPr>
      <w:r>
        <w:rPr>
          <w:rFonts w:hint="eastAsia"/>
          <w:highlight w:val="none"/>
        </w:rPr>
        <w:t>46.4  如果中标供应商拒不提交本节第42.1条、第42.2条要求的履约担保的，采购人可取消其中标资格，并没收其投标担保。</w:t>
      </w:r>
    </w:p>
    <w:p>
      <w:pPr>
        <w:tabs>
          <w:tab w:val="clear" w:pos="426"/>
        </w:tabs>
        <w:rPr>
          <w:rFonts w:hint="eastAsia"/>
          <w:highlight w:val="none"/>
        </w:rPr>
      </w:pPr>
      <w:r>
        <w:rPr>
          <w:rFonts w:hint="eastAsia"/>
          <w:highlight w:val="none"/>
        </w:rPr>
        <w:t>47．  签订合同</w:t>
      </w:r>
    </w:p>
    <w:p>
      <w:pPr>
        <w:tabs>
          <w:tab w:val="clear" w:pos="426"/>
        </w:tabs>
        <w:rPr>
          <w:rFonts w:hint="eastAsia"/>
          <w:highlight w:val="none"/>
        </w:rPr>
      </w:pPr>
      <w:r>
        <w:rPr>
          <w:rFonts w:hint="eastAsia"/>
          <w:highlight w:val="none"/>
        </w:rPr>
        <w:t>47.1  采购人和中标供应商应当按“投标须知前附表”的规定，依据招标文件和中标供应商的投标文件订立书面合同。</w:t>
      </w:r>
    </w:p>
    <w:p>
      <w:pPr>
        <w:tabs>
          <w:tab w:val="clear" w:pos="426"/>
        </w:tabs>
        <w:rPr>
          <w:rFonts w:hint="eastAsia"/>
          <w:highlight w:val="none"/>
        </w:rPr>
      </w:pPr>
      <w:r>
        <w:rPr>
          <w:rFonts w:hint="eastAsia"/>
          <w:highlight w:val="none"/>
        </w:rPr>
        <w:t>47.2  中标供应商无正当理由拒签合同的，或者在签订合同时向采购人提出附加条件或者更改合同实质性内容的，采购人可取消其中标资格，并没收其投标担保；给采购人的损失超过其投标担保数额的，中标供应商应当对超过部分予以赔偿。</w:t>
      </w:r>
    </w:p>
    <w:p>
      <w:pPr>
        <w:pStyle w:val="5"/>
        <w:tabs>
          <w:tab w:val="clear" w:pos="426"/>
        </w:tabs>
        <w:rPr>
          <w:rFonts w:hint="eastAsia"/>
          <w:highlight w:val="none"/>
        </w:rPr>
      </w:pPr>
      <w:bookmarkStart w:id="177" w:name="_Toc4334"/>
      <w:bookmarkStart w:id="178" w:name="_Toc529280590"/>
      <w:bookmarkStart w:id="179" w:name="_Toc530152531"/>
      <w:bookmarkStart w:id="180" w:name="_Toc14427263"/>
      <w:r>
        <w:rPr>
          <w:rFonts w:hint="eastAsia"/>
          <w:highlight w:val="none"/>
        </w:rPr>
        <w:t>第十章 质疑受理</w:t>
      </w:r>
      <w:bookmarkEnd w:id="177"/>
      <w:bookmarkEnd w:id="178"/>
      <w:bookmarkEnd w:id="179"/>
      <w:bookmarkEnd w:id="180"/>
    </w:p>
    <w:p>
      <w:pPr>
        <w:tabs>
          <w:tab w:val="clear" w:pos="426"/>
        </w:tabs>
        <w:rPr>
          <w:rFonts w:hint="eastAsia"/>
          <w:highlight w:val="none"/>
        </w:rPr>
      </w:pPr>
      <w:r>
        <w:rPr>
          <w:rFonts w:hint="eastAsia"/>
          <w:highlight w:val="none"/>
        </w:rPr>
        <w:t>48.质疑受理机构</w:t>
      </w:r>
    </w:p>
    <w:p>
      <w:pPr>
        <w:tabs>
          <w:tab w:val="clear" w:pos="426"/>
        </w:tabs>
        <w:rPr>
          <w:rFonts w:hint="eastAsia"/>
          <w:sz w:val="22"/>
          <w:szCs w:val="22"/>
          <w:highlight w:val="none"/>
        </w:rPr>
      </w:pPr>
      <w:r>
        <w:rPr>
          <w:rFonts w:hint="eastAsia"/>
          <w:highlight w:val="none"/>
        </w:rPr>
        <w:t>采购代理机构及采购人</w:t>
      </w:r>
      <w:r>
        <w:rPr>
          <w:highlight w:val="none"/>
        </w:rPr>
        <w:t>负责受理和答复质疑</w:t>
      </w:r>
      <w:r>
        <w:rPr>
          <w:sz w:val="22"/>
          <w:szCs w:val="22"/>
          <w:highlight w:val="none"/>
        </w:rPr>
        <w:t>。</w:t>
      </w:r>
    </w:p>
    <w:p>
      <w:pPr>
        <w:tabs>
          <w:tab w:val="clear" w:pos="426"/>
        </w:tabs>
        <w:rPr>
          <w:rFonts w:hint="eastAsia"/>
          <w:highlight w:val="none"/>
        </w:rPr>
      </w:pPr>
      <w:r>
        <w:rPr>
          <w:rFonts w:hint="eastAsia"/>
          <w:highlight w:val="none"/>
        </w:rPr>
        <w:t>49.质疑处理原则</w:t>
      </w:r>
    </w:p>
    <w:p>
      <w:pPr>
        <w:tabs>
          <w:tab w:val="clear" w:pos="426"/>
        </w:tabs>
        <w:rPr>
          <w:rFonts w:hint="eastAsia"/>
          <w:highlight w:val="none"/>
        </w:rPr>
      </w:pPr>
      <w:r>
        <w:rPr>
          <w:rFonts w:hint="eastAsia"/>
          <w:highlight w:val="none"/>
        </w:rPr>
        <w:t>49.1</w:t>
      </w:r>
      <w:r>
        <w:rPr>
          <w:highlight w:val="none"/>
        </w:rPr>
        <w:t>质疑处理遵循公平、公正、规范、高效的原则。</w:t>
      </w:r>
    </w:p>
    <w:p>
      <w:pPr>
        <w:tabs>
          <w:tab w:val="clear" w:pos="426"/>
        </w:tabs>
        <w:rPr>
          <w:rFonts w:hint="eastAsia"/>
          <w:highlight w:val="none"/>
        </w:rPr>
      </w:pPr>
      <w:r>
        <w:rPr>
          <w:rFonts w:hint="eastAsia"/>
          <w:highlight w:val="none"/>
        </w:rPr>
        <w:t>49.2</w:t>
      </w:r>
      <w:r>
        <w:rPr>
          <w:highlight w:val="none"/>
        </w:rPr>
        <w:t>供应商质疑实行实名制和“谁质疑，谁举证”的原则，质疑应有具体的事项及事实根据。</w:t>
      </w:r>
    </w:p>
    <w:p>
      <w:pPr>
        <w:tabs>
          <w:tab w:val="clear" w:pos="426"/>
        </w:tabs>
        <w:rPr>
          <w:rFonts w:hint="eastAsia"/>
          <w:highlight w:val="none"/>
        </w:rPr>
      </w:pPr>
      <w:r>
        <w:rPr>
          <w:rFonts w:hint="eastAsia"/>
          <w:highlight w:val="none"/>
        </w:rPr>
        <w:t>50.质疑受理的时效和范围</w:t>
      </w:r>
    </w:p>
    <w:p>
      <w:pPr>
        <w:tabs>
          <w:tab w:val="clear" w:pos="426"/>
        </w:tabs>
        <w:rPr>
          <w:rFonts w:hint="eastAsia"/>
          <w:highlight w:val="none"/>
        </w:rPr>
      </w:pPr>
      <w:r>
        <w:rPr>
          <w:rFonts w:hint="eastAsia"/>
          <w:highlight w:val="none"/>
        </w:rPr>
        <w:t>50.1供应商认为采购文件、采购过程和中标、成交结果使自己权益受到损害的，可以在知道或者应知其权益受到损害之日起7个工作日内，以书面形式向采购代理机构提出质疑。</w:t>
      </w:r>
    </w:p>
    <w:p>
      <w:pPr>
        <w:tabs>
          <w:tab w:val="clear" w:pos="426"/>
        </w:tabs>
        <w:rPr>
          <w:rFonts w:hint="eastAsia"/>
          <w:highlight w:val="none"/>
        </w:rPr>
      </w:pPr>
      <w:r>
        <w:rPr>
          <w:rFonts w:hint="eastAsia"/>
          <w:highlight w:val="none"/>
        </w:rPr>
        <w:t>50.2供应商对采购文件有疑问的，采购代理机构及采购人按答疑程序处理；供应商对采购文件有异议的，按质疑程序处理。</w:t>
      </w:r>
    </w:p>
    <w:p>
      <w:pPr>
        <w:tabs>
          <w:tab w:val="clear" w:pos="426"/>
        </w:tabs>
        <w:rPr>
          <w:rFonts w:hint="eastAsia"/>
          <w:highlight w:val="none"/>
        </w:rPr>
      </w:pPr>
      <w:r>
        <w:rPr>
          <w:rFonts w:hint="eastAsia"/>
          <w:highlight w:val="none"/>
        </w:rPr>
        <w:t>51.质疑条件</w:t>
      </w:r>
    </w:p>
    <w:p>
      <w:pPr>
        <w:tabs>
          <w:tab w:val="clear" w:pos="426"/>
        </w:tabs>
        <w:rPr>
          <w:rFonts w:hint="eastAsia"/>
          <w:highlight w:val="none"/>
        </w:rPr>
      </w:pPr>
      <w:r>
        <w:rPr>
          <w:rFonts w:hint="eastAsia"/>
          <w:highlight w:val="none"/>
        </w:rPr>
        <w:t>51.1提出质疑的应是直接参与相应采购项目的供应商。以联合体形式参与的，由联合体共同提出；</w:t>
      </w:r>
    </w:p>
    <w:p>
      <w:pPr>
        <w:tabs>
          <w:tab w:val="clear" w:pos="426"/>
        </w:tabs>
        <w:rPr>
          <w:rFonts w:hint="eastAsia"/>
          <w:highlight w:val="none"/>
        </w:rPr>
      </w:pPr>
      <w:r>
        <w:rPr>
          <w:rFonts w:hint="eastAsia"/>
          <w:highlight w:val="none"/>
        </w:rPr>
        <w:t>51.2提供质疑的项目名称和编号、质疑供应商的单位名称、详细地址、邮政编码、联系人及联系电话等基本情况；</w:t>
      </w:r>
    </w:p>
    <w:p>
      <w:pPr>
        <w:tabs>
          <w:tab w:val="clear" w:pos="426"/>
        </w:tabs>
        <w:rPr>
          <w:rFonts w:hint="eastAsia"/>
          <w:highlight w:val="none"/>
        </w:rPr>
      </w:pPr>
      <w:r>
        <w:rPr>
          <w:rFonts w:hint="eastAsia"/>
          <w:highlight w:val="none"/>
        </w:rPr>
        <w:t>51.3有质疑的具体事项、请求及理由，并附相关证据材料；</w:t>
      </w:r>
    </w:p>
    <w:p>
      <w:pPr>
        <w:tabs>
          <w:tab w:val="clear" w:pos="426"/>
        </w:tabs>
        <w:rPr>
          <w:rFonts w:hint="eastAsia"/>
          <w:highlight w:val="none"/>
        </w:rPr>
      </w:pPr>
      <w:r>
        <w:rPr>
          <w:rFonts w:hint="eastAsia"/>
          <w:highlight w:val="none"/>
        </w:rPr>
        <w:t>51.4质疑书加盖公章，被授权人进行质疑的同时提交法人授权委托书；</w:t>
      </w:r>
    </w:p>
    <w:p>
      <w:pPr>
        <w:tabs>
          <w:tab w:val="clear" w:pos="426"/>
        </w:tabs>
        <w:rPr>
          <w:rFonts w:hint="eastAsia"/>
          <w:highlight w:val="none"/>
        </w:rPr>
      </w:pPr>
      <w:r>
        <w:rPr>
          <w:rFonts w:hint="eastAsia"/>
          <w:highlight w:val="none"/>
        </w:rPr>
        <w:t>51.5质疑材料中有外文资料的，应一并附上中文译本，并以中文译本为准。</w:t>
      </w:r>
    </w:p>
    <w:p>
      <w:pPr>
        <w:tabs>
          <w:tab w:val="clear" w:pos="426"/>
        </w:tabs>
        <w:rPr>
          <w:rFonts w:hint="eastAsia"/>
          <w:highlight w:val="none"/>
        </w:rPr>
      </w:pPr>
      <w:r>
        <w:rPr>
          <w:rFonts w:hint="eastAsia"/>
          <w:highlight w:val="none"/>
        </w:rPr>
        <w:t>51.6质疑不得超过质疑受理的时效和范围。</w:t>
      </w:r>
    </w:p>
    <w:p>
      <w:pPr>
        <w:tabs>
          <w:tab w:val="clear" w:pos="426"/>
        </w:tabs>
        <w:rPr>
          <w:rFonts w:hint="eastAsia"/>
          <w:highlight w:val="none"/>
        </w:rPr>
      </w:pPr>
      <w:r>
        <w:rPr>
          <w:rFonts w:hint="eastAsia"/>
          <w:highlight w:val="none"/>
        </w:rPr>
        <w:t>不符合上述条件的，我采购代理机构不予受理。</w:t>
      </w:r>
    </w:p>
    <w:p>
      <w:pPr>
        <w:tabs>
          <w:tab w:val="clear" w:pos="426"/>
        </w:tabs>
        <w:rPr>
          <w:rFonts w:hint="eastAsia"/>
          <w:highlight w:val="none"/>
        </w:rPr>
      </w:pPr>
      <w:r>
        <w:rPr>
          <w:rFonts w:hint="eastAsia"/>
          <w:highlight w:val="none"/>
        </w:rPr>
        <w:t>52.受理质疑办理程序</w:t>
      </w:r>
    </w:p>
    <w:p>
      <w:pPr>
        <w:tabs>
          <w:tab w:val="clear" w:pos="426"/>
        </w:tabs>
        <w:rPr>
          <w:rFonts w:hint="eastAsia"/>
          <w:highlight w:val="none"/>
        </w:rPr>
      </w:pPr>
      <w:r>
        <w:rPr>
          <w:rFonts w:hint="eastAsia"/>
          <w:highlight w:val="none"/>
        </w:rPr>
        <w:t>52.1先与质疑供应商进行沟通，以消除因误解或对采购规则和程序的不了解而引起的质疑。对沟通情况满意的，供应商撤回质疑，质疑处理程序终止。</w:t>
      </w:r>
    </w:p>
    <w:p>
      <w:pPr>
        <w:tabs>
          <w:tab w:val="clear" w:pos="426"/>
        </w:tabs>
        <w:rPr>
          <w:rFonts w:hint="eastAsia"/>
          <w:highlight w:val="none"/>
        </w:rPr>
      </w:pPr>
      <w:r>
        <w:rPr>
          <w:rFonts w:hint="eastAsia"/>
          <w:highlight w:val="none"/>
        </w:rPr>
        <w:t>52.2处理质疑一般进行书面审查；必要时听取各方当事人的陈述和申辩、进行相关调查；组织原评标委员会或谈判小组进行复议。</w:t>
      </w:r>
    </w:p>
    <w:p>
      <w:pPr>
        <w:tabs>
          <w:tab w:val="clear" w:pos="426"/>
        </w:tabs>
        <w:rPr>
          <w:rFonts w:hint="eastAsia"/>
          <w:highlight w:val="none"/>
        </w:rPr>
      </w:pPr>
      <w:r>
        <w:rPr>
          <w:rFonts w:hint="eastAsia"/>
          <w:highlight w:val="none"/>
        </w:rPr>
        <w:t>52.3在质疑处理期间，采购代理机构视情形决定暂停采购活动。</w:t>
      </w:r>
    </w:p>
    <w:p>
      <w:pPr>
        <w:tabs>
          <w:tab w:val="clear" w:pos="426"/>
        </w:tabs>
        <w:rPr>
          <w:rFonts w:hint="eastAsia"/>
          <w:highlight w:val="none"/>
        </w:rPr>
      </w:pPr>
      <w:r>
        <w:rPr>
          <w:rFonts w:hint="eastAsia"/>
          <w:highlight w:val="none"/>
        </w:rPr>
        <w:t>52.4采购代理机构原则上在质疑受理之日起7个工作日内书面答复质疑供应商。答复函以直接领取、传真或邮寄方式送达。</w:t>
      </w:r>
    </w:p>
    <w:p>
      <w:pPr>
        <w:tabs>
          <w:tab w:val="clear" w:pos="426"/>
        </w:tabs>
        <w:rPr>
          <w:rFonts w:hint="eastAsia"/>
          <w:highlight w:val="none"/>
        </w:rPr>
      </w:pPr>
      <w:r>
        <w:rPr>
          <w:rFonts w:hint="eastAsia"/>
          <w:highlight w:val="none"/>
        </w:rPr>
        <w:t>52.5供应商向采购代理机构提出质疑后，在质疑处理期限内，不得同时向其他方面提起同一质疑。质疑供应商如已就同一事项提起投诉、提请行政复议或诉讼的，质疑程序终止。</w:t>
      </w:r>
    </w:p>
    <w:p>
      <w:pPr>
        <w:tabs>
          <w:tab w:val="clear" w:pos="426"/>
        </w:tabs>
        <w:rPr>
          <w:rFonts w:hint="eastAsia"/>
          <w:highlight w:val="none"/>
        </w:rPr>
      </w:pPr>
      <w:r>
        <w:rPr>
          <w:rFonts w:hint="eastAsia"/>
          <w:highlight w:val="none"/>
        </w:rPr>
        <w:t>53.相关责任与义务</w:t>
      </w:r>
    </w:p>
    <w:p>
      <w:pPr>
        <w:tabs>
          <w:tab w:val="clear" w:pos="426"/>
        </w:tabs>
        <w:rPr>
          <w:rFonts w:hint="eastAsia"/>
          <w:highlight w:val="none"/>
        </w:rPr>
      </w:pPr>
      <w:r>
        <w:rPr>
          <w:rFonts w:hint="eastAsia"/>
          <w:highlight w:val="none"/>
        </w:rPr>
        <w:t>53.1采购单位、评标专家和相关供应商等当事人应积极配合采购代理机构进行质疑调查，如实反映情况，及时提供证明材料。</w:t>
      </w:r>
    </w:p>
    <w:p>
      <w:pPr>
        <w:tabs>
          <w:tab w:val="clear" w:pos="426"/>
        </w:tabs>
        <w:rPr>
          <w:rFonts w:hint="eastAsia"/>
          <w:highlight w:val="none"/>
        </w:rPr>
      </w:pPr>
      <w:r>
        <w:rPr>
          <w:rFonts w:hint="eastAsia"/>
          <w:highlight w:val="none"/>
        </w:rPr>
        <w:t>53.2质疑供应商有下列情形之一的，属于虚假、恶意质疑，采购代理机构将有权力将质疑供应商虚假、恶意质疑的行为上报相关监督管理部门，并视情节提请相关监督管理部门给予一定年限内禁止参与相关采购活动资格或其他处罚：</w:t>
      </w:r>
    </w:p>
    <w:p>
      <w:pPr>
        <w:tabs>
          <w:tab w:val="clear" w:pos="426"/>
        </w:tabs>
        <w:rPr>
          <w:rFonts w:hint="eastAsia"/>
          <w:highlight w:val="none"/>
        </w:rPr>
      </w:pPr>
      <w:r>
        <w:rPr>
          <w:rFonts w:hint="eastAsia"/>
          <w:highlight w:val="none"/>
        </w:rPr>
        <w:t>53.2.1捏造事实或提供虚假证明材料的；</w:t>
      </w:r>
    </w:p>
    <w:p>
      <w:pPr>
        <w:tabs>
          <w:tab w:val="clear" w:pos="426"/>
        </w:tabs>
        <w:rPr>
          <w:rFonts w:hint="eastAsia"/>
          <w:highlight w:val="none"/>
        </w:rPr>
      </w:pPr>
      <w:r>
        <w:rPr>
          <w:rFonts w:hint="eastAsia"/>
          <w:highlight w:val="none"/>
        </w:rPr>
        <w:t>53.2.2假冒他人名义进行质疑的；</w:t>
      </w:r>
    </w:p>
    <w:p>
      <w:pPr>
        <w:tabs>
          <w:tab w:val="clear" w:pos="426"/>
        </w:tabs>
        <w:rPr>
          <w:rFonts w:hint="eastAsia"/>
          <w:highlight w:val="none"/>
        </w:rPr>
      </w:pPr>
      <w:r>
        <w:rPr>
          <w:rFonts w:hint="eastAsia"/>
          <w:highlight w:val="none"/>
        </w:rPr>
        <w:t>53.2.3拒不配合进行有关调查、情节严重的。</w:t>
      </w:r>
    </w:p>
    <w:p>
      <w:pPr>
        <w:tabs>
          <w:tab w:val="clear" w:pos="426"/>
        </w:tabs>
        <w:rPr>
          <w:rFonts w:hint="eastAsia"/>
          <w:b/>
          <w:highlight w:val="none"/>
        </w:rPr>
      </w:pPr>
      <w:r>
        <w:rPr>
          <w:rFonts w:hint="eastAsia"/>
          <w:highlight w:val="none"/>
        </w:rPr>
        <w:t xml:space="preserve">54．  </w:t>
      </w:r>
      <w:r>
        <w:rPr>
          <w:rFonts w:hint="eastAsia"/>
          <w:b/>
          <w:highlight w:val="none"/>
        </w:rPr>
        <w:t>其他</w:t>
      </w:r>
    </w:p>
    <w:p>
      <w:pPr>
        <w:tabs>
          <w:tab w:val="clear" w:pos="426"/>
        </w:tabs>
        <w:rPr>
          <w:rFonts w:hint="eastAsia"/>
          <w:highlight w:val="none"/>
        </w:rPr>
      </w:pPr>
      <w:r>
        <w:rPr>
          <w:rFonts w:hint="eastAsia"/>
          <w:highlight w:val="none"/>
        </w:rPr>
        <w:t>54.1  本招标文件的解释权归采购代理机构所有，采购代理机构在征得采购人或相关主管部门同意后，有权在法律允许范围内调整本次招标活动的细节及保留最终解释权。</w:t>
      </w:r>
    </w:p>
    <w:p>
      <w:pPr>
        <w:tabs>
          <w:tab w:val="clear" w:pos="426"/>
        </w:tabs>
        <w:rPr>
          <w:rFonts w:hint="eastAsia"/>
          <w:highlight w:val="none"/>
        </w:rPr>
      </w:pPr>
      <w:r>
        <w:rPr>
          <w:rFonts w:hint="eastAsia"/>
          <w:highlight w:val="none"/>
        </w:rPr>
        <w:t>54.2 采购代理机构向投标供应商提供的资料和数据，是采购代理机构现有的能供投标供应商利用的资料，采购代理机构对投标供应商由此而作出的推论、理解和结论概不负责。</w:t>
      </w:r>
    </w:p>
    <w:p>
      <w:pPr>
        <w:tabs>
          <w:tab w:val="clear" w:pos="426"/>
        </w:tabs>
        <w:rPr>
          <w:rFonts w:hint="eastAsia"/>
          <w:highlight w:val="none"/>
        </w:rPr>
      </w:pPr>
      <w:r>
        <w:rPr>
          <w:rFonts w:hint="eastAsia"/>
          <w:highlight w:val="none"/>
        </w:rPr>
        <w:t>54.3 如果投标供应商实质上不符合投标资格，即使已购买招标文件、参加投标并缴纳各种费用，采购代理机构或采购人可以随时取消其投标或中标资格，采购代理机构或采购人对该投标供应商的一切损失概不责任。</w:t>
      </w:r>
    </w:p>
    <w:p>
      <w:pPr>
        <w:tabs>
          <w:tab w:val="clear" w:pos="426"/>
        </w:tabs>
        <w:rPr>
          <w:rFonts w:hint="eastAsia"/>
          <w:highlight w:val="none"/>
        </w:rPr>
      </w:pPr>
      <w:r>
        <w:rPr>
          <w:rFonts w:hint="eastAsia"/>
          <w:highlight w:val="none"/>
        </w:rPr>
        <w:t>54.4 中标无效的，发出的中标通知书和签订的合同自始没有法律约束力，但不影响合同中存在的有关解决争议方法的条款的效力。</w:t>
      </w:r>
    </w:p>
    <w:p>
      <w:pPr>
        <w:shd w:val="clear" w:color="auto" w:fill="auto"/>
        <w:tabs>
          <w:tab w:val="clear" w:pos="426"/>
        </w:tabs>
        <w:adjustRightInd/>
        <w:snapToGrid/>
        <w:spacing w:line="240" w:lineRule="auto"/>
        <w:jc w:val="left"/>
        <w:rPr>
          <w:rFonts w:hint="eastAsia"/>
          <w:highlight w:val="none"/>
        </w:rPr>
      </w:pPr>
      <w:r>
        <w:rPr>
          <w:rFonts w:hint="eastAsia"/>
          <w:highlight w:val="none"/>
        </w:rPr>
        <w:t>54.5 本招标文件所有的附件与本招标文件具有同等效力。</w:t>
      </w:r>
      <w:r>
        <w:rPr>
          <w:highlight w:val="none"/>
        </w:rPr>
        <w:br w:type="page"/>
      </w:r>
    </w:p>
    <w:p>
      <w:pPr>
        <w:pStyle w:val="81"/>
        <w:tabs>
          <w:tab w:val="clear" w:pos="426"/>
        </w:tabs>
        <w:rPr>
          <w:highlight w:val="none"/>
        </w:rPr>
      </w:pPr>
      <w:bookmarkStart w:id="181" w:name="_Toc13862"/>
      <w:bookmarkStart w:id="182" w:name="_Toc14427264"/>
      <w:bookmarkStart w:id="183" w:name="_Toc3627284"/>
      <w:r>
        <w:rPr>
          <w:rFonts w:hint="eastAsia"/>
          <w:highlight w:val="none"/>
        </w:rPr>
        <w:t>招标代理服务取费说明</w:t>
      </w:r>
      <w:bookmarkEnd w:id="181"/>
      <w:bookmarkEnd w:id="182"/>
      <w:bookmarkEnd w:id="183"/>
    </w:p>
    <w:p>
      <w:pPr>
        <w:tabs>
          <w:tab w:val="clear" w:pos="426"/>
        </w:tabs>
        <w:ind w:firstLine="440" w:firstLineChars="200"/>
        <w:rPr>
          <w:rFonts w:hint="eastAsia"/>
          <w:sz w:val="22"/>
          <w:highlight w:val="none"/>
        </w:rPr>
      </w:pPr>
      <w:r>
        <w:rPr>
          <w:rFonts w:hint="eastAsia"/>
          <w:sz w:val="22"/>
          <w:highlight w:val="none"/>
        </w:rPr>
        <w:t xml:space="preserve">招标代理服务收费以中标金额为计算基数，按差额定率累进法计算，向中标供应商收取，收费标准如下表所列： </w:t>
      </w:r>
    </w:p>
    <w:p>
      <w:pPr>
        <w:tabs>
          <w:tab w:val="clear" w:pos="426"/>
        </w:tabs>
        <w:ind w:firstLine="440" w:firstLineChars="200"/>
        <w:rPr>
          <w:rFonts w:hint="eastAsia"/>
          <w:sz w:val="22"/>
          <w:highlight w:val="none"/>
        </w:rPr>
      </w:pPr>
      <w:r>
        <w:rPr>
          <w:rFonts w:hint="eastAsia"/>
          <w:sz w:val="22"/>
          <w:highlight w:val="none"/>
        </w:rPr>
        <w:t>招标代理服务收费标准</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1845"/>
        <w:gridCol w:w="1845"/>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86" w:type="dxa"/>
            <w:vAlign w:val="center"/>
          </w:tcPr>
          <w:p>
            <w:pPr>
              <w:tabs>
                <w:tab w:val="clear" w:pos="426"/>
              </w:tabs>
              <w:spacing w:line="300" w:lineRule="auto"/>
              <w:jc w:val="right"/>
              <w:rPr>
                <w:rFonts w:hint="eastAsia"/>
                <w:szCs w:val="21"/>
                <w:highlight w:val="none"/>
              </w:rPr>
            </w:pPr>
            <w:r>
              <w:rPr>
                <w:rFonts w:hint="eastAsia"/>
                <w:szCs w:val="21"/>
                <w:highlight w:val="none"/>
              </w:rPr>
              <w:t>服务类型</w:t>
            </w:r>
          </w:p>
          <w:p>
            <w:pPr>
              <w:tabs>
                <w:tab w:val="clear" w:pos="426"/>
              </w:tabs>
              <w:spacing w:line="300" w:lineRule="auto"/>
              <w:jc w:val="center"/>
              <w:rPr>
                <w:rFonts w:hint="eastAsia"/>
                <w:szCs w:val="21"/>
                <w:highlight w:val="none"/>
              </w:rPr>
            </w:pPr>
            <w:r>
              <w:rPr>
                <w:rFonts w:hint="eastAsia"/>
                <w:szCs w:val="21"/>
                <w:highlight w:val="none"/>
              </w:rPr>
              <w:t>费率</w:t>
            </w:r>
          </w:p>
          <w:p>
            <w:pPr>
              <w:tabs>
                <w:tab w:val="clear" w:pos="426"/>
              </w:tabs>
              <w:spacing w:line="300" w:lineRule="auto"/>
              <w:rPr>
                <w:rFonts w:hint="eastAsia"/>
                <w:szCs w:val="21"/>
                <w:highlight w:val="none"/>
              </w:rPr>
            </w:pPr>
            <w:r>
              <w:rPr>
                <w:rFonts w:hint="eastAsia"/>
                <w:szCs w:val="21"/>
                <w:highlight w:val="none"/>
              </w:rPr>
              <w:t>中标金额</w:t>
            </w:r>
          </w:p>
        </w:tc>
        <w:tc>
          <w:tcPr>
            <w:tcW w:w="1845" w:type="dxa"/>
            <w:vAlign w:val="center"/>
          </w:tcPr>
          <w:p>
            <w:pPr>
              <w:spacing w:line="240" w:lineRule="auto"/>
              <w:jc w:val="center"/>
              <w:rPr>
                <w:rFonts w:hint="eastAsia"/>
                <w:szCs w:val="21"/>
                <w:highlight w:val="none"/>
              </w:rPr>
            </w:pPr>
            <w:r>
              <w:rPr>
                <w:rFonts w:hint="eastAsia"/>
                <w:szCs w:val="21"/>
                <w:highlight w:val="none"/>
              </w:rPr>
              <w:t>货物采购</w:t>
            </w:r>
          </w:p>
        </w:tc>
        <w:tc>
          <w:tcPr>
            <w:tcW w:w="1845" w:type="dxa"/>
            <w:vAlign w:val="center"/>
          </w:tcPr>
          <w:p>
            <w:pPr>
              <w:spacing w:line="240" w:lineRule="auto"/>
              <w:jc w:val="center"/>
              <w:rPr>
                <w:rFonts w:hint="eastAsia"/>
                <w:szCs w:val="21"/>
                <w:highlight w:val="none"/>
              </w:rPr>
            </w:pPr>
            <w:r>
              <w:rPr>
                <w:szCs w:val="21"/>
                <w:highlight w:val="none"/>
              </w:rPr>
              <w:t>服务采购</w:t>
            </w:r>
          </w:p>
        </w:tc>
        <w:tc>
          <w:tcPr>
            <w:tcW w:w="1846" w:type="dxa"/>
            <w:vAlign w:val="center"/>
          </w:tcPr>
          <w:p>
            <w:pPr>
              <w:spacing w:line="240" w:lineRule="auto"/>
              <w:jc w:val="center"/>
              <w:rPr>
                <w:rFonts w:hint="eastAsia"/>
                <w:szCs w:val="21"/>
                <w:highlight w:val="none"/>
              </w:rPr>
            </w:pPr>
            <w:r>
              <w:rPr>
                <w:szCs w:val="21"/>
                <w:highlight w:val="none"/>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hd w:val="clear" w:color="auto" w:fill="auto"/>
              <w:tabs>
                <w:tab w:val="clear" w:pos="426"/>
              </w:tabs>
              <w:adjustRightInd/>
              <w:snapToGrid/>
              <w:spacing w:line="240" w:lineRule="auto"/>
              <w:jc w:val="left"/>
              <w:rPr>
                <w:rFonts w:hint="eastAsia"/>
                <w:szCs w:val="21"/>
                <w:highlight w:val="none"/>
              </w:rPr>
            </w:pPr>
            <w:r>
              <w:rPr>
                <w:rFonts w:hint="eastAsia"/>
                <w:szCs w:val="21"/>
                <w:highlight w:val="none"/>
              </w:rPr>
              <w:t>100万元以下</w:t>
            </w:r>
          </w:p>
        </w:tc>
        <w:tc>
          <w:tcPr>
            <w:tcW w:w="1845" w:type="dxa"/>
            <w:vAlign w:val="center"/>
          </w:tcPr>
          <w:p>
            <w:pPr>
              <w:spacing w:line="240" w:lineRule="auto"/>
              <w:jc w:val="center"/>
              <w:rPr>
                <w:rFonts w:hint="eastAsia"/>
                <w:szCs w:val="21"/>
                <w:highlight w:val="none"/>
              </w:rPr>
            </w:pPr>
            <w:r>
              <w:rPr>
                <w:rFonts w:hint="eastAsia"/>
                <w:szCs w:val="21"/>
                <w:highlight w:val="none"/>
              </w:rPr>
              <w:t>1.500%</w:t>
            </w:r>
          </w:p>
        </w:tc>
        <w:tc>
          <w:tcPr>
            <w:tcW w:w="1845" w:type="dxa"/>
            <w:vAlign w:val="center"/>
          </w:tcPr>
          <w:p>
            <w:pPr>
              <w:spacing w:line="240" w:lineRule="auto"/>
              <w:jc w:val="center"/>
              <w:rPr>
                <w:rFonts w:hint="eastAsia"/>
                <w:szCs w:val="21"/>
                <w:highlight w:val="none"/>
              </w:rPr>
            </w:pPr>
            <w:r>
              <w:rPr>
                <w:rFonts w:hint="eastAsia"/>
                <w:szCs w:val="21"/>
                <w:highlight w:val="none"/>
              </w:rPr>
              <w:t>1.500%</w:t>
            </w:r>
          </w:p>
        </w:tc>
        <w:tc>
          <w:tcPr>
            <w:tcW w:w="1846" w:type="dxa"/>
            <w:vAlign w:val="center"/>
          </w:tcPr>
          <w:p>
            <w:pPr>
              <w:spacing w:line="240" w:lineRule="auto"/>
              <w:jc w:val="center"/>
              <w:rPr>
                <w:rFonts w:hint="eastAsia"/>
                <w:szCs w:val="21"/>
                <w:highlight w:val="none"/>
              </w:rPr>
            </w:pPr>
            <w:r>
              <w:rPr>
                <w:rFonts w:hint="eastAsia"/>
                <w:szCs w:val="21"/>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highlight w:val="none"/>
              </w:rPr>
            </w:pPr>
            <w:r>
              <w:rPr>
                <w:rFonts w:hint="eastAsia"/>
                <w:szCs w:val="21"/>
                <w:highlight w:val="none"/>
              </w:rPr>
              <w:t>100万元（含）-500万元</w:t>
            </w:r>
          </w:p>
        </w:tc>
        <w:tc>
          <w:tcPr>
            <w:tcW w:w="1845" w:type="dxa"/>
            <w:vAlign w:val="center"/>
          </w:tcPr>
          <w:p>
            <w:pPr>
              <w:spacing w:line="240" w:lineRule="auto"/>
              <w:jc w:val="center"/>
              <w:rPr>
                <w:rFonts w:hint="eastAsia"/>
                <w:szCs w:val="21"/>
                <w:highlight w:val="none"/>
              </w:rPr>
            </w:pPr>
            <w:r>
              <w:rPr>
                <w:rFonts w:hint="eastAsia"/>
                <w:szCs w:val="21"/>
                <w:highlight w:val="none"/>
              </w:rPr>
              <w:t>1.100%</w:t>
            </w:r>
          </w:p>
        </w:tc>
        <w:tc>
          <w:tcPr>
            <w:tcW w:w="1845" w:type="dxa"/>
            <w:vAlign w:val="center"/>
          </w:tcPr>
          <w:p>
            <w:pPr>
              <w:spacing w:line="240" w:lineRule="auto"/>
              <w:jc w:val="center"/>
              <w:rPr>
                <w:rFonts w:hint="eastAsia"/>
                <w:szCs w:val="21"/>
                <w:highlight w:val="none"/>
              </w:rPr>
            </w:pPr>
            <w:r>
              <w:rPr>
                <w:rFonts w:hint="eastAsia"/>
                <w:szCs w:val="21"/>
                <w:highlight w:val="none"/>
              </w:rPr>
              <w:t>0.800%</w:t>
            </w:r>
          </w:p>
        </w:tc>
        <w:tc>
          <w:tcPr>
            <w:tcW w:w="1846" w:type="dxa"/>
            <w:vAlign w:val="center"/>
          </w:tcPr>
          <w:p>
            <w:pPr>
              <w:spacing w:line="240" w:lineRule="auto"/>
              <w:jc w:val="center"/>
              <w:rPr>
                <w:rFonts w:hint="eastAsia"/>
                <w:szCs w:val="21"/>
                <w:highlight w:val="none"/>
              </w:rPr>
            </w:pPr>
            <w:r>
              <w:rPr>
                <w:rFonts w:hint="eastAsia"/>
                <w:szCs w:val="21"/>
                <w:highlight w:val="none"/>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highlight w:val="none"/>
              </w:rPr>
            </w:pPr>
            <w:r>
              <w:rPr>
                <w:rFonts w:hint="eastAsia"/>
                <w:szCs w:val="21"/>
                <w:highlight w:val="none"/>
              </w:rPr>
              <w:t>500万元（含）-1000万元</w:t>
            </w:r>
          </w:p>
        </w:tc>
        <w:tc>
          <w:tcPr>
            <w:tcW w:w="1845" w:type="dxa"/>
            <w:vAlign w:val="center"/>
          </w:tcPr>
          <w:p>
            <w:pPr>
              <w:spacing w:line="240" w:lineRule="auto"/>
              <w:jc w:val="center"/>
              <w:rPr>
                <w:rFonts w:hint="eastAsia"/>
                <w:szCs w:val="21"/>
                <w:highlight w:val="none"/>
              </w:rPr>
            </w:pPr>
            <w:r>
              <w:rPr>
                <w:rFonts w:hint="eastAsia"/>
                <w:szCs w:val="21"/>
                <w:highlight w:val="none"/>
              </w:rPr>
              <w:t>0.800%</w:t>
            </w:r>
          </w:p>
        </w:tc>
        <w:tc>
          <w:tcPr>
            <w:tcW w:w="1845" w:type="dxa"/>
            <w:vAlign w:val="center"/>
          </w:tcPr>
          <w:p>
            <w:pPr>
              <w:spacing w:line="240" w:lineRule="auto"/>
              <w:jc w:val="center"/>
              <w:rPr>
                <w:rFonts w:hint="eastAsia"/>
                <w:szCs w:val="21"/>
                <w:highlight w:val="none"/>
              </w:rPr>
            </w:pPr>
            <w:r>
              <w:rPr>
                <w:rFonts w:hint="eastAsia"/>
                <w:szCs w:val="21"/>
                <w:highlight w:val="none"/>
              </w:rPr>
              <w:t>0.450%</w:t>
            </w:r>
          </w:p>
        </w:tc>
        <w:tc>
          <w:tcPr>
            <w:tcW w:w="1846" w:type="dxa"/>
            <w:vAlign w:val="center"/>
          </w:tcPr>
          <w:p>
            <w:pPr>
              <w:spacing w:line="240" w:lineRule="auto"/>
              <w:jc w:val="center"/>
              <w:rPr>
                <w:rFonts w:hint="eastAsia"/>
                <w:szCs w:val="21"/>
                <w:highlight w:val="none"/>
              </w:rPr>
            </w:pPr>
            <w:r>
              <w:rPr>
                <w:rFonts w:hint="eastAsia"/>
                <w:szCs w:val="21"/>
                <w:highlight w:val="none"/>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highlight w:val="none"/>
              </w:rPr>
            </w:pPr>
            <w:r>
              <w:rPr>
                <w:rFonts w:hint="eastAsia"/>
                <w:szCs w:val="21"/>
                <w:highlight w:val="none"/>
              </w:rPr>
              <w:t>1000万元（含）-5000万元</w:t>
            </w:r>
          </w:p>
        </w:tc>
        <w:tc>
          <w:tcPr>
            <w:tcW w:w="1845" w:type="dxa"/>
            <w:vAlign w:val="center"/>
          </w:tcPr>
          <w:p>
            <w:pPr>
              <w:spacing w:line="240" w:lineRule="auto"/>
              <w:jc w:val="center"/>
              <w:rPr>
                <w:rFonts w:hint="eastAsia"/>
                <w:szCs w:val="21"/>
                <w:highlight w:val="none"/>
              </w:rPr>
            </w:pPr>
            <w:r>
              <w:rPr>
                <w:rFonts w:hint="eastAsia"/>
                <w:szCs w:val="21"/>
                <w:highlight w:val="none"/>
              </w:rPr>
              <w:t>0.500%</w:t>
            </w:r>
          </w:p>
        </w:tc>
        <w:tc>
          <w:tcPr>
            <w:tcW w:w="1845" w:type="dxa"/>
            <w:vAlign w:val="center"/>
          </w:tcPr>
          <w:p>
            <w:pPr>
              <w:spacing w:line="240" w:lineRule="auto"/>
              <w:jc w:val="center"/>
              <w:rPr>
                <w:rFonts w:hint="eastAsia"/>
                <w:szCs w:val="21"/>
                <w:highlight w:val="none"/>
              </w:rPr>
            </w:pPr>
            <w:r>
              <w:rPr>
                <w:rFonts w:hint="eastAsia"/>
                <w:szCs w:val="21"/>
                <w:highlight w:val="none"/>
              </w:rPr>
              <w:t>0.250%</w:t>
            </w:r>
          </w:p>
        </w:tc>
        <w:tc>
          <w:tcPr>
            <w:tcW w:w="1846" w:type="dxa"/>
            <w:vAlign w:val="center"/>
          </w:tcPr>
          <w:p>
            <w:pPr>
              <w:spacing w:line="240" w:lineRule="auto"/>
              <w:jc w:val="center"/>
              <w:rPr>
                <w:rFonts w:hint="eastAsia"/>
                <w:szCs w:val="21"/>
                <w:highlight w:val="none"/>
              </w:rPr>
            </w:pPr>
            <w:r>
              <w:rPr>
                <w:rFonts w:hint="eastAsia"/>
                <w:szCs w:val="21"/>
                <w:highlight w:val="none"/>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highlight w:val="none"/>
              </w:rPr>
            </w:pPr>
            <w:r>
              <w:rPr>
                <w:rFonts w:hint="eastAsia"/>
                <w:szCs w:val="21"/>
                <w:highlight w:val="none"/>
              </w:rPr>
              <w:t>5000万元（含）-1亿元</w:t>
            </w:r>
          </w:p>
        </w:tc>
        <w:tc>
          <w:tcPr>
            <w:tcW w:w="1845" w:type="dxa"/>
            <w:vAlign w:val="center"/>
          </w:tcPr>
          <w:p>
            <w:pPr>
              <w:spacing w:line="240" w:lineRule="auto"/>
              <w:jc w:val="center"/>
              <w:rPr>
                <w:rFonts w:hint="eastAsia"/>
                <w:szCs w:val="21"/>
                <w:highlight w:val="none"/>
              </w:rPr>
            </w:pPr>
            <w:r>
              <w:rPr>
                <w:rFonts w:hint="eastAsia"/>
                <w:szCs w:val="21"/>
                <w:highlight w:val="none"/>
              </w:rPr>
              <w:t>0.250%</w:t>
            </w:r>
          </w:p>
        </w:tc>
        <w:tc>
          <w:tcPr>
            <w:tcW w:w="1845" w:type="dxa"/>
            <w:vAlign w:val="center"/>
          </w:tcPr>
          <w:p>
            <w:pPr>
              <w:spacing w:line="240" w:lineRule="auto"/>
              <w:jc w:val="center"/>
              <w:rPr>
                <w:rFonts w:hint="eastAsia"/>
                <w:szCs w:val="21"/>
                <w:highlight w:val="none"/>
              </w:rPr>
            </w:pPr>
            <w:r>
              <w:rPr>
                <w:rFonts w:hint="eastAsia"/>
                <w:szCs w:val="21"/>
                <w:highlight w:val="none"/>
              </w:rPr>
              <w:t>0.100%</w:t>
            </w:r>
          </w:p>
        </w:tc>
        <w:tc>
          <w:tcPr>
            <w:tcW w:w="1846" w:type="dxa"/>
            <w:vAlign w:val="center"/>
          </w:tcPr>
          <w:p>
            <w:pPr>
              <w:spacing w:line="240" w:lineRule="auto"/>
              <w:jc w:val="center"/>
              <w:rPr>
                <w:rFonts w:hint="eastAsia"/>
                <w:szCs w:val="21"/>
                <w:highlight w:val="none"/>
              </w:rPr>
            </w:pPr>
            <w:r>
              <w:rPr>
                <w:rFonts w:hint="eastAsia"/>
                <w:szCs w:val="21"/>
                <w:highlight w:val="none"/>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highlight w:val="none"/>
              </w:rPr>
            </w:pPr>
            <w:r>
              <w:rPr>
                <w:rFonts w:hint="eastAsia"/>
                <w:szCs w:val="21"/>
                <w:highlight w:val="none"/>
              </w:rPr>
              <w:t>1亿元（含）-5亿元</w:t>
            </w:r>
          </w:p>
        </w:tc>
        <w:tc>
          <w:tcPr>
            <w:tcW w:w="1845" w:type="dxa"/>
            <w:vAlign w:val="center"/>
          </w:tcPr>
          <w:p>
            <w:pPr>
              <w:spacing w:line="240" w:lineRule="auto"/>
              <w:jc w:val="center"/>
              <w:rPr>
                <w:rFonts w:hint="eastAsia"/>
                <w:szCs w:val="21"/>
                <w:highlight w:val="none"/>
              </w:rPr>
            </w:pPr>
            <w:r>
              <w:rPr>
                <w:rFonts w:hint="eastAsia"/>
                <w:szCs w:val="21"/>
                <w:highlight w:val="none"/>
              </w:rPr>
              <w:t>0.050%</w:t>
            </w:r>
          </w:p>
        </w:tc>
        <w:tc>
          <w:tcPr>
            <w:tcW w:w="1845" w:type="dxa"/>
            <w:vAlign w:val="center"/>
          </w:tcPr>
          <w:p>
            <w:pPr>
              <w:spacing w:line="240" w:lineRule="auto"/>
              <w:jc w:val="center"/>
              <w:rPr>
                <w:rFonts w:hint="eastAsia"/>
                <w:szCs w:val="21"/>
                <w:highlight w:val="none"/>
              </w:rPr>
            </w:pPr>
            <w:r>
              <w:rPr>
                <w:rFonts w:hint="eastAsia"/>
                <w:szCs w:val="21"/>
                <w:highlight w:val="none"/>
              </w:rPr>
              <w:t>0.050%</w:t>
            </w:r>
          </w:p>
        </w:tc>
        <w:tc>
          <w:tcPr>
            <w:tcW w:w="1846" w:type="dxa"/>
            <w:vAlign w:val="center"/>
          </w:tcPr>
          <w:p>
            <w:pPr>
              <w:spacing w:line="240" w:lineRule="auto"/>
              <w:jc w:val="center"/>
              <w:rPr>
                <w:rFonts w:hint="eastAsia"/>
                <w:szCs w:val="21"/>
                <w:highlight w:val="none"/>
              </w:rPr>
            </w:pPr>
            <w:r>
              <w:rPr>
                <w:rFonts w:hint="eastAsia"/>
                <w:szCs w:val="21"/>
                <w:highlight w:val="none"/>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highlight w:val="none"/>
              </w:rPr>
            </w:pPr>
            <w:r>
              <w:rPr>
                <w:rFonts w:hint="eastAsia"/>
                <w:szCs w:val="21"/>
                <w:highlight w:val="none"/>
              </w:rPr>
              <w:t>5亿元（含）-10亿元</w:t>
            </w:r>
          </w:p>
        </w:tc>
        <w:tc>
          <w:tcPr>
            <w:tcW w:w="1845" w:type="dxa"/>
            <w:vAlign w:val="center"/>
          </w:tcPr>
          <w:p>
            <w:pPr>
              <w:spacing w:line="240" w:lineRule="auto"/>
              <w:jc w:val="center"/>
              <w:rPr>
                <w:rFonts w:hint="eastAsia"/>
                <w:szCs w:val="21"/>
                <w:highlight w:val="none"/>
              </w:rPr>
            </w:pPr>
            <w:r>
              <w:rPr>
                <w:rFonts w:hint="eastAsia"/>
                <w:szCs w:val="21"/>
                <w:highlight w:val="none"/>
              </w:rPr>
              <w:t>0.035%</w:t>
            </w:r>
          </w:p>
        </w:tc>
        <w:tc>
          <w:tcPr>
            <w:tcW w:w="1845" w:type="dxa"/>
            <w:vAlign w:val="center"/>
          </w:tcPr>
          <w:p>
            <w:pPr>
              <w:spacing w:line="240" w:lineRule="auto"/>
              <w:jc w:val="center"/>
              <w:rPr>
                <w:rFonts w:hint="eastAsia"/>
                <w:szCs w:val="21"/>
                <w:highlight w:val="none"/>
              </w:rPr>
            </w:pPr>
            <w:r>
              <w:rPr>
                <w:rFonts w:hint="eastAsia"/>
                <w:szCs w:val="21"/>
                <w:highlight w:val="none"/>
              </w:rPr>
              <w:t>0.035%</w:t>
            </w:r>
          </w:p>
        </w:tc>
        <w:tc>
          <w:tcPr>
            <w:tcW w:w="1846" w:type="dxa"/>
            <w:vAlign w:val="center"/>
          </w:tcPr>
          <w:p>
            <w:pPr>
              <w:spacing w:line="240" w:lineRule="auto"/>
              <w:jc w:val="center"/>
              <w:rPr>
                <w:rFonts w:hint="eastAsia"/>
                <w:szCs w:val="21"/>
                <w:highlight w:val="none"/>
              </w:rPr>
            </w:pPr>
            <w:r>
              <w:rPr>
                <w:rFonts w:hint="eastAsia"/>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highlight w:val="none"/>
              </w:rPr>
            </w:pPr>
            <w:r>
              <w:rPr>
                <w:rFonts w:hint="eastAsia"/>
                <w:szCs w:val="21"/>
                <w:highlight w:val="none"/>
              </w:rPr>
              <w:t>10亿元（含）-50亿元</w:t>
            </w:r>
          </w:p>
        </w:tc>
        <w:tc>
          <w:tcPr>
            <w:tcW w:w="1845" w:type="dxa"/>
            <w:vAlign w:val="center"/>
          </w:tcPr>
          <w:p>
            <w:pPr>
              <w:spacing w:line="240" w:lineRule="auto"/>
              <w:jc w:val="center"/>
              <w:rPr>
                <w:rFonts w:hint="eastAsia"/>
                <w:szCs w:val="21"/>
                <w:highlight w:val="none"/>
              </w:rPr>
            </w:pPr>
            <w:r>
              <w:rPr>
                <w:rFonts w:hint="eastAsia"/>
                <w:szCs w:val="21"/>
                <w:highlight w:val="none"/>
              </w:rPr>
              <w:t>0.008%</w:t>
            </w:r>
          </w:p>
        </w:tc>
        <w:tc>
          <w:tcPr>
            <w:tcW w:w="1845" w:type="dxa"/>
            <w:vAlign w:val="center"/>
          </w:tcPr>
          <w:p>
            <w:pPr>
              <w:spacing w:line="240" w:lineRule="auto"/>
              <w:jc w:val="center"/>
              <w:rPr>
                <w:rFonts w:hint="eastAsia"/>
                <w:szCs w:val="21"/>
                <w:highlight w:val="none"/>
              </w:rPr>
            </w:pPr>
            <w:r>
              <w:rPr>
                <w:rFonts w:hint="eastAsia"/>
                <w:szCs w:val="21"/>
                <w:highlight w:val="none"/>
              </w:rPr>
              <w:t>0.008%</w:t>
            </w:r>
          </w:p>
        </w:tc>
        <w:tc>
          <w:tcPr>
            <w:tcW w:w="1846" w:type="dxa"/>
            <w:vAlign w:val="center"/>
          </w:tcPr>
          <w:p>
            <w:pPr>
              <w:spacing w:line="240" w:lineRule="auto"/>
              <w:jc w:val="center"/>
              <w:rPr>
                <w:rFonts w:hint="eastAsia"/>
                <w:szCs w:val="21"/>
                <w:highlight w:val="none"/>
              </w:rPr>
            </w:pPr>
            <w:r>
              <w:rPr>
                <w:rFonts w:hint="eastAsia"/>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highlight w:val="none"/>
              </w:rPr>
            </w:pPr>
            <w:r>
              <w:rPr>
                <w:rFonts w:hint="eastAsia"/>
                <w:szCs w:val="21"/>
                <w:highlight w:val="none"/>
              </w:rPr>
              <w:t>50亿元（含）-100亿元</w:t>
            </w:r>
          </w:p>
        </w:tc>
        <w:tc>
          <w:tcPr>
            <w:tcW w:w="1845" w:type="dxa"/>
            <w:vAlign w:val="center"/>
          </w:tcPr>
          <w:p>
            <w:pPr>
              <w:spacing w:line="240" w:lineRule="auto"/>
              <w:jc w:val="center"/>
              <w:rPr>
                <w:rFonts w:hint="eastAsia"/>
                <w:szCs w:val="21"/>
                <w:highlight w:val="none"/>
              </w:rPr>
            </w:pPr>
            <w:r>
              <w:rPr>
                <w:rFonts w:hint="eastAsia"/>
                <w:szCs w:val="21"/>
                <w:highlight w:val="none"/>
              </w:rPr>
              <w:t>0.006%</w:t>
            </w:r>
          </w:p>
        </w:tc>
        <w:tc>
          <w:tcPr>
            <w:tcW w:w="1845" w:type="dxa"/>
            <w:vAlign w:val="center"/>
          </w:tcPr>
          <w:p>
            <w:pPr>
              <w:spacing w:line="240" w:lineRule="auto"/>
              <w:jc w:val="center"/>
              <w:rPr>
                <w:rFonts w:hint="eastAsia"/>
                <w:szCs w:val="21"/>
                <w:highlight w:val="none"/>
              </w:rPr>
            </w:pPr>
            <w:r>
              <w:rPr>
                <w:rFonts w:hint="eastAsia"/>
                <w:szCs w:val="21"/>
                <w:highlight w:val="none"/>
              </w:rPr>
              <w:t>0.006%</w:t>
            </w:r>
          </w:p>
        </w:tc>
        <w:tc>
          <w:tcPr>
            <w:tcW w:w="1846" w:type="dxa"/>
            <w:vAlign w:val="center"/>
          </w:tcPr>
          <w:p>
            <w:pPr>
              <w:spacing w:line="240" w:lineRule="auto"/>
              <w:jc w:val="center"/>
              <w:rPr>
                <w:rFonts w:hint="eastAsia"/>
                <w:szCs w:val="21"/>
                <w:highlight w:val="none"/>
              </w:rPr>
            </w:pPr>
            <w:r>
              <w:rPr>
                <w:rFonts w:hint="eastAsia"/>
                <w:szCs w:val="21"/>
                <w:highlight w:val="none"/>
              </w:rPr>
              <w:t>0.006%</w:t>
            </w:r>
          </w:p>
        </w:tc>
      </w:tr>
    </w:tbl>
    <w:p>
      <w:pPr>
        <w:tabs>
          <w:tab w:val="clear" w:pos="426"/>
        </w:tabs>
        <w:ind w:left="424" w:leftChars="202" w:firstLine="440" w:firstLineChars="200"/>
        <w:rPr>
          <w:rFonts w:hint="eastAsia"/>
          <w:sz w:val="22"/>
          <w:highlight w:val="none"/>
        </w:rPr>
      </w:pPr>
      <w:r>
        <w:rPr>
          <w:rFonts w:hint="eastAsia"/>
          <w:sz w:val="22"/>
          <w:highlight w:val="none"/>
        </w:rPr>
        <w:t>以某5000万项目货物类招标为例：</w:t>
      </w:r>
    </w:p>
    <w:p>
      <w:pPr>
        <w:tabs>
          <w:tab w:val="clear" w:pos="426"/>
        </w:tabs>
        <w:ind w:left="424" w:leftChars="202" w:firstLine="440" w:firstLineChars="200"/>
        <w:rPr>
          <w:rFonts w:hint="eastAsia"/>
          <w:sz w:val="22"/>
          <w:highlight w:val="none"/>
        </w:rPr>
      </w:pPr>
      <w:r>
        <w:rPr>
          <w:rFonts w:hint="eastAsia"/>
          <w:sz w:val="22"/>
          <w:highlight w:val="none"/>
        </w:rPr>
        <w:t>计算基准价</w:t>
      </w:r>
      <w:r>
        <w:rPr>
          <w:sz w:val="22"/>
          <w:highlight w:val="none"/>
        </w:rPr>
        <w:t>为</w:t>
      </w:r>
      <w:r>
        <w:rPr>
          <w:rFonts w:hint="eastAsia"/>
          <w:sz w:val="22"/>
          <w:highlight w:val="none"/>
        </w:rPr>
        <w:t>中标价5000万元</w:t>
      </w:r>
      <w:r>
        <w:rPr>
          <w:sz w:val="22"/>
          <w:highlight w:val="none"/>
        </w:rPr>
        <w:t>，则招标代理</w:t>
      </w:r>
      <w:r>
        <w:rPr>
          <w:rFonts w:hint="eastAsia"/>
          <w:sz w:val="22"/>
          <w:highlight w:val="none"/>
        </w:rPr>
        <w:t>服务</w:t>
      </w:r>
      <w:r>
        <w:rPr>
          <w:sz w:val="22"/>
          <w:highlight w:val="none"/>
        </w:rPr>
        <w:t>费计算为：</w:t>
      </w:r>
    </w:p>
    <w:p>
      <w:pPr>
        <w:tabs>
          <w:tab w:val="clear" w:pos="426"/>
        </w:tabs>
        <w:ind w:left="424" w:leftChars="202" w:firstLine="440" w:firstLineChars="200"/>
        <w:rPr>
          <w:rFonts w:hint="eastAsia"/>
          <w:sz w:val="22"/>
          <w:highlight w:val="none"/>
        </w:rPr>
      </w:pPr>
      <w:r>
        <w:rPr>
          <w:rFonts w:hint="eastAsia"/>
          <w:sz w:val="22"/>
          <w:highlight w:val="none"/>
        </w:rPr>
        <w:t xml:space="preserve">100万元×1.5%=1.5万元   </w:t>
      </w:r>
    </w:p>
    <w:p>
      <w:pPr>
        <w:tabs>
          <w:tab w:val="clear" w:pos="426"/>
        </w:tabs>
        <w:ind w:left="424" w:leftChars="202" w:firstLine="440" w:firstLineChars="200"/>
        <w:rPr>
          <w:rFonts w:hint="eastAsia"/>
          <w:sz w:val="22"/>
          <w:highlight w:val="none"/>
        </w:rPr>
      </w:pPr>
      <w:r>
        <w:rPr>
          <w:rFonts w:hint="eastAsia"/>
          <w:sz w:val="22"/>
          <w:highlight w:val="none"/>
        </w:rPr>
        <w:t>（500-100）万元×</w:t>
      </w:r>
      <w:r>
        <w:rPr>
          <w:sz w:val="22"/>
          <w:highlight w:val="none"/>
        </w:rPr>
        <w:t>1.1</w:t>
      </w:r>
      <w:r>
        <w:rPr>
          <w:rFonts w:hint="eastAsia"/>
          <w:sz w:val="22"/>
          <w:highlight w:val="none"/>
        </w:rPr>
        <w:t>%=</w:t>
      </w:r>
      <w:r>
        <w:rPr>
          <w:sz w:val="22"/>
          <w:highlight w:val="none"/>
        </w:rPr>
        <w:t>4.4</w:t>
      </w:r>
      <w:r>
        <w:rPr>
          <w:rFonts w:hint="eastAsia"/>
          <w:sz w:val="22"/>
          <w:highlight w:val="none"/>
        </w:rPr>
        <w:t xml:space="preserve">万元 </w:t>
      </w:r>
    </w:p>
    <w:p>
      <w:pPr>
        <w:tabs>
          <w:tab w:val="clear" w:pos="426"/>
        </w:tabs>
        <w:ind w:left="424" w:leftChars="202" w:firstLine="440" w:firstLineChars="200"/>
        <w:rPr>
          <w:rFonts w:hint="eastAsia"/>
          <w:sz w:val="22"/>
          <w:highlight w:val="none"/>
        </w:rPr>
      </w:pPr>
      <w:r>
        <w:rPr>
          <w:rFonts w:hint="eastAsia"/>
          <w:sz w:val="22"/>
          <w:highlight w:val="none"/>
        </w:rPr>
        <w:t>（1000-500）万元×</w:t>
      </w:r>
      <w:r>
        <w:rPr>
          <w:sz w:val="22"/>
          <w:highlight w:val="none"/>
        </w:rPr>
        <w:t>0.8</w:t>
      </w:r>
      <w:r>
        <w:rPr>
          <w:rFonts w:hint="eastAsia"/>
          <w:sz w:val="22"/>
          <w:highlight w:val="none"/>
        </w:rPr>
        <w:t>%=</w:t>
      </w:r>
      <w:r>
        <w:rPr>
          <w:sz w:val="22"/>
          <w:highlight w:val="none"/>
        </w:rPr>
        <w:t>4</w:t>
      </w:r>
      <w:r>
        <w:rPr>
          <w:rFonts w:hint="eastAsia"/>
          <w:sz w:val="22"/>
          <w:highlight w:val="none"/>
        </w:rPr>
        <w:t xml:space="preserve">万元 </w:t>
      </w:r>
    </w:p>
    <w:p>
      <w:pPr>
        <w:tabs>
          <w:tab w:val="clear" w:pos="426"/>
        </w:tabs>
        <w:ind w:left="424" w:leftChars="202" w:firstLine="440" w:firstLineChars="200"/>
        <w:rPr>
          <w:rFonts w:hint="eastAsia"/>
          <w:sz w:val="22"/>
          <w:highlight w:val="none"/>
        </w:rPr>
      </w:pPr>
      <w:r>
        <w:rPr>
          <w:rFonts w:hint="eastAsia"/>
          <w:sz w:val="22"/>
          <w:highlight w:val="none"/>
        </w:rPr>
        <w:t>（5000-1000）万元×0.</w:t>
      </w:r>
      <w:r>
        <w:rPr>
          <w:sz w:val="22"/>
          <w:highlight w:val="none"/>
        </w:rPr>
        <w:t>5</w:t>
      </w:r>
      <w:r>
        <w:rPr>
          <w:rFonts w:hint="eastAsia"/>
          <w:sz w:val="22"/>
          <w:highlight w:val="none"/>
        </w:rPr>
        <w:t>%=</w:t>
      </w:r>
      <w:r>
        <w:rPr>
          <w:sz w:val="22"/>
          <w:highlight w:val="none"/>
        </w:rPr>
        <w:t>20</w:t>
      </w:r>
      <w:r>
        <w:rPr>
          <w:rFonts w:hint="eastAsia"/>
          <w:sz w:val="22"/>
          <w:highlight w:val="none"/>
        </w:rPr>
        <w:t>万元</w:t>
      </w:r>
    </w:p>
    <w:p>
      <w:pPr>
        <w:tabs>
          <w:tab w:val="clear" w:pos="426"/>
        </w:tabs>
        <w:ind w:left="424" w:leftChars="202" w:firstLine="440" w:firstLineChars="200"/>
        <w:rPr>
          <w:rFonts w:hint="eastAsia"/>
          <w:sz w:val="22"/>
          <w:highlight w:val="none"/>
        </w:rPr>
      </w:pPr>
      <w:r>
        <w:rPr>
          <w:rFonts w:hint="eastAsia"/>
          <w:sz w:val="22"/>
          <w:highlight w:val="none"/>
        </w:rPr>
        <w:t>因此，招标代理服务费为：1.5+</w:t>
      </w:r>
      <w:r>
        <w:rPr>
          <w:sz w:val="22"/>
          <w:highlight w:val="none"/>
        </w:rPr>
        <w:t>4.4</w:t>
      </w:r>
      <w:r>
        <w:rPr>
          <w:rFonts w:hint="eastAsia"/>
          <w:sz w:val="22"/>
          <w:highlight w:val="none"/>
        </w:rPr>
        <w:t>+</w:t>
      </w:r>
      <w:r>
        <w:rPr>
          <w:sz w:val="22"/>
          <w:highlight w:val="none"/>
        </w:rPr>
        <w:t>4</w:t>
      </w:r>
      <w:r>
        <w:rPr>
          <w:rFonts w:hint="eastAsia"/>
          <w:sz w:val="22"/>
          <w:highlight w:val="none"/>
        </w:rPr>
        <w:t>+</w:t>
      </w:r>
      <w:r>
        <w:rPr>
          <w:sz w:val="22"/>
          <w:highlight w:val="none"/>
        </w:rPr>
        <w:t>2</w:t>
      </w:r>
      <w:r>
        <w:rPr>
          <w:rFonts w:hint="eastAsia"/>
          <w:sz w:val="22"/>
          <w:highlight w:val="none"/>
        </w:rPr>
        <w:t>0=</w:t>
      </w:r>
      <w:r>
        <w:rPr>
          <w:sz w:val="22"/>
          <w:highlight w:val="none"/>
        </w:rPr>
        <w:t>29.9</w:t>
      </w:r>
      <w:r>
        <w:rPr>
          <w:rFonts w:hint="eastAsia"/>
          <w:sz w:val="22"/>
          <w:highlight w:val="none"/>
        </w:rPr>
        <w:t>万元。</w:t>
      </w:r>
    </w:p>
    <w:p>
      <w:pPr>
        <w:shd w:val="clear" w:color="auto" w:fill="auto"/>
        <w:tabs>
          <w:tab w:val="clear" w:pos="426"/>
        </w:tabs>
        <w:adjustRightInd/>
        <w:snapToGrid/>
        <w:spacing w:line="240" w:lineRule="auto"/>
        <w:jc w:val="left"/>
        <w:rPr>
          <w:rFonts w:ascii="Arial" w:hAnsi="Arial" w:cs="Times New Roman"/>
          <w:bCs/>
          <w:kern w:val="2"/>
          <w:sz w:val="36"/>
          <w:szCs w:val="32"/>
          <w:highlight w:val="none"/>
        </w:rPr>
      </w:pPr>
    </w:p>
    <w:sectPr>
      <w:headerReference r:id="rId7" w:type="first"/>
      <w:footerReference r:id="rId9" w:type="first"/>
      <w:headerReference r:id="rId6" w:type="default"/>
      <w:footerReference r:id="rId8" w:type="default"/>
      <w:pgSz w:w="11906" w:h="16838"/>
      <w:pgMar w:top="1134" w:right="1134" w:bottom="1134" w:left="1418" w:header="851" w:footer="992" w:gutter="0"/>
      <w:pgNumType w:start="1"/>
      <w:cols w:space="720" w:num="1"/>
      <w:titlePg/>
      <w:docGrid w:type="lines"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3000509000000000000"/>
    <w:charset w:val="86"/>
    <w:family w:val="script"/>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rPr>
        <w:rStyle w:val="133"/>
      </w:rPr>
    </w:pPr>
    <w:r>
      <w:fldChar w:fldCharType="begin"/>
    </w:r>
    <w:r>
      <w:rPr>
        <w:rStyle w:val="133"/>
      </w:rPr>
      <w:instrText xml:space="preserve">PAGE  </w:instrText>
    </w:r>
    <w:r>
      <w:fldChar w:fldCharType="separate"/>
    </w:r>
    <w:r>
      <w:rPr>
        <w:rStyle w:val="133"/>
      </w:rPr>
      <w:t>65</w:t>
    </w:r>
    <w:r>
      <w:fldChar w:fldCharType="end"/>
    </w:r>
  </w:p>
  <w:p>
    <w:pPr>
      <w:pStyle w:val="5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center"/>
    </w:pPr>
    <w:r>
      <w:fldChar w:fldCharType="begin"/>
    </w:r>
    <w:r>
      <w:instrText xml:space="preserve"> PAGE   \* MERGEFORMAT </w:instrText>
    </w:r>
    <w:r>
      <w:fldChar w:fldCharType="separate"/>
    </w:r>
    <w:r>
      <w:rPr>
        <w:lang w:val="zh-CN"/>
      </w:rPr>
      <w:t>21</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center"/>
    </w:pPr>
    <w:r>
      <w:fldChar w:fldCharType="begin"/>
    </w:r>
    <w:r>
      <w:instrText xml:space="preserve"> PAGE   \* MERGEFORMAT </w:instrText>
    </w:r>
    <w:r>
      <w:fldChar w:fldCharType="separate"/>
    </w:r>
    <w:r>
      <w:rPr>
        <w:lang w:val="zh-CN"/>
      </w:rPr>
      <w:t>2</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line="240" w:lineRule="auto"/>
    </w:pPr>
    <w:r>
      <w:rPr>
        <w:rFonts w:hint="eastAsia"/>
      </w:rPr>
      <w:t>深圳市深水水务咨询有限公司招标文件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rFonts w:hint="eastAsia"/>
      </w:rPr>
      <w:t>深圳市深水水务咨询有限公司招标文件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2"/>
      <w:numFmt w:val="decimal"/>
      <w:lvlText w:val="(%1)"/>
      <w:lvlJc w:val="left"/>
      <w:pPr>
        <w:tabs>
          <w:tab w:val="left" w:pos="1200"/>
        </w:tabs>
        <w:ind w:left="1200" w:hanging="360"/>
      </w:pPr>
      <w:rPr>
        <w:rFonts w:hint="default"/>
      </w:rPr>
    </w:lvl>
    <w:lvl w:ilvl="1" w:tentative="0">
      <w:start w:val="1"/>
      <w:numFmt w:val="decimal"/>
      <w:suff w:val="nothing"/>
      <w:lvlText w:val="%2．"/>
      <w:lvlJc w:val="left"/>
      <w:pPr>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suff w:val="nothing"/>
      <w:lvlText w:val="%2."/>
      <w:lvlJc w:val="left"/>
      <w:pPr>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2DF849D3"/>
    <w:multiLevelType w:val="multilevel"/>
    <w:tmpl w:val="2DF849D3"/>
    <w:lvl w:ilvl="0" w:tentative="0">
      <w:start w:val="1"/>
      <w:numFmt w:val="chineseCountingThousand"/>
      <w:suff w:val="nothing"/>
      <w:lvlText w:val="%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64253DA1"/>
    <w:multiLevelType w:val="multilevel"/>
    <w:tmpl w:val="64253DA1"/>
    <w:lvl w:ilvl="0" w:tentative="0">
      <w:start w:val="1"/>
      <w:numFmt w:val="decimal"/>
      <w:suff w:val="nothing"/>
      <w:lvlText w:val="%1"/>
      <w:lvlJc w:val="left"/>
      <w:pPr>
        <w:ind w:left="596" w:hanging="420"/>
      </w:pPr>
      <w:rPr>
        <w:rFonts w:hint="eastAsia"/>
      </w:rPr>
    </w:lvl>
    <w:lvl w:ilvl="1" w:tentative="0">
      <w:start w:val="1"/>
      <w:numFmt w:val="lowerLetter"/>
      <w:lvlText w:val="%2)"/>
      <w:lvlJc w:val="left"/>
      <w:pPr>
        <w:tabs>
          <w:tab w:val="left" w:pos="1016"/>
        </w:tabs>
        <w:ind w:left="1016" w:hanging="420"/>
      </w:pPr>
      <w:rPr>
        <w:rFonts w:hint="eastAsia"/>
      </w:rPr>
    </w:lvl>
    <w:lvl w:ilvl="2" w:tentative="0">
      <w:start w:val="1"/>
      <w:numFmt w:val="lowerRoman"/>
      <w:lvlText w:val="%3."/>
      <w:lvlJc w:val="right"/>
      <w:pPr>
        <w:tabs>
          <w:tab w:val="left" w:pos="1436"/>
        </w:tabs>
        <w:ind w:left="1436" w:hanging="420"/>
      </w:pPr>
      <w:rPr>
        <w:rFonts w:hint="eastAsia"/>
      </w:rPr>
    </w:lvl>
    <w:lvl w:ilvl="3" w:tentative="0">
      <w:start w:val="1"/>
      <w:numFmt w:val="decimal"/>
      <w:lvlText w:val="%4."/>
      <w:lvlJc w:val="left"/>
      <w:pPr>
        <w:tabs>
          <w:tab w:val="left" w:pos="1856"/>
        </w:tabs>
        <w:ind w:left="1856" w:hanging="420"/>
      </w:pPr>
      <w:rPr>
        <w:rFonts w:hint="eastAsia"/>
      </w:rPr>
    </w:lvl>
    <w:lvl w:ilvl="4" w:tentative="0">
      <w:start w:val="1"/>
      <w:numFmt w:val="lowerLetter"/>
      <w:lvlText w:val="%5)"/>
      <w:lvlJc w:val="left"/>
      <w:pPr>
        <w:tabs>
          <w:tab w:val="left" w:pos="2276"/>
        </w:tabs>
        <w:ind w:left="2276" w:hanging="420"/>
      </w:pPr>
      <w:rPr>
        <w:rFonts w:hint="eastAsia"/>
      </w:rPr>
    </w:lvl>
    <w:lvl w:ilvl="5" w:tentative="0">
      <w:start w:val="1"/>
      <w:numFmt w:val="lowerRoman"/>
      <w:lvlText w:val="%6."/>
      <w:lvlJc w:val="right"/>
      <w:pPr>
        <w:tabs>
          <w:tab w:val="left" w:pos="2696"/>
        </w:tabs>
        <w:ind w:left="2696" w:hanging="420"/>
      </w:pPr>
      <w:rPr>
        <w:rFonts w:hint="eastAsia"/>
      </w:rPr>
    </w:lvl>
    <w:lvl w:ilvl="6" w:tentative="0">
      <w:start w:val="1"/>
      <w:numFmt w:val="decimal"/>
      <w:lvlText w:val="%7."/>
      <w:lvlJc w:val="left"/>
      <w:pPr>
        <w:tabs>
          <w:tab w:val="left" w:pos="3116"/>
        </w:tabs>
        <w:ind w:left="3116" w:hanging="420"/>
      </w:pPr>
      <w:rPr>
        <w:rFonts w:hint="eastAsia"/>
      </w:rPr>
    </w:lvl>
    <w:lvl w:ilvl="7" w:tentative="0">
      <w:start w:val="1"/>
      <w:numFmt w:val="lowerLetter"/>
      <w:lvlText w:val="%8)"/>
      <w:lvlJc w:val="left"/>
      <w:pPr>
        <w:tabs>
          <w:tab w:val="left" w:pos="3536"/>
        </w:tabs>
        <w:ind w:left="3536" w:hanging="420"/>
      </w:pPr>
      <w:rPr>
        <w:rFonts w:hint="eastAsia"/>
      </w:rPr>
    </w:lvl>
    <w:lvl w:ilvl="8" w:tentative="0">
      <w:start w:val="1"/>
      <w:numFmt w:val="lowerRoman"/>
      <w:lvlText w:val="%9."/>
      <w:lvlJc w:val="right"/>
      <w:pPr>
        <w:tabs>
          <w:tab w:val="left" w:pos="3956"/>
        </w:tabs>
        <w:ind w:left="3956" w:hanging="420"/>
      </w:pPr>
      <w:rPr>
        <w:rFonts w:hint="eastAsia"/>
      </w:rPr>
    </w:lvl>
  </w:abstractNum>
  <w:abstractNum w:abstractNumId="4">
    <w:nsid w:val="726C71F1"/>
    <w:multiLevelType w:val="multilevel"/>
    <w:tmpl w:val="726C71F1"/>
    <w:lvl w:ilvl="0" w:tentative="0">
      <w:start w:val="1"/>
      <w:numFmt w:val="chineseCountingThousand"/>
      <w:pStyle w:val="554"/>
      <w:suff w:val="nothing"/>
      <w:lvlText w:val="%1、"/>
      <w:lvlJc w:val="left"/>
      <w:pPr>
        <w:ind w:left="0" w:firstLine="0"/>
      </w:pPr>
      <w:rPr>
        <w:rFonts w:hint="eastAsia"/>
        <w:b/>
        <w:lang w:val="en-US"/>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734F656C"/>
    <w:multiLevelType w:val="multilevel"/>
    <w:tmpl w:val="734F656C"/>
    <w:lvl w:ilvl="0" w:tentative="0">
      <w:start w:val="1"/>
      <w:numFmt w:val="decimal"/>
      <w:suff w:val="nothing"/>
      <w:lvlText w:val="%1"/>
      <w:lvlJc w:val="left"/>
      <w:pPr>
        <w:ind w:left="6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4NzIwNzA4ZTJjN2M2YzAzODJmMmZmNWFlZjU1OTAifQ=="/>
  </w:docVars>
  <w:rsids>
    <w:rsidRoot w:val="006C5683"/>
    <w:rsid w:val="0000037F"/>
    <w:rsid w:val="000006B9"/>
    <w:rsid w:val="00000915"/>
    <w:rsid w:val="00000941"/>
    <w:rsid w:val="00000AFB"/>
    <w:rsid w:val="00000DA4"/>
    <w:rsid w:val="0000145B"/>
    <w:rsid w:val="0000159C"/>
    <w:rsid w:val="00001AEA"/>
    <w:rsid w:val="00001CE0"/>
    <w:rsid w:val="00002054"/>
    <w:rsid w:val="000020FF"/>
    <w:rsid w:val="00002F93"/>
    <w:rsid w:val="00002F9F"/>
    <w:rsid w:val="00003526"/>
    <w:rsid w:val="000036F7"/>
    <w:rsid w:val="000038EB"/>
    <w:rsid w:val="00003B2E"/>
    <w:rsid w:val="00003CC2"/>
    <w:rsid w:val="00004225"/>
    <w:rsid w:val="00004251"/>
    <w:rsid w:val="0000488C"/>
    <w:rsid w:val="00004952"/>
    <w:rsid w:val="000049E7"/>
    <w:rsid w:val="00005215"/>
    <w:rsid w:val="00005A10"/>
    <w:rsid w:val="00005AB7"/>
    <w:rsid w:val="00005AFC"/>
    <w:rsid w:val="00006D66"/>
    <w:rsid w:val="00007123"/>
    <w:rsid w:val="000073A7"/>
    <w:rsid w:val="000078FF"/>
    <w:rsid w:val="00007B76"/>
    <w:rsid w:val="00007FCD"/>
    <w:rsid w:val="00010102"/>
    <w:rsid w:val="00010A6F"/>
    <w:rsid w:val="000111B4"/>
    <w:rsid w:val="0001175B"/>
    <w:rsid w:val="0001231B"/>
    <w:rsid w:val="000124E2"/>
    <w:rsid w:val="0001275D"/>
    <w:rsid w:val="000128AD"/>
    <w:rsid w:val="00012C0A"/>
    <w:rsid w:val="00013044"/>
    <w:rsid w:val="0001325A"/>
    <w:rsid w:val="00014018"/>
    <w:rsid w:val="00014026"/>
    <w:rsid w:val="00014AA6"/>
    <w:rsid w:val="00014E10"/>
    <w:rsid w:val="00014F58"/>
    <w:rsid w:val="000151D5"/>
    <w:rsid w:val="00015433"/>
    <w:rsid w:val="000154D8"/>
    <w:rsid w:val="00015968"/>
    <w:rsid w:val="00015E98"/>
    <w:rsid w:val="0001634A"/>
    <w:rsid w:val="000168E6"/>
    <w:rsid w:val="00016D58"/>
    <w:rsid w:val="00016ED5"/>
    <w:rsid w:val="00017112"/>
    <w:rsid w:val="0001716B"/>
    <w:rsid w:val="000177C0"/>
    <w:rsid w:val="0001792D"/>
    <w:rsid w:val="0001794C"/>
    <w:rsid w:val="00020321"/>
    <w:rsid w:val="000211EA"/>
    <w:rsid w:val="000218B0"/>
    <w:rsid w:val="00021B1A"/>
    <w:rsid w:val="00022196"/>
    <w:rsid w:val="00022548"/>
    <w:rsid w:val="00022E19"/>
    <w:rsid w:val="000233D6"/>
    <w:rsid w:val="000234B2"/>
    <w:rsid w:val="0002382E"/>
    <w:rsid w:val="0002401D"/>
    <w:rsid w:val="000244E1"/>
    <w:rsid w:val="000245FE"/>
    <w:rsid w:val="000246D4"/>
    <w:rsid w:val="000252D1"/>
    <w:rsid w:val="00025673"/>
    <w:rsid w:val="00025E39"/>
    <w:rsid w:val="00026A09"/>
    <w:rsid w:val="00026CAC"/>
    <w:rsid w:val="00027F8E"/>
    <w:rsid w:val="0003072D"/>
    <w:rsid w:val="000308B1"/>
    <w:rsid w:val="0003148B"/>
    <w:rsid w:val="00031700"/>
    <w:rsid w:val="00031E25"/>
    <w:rsid w:val="00031F18"/>
    <w:rsid w:val="00031F6E"/>
    <w:rsid w:val="00032001"/>
    <w:rsid w:val="00032090"/>
    <w:rsid w:val="000325A7"/>
    <w:rsid w:val="00032926"/>
    <w:rsid w:val="00033051"/>
    <w:rsid w:val="00033725"/>
    <w:rsid w:val="0003373D"/>
    <w:rsid w:val="000339DE"/>
    <w:rsid w:val="00033B7B"/>
    <w:rsid w:val="00034B41"/>
    <w:rsid w:val="00034D82"/>
    <w:rsid w:val="0003503F"/>
    <w:rsid w:val="0003509A"/>
    <w:rsid w:val="0003617B"/>
    <w:rsid w:val="000372DD"/>
    <w:rsid w:val="000377F6"/>
    <w:rsid w:val="00037F52"/>
    <w:rsid w:val="00037F54"/>
    <w:rsid w:val="0004000A"/>
    <w:rsid w:val="00040A4B"/>
    <w:rsid w:val="00040D3C"/>
    <w:rsid w:val="0004120F"/>
    <w:rsid w:val="00041611"/>
    <w:rsid w:val="00041A75"/>
    <w:rsid w:val="00041B72"/>
    <w:rsid w:val="00041B9A"/>
    <w:rsid w:val="00041BD2"/>
    <w:rsid w:val="00041E1A"/>
    <w:rsid w:val="00041E58"/>
    <w:rsid w:val="000423A2"/>
    <w:rsid w:val="00042404"/>
    <w:rsid w:val="00042BE4"/>
    <w:rsid w:val="00042CE2"/>
    <w:rsid w:val="00043131"/>
    <w:rsid w:val="0004348E"/>
    <w:rsid w:val="00043A89"/>
    <w:rsid w:val="00043C31"/>
    <w:rsid w:val="00044204"/>
    <w:rsid w:val="00044591"/>
    <w:rsid w:val="00044926"/>
    <w:rsid w:val="00044A73"/>
    <w:rsid w:val="00045739"/>
    <w:rsid w:val="00045AD6"/>
    <w:rsid w:val="00046354"/>
    <w:rsid w:val="00046767"/>
    <w:rsid w:val="0004790E"/>
    <w:rsid w:val="00050B31"/>
    <w:rsid w:val="00050F3E"/>
    <w:rsid w:val="000510B6"/>
    <w:rsid w:val="00051D3E"/>
    <w:rsid w:val="00051F3F"/>
    <w:rsid w:val="0005204E"/>
    <w:rsid w:val="00052798"/>
    <w:rsid w:val="00052BC1"/>
    <w:rsid w:val="0005365D"/>
    <w:rsid w:val="00053715"/>
    <w:rsid w:val="0005381C"/>
    <w:rsid w:val="000538BE"/>
    <w:rsid w:val="000539E2"/>
    <w:rsid w:val="00053A25"/>
    <w:rsid w:val="00055013"/>
    <w:rsid w:val="00055256"/>
    <w:rsid w:val="000557BC"/>
    <w:rsid w:val="0005582B"/>
    <w:rsid w:val="00055C4B"/>
    <w:rsid w:val="000566D1"/>
    <w:rsid w:val="0005677F"/>
    <w:rsid w:val="00056E39"/>
    <w:rsid w:val="00057332"/>
    <w:rsid w:val="0005740C"/>
    <w:rsid w:val="000601F6"/>
    <w:rsid w:val="000602D1"/>
    <w:rsid w:val="0006039A"/>
    <w:rsid w:val="00060DD9"/>
    <w:rsid w:val="00060E5A"/>
    <w:rsid w:val="0006171E"/>
    <w:rsid w:val="00061BBA"/>
    <w:rsid w:val="00061DCB"/>
    <w:rsid w:val="0006267A"/>
    <w:rsid w:val="00062882"/>
    <w:rsid w:val="00062B74"/>
    <w:rsid w:val="00062BA0"/>
    <w:rsid w:val="00062C42"/>
    <w:rsid w:val="00063131"/>
    <w:rsid w:val="000638E3"/>
    <w:rsid w:val="00063A79"/>
    <w:rsid w:val="00063CD3"/>
    <w:rsid w:val="00063F40"/>
    <w:rsid w:val="00063FD9"/>
    <w:rsid w:val="00065E3F"/>
    <w:rsid w:val="0006640B"/>
    <w:rsid w:val="0006670C"/>
    <w:rsid w:val="00066EA8"/>
    <w:rsid w:val="00066EF6"/>
    <w:rsid w:val="0006703A"/>
    <w:rsid w:val="00067390"/>
    <w:rsid w:val="00067A02"/>
    <w:rsid w:val="00067B7F"/>
    <w:rsid w:val="00067D5E"/>
    <w:rsid w:val="00070409"/>
    <w:rsid w:val="000704BF"/>
    <w:rsid w:val="0007051D"/>
    <w:rsid w:val="00070736"/>
    <w:rsid w:val="00070929"/>
    <w:rsid w:val="000709E4"/>
    <w:rsid w:val="00071CDD"/>
    <w:rsid w:val="00071F7E"/>
    <w:rsid w:val="0007261A"/>
    <w:rsid w:val="00072D8F"/>
    <w:rsid w:val="00072DAB"/>
    <w:rsid w:val="00072DD1"/>
    <w:rsid w:val="0007310B"/>
    <w:rsid w:val="00073180"/>
    <w:rsid w:val="000732C9"/>
    <w:rsid w:val="00073E77"/>
    <w:rsid w:val="000740B8"/>
    <w:rsid w:val="0007455E"/>
    <w:rsid w:val="000750DC"/>
    <w:rsid w:val="0007542D"/>
    <w:rsid w:val="00075C4A"/>
    <w:rsid w:val="00076BF2"/>
    <w:rsid w:val="00076EDC"/>
    <w:rsid w:val="00077188"/>
    <w:rsid w:val="00077784"/>
    <w:rsid w:val="00080925"/>
    <w:rsid w:val="0008103C"/>
    <w:rsid w:val="00081639"/>
    <w:rsid w:val="000818BE"/>
    <w:rsid w:val="00081A6E"/>
    <w:rsid w:val="000820FF"/>
    <w:rsid w:val="000823D2"/>
    <w:rsid w:val="00082667"/>
    <w:rsid w:val="00082B2F"/>
    <w:rsid w:val="00082DBC"/>
    <w:rsid w:val="00083AAF"/>
    <w:rsid w:val="00083DA4"/>
    <w:rsid w:val="00083DC6"/>
    <w:rsid w:val="000840C5"/>
    <w:rsid w:val="00085023"/>
    <w:rsid w:val="00085592"/>
    <w:rsid w:val="00085624"/>
    <w:rsid w:val="00085B5B"/>
    <w:rsid w:val="00085D12"/>
    <w:rsid w:val="000862AC"/>
    <w:rsid w:val="000864B8"/>
    <w:rsid w:val="0008698E"/>
    <w:rsid w:val="000869D8"/>
    <w:rsid w:val="00086B77"/>
    <w:rsid w:val="00086BB4"/>
    <w:rsid w:val="00086C4F"/>
    <w:rsid w:val="0008735D"/>
    <w:rsid w:val="00087A08"/>
    <w:rsid w:val="00087C7C"/>
    <w:rsid w:val="000909A1"/>
    <w:rsid w:val="00091179"/>
    <w:rsid w:val="0009141A"/>
    <w:rsid w:val="000915F3"/>
    <w:rsid w:val="00091657"/>
    <w:rsid w:val="000924E5"/>
    <w:rsid w:val="00092590"/>
    <w:rsid w:val="0009269A"/>
    <w:rsid w:val="000927D9"/>
    <w:rsid w:val="00092CD0"/>
    <w:rsid w:val="00092FC7"/>
    <w:rsid w:val="00093003"/>
    <w:rsid w:val="00093890"/>
    <w:rsid w:val="00093C08"/>
    <w:rsid w:val="0009421D"/>
    <w:rsid w:val="000946EC"/>
    <w:rsid w:val="00094EB7"/>
    <w:rsid w:val="000950A7"/>
    <w:rsid w:val="000951B4"/>
    <w:rsid w:val="00095480"/>
    <w:rsid w:val="000954D5"/>
    <w:rsid w:val="00095596"/>
    <w:rsid w:val="00095778"/>
    <w:rsid w:val="00095A25"/>
    <w:rsid w:val="0009618D"/>
    <w:rsid w:val="000961F2"/>
    <w:rsid w:val="0009709B"/>
    <w:rsid w:val="0009778F"/>
    <w:rsid w:val="00097D27"/>
    <w:rsid w:val="000A0441"/>
    <w:rsid w:val="000A0B8E"/>
    <w:rsid w:val="000A0BF6"/>
    <w:rsid w:val="000A1206"/>
    <w:rsid w:val="000A21E9"/>
    <w:rsid w:val="000A28A6"/>
    <w:rsid w:val="000A2927"/>
    <w:rsid w:val="000A2C6D"/>
    <w:rsid w:val="000A48A7"/>
    <w:rsid w:val="000A599B"/>
    <w:rsid w:val="000A5F2D"/>
    <w:rsid w:val="000A6726"/>
    <w:rsid w:val="000A6BCB"/>
    <w:rsid w:val="000A6C1B"/>
    <w:rsid w:val="000A6EE8"/>
    <w:rsid w:val="000A6F39"/>
    <w:rsid w:val="000A756F"/>
    <w:rsid w:val="000A7726"/>
    <w:rsid w:val="000B05E2"/>
    <w:rsid w:val="000B0E71"/>
    <w:rsid w:val="000B11E0"/>
    <w:rsid w:val="000B1345"/>
    <w:rsid w:val="000B20FB"/>
    <w:rsid w:val="000B2311"/>
    <w:rsid w:val="000B2568"/>
    <w:rsid w:val="000B2BAE"/>
    <w:rsid w:val="000B2BB0"/>
    <w:rsid w:val="000B381C"/>
    <w:rsid w:val="000B41A9"/>
    <w:rsid w:val="000B428A"/>
    <w:rsid w:val="000B44C8"/>
    <w:rsid w:val="000B4591"/>
    <w:rsid w:val="000B4777"/>
    <w:rsid w:val="000B4988"/>
    <w:rsid w:val="000B49C5"/>
    <w:rsid w:val="000B5097"/>
    <w:rsid w:val="000B5447"/>
    <w:rsid w:val="000B56CC"/>
    <w:rsid w:val="000B6961"/>
    <w:rsid w:val="000B69EB"/>
    <w:rsid w:val="000B6B59"/>
    <w:rsid w:val="000B6DE4"/>
    <w:rsid w:val="000B73D3"/>
    <w:rsid w:val="000B76A8"/>
    <w:rsid w:val="000B7ABC"/>
    <w:rsid w:val="000B7AF7"/>
    <w:rsid w:val="000C0173"/>
    <w:rsid w:val="000C0559"/>
    <w:rsid w:val="000C0D71"/>
    <w:rsid w:val="000C1C71"/>
    <w:rsid w:val="000C1EE4"/>
    <w:rsid w:val="000C2446"/>
    <w:rsid w:val="000C2FC5"/>
    <w:rsid w:val="000C3360"/>
    <w:rsid w:val="000C33C0"/>
    <w:rsid w:val="000C3497"/>
    <w:rsid w:val="000C3C43"/>
    <w:rsid w:val="000C3D9C"/>
    <w:rsid w:val="000C4198"/>
    <w:rsid w:val="000C427C"/>
    <w:rsid w:val="000C4425"/>
    <w:rsid w:val="000C4518"/>
    <w:rsid w:val="000C5044"/>
    <w:rsid w:val="000C580F"/>
    <w:rsid w:val="000C587B"/>
    <w:rsid w:val="000C5F59"/>
    <w:rsid w:val="000C61EA"/>
    <w:rsid w:val="000C6975"/>
    <w:rsid w:val="000C6AF5"/>
    <w:rsid w:val="000C6BA7"/>
    <w:rsid w:val="000C6F2D"/>
    <w:rsid w:val="000C70F7"/>
    <w:rsid w:val="000C7CA5"/>
    <w:rsid w:val="000C7D81"/>
    <w:rsid w:val="000C7E7E"/>
    <w:rsid w:val="000D1055"/>
    <w:rsid w:val="000D1275"/>
    <w:rsid w:val="000D12AA"/>
    <w:rsid w:val="000D1330"/>
    <w:rsid w:val="000D1A7D"/>
    <w:rsid w:val="000D1D09"/>
    <w:rsid w:val="000D20CD"/>
    <w:rsid w:val="000D2309"/>
    <w:rsid w:val="000D2390"/>
    <w:rsid w:val="000D23AD"/>
    <w:rsid w:val="000D2C15"/>
    <w:rsid w:val="000D350D"/>
    <w:rsid w:val="000D35B7"/>
    <w:rsid w:val="000D38F9"/>
    <w:rsid w:val="000D40F0"/>
    <w:rsid w:val="000D4106"/>
    <w:rsid w:val="000D41F0"/>
    <w:rsid w:val="000D495E"/>
    <w:rsid w:val="000D4CFC"/>
    <w:rsid w:val="000D4E09"/>
    <w:rsid w:val="000D53B3"/>
    <w:rsid w:val="000D5864"/>
    <w:rsid w:val="000D58D2"/>
    <w:rsid w:val="000D5DD9"/>
    <w:rsid w:val="000D6197"/>
    <w:rsid w:val="000D695F"/>
    <w:rsid w:val="000D6AF1"/>
    <w:rsid w:val="000D6DA4"/>
    <w:rsid w:val="000D77FE"/>
    <w:rsid w:val="000E0040"/>
    <w:rsid w:val="000E01F1"/>
    <w:rsid w:val="000E0227"/>
    <w:rsid w:val="000E0239"/>
    <w:rsid w:val="000E065D"/>
    <w:rsid w:val="000E0885"/>
    <w:rsid w:val="000E121E"/>
    <w:rsid w:val="000E14A4"/>
    <w:rsid w:val="000E14C6"/>
    <w:rsid w:val="000E166A"/>
    <w:rsid w:val="000E1C23"/>
    <w:rsid w:val="000E2321"/>
    <w:rsid w:val="000E2F34"/>
    <w:rsid w:val="000E301B"/>
    <w:rsid w:val="000E34E1"/>
    <w:rsid w:val="000E41C0"/>
    <w:rsid w:val="000E4687"/>
    <w:rsid w:val="000E48ED"/>
    <w:rsid w:val="000E49EB"/>
    <w:rsid w:val="000E4DE8"/>
    <w:rsid w:val="000E60B2"/>
    <w:rsid w:val="000E62FD"/>
    <w:rsid w:val="000E6681"/>
    <w:rsid w:val="000E69FE"/>
    <w:rsid w:val="000E6C5E"/>
    <w:rsid w:val="000E6C9A"/>
    <w:rsid w:val="000E6DB4"/>
    <w:rsid w:val="000E6EC0"/>
    <w:rsid w:val="000E7D2D"/>
    <w:rsid w:val="000F0265"/>
    <w:rsid w:val="000F10F7"/>
    <w:rsid w:val="000F179C"/>
    <w:rsid w:val="000F1DD5"/>
    <w:rsid w:val="000F1FA3"/>
    <w:rsid w:val="000F2065"/>
    <w:rsid w:val="000F2359"/>
    <w:rsid w:val="000F2A88"/>
    <w:rsid w:val="000F2D1B"/>
    <w:rsid w:val="000F353A"/>
    <w:rsid w:val="000F3A80"/>
    <w:rsid w:val="000F3ADB"/>
    <w:rsid w:val="000F3FA1"/>
    <w:rsid w:val="000F4351"/>
    <w:rsid w:val="000F4752"/>
    <w:rsid w:val="000F48D9"/>
    <w:rsid w:val="000F4A59"/>
    <w:rsid w:val="000F4B7E"/>
    <w:rsid w:val="000F4E82"/>
    <w:rsid w:val="000F51DA"/>
    <w:rsid w:val="000F5577"/>
    <w:rsid w:val="000F565B"/>
    <w:rsid w:val="000F57BF"/>
    <w:rsid w:val="000F5F3F"/>
    <w:rsid w:val="000F5F65"/>
    <w:rsid w:val="000F67AA"/>
    <w:rsid w:val="001005C3"/>
    <w:rsid w:val="00100844"/>
    <w:rsid w:val="001018E7"/>
    <w:rsid w:val="00101C3F"/>
    <w:rsid w:val="00101DD0"/>
    <w:rsid w:val="00102555"/>
    <w:rsid w:val="00102F06"/>
    <w:rsid w:val="001037BF"/>
    <w:rsid w:val="00103D3E"/>
    <w:rsid w:val="00103DFC"/>
    <w:rsid w:val="00103ECC"/>
    <w:rsid w:val="001047E8"/>
    <w:rsid w:val="00104B2A"/>
    <w:rsid w:val="00104F15"/>
    <w:rsid w:val="001051A9"/>
    <w:rsid w:val="00105B3E"/>
    <w:rsid w:val="00105B99"/>
    <w:rsid w:val="00105BA0"/>
    <w:rsid w:val="001061D3"/>
    <w:rsid w:val="00106748"/>
    <w:rsid w:val="0010723E"/>
    <w:rsid w:val="001075B1"/>
    <w:rsid w:val="00107D54"/>
    <w:rsid w:val="00110079"/>
    <w:rsid w:val="00110173"/>
    <w:rsid w:val="00110A90"/>
    <w:rsid w:val="00110CD5"/>
    <w:rsid w:val="0011108B"/>
    <w:rsid w:val="001111F7"/>
    <w:rsid w:val="00111A14"/>
    <w:rsid w:val="00111C87"/>
    <w:rsid w:val="001136E5"/>
    <w:rsid w:val="001138DA"/>
    <w:rsid w:val="00115711"/>
    <w:rsid w:val="0011585F"/>
    <w:rsid w:val="00115973"/>
    <w:rsid w:val="00115A55"/>
    <w:rsid w:val="00115AD7"/>
    <w:rsid w:val="00116971"/>
    <w:rsid w:val="001172D4"/>
    <w:rsid w:val="00117316"/>
    <w:rsid w:val="00117A19"/>
    <w:rsid w:val="00117E2F"/>
    <w:rsid w:val="001205E7"/>
    <w:rsid w:val="001208AF"/>
    <w:rsid w:val="00120A84"/>
    <w:rsid w:val="001212EF"/>
    <w:rsid w:val="001213CE"/>
    <w:rsid w:val="001215C5"/>
    <w:rsid w:val="001217DC"/>
    <w:rsid w:val="00121AA9"/>
    <w:rsid w:val="0012203F"/>
    <w:rsid w:val="00122238"/>
    <w:rsid w:val="00122873"/>
    <w:rsid w:val="0012293C"/>
    <w:rsid w:val="00122EAA"/>
    <w:rsid w:val="00123243"/>
    <w:rsid w:val="00123987"/>
    <w:rsid w:val="00123CC6"/>
    <w:rsid w:val="001241FC"/>
    <w:rsid w:val="00124A28"/>
    <w:rsid w:val="00124E97"/>
    <w:rsid w:val="00125200"/>
    <w:rsid w:val="00125202"/>
    <w:rsid w:val="00125B11"/>
    <w:rsid w:val="00125C68"/>
    <w:rsid w:val="00125C8A"/>
    <w:rsid w:val="00125CF2"/>
    <w:rsid w:val="00125E74"/>
    <w:rsid w:val="00126080"/>
    <w:rsid w:val="0012649A"/>
    <w:rsid w:val="001264D8"/>
    <w:rsid w:val="00126813"/>
    <w:rsid w:val="00126953"/>
    <w:rsid w:val="00126AD5"/>
    <w:rsid w:val="00126C43"/>
    <w:rsid w:val="00126EEB"/>
    <w:rsid w:val="00127777"/>
    <w:rsid w:val="00127A00"/>
    <w:rsid w:val="00127AD2"/>
    <w:rsid w:val="00127CD1"/>
    <w:rsid w:val="0013053B"/>
    <w:rsid w:val="001305BF"/>
    <w:rsid w:val="001307D9"/>
    <w:rsid w:val="00130827"/>
    <w:rsid w:val="001308A2"/>
    <w:rsid w:val="00130C56"/>
    <w:rsid w:val="00131668"/>
    <w:rsid w:val="001319AB"/>
    <w:rsid w:val="00131E17"/>
    <w:rsid w:val="001321FC"/>
    <w:rsid w:val="0013288F"/>
    <w:rsid w:val="00132F55"/>
    <w:rsid w:val="00132FAF"/>
    <w:rsid w:val="001330B3"/>
    <w:rsid w:val="001333A3"/>
    <w:rsid w:val="00133D2B"/>
    <w:rsid w:val="00133F4C"/>
    <w:rsid w:val="00134014"/>
    <w:rsid w:val="001342FB"/>
    <w:rsid w:val="00134374"/>
    <w:rsid w:val="001343C8"/>
    <w:rsid w:val="001346A2"/>
    <w:rsid w:val="001348BB"/>
    <w:rsid w:val="00134AF9"/>
    <w:rsid w:val="00134B47"/>
    <w:rsid w:val="00134B53"/>
    <w:rsid w:val="00134C5F"/>
    <w:rsid w:val="00134D6D"/>
    <w:rsid w:val="00135640"/>
    <w:rsid w:val="00136467"/>
    <w:rsid w:val="00136543"/>
    <w:rsid w:val="00137027"/>
    <w:rsid w:val="0014046D"/>
    <w:rsid w:val="00140645"/>
    <w:rsid w:val="0014143D"/>
    <w:rsid w:val="00142838"/>
    <w:rsid w:val="00143156"/>
    <w:rsid w:val="00143282"/>
    <w:rsid w:val="00143653"/>
    <w:rsid w:val="0014396D"/>
    <w:rsid w:val="00143B3A"/>
    <w:rsid w:val="00144298"/>
    <w:rsid w:val="001446E6"/>
    <w:rsid w:val="0014521C"/>
    <w:rsid w:val="0014549B"/>
    <w:rsid w:val="00145601"/>
    <w:rsid w:val="001467D4"/>
    <w:rsid w:val="00146AE7"/>
    <w:rsid w:val="00147350"/>
    <w:rsid w:val="001474D5"/>
    <w:rsid w:val="001479A4"/>
    <w:rsid w:val="00147AE8"/>
    <w:rsid w:val="00147B3F"/>
    <w:rsid w:val="00150829"/>
    <w:rsid w:val="00151AFE"/>
    <w:rsid w:val="00152070"/>
    <w:rsid w:val="001520F3"/>
    <w:rsid w:val="00152CBF"/>
    <w:rsid w:val="00152FB5"/>
    <w:rsid w:val="0015305A"/>
    <w:rsid w:val="001530CC"/>
    <w:rsid w:val="001530FC"/>
    <w:rsid w:val="00153212"/>
    <w:rsid w:val="00153237"/>
    <w:rsid w:val="00153387"/>
    <w:rsid w:val="0015340E"/>
    <w:rsid w:val="0015359C"/>
    <w:rsid w:val="0015369F"/>
    <w:rsid w:val="00154156"/>
    <w:rsid w:val="00154CC9"/>
    <w:rsid w:val="001559C0"/>
    <w:rsid w:val="001560F0"/>
    <w:rsid w:val="001566EE"/>
    <w:rsid w:val="001568C1"/>
    <w:rsid w:val="00156D80"/>
    <w:rsid w:val="001573D7"/>
    <w:rsid w:val="00157A9B"/>
    <w:rsid w:val="00157E23"/>
    <w:rsid w:val="00157E58"/>
    <w:rsid w:val="00157FC3"/>
    <w:rsid w:val="0016028E"/>
    <w:rsid w:val="00160352"/>
    <w:rsid w:val="00160354"/>
    <w:rsid w:val="001603CE"/>
    <w:rsid w:val="00160854"/>
    <w:rsid w:val="00160EAC"/>
    <w:rsid w:val="001610A3"/>
    <w:rsid w:val="00161C84"/>
    <w:rsid w:val="001623F2"/>
    <w:rsid w:val="00162564"/>
    <w:rsid w:val="00162651"/>
    <w:rsid w:val="001626BD"/>
    <w:rsid w:val="001628F9"/>
    <w:rsid w:val="00162B2B"/>
    <w:rsid w:val="00162D28"/>
    <w:rsid w:val="001632C1"/>
    <w:rsid w:val="001635AE"/>
    <w:rsid w:val="001635DB"/>
    <w:rsid w:val="0016379F"/>
    <w:rsid w:val="00163812"/>
    <w:rsid w:val="00163865"/>
    <w:rsid w:val="00163E9E"/>
    <w:rsid w:val="00163FB5"/>
    <w:rsid w:val="0016482C"/>
    <w:rsid w:val="0016483A"/>
    <w:rsid w:val="001649DE"/>
    <w:rsid w:val="00164A38"/>
    <w:rsid w:val="00164C3F"/>
    <w:rsid w:val="00164DA5"/>
    <w:rsid w:val="00164E23"/>
    <w:rsid w:val="001650F8"/>
    <w:rsid w:val="00165222"/>
    <w:rsid w:val="0016595F"/>
    <w:rsid w:val="00165A06"/>
    <w:rsid w:val="00165F24"/>
    <w:rsid w:val="00166372"/>
    <w:rsid w:val="001664B0"/>
    <w:rsid w:val="00166A2C"/>
    <w:rsid w:val="00167972"/>
    <w:rsid w:val="00167E9C"/>
    <w:rsid w:val="0017070C"/>
    <w:rsid w:val="00170D23"/>
    <w:rsid w:val="00170E88"/>
    <w:rsid w:val="001711DB"/>
    <w:rsid w:val="00171D51"/>
    <w:rsid w:val="00171D7E"/>
    <w:rsid w:val="00172D74"/>
    <w:rsid w:val="0017320F"/>
    <w:rsid w:val="0017350C"/>
    <w:rsid w:val="00173696"/>
    <w:rsid w:val="00173A74"/>
    <w:rsid w:val="001746C2"/>
    <w:rsid w:val="00174840"/>
    <w:rsid w:val="00175235"/>
    <w:rsid w:val="0017584B"/>
    <w:rsid w:val="00175E0B"/>
    <w:rsid w:val="00175E43"/>
    <w:rsid w:val="001760B2"/>
    <w:rsid w:val="00176286"/>
    <w:rsid w:val="001766D0"/>
    <w:rsid w:val="00176BC7"/>
    <w:rsid w:val="00176EED"/>
    <w:rsid w:val="00177167"/>
    <w:rsid w:val="001772DF"/>
    <w:rsid w:val="00180F96"/>
    <w:rsid w:val="0018102F"/>
    <w:rsid w:val="0018120A"/>
    <w:rsid w:val="00181DFA"/>
    <w:rsid w:val="0018205E"/>
    <w:rsid w:val="0018206A"/>
    <w:rsid w:val="00182A09"/>
    <w:rsid w:val="001834DC"/>
    <w:rsid w:val="00183959"/>
    <w:rsid w:val="00183B1B"/>
    <w:rsid w:val="00183C79"/>
    <w:rsid w:val="00183C8B"/>
    <w:rsid w:val="00183E75"/>
    <w:rsid w:val="00184125"/>
    <w:rsid w:val="00184225"/>
    <w:rsid w:val="00184465"/>
    <w:rsid w:val="001845CF"/>
    <w:rsid w:val="00184677"/>
    <w:rsid w:val="00184BF0"/>
    <w:rsid w:val="001851CF"/>
    <w:rsid w:val="001857BB"/>
    <w:rsid w:val="00185969"/>
    <w:rsid w:val="001865BB"/>
    <w:rsid w:val="00187339"/>
    <w:rsid w:val="00187438"/>
    <w:rsid w:val="00187518"/>
    <w:rsid w:val="00187885"/>
    <w:rsid w:val="00187941"/>
    <w:rsid w:val="0019005E"/>
    <w:rsid w:val="00190351"/>
    <w:rsid w:val="00190FB6"/>
    <w:rsid w:val="00191101"/>
    <w:rsid w:val="001912E3"/>
    <w:rsid w:val="001913D0"/>
    <w:rsid w:val="001933A1"/>
    <w:rsid w:val="001938DF"/>
    <w:rsid w:val="00193911"/>
    <w:rsid w:val="00193C6E"/>
    <w:rsid w:val="00194444"/>
    <w:rsid w:val="0019464F"/>
    <w:rsid w:val="00194FD4"/>
    <w:rsid w:val="001952F2"/>
    <w:rsid w:val="0019560F"/>
    <w:rsid w:val="00195AC6"/>
    <w:rsid w:val="00195D58"/>
    <w:rsid w:val="00195D5B"/>
    <w:rsid w:val="00195DED"/>
    <w:rsid w:val="00196B4E"/>
    <w:rsid w:val="00196F09"/>
    <w:rsid w:val="0019703B"/>
    <w:rsid w:val="00197BE9"/>
    <w:rsid w:val="00197EE5"/>
    <w:rsid w:val="00197F24"/>
    <w:rsid w:val="001A01E7"/>
    <w:rsid w:val="001A027A"/>
    <w:rsid w:val="001A0554"/>
    <w:rsid w:val="001A0C05"/>
    <w:rsid w:val="001A0D2C"/>
    <w:rsid w:val="001A173F"/>
    <w:rsid w:val="001A1AB1"/>
    <w:rsid w:val="001A1BB8"/>
    <w:rsid w:val="001A1EE6"/>
    <w:rsid w:val="001A2431"/>
    <w:rsid w:val="001A30E6"/>
    <w:rsid w:val="001A3425"/>
    <w:rsid w:val="001A35A9"/>
    <w:rsid w:val="001A3862"/>
    <w:rsid w:val="001A398D"/>
    <w:rsid w:val="001A3AD6"/>
    <w:rsid w:val="001A41EA"/>
    <w:rsid w:val="001A422B"/>
    <w:rsid w:val="001A440A"/>
    <w:rsid w:val="001A4441"/>
    <w:rsid w:val="001A4A55"/>
    <w:rsid w:val="001A4F44"/>
    <w:rsid w:val="001A54D4"/>
    <w:rsid w:val="001A54DC"/>
    <w:rsid w:val="001A58FE"/>
    <w:rsid w:val="001A5F3D"/>
    <w:rsid w:val="001A6A4F"/>
    <w:rsid w:val="001A76B7"/>
    <w:rsid w:val="001B0900"/>
    <w:rsid w:val="001B0C8A"/>
    <w:rsid w:val="001B0E7A"/>
    <w:rsid w:val="001B1339"/>
    <w:rsid w:val="001B197E"/>
    <w:rsid w:val="001B1FC5"/>
    <w:rsid w:val="001B2B6A"/>
    <w:rsid w:val="001B32B8"/>
    <w:rsid w:val="001B3D57"/>
    <w:rsid w:val="001B41B1"/>
    <w:rsid w:val="001B4A03"/>
    <w:rsid w:val="001B4AD1"/>
    <w:rsid w:val="001B5B57"/>
    <w:rsid w:val="001B5C8A"/>
    <w:rsid w:val="001B6B20"/>
    <w:rsid w:val="001B783E"/>
    <w:rsid w:val="001B7BEC"/>
    <w:rsid w:val="001B7ECD"/>
    <w:rsid w:val="001C033C"/>
    <w:rsid w:val="001C04B2"/>
    <w:rsid w:val="001C0D59"/>
    <w:rsid w:val="001C0DED"/>
    <w:rsid w:val="001C150B"/>
    <w:rsid w:val="001C17FA"/>
    <w:rsid w:val="001C1ACC"/>
    <w:rsid w:val="001C1FDE"/>
    <w:rsid w:val="001C2140"/>
    <w:rsid w:val="001C2369"/>
    <w:rsid w:val="001C2493"/>
    <w:rsid w:val="001C2A9D"/>
    <w:rsid w:val="001C2C77"/>
    <w:rsid w:val="001C3021"/>
    <w:rsid w:val="001C3737"/>
    <w:rsid w:val="001C3CC2"/>
    <w:rsid w:val="001C3ECC"/>
    <w:rsid w:val="001C3F78"/>
    <w:rsid w:val="001C44BE"/>
    <w:rsid w:val="001C4592"/>
    <w:rsid w:val="001C4BD7"/>
    <w:rsid w:val="001C4FD9"/>
    <w:rsid w:val="001C5839"/>
    <w:rsid w:val="001C61B1"/>
    <w:rsid w:val="001C6AF5"/>
    <w:rsid w:val="001C725D"/>
    <w:rsid w:val="001C77E1"/>
    <w:rsid w:val="001C7ADA"/>
    <w:rsid w:val="001D08C2"/>
    <w:rsid w:val="001D12B2"/>
    <w:rsid w:val="001D1635"/>
    <w:rsid w:val="001D1872"/>
    <w:rsid w:val="001D1B74"/>
    <w:rsid w:val="001D1C05"/>
    <w:rsid w:val="001D1C72"/>
    <w:rsid w:val="001D1EE5"/>
    <w:rsid w:val="001D2C4D"/>
    <w:rsid w:val="001D2F0C"/>
    <w:rsid w:val="001D3351"/>
    <w:rsid w:val="001D3543"/>
    <w:rsid w:val="001D46EF"/>
    <w:rsid w:val="001D4AF5"/>
    <w:rsid w:val="001D4DEE"/>
    <w:rsid w:val="001D5600"/>
    <w:rsid w:val="001D58E5"/>
    <w:rsid w:val="001D5F4C"/>
    <w:rsid w:val="001D6191"/>
    <w:rsid w:val="001D650B"/>
    <w:rsid w:val="001D6CA4"/>
    <w:rsid w:val="001D76AD"/>
    <w:rsid w:val="001D785D"/>
    <w:rsid w:val="001D7943"/>
    <w:rsid w:val="001D7A5C"/>
    <w:rsid w:val="001E086E"/>
    <w:rsid w:val="001E08AE"/>
    <w:rsid w:val="001E17B2"/>
    <w:rsid w:val="001E1B14"/>
    <w:rsid w:val="001E200A"/>
    <w:rsid w:val="001E2067"/>
    <w:rsid w:val="001E226F"/>
    <w:rsid w:val="001E24A9"/>
    <w:rsid w:val="001E2502"/>
    <w:rsid w:val="001E292F"/>
    <w:rsid w:val="001E2B40"/>
    <w:rsid w:val="001E3202"/>
    <w:rsid w:val="001E328E"/>
    <w:rsid w:val="001E3964"/>
    <w:rsid w:val="001E3CD1"/>
    <w:rsid w:val="001E3FDB"/>
    <w:rsid w:val="001E474D"/>
    <w:rsid w:val="001E47E9"/>
    <w:rsid w:val="001E4F0E"/>
    <w:rsid w:val="001E4FA1"/>
    <w:rsid w:val="001E5210"/>
    <w:rsid w:val="001E53B7"/>
    <w:rsid w:val="001E5580"/>
    <w:rsid w:val="001E582A"/>
    <w:rsid w:val="001E5A81"/>
    <w:rsid w:val="001E5AFC"/>
    <w:rsid w:val="001E5C3D"/>
    <w:rsid w:val="001E6DFF"/>
    <w:rsid w:val="001E72B2"/>
    <w:rsid w:val="001E72E6"/>
    <w:rsid w:val="001E7E98"/>
    <w:rsid w:val="001F0169"/>
    <w:rsid w:val="001F01B8"/>
    <w:rsid w:val="001F0349"/>
    <w:rsid w:val="001F05AE"/>
    <w:rsid w:val="001F09FD"/>
    <w:rsid w:val="001F0B74"/>
    <w:rsid w:val="001F15EE"/>
    <w:rsid w:val="001F1A0D"/>
    <w:rsid w:val="001F1E59"/>
    <w:rsid w:val="001F2335"/>
    <w:rsid w:val="001F295C"/>
    <w:rsid w:val="001F2B19"/>
    <w:rsid w:val="001F2D18"/>
    <w:rsid w:val="001F37E0"/>
    <w:rsid w:val="001F40A5"/>
    <w:rsid w:val="001F41F6"/>
    <w:rsid w:val="001F45A1"/>
    <w:rsid w:val="001F4AE1"/>
    <w:rsid w:val="001F4EB8"/>
    <w:rsid w:val="001F5E52"/>
    <w:rsid w:val="001F6F6A"/>
    <w:rsid w:val="001F7077"/>
    <w:rsid w:val="001F7139"/>
    <w:rsid w:val="001F7595"/>
    <w:rsid w:val="00200B34"/>
    <w:rsid w:val="00200B4C"/>
    <w:rsid w:val="002019F2"/>
    <w:rsid w:val="00201C2A"/>
    <w:rsid w:val="00201CDA"/>
    <w:rsid w:val="002021A8"/>
    <w:rsid w:val="00202326"/>
    <w:rsid w:val="002027C7"/>
    <w:rsid w:val="00202DE2"/>
    <w:rsid w:val="00202E03"/>
    <w:rsid w:val="00202F71"/>
    <w:rsid w:val="00203267"/>
    <w:rsid w:val="002033A2"/>
    <w:rsid w:val="0020391D"/>
    <w:rsid w:val="00204482"/>
    <w:rsid w:val="002044BC"/>
    <w:rsid w:val="00204EFE"/>
    <w:rsid w:val="00205010"/>
    <w:rsid w:val="00205519"/>
    <w:rsid w:val="00205F9C"/>
    <w:rsid w:val="00206F27"/>
    <w:rsid w:val="00207369"/>
    <w:rsid w:val="00207BDB"/>
    <w:rsid w:val="00207C8F"/>
    <w:rsid w:val="002100F0"/>
    <w:rsid w:val="00210605"/>
    <w:rsid w:val="00210771"/>
    <w:rsid w:val="00210815"/>
    <w:rsid w:val="00211470"/>
    <w:rsid w:val="00211885"/>
    <w:rsid w:val="00211AB7"/>
    <w:rsid w:val="00211C59"/>
    <w:rsid w:val="002126BA"/>
    <w:rsid w:val="002129C2"/>
    <w:rsid w:val="0021428F"/>
    <w:rsid w:val="002146BC"/>
    <w:rsid w:val="00214715"/>
    <w:rsid w:val="00215699"/>
    <w:rsid w:val="002159DE"/>
    <w:rsid w:val="00215CE6"/>
    <w:rsid w:val="00215E99"/>
    <w:rsid w:val="0021637C"/>
    <w:rsid w:val="002166A6"/>
    <w:rsid w:val="00216A61"/>
    <w:rsid w:val="00216ADB"/>
    <w:rsid w:val="00216BB6"/>
    <w:rsid w:val="00216C30"/>
    <w:rsid w:val="00217B45"/>
    <w:rsid w:val="0022006A"/>
    <w:rsid w:val="0022048B"/>
    <w:rsid w:val="00220692"/>
    <w:rsid w:val="00220998"/>
    <w:rsid w:val="00222078"/>
    <w:rsid w:val="00222103"/>
    <w:rsid w:val="00222261"/>
    <w:rsid w:val="00222616"/>
    <w:rsid w:val="00222AD9"/>
    <w:rsid w:val="00222D3C"/>
    <w:rsid w:val="0022369A"/>
    <w:rsid w:val="002237D3"/>
    <w:rsid w:val="00223960"/>
    <w:rsid w:val="00223B07"/>
    <w:rsid w:val="00224084"/>
    <w:rsid w:val="0022436A"/>
    <w:rsid w:val="00224AD6"/>
    <w:rsid w:val="00224E52"/>
    <w:rsid w:val="00225736"/>
    <w:rsid w:val="00225884"/>
    <w:rsid w:val="0022590D"/>
    <w:rsid w:val="00225E64"/>
    <w:rsid w:val="00226098"/>
    <w:rsid w:val="0022669A"/>
    <w:rsid w:val="002267CE"/>
    <w:rsid w:val="002272AB"/>
    <w:rsid w:val="00227C71"/>
    <w:rsid w:val="00227D49"/>
    <w:rsid w:val="00227FC7"/>
    <w:rsid w:val="00230C43"/>
    <w:rsid w:val="00231740"/>
    <w:rsid w:val="002319E6"/>
    <w:rsid w:val="002325A8"/>
    <w:rsid w:val="00232EED"/>
    <w:rsid w:val="002341F6"/>
    <w:rsid w:val="0023440D"/>
    <w:rsid w:val="002347B1"/>
    <w:rsid w:val="00234DDE"/>
    <w:rsid w:val="0023552A"/>
    <w:rsid w:val="00235A21"/>
    <w:rsid w:val="00235D25"/>
    <w:rsid w:val="00235E13"/>
    <w:rsid w:val="002365B5"/>
    <w:rsid w:val="0023694C"/>
    <w:rsid w:val="00236E72"/>
    <w:rsid w:val="00236F13"/>
    <w:rsid w:val="0023706D"/>
    <w:rsid w:val="002372F4"/>
    <w:rsid w:val="00237ABD"/>
    <w:rsid w:val="00237D17"/>
    <w:rsid w:val="0024029A"/>
    <w:rsid w:val="002407C8"/>
    <w:rsid w:val="00240ADA"/>
    <w:rsid w:val="00240F4D"/>
    <w:rsid w:val="002410F9"/>
    <w:rsid w:val="002411E2"/>
    <w:rsid w:val="002412C3"/>
    <w:rsid w:val="002412FE"/>
    <w:rsid w:val="002417F8"/>
    <w:rsid w:val="00241FC8"/>
    <w:rsid w:val="00242328"/>
    <w:rsid w:val="002424AD"/>
    <w:rsid w:val="00242C4A"/>
    <w:rsid w:val="002437D9"/>
    <w:rsid w:val="00243B56"/>
    <w:rsid w:val="00243C8D"/>
    <w:rsid w:val="00243FC7"/>
    <w:rsid w:val="002440FD"/>
    <w:rsid w:val="002446A3"/>
    <w:rsid w:val="0024472B"/>
    <w:rsid w:val="00244C00"/>
    <w:rsid w:val="00244E56"/>
    <w:rsid w:val="002454BE"/>
    <w:rsid w:val="00245C4C"/>
    <w:rsid w:val="00246221"/>
    <w:rsid w:val="00246447"/>
    <w:rsid w:val="00246CCD"/>
    <w:rsid w:val="0024727D"/>
    <w:rsid w:val="00247343"/>
    <w:rsid w:val="002478E5"/>
    <w:rsid w:val="00247C53"/>
    <w:rsid w:val="0025073C"/>
    <w:rsid w:val="00250F42"/>
    <w:rsid w:val="00250FD2"/>
    <w:rsid w:val="00251A8F"/>
    <w:rsid w:val="002529C2"/>
    <w:rsid w:val="00253EA0"/>
    <w:rsid w:val="0025434B"/>
    <w:rsid w:val="00254439"/>
    <w:rsid w:val="00254B44"/>
    <w:rsid w:val="00254E99"/>
    <w:rsid w:val="00255460"/>
    <w:rsid w:val="00255BAF"/>
    <w:rsid w:val="0025614D"/>
    <w:rsid w:val="0025673C"/>
    <w:rsid w:val="0025674A"/>
    <w:rsid w:val="0025753B"/>
    <w:rsid w:val="00257AAE"/>
    <w:rsid w:val="0026010B"/>
    <w:rsid w:val="0026027A"/>
    <w:rsid w:val="002602E7"/>
    <w:rsid w:val="00260423"/>
    <w:rsid w:val="00260533"/>
    <w:rsid w:val="00260B94"/>
    <w:rsid w:val="00260ED8"/>
    <w:rsid w:val="002615F8"/>
    <w:rsid w:val="00261A54"/>
    <w:rsid w:val="00261C8F"/>
    <w:rsid w:val="00261D37"/>
    <w:rsid w:val="00261E00"/>
    <w:rsid w:val="00263081"/>
    <w:rsid w:val="00263607"/>
    <w:rsid w:val="00263874"/>
    <w:rsid w:val="00263AA1"/>
    <w:rsid w:val="00263D34"/>
    <w:rsid w:val="00263EF1"/>
    <w:rsid w:val="0026411A"/>
    <w:rsid w:val="00264912"/>
    <w:rsid w:val="00264FC8"/>
    <w:rsid w:val="002654E8"/>
    <w:rsid w:val="002656E1"/>
    <w:rsid w:val="00265946"/>
    <w:rsid w:val="00265CFF"/>
    <w:rsid w:val="00266719"/>
    <w:rsid w:val="002674E3"/>
    <w:rsid w:val="0026768C"/>
    <w:rsid w:val="00267755"/>
    <w:rsid w:val="00267A65"/>
    <w:rsid w:val="00267B69"/>
    <w:rsid w:val="002705FE"/>
    <w:rsid w:val="002706F0"/>
    <w:rsid w:val="00270CF7"/>
    <w:rsid w:val="00270D82"/>
    <w:rsid w:val="00270EEB"/>
    <w:rsid w:val="002713DB"/>
    <w:rsid w:val="00271599"/>
    <w:rsid w:val="002715AC"/>
    <w:rsid w:val="00271ADB"/>
    <w:rsid w:val="00272219"/>
    <w:rsid w:val="0027245C"/>
    <w:rsid w:val="00272A40"/>
    <w:rsid w:val="00272C99"/>
    <w:rsid w:val="00272D7E"/>
    <w:rsid w:val="0027302B"/>
    <w:rsid w:val="00273278"/>
    <w:rsid w:val="00273AFD"/>
    <w:rsid w:val="00273F2B"/>
    <w:rsid w:val="002741A0"/>
    <w:rsid w:val="002746D8"/>
    <w:rsid w:val="0027475A"/>
    <w:rsid w:val="00274B50"/>
    <w:rsid w:val="00275343"/>
    <w:rsid w:val="00275641"/>
    <w:rsid w:val="002762E6"/>
    <w:rsid w:val="00276AE0"/>
    <w:rsid w:val="00276D6A"/>
    <w:rsid w:val="00277E64"/>
    <w:rsid w:val="002802D7"/>
    <w:rsid w:val="00280337"/>
    <w:rsid w:val="00280AB5"/>
    <w:rsid w:val="00280B32"/>
    <w:rsid w:val="00280EDC"/>
    <w:rsid w:val="0028218E"/>
    <w:rsid w:val="002821E9"/>
    <w:rsid w:val="00282363"/>
    <w:rsid w:val="00282DE4"/>
    <w:rsid w:val="0028324E"/>
    <w:rsid w:val="00284163"/>
    <w:rsid w:val="00284F37"/>
    <w:rsid w:val="00285523"/>
    <w:rsid w:val="002857C6"/>
    <w:rsid w:val="002859F5"/>
    <w:rsid w:val="002865A0"/>
    <w:rsid w:val="002868A6"/>
    <w:rsid w:val="002868BE"/>
    <w:rsid w:val="00286EAA"/>
    <w:rsid w:val="0028710F"/>
    <w:rsid w:val="002872C3"/>
    <w:rsid w:val="00287B1D"/>
    <w:rsid w:val="002903E2"/>
    <w:rsid w:val="0029077C"/>
    <w:rsid w:val="002908A7"/>
    <w:rsid w:val="002913FD"/>
    <w:rsid w:val="002916D1"/>
    <w:rsid w:val="00291D71"/>
    <w:rsid w:val="00292115"/>
    <w:rsid w:val="00292681"/>
    <w:rsid w:val="00292F66"/>
    <w:rsid w:val="0029315D"/>
    <w:rsid w:val="00293D6E"/>
    <w:rsid w:val="00293E79"/>
    <w:rsid w:val="0029421A"/>
    <w:rsid w:val="0029449E"/>
    <w:rsid w:val="002947C7"/>
    <w:rsid w:val="00294A35"/>
    <w:rsid w:val="00294C8B"/>
    <w:rsid w:val="00294E8F"/>
    <w:rsid w:val="0029504D"/>
    <w:rsid w:val="00295401"/>
    <w:rsid w:val="0029570C"/>
    <w:rsid w:val="0029625F"/>
    <w:rsid w:val="002965E0"/>
    <w:rsid w:val="0029696A"/>
    <w:rsid w:val="00296D2B"/>
    <w:rsid w:val="00296F46"/>
    <w:rsid w:val="00296F8A"/>
    <w:rsid w:val="002A01FD"/>
    <w:rsid w:val="002A05C9"/>
    <w:rsid w:val="002A0AAC"/>
    <w:rsid w:val="002A12BA"/>
    <w:rsid w:val="002A180F"/>
    <w:rsid w:val="002A183F"/>
    <w:rsid w:val="002A1873"/>
    <w:rsid w:val="002A1AE1"/>
    <w:rsid w:val="002A2060"/>
    <w:rsid w:val="002A2857"/>
    <w:rsid w:val="002A2D7B"/>
    <w:rsid w:val="002A33FE"/>
    <w:rsid w:val="002A353A"/>
    <w:rsid w:val="002A367A"/>
    <w:rsid w:val="002A391D"/>
    <w:rsid w:val="002A3B40"/>
    <w:rsid w:val="002A3C27"/>
    <w:rsid w:val="002A40BC"/>
    <w:rsid w:val="002A4404"/>
    <w:rsid w:val="002A46A3"/>
    <w:rsid w:val="002A4C57"/>
    <w:rsid w:val="002A51E9"/>
    <w:rsid w:val="002A52E3"/>
    <w:rsid w:val="002A5425"/>
    <w:rsid w:val="002A547D"/>
    <w:rsid w:val="002A556E"/>
    <w:rsid w:val="002A55A2"/>
    <w:rsid w:val="002A5B44"/>
    <w:rsid w:val="002A5CA0"/>
    <w:rsid w:val="002A6170"/>
    <w:rsid w:val="002A61F9"/>
    <w:rsid w:val="002A63AF"/>
    <w:rsid w:val="002A6AD1"/>
    <w:rsid w:val="002A6E8E"/>
    <w:rsid w:val="002A6FBE"/>
    <w:rsid w:val="002A7622"/>
    <w:rsid w:val="002A7869"/>
    <w:rsid w:val="002A7BB5"/>
    <w:rsid w:val="002A7F5B"/>
    <w:rsid w:val="002B0D78"/>
    <w:rsid w:val="002B0D89"/>
    <w:rsid w:val="002B0F46"/>
    <w:rsid w:val="002B1BB2"/>
    <w:rsid w:val="002B2078"/>
    <w:rsid w:val="002B22D4"/>
    <w:rsid w:val="002B2334"/>
    <w:rsid w:val="002B259E"/>
    <w:rsid w:val="002B291F"/>
    <w:rsid w:val="002B2E6C"/>
    <w:rsid w:val="002B3178"/>
    <w:rsid w:val="002B37A1"/>
    <w:rsid w:val="002B3A68"/>
    <w:rsid w:val="002B3C14"/>
    <w:rsid w:val="002B3C46"/>
    <w:rsid w:val="002B3FD0"/>
    <w:rsid w:val="002B43FA"/>
    <w:rsid w:val="002B46E6"/>
    <w:rsid w:val="002B46F6"/>
    <w:rsid w:val="002B4D9A"/>
    <w:rsid w:val="002B5C84"/>
    <w:rsid w:val="002B65D5"/>
    <w:rsid w:val="002B65D8"/>
    <w:rsid w:val="002B6B22"/>
    <w:rsid w:val="002B73B2"/>
    <w:rsid w:val="002B7969"/>
    <w:rsid w:val="002C06D1"/>
    <w:rsid w:val="002C0B3E"/>
    <w:rsid w:val="002C0BB1"/>
    <w:rsid w:val="002C0FA3"/>
    <w:rsid w:val="002C14A5"/>
    <w:rsid w:val="002C2252"/>
    <w:rsid w:val="002C28E2"/>
    <w:rsid w:val="002C2DB8"/>
    <w:rsid w:val="002C3066"/>
    <w:rsid w:val="002C314B"/>
    <w:rsid w:val="002C31E5"/>
    <w:rsid w:val="002C40D9"/>
    <w:rsid w:val="002C41DC"/>
    <w:rsid w:val="002C423C"/>
    <w:rsid w:val="002C4533"/>
    <w:rsid w:val="002C474F"/>
    <w:rsid w:val="002C4822"/>
    <w:rsid w:val="002C4CA9"/>
    <w:rsid w:val="002C5A63"/>
    <w:rsid w:val="002C5B61"/>
    <w:rsid w:val="002C5FD6"/>
    <w:rsid w:val="002C63F6"/>
    <w:rsid w:val="002C7064"/>
    <w:rsid w:val="002C73FD"/>
    <w:rsid w:val="002C754B"/>
    <w:rsid w:val="002C79D7"/>
    <w:rsid w:val="002C7A9A"/>
    <w:rsid w:val="002D0356"/>
    <w:rsid w:val="002D06E7"/>
    <w:rsid w:val="002D07C0"/>
    <w:rsid w:val="002D0829"/>
    <w:rsid w:val="002D0904"/>
    <w:rsid w:val="002D0905"/>
    <w:rsid w:val="002D0C19"/>
    <w:rsid w:val="002D0FC6"/>
    <w:rsid w:val="002D1101"/>
    <w:rsid w:val="002D138C"/>
    <w:rsid w:val="002D14B7"/>
    <w:rsid w:val="002D1822"/>
    <w:rsid w:val="002D18BC"/>
    <w:rsid w:val="002D1A3D"/>
    <w:rsid w:val="002D2385"/>
    <w:rsid w:val="002D2A68"/>
    <w:rsid w:val="002D32C9"/>
    <w:rsid w:val="002D34D0"/>
    <w:rsid w:val="002D36F6"/>
    <w:rsid w:val="002D3B3F"/>
    <w:rsid w:val="002D3EC8"/>
    <w:rsid w:val="002D403E"/>
    <w:rsid w:val="002D4325"/>
    <w:rsid w:val="002D45BF"/>
    <w:rsid w:val="002D46FB"/>
    <w:rsid w:val="002D4776"/>
    <w:rsid w:val="002D4A85"/>
    <w:rsid w:val="002D4D0F"/>
    <w:rsid w:val="002D4E7E"/>
    <w:rsid w:val="002D5365"/>
    <w:rsid w:val="002D553B"/>
    <w:rsid w:val="002D5AE2"/>
    <w:rsid w:val="002D64DF"/>
    <w:rsid w:val="002D6681"/>
    <w:rsid w:val="002D69D3"/>
    <w:rsid w:val="002D71F8"/>
    <w:rsid w:val="002E000C"/>
    <w:rsid w:val="002E02AA"/>
    <w:rsid w:val="002E0BB3"/>
    <w:rsid w:val="002E13E0"/>
    <w:rsid w:val="002E1950"/>
    <w:rsid w:val="002E2864"/>
    <w:rsid w:val="002E2900"/>
    <w:rsid w:val="002E2D4A"/>
    <w:rsid w:val="002E3159"/>
    <w:rsid w:val="002E38DB"/>
    <w:rsid w:val="002E39E2"/>
    <w:rsid w:val="002E4657"/>
    <w:rsid w:val="002E4708"/>
    <w:rsid w:val="002E4F35"/>
    <w:rsid w:val="002E5256"/>
    <w:rsid w:val="002E5271"/>
    <w:rsid w:val="002E538F"/>
    <w:rsid w:val="002E539A"/>
    <w:rsid w:val="002E55DD"/>
    <w:rsid w:val="002E5892"/>
    <w:rsid w:val="002E5995"/>
    <w:rsid w:val="002E5E77"/>
    <w:rsid w:val="002E5F31"/>
    <w:rsid w:val="002E69E6"/>
    <w:rsid w:val="002E72B2"/>
    <w:rsid w:val="002E7B71"/>
    <w:rsid w:val="002E7EA2"/>
    <w:rsid w:val="002F005B"/>
    <w:rsid w:val="002F059B"/>
    <w:rsid w:val="002F0F75"/>
    <w:rsid w:val="002F0FA6"/>
    <w:rsid w:val="002F1008"/>
    <w:rsid w:val="002F108D"/>
    <w:rsid w:val="002F117A"/>
    <w:rsid w:val="002F127D"/>
    <w:rsid w:val="002F12EB"/>
    <w:rsid w:val="002F14F5"/>
    <w:rsid w:val="002F1BD1"/>
    <w:rsid w:val="002F2B7A"/>
    <w:rsid w:val="002F3105"/>
    <w:rsid w:val="002F33CD"/>
    <w:rsid w:val="002F37D0"/>
    <w:rsid w:val="002F45FE"/>
    <w:rsid w:val="002F4604"/>
    <w:rsid w:val="002F4675"/>
    <w:rsid w:val="002F485F"/>
    <w:rsid w:val="002F493D"/>
    <w:rsid w:val="002F49C5"/>
    <w:rsid w:val="002F54F6"/>
    <w:rsid w:val="002F554B"/>
    <w:rsid w:val="002F5836"/>
    <w:rsid w:val="002F5892"/>
    <w:rsid w:val="002F5EB8"/>
    <w:rsid w:val="002F6071"/>
    <w:rsid w:val="002F6F94"/>
    <w:rsid w:val="002F72FF"/>
    <w:rsid w:val="002F797B"/>
    <w:rsid w:val="002F79CC"/>
    <w:rsid w:val="002F7AE0"/>
    <w:rsid w:val="002F7BE7"/>
    <w:rsid w:val="002F7C59"/>
    <w:rsid w:val="002F7F8F"/>
    <w:rsid w:val="00300149"/>
    <w:rsid w:val="00300264"/>
    <w:rsid w:val="00300B45"/>
    <w:rsid w:val="00300D13"/>
    <w:rsid w:val="00300F4E"/>
    <w:rsid w:val="003014B1"/>
    <w:rsid w:val="003019D9"/>
    <w:rsid w:val="0030242B"/>
    <w:rsid w:val="00302595"/>
    <w:rsid w:val="00303041"/>
    <w:rsid w:val="003030F5"/>
    <w:rsid w:val="003036F3"/>
    <w:rsid w:val="00304222"/>
    <w:rsid w:val="0030463E"/>
    <w:rsid w:val="00304AB6"/>
    <w:rsid w:val="00304D17"/>
    <w:rsid w:val="00304ED6"/>
    <w:rsid w:val="00305EAA"/>
    <w:rsid w:val="003062A7"/>
    <w:rsid w:val="003064BF"/>
    <w:rsid w:val="00306521"/>
    <w:rsid w:val="00307223"/>
    <w:rsid w:val="00307B47"/>
    <w:rsid w:val="0031034B"/>
    <w:rsid w:val="003107C6"/>
    <w:rsid w:val="00310825"/>
    <w:rsid w:val="00310FAC"/>
    <w:rsid w:val="00311632"/>
    <w:rsid w:val="00311993"/>
    <w:rsid w:val="00311FAD"/>
    <w:rsid w:val="00312079"/>
    <w:rsid w:val="0031239E"/>
    <w:rsid w:val="003123BD"/>
    <w:rsid w:val="003126DC"/>
    <w:rsid w:val="00312AB8"/>
    <w:rsid w:val="00312B6E"/>
    <w:rsid w:val="00313197"/>
    <w:rsid w:val="0031398C"/>
    <w:rsid w:val="00313CE4"/>
    <w:rsid w:val="00313D9B"/>
    <w:rsid w:val="00313E76"/>
    <w:rsid w:val="00313F79"/>
    <w:rsid w:val="00314102"/>
    <w:rsid w:val="00314410"/>
    <w:rsid w:val="00315212"/>
    <w:rsid w:val="00315306"/>
    <w:rsid w:val="00315A06"/>
    <w:rsid w:val="00315CD2"/>
    <w:rsid w:val="0031615F"/>
    <w:rsid w:val="003163DC"/>
    <w:rsid w:val="00316600"/>
    <w:rsid w:val="003166C1"/>
    <w:rsid w:val="00316A8B"/>
    <w:rsid w:val="00316BF6"/>
    <w:rsid w:val="0031733B"/>
    <w:rsid w:val="00317756"/>
    <w:rsid w:val="00317E87"/>
    <w:rsid w:val="0032081F"/>
    <w:rsid w:val="00320952"/>
    <w:rsid w:val="00321122"/>
    <w:rsid w:val="00322121"/>
    <w:rsid w:val="0032244B"/>
    <w:rsid w:val="003225FB"/>
    <w:rsid w:val="00322604"/>
    <w:rsid w:val="00323503"/>
    <w:rsid w:val="003235CB"/>
    <w:rsid w:val="00323759"/>
    <w:rsid w:val="00323A7C"/>
    <w:rsid w:val="00323ABB"/>
    <w:rsid w:val="00323C32"/>
    <w:rsid w:val="00323FC7"/>
    <w:rsid w:val="003247BA"/>
    <w:rsid w:val="00324A1D"/>
    <w:rsid w:val="00325742"/>
    <w:rsid w:val="00325B63"/>
    <w:rsid w:val="00326196"/>
    <w:rsid w:val="00326240"/>
    <w:rsid w:val="003278A1"/>
    <w:rsid w:val="00327909"/>
    <w:rsid w:val="0032791F"/>
    <w:rsid w:val="00327AB3"/>
    <w:rsid w:val="00327D3F"/>
    <w:rsid w:val="00327DA2"/>
    <w:rsid w:val="0033008F"/>
    <w:rsid w:val="003305B0"/>
    <w:rsid w:val="00330D77"/>
    <w:rsid w:val="00331120"/>
    <w:rsid w:val="003318D5"/>
    <w:rsid w:val="00331E0F"/>
    <w:rsid w:val="00331E9D"/>
    <w:rsid w:val="00331ECF"/>
    <w:rsid w:val="003327DF"/>
    <w:rsid w:val="00332FCC"/>
    <w:rsid w:val="0033364A"/>
    <w:rsid w:val="0033371C"/>
    <w:rsid w:val="00333A2F"/>
    <w:rsid w:val="00333D6D"/>
    <w:rsid w:val="00333E8D"/>
    <w:rsid w:val="003349B3"/>
    <w:rsid w:val="00334CA7"/>
    <w:rsid w:val="00334E59"/>
    <w:rsid w:val="0033592F"/>
    <w:rsid w:val="003369FF"/>
    <w:rsid w:val="00336AEA"/>
    <w:rsid w:val="00336B35"/>
    <w:rsid w:val="003373AC"/>
    <w:rsid w:val="0033758C"/>
    <w:rsid w:val="003375D7"/>
    <w:rsid w:val="0033764B"/>
    <w:rsid w:val="00340778"/>
    <w:rsid w:val="00340B2C"/>
    <w:rsid w:val="00340B44"/>
    <w:rsid w:val="0034134C"/>
    <w:rsid w:val="003414CC"/>
    <w:rsid w:val="0034170C"/>
    <w:rsid w:val="00341A2A"/>
    <w:rsid w:val="00341CED"/>
    <w:rsid w:val="00342759"/>
    <w:rsid w:val="00342DC1"/>
    <w:rsid w:val="00343BDF"/>
    <w:rsid w:val="00343E87"/>
    <w:rsid w:val="00343F41"/>
    <w:rsid w:val="0034459F"/>
    <w:rsid w:val="00344676"/>
    <w:rsid w:val="00344CAF"/>
    <w:rsid w:val="00344FD2"/>
    <w:rsid w:val="00345300"/>
    <w:rsid w:val="00345424"/>
    <w:rsid w:val="00345517"/>
    <w:rsid w:val="003459F3"/>
    <w:rsid w:val="00345D89"/>
    <w:rsid w:val="00345EA7"/>
    <w:rsid w:val="0034625F"/>
    <w:rsid w:val="0034652C"/>
    <w:rsid w:val="00346679"/>
    <w:rsid w:val="00347598"/>
    <w:rsid w:val="0034765D"/>
    <w:rsid w:val="00347D0E"/>
    <w:rsid w:val="00347F10"/>
    <w:rsid w:val="0035067B"/>
    <w:rsid w:val="00350D8B"/>
    <w:rsid w:val="00350E0D"/>
    <w:rsid w:val="00351B01"/>
    <w:rsid w:val="00351FB4"/>
    <w:rsid w:val="003528EA"/>
    <w:rsid w:val="00352B65"/>
    <w:rsid w:val="00352D4B"/>
    <w:rsid w:val="00353025"/>
    <w:rsid w:val="003530E5"/>
    <w:rsid w:val="00353220"/>
    <w:rsid w:val="00353878"/>
    <w:rsid w:val="00353A00"/>
    <w:rsid w:val="00354A1F"/>
    <w:rsid w:val="00354DAA"/>
    <w:rsid w:val="00355567"/>
    <w:rsid w:val="00355B11"/>
    <w:rsid w:val="00355B28"/>
    <w:rsid w:val="00356117"/>
    <w:rsid w:val="0035640C"/>
    <w:rsid w:val="00356F31"/>
    <w:rsid w:val="00357DFD"/>
    <w:rsid w:val="00357E85"/>
    <w:rsid w:val="00360494"/>
    <w:rsid w:val="0036063B"/>
    <w:rsid w:val="00362527"/>
    <w:rsid w:val="003626C0"/>
    <w:rsid w:val="00362C5E"/>
    <w:rsid w:val="00362E6F"/>
    <w:rsid w:val="00362FA9"/>
    <w:rsid w:val="00363417"/>
    <w:rsid w:val="003635F2"/>
    <w:rsid w:val="003639E5"/>
    <w:rsid w:val="00363D7A"/>
    <w:rsid w:val="00363F6E"/>
    <w:rsid w:val="0036404A"/>
    <w:rsid w:val="003640A7"/>
    <w:rsid w:val="0036449F"/>
    <w:rsid w:val="00364EA5"/>
    <w:rsid w:val="0036508D"/>
    <w:rsid w:val="003650E8"/>
    <w:rsid w:val="003651C8"/>
    <w:rsid w:val="003652EA"/>
    <w:rsid w:val="003657CA"/>
    <w:rsid w:val="00365A25"/>
    <w:rsid w:val="00365B48"/>
    <w:rsid w:val="00366214"/>
    <w:rsid w:val="00366CAC"/>
    <w:rsid w:val="00367440"/>
    <w:rsid w:val="00367894"/>
    <w:rsid w:val="003679BA"/>
    <w:rsid w:val="00367F25"/>
    <w:rsid w:val="003700A3"/>
    <w:rsid w:val="00370217"/>
    <w:rsid w:val="00370B40"/>
    <w:rsid w:val="003721FB"/>
    <w:rsid w:val="0037240A"/>
    <w:rsid w:val="00372AE4"/>
    <w:rsid w:val="00372C5B"/>
    <w:rsid w:val="003730D6"/>
    <w:rsid w:val="00373411"/>
    <w:rsid w:val="00373D40"/>
    <w:rsid w:val="00374251"/>
    <w:rsid w:val="003744B3"/>
    <w:rsid w:val="003745F4"/>
    <w:rsid w:val="00374910"/>
    <w:rsid w:val="00374D89"/>
    <w:rsid w:val="003751B4"/>
    <w:rsid w:val="00375509"/>
    <w:rsid w:val="00375848"/>
    <w:rsid w:val="00375D29"/>
    <w:rsid w:val="00375D91"/>
    <w:rsid w:val="00376E2B"/>
    <w:rsid w:val="0037769E"/>
    <w:rsid w:val="00377BE4"/>
    <w:rsid w:val="00380094"/>
    <w:rsid w:val="003800F0"/>
    <w:rsid w:val="003821A3"/>
    <w:rsid w:val="00382306"/>
    <w:rsid w:val="003827EC"/>
    <w:rsid w:val="0038292B"/>
    <w:rsid w:val="00382B86"/>
    <w:rsid w:val="00383071"/>
    <w:rsid w:val="003832EF"/>
    <w:rsid w:val="003836DD"/>
    <w:rsid w:val="003837F4"/>
    <w:rsid w:val="003840D8"/>
    <w:rsid w:val="003845A4"/>
    <w:rsid w:val="003846D9"/>
    <w:rsid w:val="00384F9D"/>
    <w:rsid w:val="00384FED"/>
    <w:rsid w:val="0038564A"/>
    <w:rsid w:val="0038576C"/>
    <w:rsid w:val="00385800"/>
    <w:rsid w:val="00385B99"/>
    <w:rsid w:val="00385F39"/>
    <w:rsid w:val="0038680B"/>
    <w:rsid w:val="0038743E"/>
    <w:rsid w:val="003879DF"/>
    <w:rsid w:val="00387DFA"/>
    <w:rsid w:val="00390081"/>
    <w:rsid w:val="0039083F"/>
    <w:rsid w:val="00390A30"/>
    <w:rsid w:val="00390D65"/>
    <w:rsid w:val="00390EC0"/>
    <w:rsid w:val="00391374"/>
    <w:rsid w:val="00391FAB"/>
    <w:rsid w:val="00392050"/>
    <w:rsid w:val="00392539"/>
    <w:rsid w:val="00392677"/>
    <w:rsid w:val="00392C99"/>
    <w:rsid w:val="0039365B"/>
    <w:rsid w:val="003936EA"/>
    <w:rsid w:val="00393987"/>
    <w:rsid w:val="003940F7"/>
    <w:rsid w:val="00394981"/>
    <w:rsid w:val="00394986"/>
    <w:rsid w:val="003953A8"/>
    <w:rsid w:val="00395E7E"/>
    <w:rsid w:val="003965D8"/>
    <w:rsid w:val="00396766"/>
    <w:rsid w:val="003968D5"/>
    <w:rsid w:val="00396D36"/>
    <w:rsid w:val="00396D6E"/>
    <w:rsid w:val="00396E80"/>
    <w:rsid w:val="00396FF0"/>
    <w:rsid w:val="0039746F"/>
    <w:rsid w:val="0039788E"/>
    <w:rsid w:val="00397F3C"/>
    <w:rsid w:val="003A0529"/>
    <w:rsid w:val="003A0962"/>
    <w:rsid w:val="003A0BA4"/>
    <w:rsid w:val="003A195A"/>
    <w:rsid w:val="003A1E28"/>
    <w:rsid w:val="003A2385"/>
    <w:rsid w:val="003A3551"/>
    <w:rsid w:val="003A37E9"/>
    <w:rsid w:val="003A38F0"/>
    <w:rsid w:val="003A42F3"/>
    <w:rsid w:val="003A443D"/>
    <w:rsid w:val="003A4932"/>
    <w:rsid w:val="003A556D"/>
    <w:rsid w:val="003A5B55"/>
    <w:rsid w:val="003A5C97"/>
    <w:rsid w:val="003A6627"/>
    <w:rsid w:val="003A6A5A"/>
    <w:rsid w:val="003A7025"/>
    <w:rsid w:val="003A72E9"/>
    <w:rsid w:val="003A7807"/>
    <w:rsid w:val="003B0173"/>
    <w:rsid w:val="003B0398"/>
    <w:rsid w:val="003B0DA5"/>
    <w:rsid w:val="003B0E74"/>
    <w:rsid w:val="003B25B0"/>
    <w:rsid w:val="003B36B9"/>
    <w:rsid w:val="003B3EB8"/>
    <w:rsid w:val="003B4A4A"/>
    <w:rsid w:val="003B4E74"/>
    <w:rsid w:val="003B53A5"/>
    <w:rsid w:val="003B59EE"/>
    <w:rsid w:val="003B5B72"/>
    <w:rsid w:val="003B5C06"/>
    <w:rsid w:val="003B5D98"/>
    <w:rsid w:val="003B5DD0"/>
    <w:rsid w:val="003B60F7"/>
    <w:rsid w:val="003B658D"/>
    <w:rsid w:val="003B68A6"/>
    <w:rsid w:val="003B6D71"/>
    <w:rsid w:val="003B6EF2"/>
    <w:rsid w:val="003B7E7A"/>
    <w:rsid w:val="003C0463"/>
    <w:rsid w:val="003C0599"/>
    <w:rsid w:val="003C05F5"/>
    <w:rsid w:val="003C0905"/>
    <w:rsid w:val="003C0F5F"/>
    <w:rsid w:val="003C1CBE"/>
    <w:rsid w:val="003C1EAF"/>
    <w:rsid w:val="003C241F"/>
    <w:rsid w:val="003C2615"/>
    <w:rsid w:val="003C3460"/>
    <w:rsid w:val="003C346B"/>
    <w:rsid w:val="003C3F12"/>
    <w:rsid w:val="003C40EE"/>
    <w:rsid w:val="003C4206"/>
    <w:rsid w:val="003C42F7"/>
    <w:rsid w:val="003C479F"/>
    <w:rsid w:val="003C4884"/>
    <w:rsid w:val="003C4DC7"/>
    <w:rsid w:val="003C5092"/>
    <w:rsid w:val="003C5A73"/>
    <w:rsid w:val="003C5DEF"/>
    <w:rsid w:val="003C641E"/>
    <w:rsid w:val="003C6C81"/>
    <w:rsid w:val="003C6F33"/>
    <w:rsid w:val="003D047F"/>
    <w:rsid w:val="003D0748"/>
    <w:rsid w:val="003D0FBC"/>
    <w:rsid w:val="003D1145"/>
    <w:rsid w:val="003D2333"/>
    <w:rsid w:val="003D272F"/>
    <w:rsid w:val="003D2912"/>
    <w:rsid w:val="003D2FBA"/>
    <w:rsid w:val="003D3161"/>
    <w:rsid w:val="003D3227"/>
    <w:rsid w:val="003D3600"/>
    <w:rsid w:val="003D36B8"/>
    <w:rsid w:val="003D36EE"/>
    <w:rsid w:val="003D3A55"/>
    <w:rsid w:val="003D408F"/>
    <w:rsid w:val="003D4347"/>
    <w:rsid w:val="003D5393"/>
    <w:rsid w:val="003D5413"/>
    <w:rsid w:val="003D54E0"/>
    <w:rsid w:val="003D56EA"/>
    <w:rsid w:val="003D5996"/>
    <w:rsid w:val="003D5D5D"/>
    <w:rsid w:val="003D6163"/>
    <w:rsid w:val="003D6407"/>
    <w:rsid w:val="003D647A"/>
    <w:rsid w:val="003D6A90"/>
    <w:rsid w:val="003D6B1D"/>
    <w:rsid w:val="003D6E30"/>
    <w:rsid w:val="003D70B5"/>
    <w:rsid w:val="003D7B41"/>
    <w:rsid w:val="003D7B45"/>
    <w:rsid w:val="003E03E3"/>
    <w:rsid w:val="003E05FE"/>
    <w:rsid w:val="003E0CD7"/>
    <w:rsid w:val="003E0DF7"/>
    <w:rsid w:val="003E14F0"/>
    <w:rsid w:val="003E1E5D"/>
    <w:rsid w:val="003E21E4"/>
    <w:rsid w:val="003E2569"/>
    <w:rsid w:val="003E2784"/>
    <w:rsid w:val="003E2850"/>
    <w:rsid w:val="003E2D79"/>
    <w:rsid w:val="003E32D8"/>
    <w:rsid w:val="003E3A04"/>
    <w:rsid w:val="003E3B65"/>
    <w:rsid w:val="003E3E19"/>
    <w:rsid w:val="003E3E1E"/>
    <w:rsid w:val="003E427F"/>
    <w:rsid w:val="003E47DE"/>
    <w:rsid w:val="003E4CFE"/>
    <w:rsid w:val="003E4F42"/>
    <w:rsid w:val="003E5075"/>
    <w:rsid w:val="003E5233"/>
    <w:rsid w:val="003E57D6"/>
    <w:rsid w:val="003E5F95"/>
    <w:rsid w:val="003E61FD"/>
    <w:rsid w:val="003E67BC"/>
    <w:rsid w:val="003E68A8"/>
    <w:rsid w:val="003E6F0B"/>
    <w:rsid w:val="003E7503"/>
    <w:rsid w:val="003E7F82"/>
    <w:rsid w:val="003F0031"/>
    <w:rsid w:val="003F00D4"/>
    <w:rsid w:val="003F00DF"/>
    <w:rsid w:val="003F018C"/>
    <w:rsid w:val="003F09CB"/>
    <w:rsid w:val="003F1045"/>
    <w:rsid w:val="003F10D3"/>
    <w:rsid w:val="003F1150"/>
    <w:rsid w:val="003F140D"/>
    <w:rsid w:val="003F143C"/>
    <w:rsid w:val="003F1548"/>
    <w:rsid w:val="003F176D"/>
    <w:rsid w:val="003F20AE"/>
    <w:rsid w:val="003F228F"/>
    <w:rsid w:val="003F274F"/>
    <w:rsid w:val="003F2B3D"/>
    <w:rsid w:val="003F3105"/>
    <w:rsid w:val="003F319D"/>
    <w:rsid w:val="003F3303"/>
    <w:rsid w:val="003F3328"/>
    <w:rsid w:val="003F33F8"/>
    <w:rsid w:val="003F3700"/>
    <w:rsid w:val="003F3C34"/>
    <w:rsid w:val="003F3ED7"/>
    <w:rsid w:val="003F4108"/>
    <w:rsid w:val="003F4172"/>
    <w:rsid w:val="003F4222"/>
    <w:rsid w:val="003F4249"/>
    <w:rsid w:val="003F4251"/>
    <w:rsid w:val="003F461D"/>
    <w:rsid w:val="003F4940"/>
    <w:rsid w:val="003F4C90"/>
    <w:rsid w:val="003F5071"/>
    <w:rsid w:val="003F5086"/>
    <w:rsid w:val="003F550A"/>
    <w:rsid w:val="003F694C"/>
    <w:rsid w:val="003F6ECC"/>
    <w:rsid w:val="003F7EFA"/>
    <w:rsid w:val="00400C90"/>
    <w:rsid w:val="00402D65"/>
    <w:rsid w:val="00402E02"/>
    <w:rsid w:val="004030FE"/>
    <w:rsid w:val="00403364"/>
    <w:rsid w:val="00403780"/>
    <w:rsid w:val="00403941"/>
    <w:rsid w:val="00403971"/>
    <w:rsid w:val="00404027"/>
    <w:rsid w:val="0040415C"/>
    <w:rsid w:val="0040422B"/>
    <w:rsid w:val="00404737"/>
    <w:rsid w:val="00404D74"/>
    <w:rsid w:val="0040518A"/>
    <w:rsid w:val="004056F3"/>
    <w:rsid w:val="00405F4B"/>
    <w:rsid w:val="0040616D"/>
    <w:rsid w:val="00406EF0"/>
    <w:rsid w:val="00407760"/>
    <w:rsid w:val="00410CB2"/>
    <w:rsid w:val="00411285"/>
    <w:rsid w:val="00411BB1"/>
    <w:rsid w:val="00411C96"/>
    <w:rsid w:val="00411CA9"/>
    <w:rsid w:val="00411F19"/>
    <w:rsid w:val="004126A1"/>
    <w:rsid w:val="00412A32"/>
    <w:rsid w:val="00414210"/>
    <w:rsid w:val="0041450E"/>
    <w:rsid w:val="00414514"/>
    <w:rsid w:val="004148E1"/>
    <w:rsid w:val="00414FE4"/>
    <w:rsid w:val="0041506A"/>
    <w:rsid w:val="00415370"/>
    <w:rsid w:val="004155B8"/>
    <w:rsid w:val="00415762"/>
    <w:rsid w:val="00415781"/>
    <w:rsid w:val="00415800"/>
    <w:rsid w:val="00415A0B"/>
    <w:rsid w:val="00415C60"/>
    <w:rsid w:val="00415CE0"/>
    <w:rsid w:val="00415F80"/>
    <w:rsid w:val="00416BB6"/>
    <w:rsid w:val="00416F40"/>
    <w:rsid w:val="00417769"/>
    <w:rsid w:val="00417A3D"/>
    <w:rsid w:val="004202A7"/>
    <w:rsid w:val="004207F5"/>
    <w:rsid w:val="00420819"/>
    <w:rsid w:val="00420A85"/>
    <w:rsid w:val="00420C0A"/>
    <w:rsid w:val="004215BB"/>
    <w:rsid w:val="0042173F"/>
    <w:rsid w:val="0042192C"/>
    <w:rsid w:val="00421994"/>
    <w:rsid w:val="00421A87"/>
    <w:rsid w:val="00421EF2"/>
    <w:rsid w:val="00421F34"/>
    <w:rsid w:val="0042241E"/>
    <w:rsid w:val="00422668"/>
    <w:rsid w:val="00422EBD"/>
    <w:rsid w:val="00422EC3"/>
    <w:rsid w:val="004230B6"/>
    <w:rsid w:val="00423339"/>
    <w:rsid w:val="004235A9"/>
    <w:rsid w:val="004235EE"/>
    <w:rsid w:val="00423623"/>
    <w:rsid w:val="00423782"/>
    <w:rsid w:val="00423AE9"/>
    <w:rsid w:val="00423F33"/>
    <w:rsid w:val="00424B17"/>
    <w:rsid w:val="00424CC9"/>
    <w:rsid w:val="00424D00"/>
    <w:rsid w:val="0042548C"/>
    <w:rsid w:val="004255FC"/>
    <w:rsid w:val="004259E2"/>
    <w:rsid w:val="00426176"/>
    <w:rsid w:val="004266B1"/>
    <w:rsid w:val="00426865"/>
    <w:rsid w:val="00426892"/>
    <w:rsid w:val="00426979"/>
    <w:rsid w:val="00426C49"/>
    <w:rsid w:val="00426CA0"/>
    <w:rsid w:val="004271DD"/>
    <w:rsid w:val="00427460"/>
    <w:rsid w:val="0042747D"/>
    <w:rsid w:val="004277E6"/>
    <w:rsid w:val="00427B6B"/>
    <w:rsid w:val="00430622"/>
    <w:rsid w:val="004306B1"/>
    <w:rsid w:val="004310B0"/>
    <w:rsid w:val="004311CE"/>
    <w:rsid w:val="0043166B"/>
    <w:rsid w:val="004316D2"/>
    <w:rsid w:val="00431AC1"/>
    <w:rsid w:val="00431C7A"/>
    <w:rsid w:val="004322D7"/>
    <w:rsid w:val="00432468"/>
    <w:rsid w:val="00432989"/>
    <w:rsid w:val="004329C9"/>
    <w:rsid w:val="00432C23"/>
    <w:rsid w:val="00432CD5"/>
    <w:rsid w:val="00432D2B"/>
    <w:rsid w:val="004335DE"/>
    <w:rsid w:val="004338F0"/>
    <w:rsid w:val="00433C2C"/>
    <w:rsid w:val="00434450"/>
    <w:rsid w:val="0043499F"/>
    <w:rsid w:val="00434AAB"/>
    <w:rsid w:val="00434F05"/>
    <w:rsid w:val="00435893"/>
    <w:rsid w:val="00435997"/>
    <w:rsid w:val="00435D95"/>
    <w:rsid w:val="00435F06"/>
    <w:rsid w:val="004363FA"/>
    <w:rsid w:val="004364CC"/>
    <w:rsid w:val="00436B89"/>
    <w:rsid w:val="00437003"/>
    <w:rsid w:val="004376C0"/>
    <w:rsid w:val="00437875"/>
    <w:rsid w:val="004405B0"/>
    <w:rsid w:val="00440CB7"/>
    <w:rsid w:val="00440CCD"/>
    <w:rsid w:val="00440D3E"/>
    <w:rsid w:val="00440FFC"/>
    <w:rsid w:val="00441440"/>
    <w:rsid w:val="0044169D"/>
    <w:rsid w:val="004417BD"/>
    <w:rsid w:val="00441A35"/>
    <w:rsid w:val="00441FF9"/>
    <w:rsid w:val="00442A49"/>
    <w:rsid w:val="00442B54"/>
    <w:rsid w:val="00442D02"/>
    <w:rsid w:val="004431D7"/>
    <w:rsid w:val="0044363A"/>
    <w:rsid w:val="004436E9"/>
    <w:rsid w:val="004437B2"/>
    <w:rsid w:val="0044382F"/>
    <w:rsid w:val="00443D71"/>
    <w:rsid w:val="00443DE8"/>
    <w:rsid w:val="0044408A"/>
    <w:rsid w:val="004441C8"/>
    <w:rsid w:val="004442EB"/>
    <w:rsid w:val="004443A5"/>
    <w:rsid w:val="004448B1"/>
    <w:rsid w:val="00444C64"/>
    <w:rsid w:val="0044507C"/>
    <w:rsid w:val="0044541F"/>
    <w:rsid w:val="00445A50"/>
    <w:rsid w:val="00445B86"/>
    <w:rsid w:val="00445DF5"/>
    <w:rsid w:val="00445E95"/>
    <w:rsid w:val="00445EE3"/>
    <w:rsid w:val="004510A4"/>
    <w:rsid w:val="0045135E"/>
    <w:rsid w:val="00451544"/>
    <w:rsid w:val="004515FF"/>
    <w:rsid w:val="004525DD"/>
    <w:rsid w:val="004535B0"/>
    <w:rsid w:val="00453A9A"/>
    <w:rsid w:val="00453E31"/>
    <w:rsid w:val="00454597"/>
    <w:rsid w:val="0045467E"/>
    <w:rsid w:val="004548E6"/>
    <w:rsid w:val="0045493D"/>
    <w:rsid w:val="004552F4"/>
    <w:rsid w:val="0045541F"/>
    <w:rsid w:val="0045543A"/>
    <w:rsid w:val="004556D9"/>
    <w:rsid w:val="00455D22"/>
    <w:rsid w:val="004561F9"/>
    <w:rsid w:val="0045637C"/>
    <w:rsid w:val="0045669F"/>
    <w:rsid w:val="0045695D"/>
    <w:rsid w:val="00460190"/>
    <w:rsid w:val="004610C6"/>
    <w:rsid w:val="00461BF2"/>
    <w:rsid w:val="004626F8"/>
    <w:rsid w:val="00462CAE"/>
    <w:rsid w:val="00462D35"/>
    <w:rsid w:val="00463416"/>
    <w:rsid w:val="00463540"/>
    <w:rsid w:val="00463869"/>
    <w:rsid w:val="00463A89"/>
    <w:rsid w:val="00463CF9"/>
    <w:rsid w:val="00463E79"/>
    <w:rsid w:val="00463EAF"/>
    <w:rsid w:val="00464A9C"/>
    <w:rsid w:val="00464BE1"/>
    <w:rsid w:val="00464E8F"/>
    <w:rsid w:val="00464F23"/>
    <w:rsid w:val="0046569F"/>
    <w:rsid w:val="004657B3"/>
    <w:rsid w:val="00465E1C"/>
    <w:rsid w:val="00466341"/>
    <w:rsid w:val="00466395"/>
    <w:rsid w:val="004667A9"/>
    <w:rsid w:val="00466C93"/>
    <w:rsid w:val="004678C8"/>
    <w:rsid w:val="00467BC2"/>
    <w:rsid w:val="00467C44"/>
    <w:rsid w:val="00467CFB"/>
    <w:rsid w:val="00470418"/>
    <w:rsid w:val="00470ED0"/>
    <w:rsid w:val="00470F62"/>
    <w:rsid w:val="00471065"/>
    <w:rsid w:val="0047196C"/>
    <w:rsid w:val="00471E81"/>
    <w:rsid w:val="004724AF"/>
    <w:rsid w:val="00472620"/>
    <w:rsid w:val="0047272A"/>
    <w:rsid w:val="004727C4"/>
    <w:rsid w:val="004727E8"/>
    <w:rsid w:val="00472CD7"/>
    <w:rsid w:val="0047322A"/>
    <w:rsid w:val="00473379"/>
    <w:rsid w:val="0047352D"/>
    <w:rsid w:val="004743CB"/>
    <w:rsid w:val="00474B50"/>
    <w:rsid w:val="00475898"/>
    <w:rsid w:val="00475D4E"/>
    <w:rsid w:val="00475DCF"/>
    <w:rsid w:val="0047643C"/>
    <w:rsid w:val="0047652F"/>
    <w:rsid w:val="00476821"/>
    <w:rsid w:val="00476A79"/>
    <w:rsid w:val="00476FE9"/>
    <w:rsid w:val="0047742A"/>
    <w:rsid w:val="00477597"/>
    <w:rsid w:val="00477E4A"/>
    <w:rsid w:val="00477EE3"/>
    <w:rsid w:val="00477FAF"/>
    <w:rsid w:val="0048027B"/>
    <w:rsid w:val="0048050F"/>
    <w:rsid w:val="004809AD"/>
    <w:rsid w:val="00481213"/>
    <w:rsid w:val="00481272"/>
    <w:rsid w:val="004817B5"/>
    <w:rsid w:val="00481E94"/>
    <w:rsid w:val="00482199"/>
    <w:rsid w:val="0048231B"/>
    <w:rsid w:val="00482478"/>
    <w:rsid w:val="00482736"/>
    <w:rsid w:val="00482CCF"/>
    <w:rsid w:val="00482DF5"/>
    <w:rsid w:val="00483131"/>
    <w:rsid w:val="00483170"/>
    <w:rsid w:val="00483508"/>
    <w:rsid w:val="0048383D"/>
    <w:rsid w:val="004844AC"/>
    <w:rsid w:val="00484509"/>
    <w:rsid w:val="004851E8"/>
    <w:rsid w:val="00485580"/>
    <w:rsid w:val="00485811"/>
    <w:rsid w:val="00485DD7"/>
    <w:rsid w:val="00485E3C"/>
    <w:rsid w:val="004869F8"/>
    <w:rsid w:val="00486A68"/>
    <w:rsid w:val="00486B09"/>
    <w:rsid w:val="00486C0C"/>
    <w:rsid w:val="00487644"/>
    <w:rsid w:val="00487CFA"/>
    <w:rsid w:val="004901CA"/>
    <w:rsid w:val="00490A10"/>
    <w:rsid w:val="00490A62"/>
    <w:rsid w:val="00490E9E"/>
    <w:rsid w:val="00491A1C"/>
    <w:rsid w:val="00491F9F"/>
    <w:rsid w:val="004920D9"/>
    <w:rsid w:val="0049242A"/>
    <w:rsid w:val="00492735"/>
    <w:rsid w:val="00492B25"/>
    <w:rsid w:val="00492EC7"/>
    <w:rsid w:val="004931EB"/>
    <w:rsid w:val="004934C8"/>
    <w:rsid w:val="00493C96"/>
    <w:rsid w:val="004945D4"/>
    <w:rsid w:val="004947A1"/>
    <w:rsid w:val="00494932"/>
    <w:rsid w:val="00494D50"/>
    <w:rsid w:val="00494FC9"/>
    <w:rsid w:val="00494FF0"/>
    <w:rsid w:val="004950F8"/>
    <w:rsid w:val="00495211"/>
    <w:rsid w:val="004956F2"/>
    <w:rsid w:val="00495B23"/>
    <w:rsid w:val="00495E19"/>
    <w:rsid w:val="00496087"/>
    <w:rsid w:val="00496AD4"/>
    <w:rsid w:val="00496CBE"/>
    <w:rsid w:val="00497512"/>
    <w:rsid w:val="00497818"/>
    <w:rsid w:val="00497D2A"/>
    <w:rsid w:val="004A0324"/>
    <w:rsid w:val="004A034D"/>
    <w:rsid w:val="004A065C"/>
    <w:rsid w:val="004A06B2"/>
    <w:rsid w:val="004A0BDB"/>
    <w:rsid w:val="004A0C25"/>
    <w:rsid w:val="004A0D4D"/>
    <w:rsid w:val="004A0D79"/>
    <w:rsid w:val="004A0E76"/>
    <w:rsid w:val="004A1222"/>
    <w:rsid w:val="004A1EA2"/>
    <w:rsid w:val="004A201B"/>
    <w:rsid w:val="004A2604"/>
    <w:rsid w:val="004A27B0"/>
    <w:rsid w:val="004A2B6F"/>
    <w:rsid w:val="004A2EB2"/>
    <w:rsid w:val="004A3807"/>
    <w:rsid w:val="004A3A38"/>
    <w:rsid w:val="004A3BB0"/>
    <w:rsid w:val="004A3BB4"/>
    <w:rsid w:val="004A4377"/>
    <w:rsid w:val="004A4D2B"/>
    <w:rsid w:val="004A525D"/>
    <w:rsid w:val="004A52C4"/>
    <w:rsid w:val="004A53C4"/>
    <w:rsid w:val="004A57EB"/>
    <w:rsid w:val="004A5824"/>
    <w:rsid w:val="004A6211"/>
    <w:rsid w:val="004B0095"/>
    <w:rsid w:val="004B02EA"/>
    <w:rsid w:val="004B181D"/>
    <w:rsid w:val="004B1CAB"/>
    <w:rsid w:val="004B204F"/>
    <w:rsid w:val="004B274E"/>
    <w:rsid w:val="004B36ED"/>
    <w:rsid w:val="004B398F"/>
    <w:rsid w:val="004B3D44"/>
    <w:rsid w:val="004B40A0"/>
    <w:rsid w:val="004B41B5"/>
    <w:rsid w:val="004B4C04"/>
    <w:rsid w:val="004B5171"/>
    <w:rsid w:val="004B57A6"/>
    <w:rsid w:val="004B5895"/>
    <w:rsid w:val="004B5F8F"/>
    <w:rsid w:val="004B612E"/>
    <w:rsid w:val="004B6202"/>
    <w:rsid w:val="004B623B"/>
    <w:rsid w:val="004B63F2"/>
    <w:rsid w:val="004B6D84"/>
    <w:rsid w:val="004B6E31"/>
    <w:rsid w:val="004B7226"/>
    <w:rsid w:val="004C0625"/>
    <w:rsid w:val="004C1315"/>
    <w:rsid w:val="004C1931"/>
    <w:rsid w:val="004C1BAB"/>
    <w:rsid w:val="004C1E13"/>
    <w:rsid w:val="004C1EA7"/>
    <w:rsid w:val="004C2101"/>
    <w:rsid w:val="004C21B7"/>
    <w:rsid w:val="004C231F"/>
    <w:rsid w:val="004C2A81"/>
    <w:rsid w:val="004C31EF"/>
    <w:rsid w:val="004C3BF9"/>
    <w:rsid w:val="004C3E02"/>
    <w:rsid w:val="004C3EE4"/>
    <w:rsid w:val="004C4010"/>
    <w:rsid w:val="004C422D"/>
    <w:rsid w:val="004C4CEB"/>
    <w:rsid w:val="004C4D63"/>
    <w:rsid w:val="004C56BE"/>
    <w:rsid w:val="004C5CF1"/>
    <w:rsid w:val="004C667A"/>
    <w:rsid w:val="004C66A9"/>
    <w:rsid w:val="004C6D8E"/>
    <w:rsid w:val="004C7634"/>
    <w:rsid w:val="004C76FA"/>
    <w:rsid w:val="004C7A27"/>
    <w:rsid w:val="004C7CAC"/>
    <w:rsid w:val="004C7CE4"/>
    <w:rsid w:val="004D000F"/>
    <w:rsid w:val="004D0538"/>
    <w:rsid w:val="004D0551"/>
    <w:rsid w:val="004D07A8"/>
    <w:rsid w:val="004D0D3E"/>
    <w:rsid w:val="004D1BE7"/>
    <w:rsid w:val="004D2379"/>
    <w:rsid w:val="004D28EF"/>
    <w:rsid w:val="004D2A4E"/>
    <w:rsid w:val="004D3733"/>
    <w:rsid w:val="004D3A58"/>
    <w:rsid w:val="004D414F"/>
    <w:rsid w:val="004D466E"/>
    <w:rsid w:val="004D47CE"/>
    <w:rsid w:val="004D49C4"/>
    <w:rsid w:val="004D4AE0"/>
    <w:rsid w:val="004D4CF1"/>
    <w:rsid w:val="004D5A88"/>
    <w:rsid w:val="004D6019"/>
    <w:rsid w:val="004D60A0"/>
    <w:rsid w:val="004D69A2"/>
    <w:rsid w:val="004D6E54"/>
    <w:rsid w:val="004D6FAD"/>
    <w:rsid w:val="004D7BF4"/>
    <w:rsid w:val="004D7C41"/>
    <w:rsid w:val="004D7C92"/>
    <w:rsid w:val="004E00B8"/>
    <w:rsid w:val="004E0471"/>
    <w:rsid w:val="004E077B"/>
    <w:rsid w:val="004E0A57"/>
    <w:rsid w:val="004E0BD9"/>
    <w:rsid w:val="004E0E95"/>
    <w:rsid w:val="004E1156"/>
    <w:rsid w:val="004E1509"/>
    <w:rsid w:val="004E18E0"/>
    <w:rsid w:val="004E19BA"/>
    <w:rsid w:val="004E1AF8"/>
    <w:rsid w:val="004E23D0"/>
    <w:rsid w:val="004E242C"/>
    <w:rsid w:val="004E25FB"/>
    <w:rsid w:val="004E3061"/>
    <w:rsid w:val="004E3253"/>
    <w:rsid w:val="004E326C"/>
    <w:rsid w:val="004E35BF"/>
    <w:rsid w:val="004E38B2"/>
    <w:rsid w:val="004E3936"/>
    <w:rsid w:val="004E45B6"/>
    <w:rsid w:val="004E4AD8"/>
    <w:rsid w:val="004E4E4F"/>
    <w:rsid w:val="004E5760"/>
    <w:rsid w:val="004E57F7"/>
    <w:rsid w:val="004E58E4"/>
    <w:rsid w:val="004E5926"/>
    <w:rsid w:val="004E5D9C"/>
    <w:rsid w:val="004E6B8E"/>
    <w:rsid w:val="004E6E2E"/>
    <w:rsid w:val="004E7388"/>
    <w:rsid w:val="004E7E87"/>
    <w:rsid w:val="004F031D"/>
    <w:rsid w:val="004F0543"/>
    <w:rsid w:val="004F0DDD"/>
    <w:rsid w:val="004F104E"/>
    <w:rsid w:val="004F114F"/>
    <w:rsid w:val="004F1E2E"/>
    <w:rsid w:val="004F1F62"/>
    <w:rsid w:val="004F243E"/>
    <w:rsid w:val="004F25B7"/>
    <w:rsid w:val="004F2F11"/>
    <w:rsid w:val="004F4435"/>
    <w:rsid w:val="004F48D9"/>
    <w:rsid w:val="004F4ACD"/>
    <w:rsid w:val="004F578B"/>
    <w:rsid w:val="004F63F8"/>
    <w:rsid w:val="004F713A"/>
    <w:rsid w:val="004F72AD"/>
    <w:rsid w:val="004F7408"/>
    <w:rsid w:val="004F7BA5"/>
    <w:rsid w:val="00500035"/>
    <w:rsid w:val="0050023A"/>
    <w:rsid w:val="0050088F"/>
    <w:rsid w:val="00500BDE"/>
    <w:rsid w:val="00500E97"/>
    <w:rsid w:val="00500F7A"/>
    <w:rsid w:val="005011A4"/>
    <w:rsid w:val="005012AD"/>
    <w:rsid w:val="00501F97"/>
    <w:rsid w:val="005020EF"/>
    <w:rsid w:val="00502122"/>
    <w:rsid w:val="0050241C"/>
    <w:rsid w:val="005027BB"/>
    <w:rsid w:val="0050319C"/>
    <w:rsid w:val="005037E1"/>
    <w:rsid w:val="00503B5C"/>
    <w:rsid w:val="00503B96"/>
    <w:rsid w:val="0050456A"/>
    <w:rsid w:val="00505563"/>
    <w:rsid w:val="00505E1D"/>
    <w:rsid w:val="005068E1"/>
    <w:rsid w:val="00506CE0"/>
    <w:rsid w:val="005070EA"/>
    <w:rsid w:val="0050760D"/>
    <w:rsid w:val="005076E3"/>
    <w:rsid w:val="005077C5"/>
    <w:rsid w:val="00507A65"/>
    <w:rsid w:val="00510870"/>
    <w:rsid w:val="005110BA"/>
    <w:rsid w:val="0051168A"/>
    <w:rsid w:val="00512085"/>
    <w:rsid w:val="005122F4"/>
    <w:rsid w:val="00513007"/>
    <w:rsid w:val="00513BC7"/>
    <w:rsid w:val="00514197"/>
    <w:rsid w:val="005141DA"/>
    <w:rsid w:val="00514DDB"/>
    <w:rsid w:val="00514E36"/>
    <w:rsid w:val="00515172"/>
    <w:rsid w:val="00515316"/>
    <w:rsid w:val="00515422"/>
    <w:rsid w:val="005156A6"/>
    <w:rsid w:val="00515794"/>
    <w:rsid w:val="0051636C"/>
    <w:rsid w:val="00516393"/>
    <w:rsid w:val="005170C9"/>
    <w:rsid w:val="0052073C"/>
    <w:rsid w:val="00520949"/>
    <w:rsid w:val="00520B4F"/>
    <w:rsid w:val="00521E21"/>
    <w:rsid w:val="0052237A"/>
    <w:rsid w:val="00522423"/>
    <w:rsid w:val="00522DB0"/>
    <w:rsid w:val="00523306"/>
    <w:rsid w:val="00523B66"/>
    <w:rsid w:val="00523EB7"/>
    <w:rsid w:val="00523EF2"/>
    <w:rsid w:val="00523F51"/>
    <w:rsid w:val="00524016"/>
    <w:rsid w:val="005244A4"/>
    <w:rsid w:val="00524AD7"/>
    <w:rsid w:val="00525727"/>
    <w:rsid w:val="0052591E"/>
    <w:rsid w:val="00525B43"/>
    <w:rsid w:val="00525F07"/>
    <w:rsid w:val="0052639A"/>
    <w:rsid w:val="00526477"/>
    <w:rsid w:val="005265B9"/>
    <w:rsid w:val="00526691"/>
    <w:rsid w:val="00526D7E"/>
    <w:rsid w:val="00527AE0"/>
    <w:rsid w:val="0053027E"/>
    <w:rsid w:val="005312E8"/>
    <w:rsid w:val="005313F7"/>
    <w:rsid w:val="00531ACC"/>
    <w:rsid w:val="00531E8D"/>
    <w:rsid w:val="00531F39"/>
    <w:rsid w:val="00532607"/>
    <w:rsid w:val="00532767"/>
    <w:rsid w:val="005328BA"/>
    <w:rsid w:val="00532B70"/>
    <w:rsid w:val="005333EA"/>
    <w:rsid w:val="00533920"/>
    <w:rsid w:val="00533DC4"/>
    <w:rsid w:val="0053480E"/>
    <w:rsid w:val="00534CB2"/>
    <w:rsid w:val="00534ED5"/>
    <w:rsid w:val="00535324"/>
    <w:rsid w:val="0053540E"/>
    <w:rsid w:val="00535521"/>
    <w:rsid w:val="00535969"/>
    <w:rsid w:val="005359D9"/>
    <w:rsid w:val="00535A1B"/>
    <w:rsid w:val="00535D6D"/>
    <w:rsid w:val="00535F4E"/>
    <w:rsid w:val="0053602B"/>
    <w:rsid w:val="005363C4"/>
    <w:rsid w:val="005366F8"/>
    <w:rsid w:val="0053678B"/>
    <w:rsid w:val="00536D31"/>
    <w:rsid w:val="00536DEF"/>
    <w:rsid w:val="005371C4"/>
    <w:rsid w:val="005371D4"/>
    <w:rsid w:val="0053749F"/>
    <w:rsid w:val="005404B0"/>
    <w:rsid w:val="005405E2"/>
    <w:rsid w:val="0054125E"/>
    <w:rsid w:val="005412E1"/>
    <w:rsid w:val="005418B9"/>
    <w:rsid w:val="005419F2"/>
    <w:rsid w:val="00541A05"/>
    <w:rsid w:val="00541C30"/>
    <w:rsid w:val="0054209B"/>
    <w:rsid w:val="0054216F"/>
    <w:rsid w:val="005422EB"/>
    <w:rsid w:val="0054294B"/>
    <w:rsid w:val="00542969"/>
    <w:rsid w:val="00542993"/>
    <w:rsid w:val="00542D37"/>
    <w:rsid w:val="00542F18"/>
    <w:rsid w:val="00543397"/>
    <w:rsid w:val="005439A1"/>
    <w:rsid w:val="00543C00"/>
    <w:rsid w:val="00544492"/>
    <w:rsid w:val="005446D3"/>
    <w:rsid w:val="00544824"/>
    <w:rsid w:val="00544853"/>
    <w:rsid w:val="00544984"/>
    <w:rsid w:val="00544B83"/>
    <w:rsid w:val="005450E2"/>
    <w:rsid w:val="005452E2"/>
    <w:rsid w:val="005453A0"/>
    <w:rsid w:val="005456F8"/>
    <w:rsid w:val="0054576E"/>
    <w:rsid w:val="00545F3B"/>
    <w:rsid w:val="0054750F"/>
    <w:rsid w:val="00547A40"/>
    <w:rsid w:val="00547AC8"/>
    <w:rsid w:val="00547E4C"/>
    <w:rsid w:val="0055001C"/>
    <w:rsid w:val="005500B1"/>
    <w:rsid w:val="0055086B"/>
    <w:rsid w:val="005508E3"/>
    <w:rsid w:val="00550D43"/>
    <w:rsid w:val="00550DD7"/>
    <w:rsid w:val="005511E2"/>
    <w:rsid w:val="005512D5"/>
    <w:rsid w:val="0055175A"/>
    <w:rsid w:val="00551B0D"/>
    <w:rsid w:val="00551DEC"/>
    <w:rsid w:val="00552096"/>
    <w:rsid w:val="0055245B"/>
    <w:rsid w:val="0055255F"/>
    <w:rsid w:val="00552717"/>
    <w:rsid w:val="005529FC"/>
    <w:rsid w:val="00553371"/>
    <w:rsid w:val="00553918"/>
    <w:rsid w:val="00553D54"/>
    <w:rsid w:val="00553F9F"/>
    <w:rsid w:val="005546BF"/>
    <w:rsid w:val="00554CB6"/>
    <w:rsid w:val="00554D3D"/>
    <w:rsid w:val="00554FC3"/>
    <w:rsid w:val="00555523"/>
    <w:rsid w:val="00555E0D"/>
    <w:rsid w:val="00556BF7"/>
    <w:rsid w:val="00556E02"/>
    <w:rsid w:val="00556F4A"/>
    <w:rsid w:val="0055764E"/>
    <w:rsid w:val="0055783F"/>
    <w:rsid w:val="00557CF4"/>
    <w:rsid w:val="00557D04"/>
    <w:rsid w:val="00560528"/>
    <w:rsid w:val="00560A5E"/>
    <w:rsid w:val="00560CD3"/>
    <w:rsid w:val="00560D92"/>
    <w:rsid w:val="005615E3"/>
    <w:rsid w:val="00561923"/>
    <w:rsid w:val="00561D24"/>
    <w:rsid w:val="0056295E"/>
    <w:rsid w:val="00562ED2"/>
    <w:rsid w:val="0056310A"/>
    <w:rsid w:val="00563B00"/>
    <w:rsid w:val="00563C49"/>
    <w:rsid w:val="0056592B"/>
    <w:rsid w:val="00565AC1"/>
    <w:rsid w:val="00565B0F"/>
    <w:rsid w:val="00565D0D"/>
    <w:rsid w:val="00566286"/>
    <w:rsid w:val="005668DF"/>
    <w:rsid w:val="00566920"/>
    <w:rsid w:val="00567223"/>
    <w:rsid w:val="00567A04"/>
    <w:rsid w:val="00567F76"/>
    <w:rsid w:val="00570215"/>
    <w:rsid w:val="00570239"/>
    <w:rsid w:val="005704CB"/>
    <w:rsid w:val="00570D7F"/>
    <w:rsid w:val="005710A9"/>
    <w:rsid w:val="005711C5"/>
    <w:rsid w:val="00571718"/>
    <w:rsid w:val="0057178D"/>
    <w:rsid w:val="00571D59"/>
    <w:rsid w:val="00571DED"/>
    <w:rsid w:val="00571F91"/>
    <w:rsid w:val="005725C5"/>
    <w:rsid w:val="00572CF9"/>
    <w:rsid w:val="00572E3E"/>
    <w:rsid w:val="00573335"/>
    <w:rsid w:val="00573345"/>
    <w:rsid w:val="00573619"/>
    <w:rsid w:val="005737F5"/>
    <w:rsid w:val="005741C2"/>
    <w:rsid w:val="00574209"/>
    <w:rsid w:val="0057420B"/>
    <w:rsid w:val="0057434B"/>
    <w:rsid w:val="005756E7"/>
    <w:rsid w:val="0057571E"/>
    <w:rsid w:val="00575951"/>
    <w:rsid w:val="00576330"/>
    <w:rsid w:val="0057657F"/>
    <w:rsid w:val="00577E70"/>
    <w:rsid w:val="00577E77"/>
    <w:rsid w:val="00580280"/>
    <w:rsid w:val="0058031C"/>
    <w:rsid w:val="005806CF"/>
    <w:rsid w:val="0058107A"/>
    <w:rsid w:val="0058135A"/>
    <w:rsid w:val="005815FE"/>
    <w:rsid w:val="005827AE"/>
    <w:rsid w:val="0058298F"/>
    <w:rsid w:val="00582C36"/>
    <w:rsid w:val="00583AB1"/>
    <w:rsid w:val="00583B4D"/>
    <w:rsid w:val="00583FDC"/>
    <w:rsid w:val="00584058"/>
    <w:rsid w:val="005847E2"/>
    <w:rsid w:val="00584E0C"/>
    <w:rsid w:val="00585571"/>
    <w:rsid w:val="005855F8"/>
    <w:rsid w:val="00585991"/>
    <w:rsid w:val="00585B91"/>
    <w:rsid w:val="005869CA"/>
    <w:rsid w:val="00586BF1"/>
    <w:rsid w:val="00586EB2"/>
    <w:rsid w:val="005872CC"/>
    <w:rsid w:val="0058745C"/>
    <w:rsid w:val="00587AE1"/>
    <w:rsid w:val="0059039A"/>
    <w:rsid w:val="005903E4"/>
    <w:rsid w:val="00590565"/>
    <w:rsid w:val="00590954"/>
    <w:rsid w:val="00590FC7"/>
    <w:rsid w:val="00591256"/>
    <w:rsid w:val="005917DF"/>
    <w:rsid w:val="00592899"/>
    <w:rsid w:val="00593386"/>
    <w:rsid w:val="00593C6E"/>
    <w:rsid w:val="00593F3D"/>
    <w:rsid w:val="0059424C"/>
    <w:rsid w:val="005943AE"/>
    <w:rsid w:val="0059442B"/>
    <w:rsid w:val="005946CA"/>
    <w:rsid w:val="00594826"/>
    <w:rsid w:val="0059494C"/>
    <w:rsid w:val="005950D6"/>
    <w:rsid w:val="00595486"/>
    <w:rsid w:val="005958D0"/>
    <w:rsid w:val="005962B6"/>
    <w:rsid w:val="005966B3"/>
    <w:rsid w:val="00596ED3"/>
    <w:rsid w:val="0059751C"/>
    <w:rsid w:val="00597827"/>
    <w:rsid w:val="0059786C"/>
    <w:rsid w:val="00597919"/>
    <w:rsid w:val="005A0000"/>
    <w:rsid w:val="005A03A2"/>
    <w:rsid w:val="005A0506"/>
    <w:rsid w:val="005A08FB"/>
    <w:rsid w:val="005A0B9F"/>
    <w:rsid w:val="005A0C48"/>
    <w:rsid w:val="005A0D08"/>
    <w:rsid w:val="005A0D31"/>
    <w:rsid w:val="005A1625"/>
    <w:rsid w:val="005A2D88"/>
    <w:rsid w:val="005A2FCE"/>
    <w:rsid w:val="005A3095"/>
    <w:rsid w:val="005A3ACA"/>
    <w:rsid w:val="005A3B1B"/>
    <w:rsid w:val="005A42FD"/>
    <w:rsid w:val="005A4385"/>
    <w:rsid w:val="005A4707"/>
    <w:rsid w:val="005A47E3"/>
    <w:rsid w:val="005A496B"/>
    <w:rsid w:val="005A4CEF"/>
    <w:rsid w:val="005A5171"/>
    <w:rsid w:val="005A5815"/>
    <w:rsid w:val="005A5D1A"/>
    <w:rsid w:val="005A6089"/>
    <w:rsid w:val="005A63D8"/>
    <w:rsid w:val="005A73D7"/>
    <w:rsid w:val="005A7467"/>
    <w:rsid w:val="005A7527"/>
    <w:rsid w:val="005A7DBE"/>
    <w:rsid w:val="005A7E63"/>
    <w:rsid w:val="005B04DF"/>
    <w:rsid w:val="005B075B"/>
    <w:rsid w:val="005B1082"/>
    <w:rsid w:val="005B152A"/>
    <w:rsid w:val="005B1EB5"/>
    <w:rsid w:val="005B21E6"/>
    <w:rsid w:val="005B2378"/>
    <w:rsid w:val="005B270C"/>
    <w:rsid w:val="005B2C3A"/>
    <w:rsid w:val="005B32CE"/>
    <w:rsid w:val="005B33DC"/>
    <w:rsid w:val="005B3479"/>
    <w:rsid w:val="005B34EE"/>
    <w:rsid w:val="005B3568"/>
    <w:rsid w:val="005B3606"/>
    <w:rsid w:val="005B3972"/>
    <w:rsid w:val="005B3ED7"/>
    <w:rsid w:val="005B446E"/>
    <w:rsid w:val="005B49B6"/>
    <w:rsid w:val="005B4A45"/>
    <w:rsid w:val="005B4D55"/>
    <w:rsid w:val="005B54AB"/>
    <w:rsid w:val="005B5D5E"/>
    <w:rsid w:val="005B5FDA"/>
    <w:rsid w:val="005B68A7"/>
    <w:rsid w:val="005B6986"/>
    <w:rsid w:val="005B6AD2"/>
    <w:rsid w:val="005B6E36"/>
    <w:rsid w:val="005B74C5"/>
    <w:rsid w:val="005B7733"/>
    <w:rsid w:val="005B7A22"/>
    <w:rsid w:val="005C00C1"/>
    <w:rsid w:val="005C047D"/>
    <w:rsid w:val="005C04C8"/>
    <w:rsid w:val="005C0602"/>
    <w:rsid w:val="005C1820"/>
    <w:rsid w:val="005C19A8"/>
    <w:rsid w:val="005C1D01"/>
    <w:rsid w:val="005C2114"/>
    <w:rsid w:val="005C2362"/>
    <w:rsid w:val="005C25DD"/>
    <w:rsid w:val="005C2B3C"/>
    <w:rsid w:val="005C2E28"/>
    <w:rsid w:val="005C3015"/>
    <w:rsid w:val="005C3069"/>
    <w:rsid w:val="005C343C"/>
    <w:rsid w:val="005C37F5"/>
    <w:rsid w:val="005C3C22"/>
    <w:rsid w:val="005C3DB2"/>
    <w:rsid w:val="005C3ECE"/>
    <w:rsid w:val="005C3F10"/>
    <w:rsid w:val="005C40C7"/>
    <w:rsid w:val="005C42B0"/>
    <w:rsid w:val="005C430E"/>
    <w:rsid w:val="005C438F"/>
    <w:rsid w:val="005C4A96"/>
    <w:rsid w:val="005C4C7F"/>
    <w:rsid w:val="005C4CC6"/>
    <w:rsid w:val="005C5042"/>
    <w:rsid w:val="005C5B37"/>
    <w:rsid w:val="005C63FA"/>
    <w:rsid w:val="005C75D1"/>
    <w:rsid w:val="005C773A"/>
    <w:rsid w:val="005C7C28"/>
    <w:rsid w:val="005C7DD7"/>
    <w:rsid w:val="005D00CC"/>
    <w:rsid w:val="005D0512"/>
    <w:rsid w:val="005D058E"/>
    <w:rsid w:val="005D082B"/>
    <w:rsid w:val="005D0976"/>
    <w:rsid w:val="005D097F"/>
    <w:rsid w:val="005D0E7C"/>
    <w:rsid w:val="005D0E9B"/>
    <w:rsid w:val="005D1576"/>
    <w:rsid w:val="005D1762"/>
    <w:rsid w:val="005D1D9F"/>
    <w:rsid w:val="005D2217"/>
    <w:rsid w:val="005D2507"/>
    <w:rsid w:val="005D2667"/>
    <w:rsid w:val="005D3E22"/>
    <w:rsid w:val="005D3EBB"/>
    <w:rsid w:val="005D3ED4"/>
    <w:rsid w:val="005D42B4"/>
    <w:rsid w:val="005D4AFC"/>
    <w:rsid w:val="005D4CF7"/>
    <w:rsid w:val="005D51D9"/>
    <w:rsid w:val="005D52FB"/>
    <w:rsid w:val="005D5347"/>
    <w:rsid w:val="005D570F"/>
    <w:rsid w:val="005D5CC5"/>
    <w:rsid w:val="005D5E85"/>
    <w:rsid w:val="005D6732"/>
    <w:rsid w:val="005D69FE"/>
    <w:rsid w:val="005D787B"/>
    <w:rsid w:val="005D7E93"/>
    <w:rsid w:val="005E0949"/>
    <w:rsid w:val="005E0E20"/>
    <w:rsid w:val="005E0F03"/>
    <w:rsid w:val="005E12BE"/>
    <w:rsid w:val="005E1374"/>
    <w:rsid w:val="005E1467"/>
    <w:rsid w:val="005E3DF8"/>
    <w:rsid w:val="005E4660"/>
    <w:rsid w:val="005E4976"/>
    <w:rsid w:val="005E49F5"/>
    <w:rsid w:val="005E4B27"/>
    <w:rsid w:val="005E515C"/>
    <w:rsid w:val="005E6499"/>
    <w:rsid w:val="005E6505"/>
    <w:rsid w:val="005E6FD7"/>
    <w:rsid w:val="005E75E3"/>
    <w:rsid w:val="005E7BE6"/>
    <w:rsid w:val="005E7ECD"/>
    <w:rsid w:val="005E7F37"/>
    <w:rsid w:val="005F01E5"/>
    <w:rsid w:val="005F0215"/>
    <w:rsid w:val="005F0EF5"/>
    <w:rsid w:val="005F1267"/>
    <w:rsid w:val="005F1A0D"/>
    <w:rsid w:val="005F1D43"/>
    <w:rsid w:val="005F2132"/>
    <w:rsid w:val="005F2A12"/>
    <w:rsid w:val="005F2E4C"/>
    <w:rsid w:val="005F2EA8"/>
    <w:rsid w:val="005F322F"/>
    <w:rsid w:val="005F3322"/>
    <w:rsid w:val="005F3751"/>
    <w:rsid w:val="005F3EC3"/>
    <w:rsid w:val="005F4136"/>
    <w:rsid w:val="005F446D"/>
    <w:rsid w:val="005F4713"/>
    <w:rsid w:val="005F48D6"/>
    <w:rsid w:val="005F584B"/>
    <w:rsid w:val="005F637A"/>
    <w:rsid w:val="005F64C6"/>
    <w:rsid w:val="005F6B1A"/>
    <w:rsid w:val="005F6E55"/>
    <w:rsid w:val="005F6F87"/>
    <w:rsid w:val="005F76FB"/>
    <w:rsid w:val="005F784D"/>
    <w:rsid w:val="005F7A0B"/>
    <w:rsid w:val="00600089"/>
    <w:rsid w:val="00600677"/>
    <w:rsid w:val="0060081A"/>
    <w:rsid w:val="006008F1"/>
    <w:rsid w:val="00600C01"/>
    <w:rsid w:val="006014DB"/>
    <w:rsid w:val="00601735"/>
    <w:rsid w:val="006018B5"/>
    <w:rsid w:val="00601BE4"/>
    <w:rsid w:val="00602183"/>
    <w:rsid w:val="006022E0"/>
    <w:rsid w:val="006025F2"/>
    <w:rsid w:val="00602AC4"/>
    <w:rsid w:val="00602B46"/>
    <w:rsid w:val="00602BD2"/>
    <w:rsid w:val="00603480"/>
    <w:rsid w:val="006039B8"/>
    <w:rsid w:val="00603A79"/>
    <w:rsid w:val="00603D7A"/>
    <w:rsid w:val="00604174"/>
    <w:rsid w:val="00604356"/>
    <w:rsid w:val="00604B87"/>
    <w:rsid w:val="00605275"/>
    <w:rsid w:val="00605529"/>
    <w:rsid w:val="006059DB"/>
    <w:rsid w:val="00605A3E"/>
    <w:rsid w:val="00605CAB"/>
    <w:rsid w:val="00605DAE"/>
    <w:rsid w:val="00605DB9"/>
    <w:rsid w:val="0060650E"/>
    <w:rsid w:val="006065CF"/>
    <w:rsid w:val="00606604"/>
    <w:rsid w:val="00606A48"/>
    <w:rsid w:val="00606E5D"/>
    <w:rsid w:val="0060725E"/>
    <w:rsid w:val="006076EF"/>
    <w:rsid w:val="006079C8"/>
    <w:rsid w:val="0061066F"/>
    <w:rsid w:val="00610CBA"/>
    <w:rsid w:val="00610F39"/>
    <w:rsid w:val="00611DEF"/>
    <w:rsid w:val="00611F28"/>
    <w:rsid w:val="00612E59"/>
    <w:rsid w:val="0061315B"/>
    <w:rsid w:val="006132CC"/>
    <w:rsid w:val="0061352F"/>
    <w:rsid w:val="0061375F"/>
    <w:rsid w:val="00613C12"/>
    <w:rsid w:val="00613C47"/>
    <w:rsid w:val="00614071"/>
    <w:rsid w:val="00614292"/>
    <w:rsid w:val="006148AC"/>
    <w:rsid w:val="006153E5"/>
    <w:rsid w:val="00615525"/>
    <w:rsid w:val="00615544"/>
    <w:rsid w:val="00615651"/>
    <w:rsid w:val="00615654"/>
    <w:rsid w:val="00615901"/>
    <w:rsid w:val="00616201"/>
    <w:rsid w:val="00616225"/>
    <w:rsid w:val="00616C1C"/>
    <w:rsid w:val="00616D5E"/>
    <w:rsid w:val="00616EEC"/>
    <w:rsid w:val="00617270"/>
    <w:rsid w:val="00617A8B"/>
    <w:rsid w:val="00617C23"/>
    <w:rsid w:val="006200B8"/>
    <w:rsid w:val="0062040C"/>
    <w:rsid w:val="00620422"/>
    <w:rsid w:val="00620552"/>
    <w:rsid w:val="006208F9"/>
    <w:rsid w:val="00620A9B"/>
    <w:rsid w:val="00620CE4"/>
    <w:rsid w:val="006219A0"/>
    <w:rsid w:val="00621F46"/>
    <w:rsid w:val="0062224C"/>
    <w:rsid w:val="006223C7"/>
    <w:rsid w:val="006227FA"/>
    <w:rsid w:val="00622FEA"/>
    <w:rsid w:val="0062349B"/>
    <w:rsid w:val="006239E8"/>
    <w:rsid w:val="00623B67"/>
    <w:rsid w:val="00623CDF"/>
    <w:rsid w:val="00623DB1"/>
    <w:rsid w:val="00623FC2"/>
    <w:rsid w:val="006241D2"/>
    <w:rsid w:val="006245F3"/>
    <w:rsid w:val="006246AF"/>
    <w:rsid w:val="00624B63"/>
    <w:rsid w:val="00624E6F"/>
    <w:rsid w:val="006252E6"/>
    <w:rsid w:val="0062552F"/>
    <w:rsid w:val="00625966"/>
    <w:rsid w:val="00625B47"/>
    <w:rsid w:val="00625D54"/>
    <w:rsid w:val="00625FC9"/>
    <w:rsid w:val="00626A11"/>
    <w:rsid w:val="00626BE7"/>
    <w:rsid w:val="0062726B"/>
    <w:rsid w:val="00627ED6"/>
    <w:rsid w:val="006304D2"/>
    <w:rsid w:val="00630C76"/>
    <w:rsid w:val="006319CA"/>
    <w:rsid w:val="00633107"/>
    <w:rsid w:val="00633A3C"/>
    <w:rsid w:val="00634498"/>
    <w:rsid w:val="00634932"/>
    <w:rsid w:val="00634EC0"/>
    <w:rsid w:val="00635D83"/>
    <w:rsid w:val="0063627F"/>
    <w:rsid w:val="006362FE"/>
    <w:rsid w:val="006364D6"/>
    <w:rsid w:val="00636C26"/>
    <w:rsid w:val="006370A6"/>
    <w:rsid w:val="00637785"/>
    <w:rsid w:val="00637988"/>
    <w:rsid w:val="00637A76"/>
    <w:rsid w:val="00637EE5"/>
    <w:rsid w:val="00640F42"/>
    <w:rsid w:val="006411E4"/>
    <w:rsid w:val="0064140B"/>
    <w:rsid w:val="00641868"/>
    <w:rsid w:val="006419A2"/>
    <w:rsid w:val="00641EFC"/>
    <w:rsid w:val="00641F02"/>
    <w:rsid w:val="0064266A"/>
    <w:rsid w:val="00642ADE"/>
    <w:rsid w:val="00642B24"/>
    <w:rsid w:val="00642D72"/>
    <w:rsid w:val="006431BC"/>
    <w:rsid w:val="00643671"/>
    <w:rsid w:val="00643819"/>
    <w:rsid w:val="00643B4C"/>
    <w:rsid w:val="00643C2F"/>
    <w:rsid w:val="00643F85"/>
    <w:rsid w:val="006443CB"/>
    <w:rsid w:val="00644A19"/>
    <w:rsid w:val="00644F80"/>
    <w:rsid w:val="00645874"/>
    <w:rsid w:val="006479E0"/>
    <w:rsid w:val="00647A43"/>
    <w:rsid w:val="00647B53"/>
    <w:rsid w:val="00647D78"/>
    <w:rsid w:val="00647F7B"/>
    <w:rsid w:val="0065074A"/>
    <w:rsid w:val="00650DD0"/>
    <w:rsid w:val="00650E7A"/>
    <w:rsid w:val="00650EE4"/>
    <w:rsid w:val="0065124B"/>
    <w:rsid w:val="00651382"/>
    <w:rsid w:val="006517DD"/>
    <w:rsid w:val="00651E96"/>
    <w:rsid w:val="00652AB2"/>
    <w:rsid w:val="00652CCD"/>
    <w:rsid w:val="006530C9"/>
    <w:rsid w:val="006533F3"/>
    <w:rsid w:val="00653579"/>
    <w:rsid w:val="00653622"/>
    <w:rsid w:val="00653FE6"/>
    <w:rsid w:val="0065446A"/>
    <w:rsid w:val="00654767"/>
    <w:rsid w:val="00654C11"/>
    <w:rsid w:val="00654EB9"/>
    <w:rsid w:val="006551F6"/>
    <w:rsid w:val="0065552B"/>
    <w:rsid w:val="006558F8"/>
    <w:rsid w:val="006564DF"/>
    <w:rsid w:val="006566ED"/>
    <w:rsid w:val="00656B4B"/>
    <w:rsid w:val="006577CC"/>
    <w:rsid w:val="006578D7"/>
    <w:rsid w:val="00660024"/>
    <w:rsid w:val="00660B46"/>
    <w:rsid w:val="00660F6F"/>
    <w:rsid w:val="00661283"/>
    <w:rsid w:val="0066129E"/>
    <w:rsid w:val="00661918"/>
    <w:rsid w:val="00661F08"/>
    <w:rsid w:val="00662130"/>
    <w:rsid w:val="0066226E"/>
    <w:rsid w:val="00662A5A"/>
    <w:rsid w:val="00662B31"/>
    <w:rsid w:val="00662B7E"/>
    <w:rsid w:val="00662F7D"/>
    <w:rsid w:val="0066318E"/>
    <w:rsid w:val="006641C4"/>
    <w:rsid w:val="00664875"/>
    <w:rsid w:val="00665065"/>
    <w:rsid w:val="006653D7"/>
    <w:rsid w:val="006654F3"/>
    <w:rsid w:val="00665F5E"/>
    <w:rsid w:val="00666129"/>
    <w:rsid w:val="006665BA"/>
    <w:rsid w:val="006665FE"/>
    <w:rsid w:val="00666A4F"/>
    <w:rsid w:val="00667106"/>
    <w:rsid w:val="00667111"/>
    <w:rsid w:val="0066720F"/>
    <w:rsid w:val="00667328"/>
    <w:rsid w:val="00667662"/>
    <w:rsid w:val="006703AA"/>
    <w:rsid w:val="006703CD"/>
    <w:rsid w:val="006703D9"/>
    <w:rsid w:val="006704B8"/>
    <w:rsid w:val="006704F6"/>
    <w:rsid w:val="006708EA"/>
    <w:rsid w:val="00671091"/>
    <w:rsid w:val="00671AC7"/>
    <w:rsid w:val="00672154"/>
    <w:rsid w:val="00672B6A"/>
    <w:rsid w:val="00672D8D"/>
    <w:rsid w:val="0067426D"/>
    <w:rsid w:val="006745EC"/>
    <w:rsid w:val="00674713"/>
    <w:rsid w:val="0067545E"/>
    <w:rsid w:val="006758D1"/>
    <w:rsid w:val="0067650C"/>
    <w:rsid w:val="00676E43"/>
    <w:rsid w:val="00677435"/>
    <w:rsid w:val="00677C33"/>
    <w:rsid w:val="00680102"/>
    <w:rsid w:val="006803B4"/>
    <w:rsid w:val="00680936"/>
    <w:rsid w:val="00680D8C"/>
    <w:rsid w:val="00681236"/>
    <w:rsid w:val="0068165C"/>
    <w:rsid w:val="006818B4"/>
    <w:rsid w:val="00681C66"/>
    <w:rsid w:val="006820E0"/>
    <w:rsid w:val="00682221"/>
    <w:rsid w:val="006826B4"/>
    <w:rsid w:val="00682725"/>
    <w:rsid w:val="006828DF"/>
    <w:rsid w:val="00682AED"/>
    <w:rsid w:val="00682D87"/>
    <w:rsid w:val="00683158"/>
    <w:rsid w:val="00683502"/>
    <w:rsid w:val="006836B2"/>
    <w:rsid w:val="00683A1C"/>
    <w:rsid w:val="00683A1E"/>
    <w:rsid w:val="0068413E"/>
    <w:rsid w:val="00684387"/>
    <w:rsid w:val="006845A2"/>
    <w:rsid w:val="006853A4"/>
    <w:rsid w:val="0068558F"/>
    <w:rsid w:val="006856C0"/>
    <w:rsid w:val="006862B9"/>
    <w:rsid w:val="006864E1"/>
    <w:rsid w:val="00686546"/>
    <w:rsid w:val="006865F1"/>
    <w:rsid w:val="00686871"/>
    <w:rsid w:val="00686948"/>
    <w:rsid w:val="006876CE"/>
    <w:rsid w:val="006877FF"/>
    <w:rsid w:val="0068793A"/>
    <w:rsid w:val="00687B34"/>
    <w:rsid w:val="00690781"/>
    <w:rsid w:val="006907A1"/>
    <w:rsid w:val="00690B17"/>
    <w:rsid w:val="00690CD7"/>
    <w:rsid w:val="0069128F"/>
    <w:rsid w:val="00691404"/>
    <w:rsid w:val="00691580"/>
    <w:rsid w:val="006920A6"/>
    <w:rsid w:val="00692582"/>
    <w:rsid w:val="006926E2"/>
    <w:rsid w:val="006929D9"/>
    <w:rsid w:val="00692FF6"/>
    <w:rsid w:val="00692FFA"/>
    <w:rsid w:val="0069350A"/>
    <w:rsid w:val="00693652"/>
    <w:rsid w:val="0069369F"/>
    <w:rsid w:val="0069376C"/>
    <w:rsid w:val="006939E7"/>
    <w:rsid w:val="00693D3E"/>
    <w:rsid w:val="006942F7"/>
    <w:rsid w:val="0069438B"/>
    <w:rsid w:val="00695396"/>
    <w:rsid w:val="006954A0"/>
    <w:rsid w:val="00695620"/>
    <w:rsid w:val="00695659"/>
    <w:rsid w:val="0069582C"/>
    <w:rsid w:val="00695D76"/>
    <w:rsid w:val="00696A0F"/>
    <w:rsid w:val="006971D2"/>
    <w:rsid w:val="00697413"/>
    <w:rsid w:val="00697669"/>
    <w:rsid w:val="00697AE8"/>
    <w:rsid w:val="00697F01"/>
    <w:rsid w:val="006A15BA"/>
    <w:rsid w:val="006A1AAE"/>
    <w:rsid w:val="006A1EEA"/>
    <w:rsid w:val="006A2150"/>
    <w:rsid w:val="006A241D"/>
    <w:rsid w:val="006A24EA"/>
    <w:rsid w:val="006A2B0C"/>
    <w:rsid w:val="006A2C61"/>
    <w:rsid w:val="006A2D13"/>
    <w:rsid w:val="006A3288"/>
    <w:rsid w:val="006A35A2"/>
    <w:rsid w:val="006A3C54"/>
    <w:rsid w:val="006A3DE6"/>
    <w:rsid w:val="006A3E6B"/>
    <w:rsid w:val="006A43E6"/>
    <w:rsid w:val="006A45B1"/>
    <w:rsid w:val="006A4A1E"/>
    <w:rsid w:val="006A50C7"/>
    <w:rsid w:val="006A5741"/>
    <w:rsid w:val="006A5CD5"/>
    <w:rsid w:val="006A5D9B"/>
    <w:rsid w:val="006A5E28"/>
    <w:rsid w:val="006A5E65"/>
    <w:rsid w:val="006A5EF5"/>
    <w:rsid w:val="006A67BC"/>
    <w:rsid w:val="006A6A3A"/>
    <w:rsid w:val="006A70BE"/>
    <w:rsid w:val="006A7662"/>
    <w:rsid w:val="006A7ACA"/>
    <w:rsid w:val="006A7F39"/>
    <w:rsid w:val="006A7FD0"/>
    <w:rsid w:val="006B0121"/>
    <w:rsid w:val="006B0128"/>
    <w:rsid w:val="006B0260"/>
    <w:rsid w:val="006B0334"/>
    <w:rsid w:val="006B059F"/>
    <w:rsid w:val="006B0C6D"/>
    <w:rsid w:val="006B1011"/>
    <w:rsid w:val="006B134D"/>
    <w:rsid w:val="006B1A20"/>
    <w:rsid w:val="006B1C7C"/>
    <w:rsid w:val="006B1EC8"/>
    <w:rsid w:val="006B2136"/>
    <w:rsid w:val="006B2B64"/>
    <w:rsid w:val="006B2BD2"/>
    <w:rsid w:val="006B3063"/>
    <w:rsid w:val="006B3086"/>
    <w:rsid w:val="006B3568"/>
    <w:rsid w:val="006B3D99"/>
    <w:rsid w:val="006B4547"/>
    <w:rsid w:val="006B5752"/>
    <w:rsid w:val="006B5BF9"/>
    <w:rsid w:val="006B63D8"/>
    <w:rsid w:val="006B6BD0"/>
    <w:rsid w:val="006B6F32"/>
    <w:rsid w:val="006B7130"/>
    <w:rsid w:val="006B7D4A"/>
    <w:rsid w:val="006B7E8A"/>
    <w:rsid w:val="006B7EF5"/>
    <w:rsid w:val="006C0D76"/>
    <w:rsid w:val="006C1401"/>
    <w:rsid w:val="006C201C"/>
    <w:rsid w:val="006C211C"/>
    <w:rsid w:val="006C397B"/>
    <w:rsid w:val="006C408A"/>
    <w:rsid w:val="006C4150"/>
    <w:rsid w:val="006C4728"/>
    <w:rsid w:val="006C507B"/>
    <w:rsid w:val="006C5186"/>
    <w:rsid w:val="006C5189"/>
    <w:rsid w:val="006C51DA"/>
    <w:rsid w:val="006C5214"/>
    <w:rsid w:val="006C5683"/>
    <w:rsid w:val="006C5E33"/>
    <w:rsid w:val="006C5E48"/>
    <w:rsid w:val="006C6295"/>
    <w:rsid w:val="006C6434"/>
    <w:rsid w:val="006C6552"/>
    <w:rsid w:val="006C65CC"/>
    <w:rsid w:val="006C6B08"/>
    <w:rsid w:val="006C6CD8"/>
    <w:rsid w:val="006C6CF4"/>
    <w:rsid w:val="006C7FD4"/>
    <w:rsid w:val="006D013F"/>
    <w:rsid w:val="006D017F"/>
    <w:rsid w:val="006D032D"/>
    <w:rsid w:val="006D0696"/>
    <w:rsid w:val="006D08DF"/>
    <w:rsid w:val="006D0A14"/>
    <w:rsid w:val="006D0A45"/>
    <w:rsid w:val="006D10BF"/>
    <w:rsid w:val="006D11E1"/>
    <w:rsid w:val="006D17B1"/>
    <w:rsid w:val="006D1836"/>
    <w:rsid w:val="006D1D3F"/>
    <w:rsid w:val="006D20B4"/>
    <w:rsid w:val="006D211A"/>
    <w:rsid w:val="006D253B"/>
    <w:rsid w:val="006D2CCC"/>
    <w:rsid w:val="006D3C1D"/>
    <w:rsid w:val="006D3C4F"/>
    <w:rsid w:val="006D44D0"/>
    <w:rsid w:val="006D471A"/>
    <w:rsid w:val="006D4C56"/>
    <w:rsid w:val="006D4F07"/>
    <w:rsid w:val="006D5625"/>
    <w:rsid w:val="006D57CB"/>
    <w:rsid w:val="006D5A82"/>
    <w:rsid w:val="006D5D92"/>
    <w:rsid w:val="006D60EE"/>
    <w:rsid w:val="006D6CDD"/>
    <w:rsid w:val="006D719D"/>
    <w:rsid w:val="006D7444"/>
    <w:rsid w:val="006E044C"/>
    <w:rsid w:val="006E0A61"/>
    <w:rsid w:val="006E1999"/>
    <w:rsid w:val="006E2251"/>
    <w:rsid w:val="006E2812"/>
    <w:rsid w:val="006E3587"/>
    <w:rsid w:val="006E36D4"/>
    <w:rsid w:val="006E3711"/>
    <w:rsid w:val="006E3992"/>
    <w:rsid w:val="006E3AAD"/>
    <w:rsid w:val="006E4118"/>
    <w:rsid w:val="006E4238"/>
    <w:rsid w:val="006E447A"/>
    <w:rsid w:val="006E4560"/>
    <w:rsid w:val="006E48D2"/>
    <w:rsid w:val="006E4F8C"/>
    <w:rsid w:val="006E50C3"/>
    <w:rsid w:val="006E5BA6"/>
    <w:rsid w:val="006E665F"/>
    <w:rsid w:val="006E68AD"/>
    <w:rsid w:val="006E6948"/>
    <w:rsid w:val="006E6EAA"/>
    <w:rsid w:val="006E720E"/>
    <w:rsid w:val="006E7A57"/>
    <w:rsid w:val="006E7B97"/>
    <w:rsid w:val="006E7C1C"/>
    <w:rsid w:val="006E7D02"/>
    <w:rsid w:val="006E7D23"/>
    <w:rsid w:val="006F05FD"/>
    <w:rsid w:val="006F063E"/>
    <w:rsid w:val="006F0B83"/>
    <w:rsid w:val="006F15F3"/>
    <w:rsid w:val="006F1BBB"/>
    <w:rsid w:val="006F1D39"/>
    <w:rsid w:val="006F2173"/>
    <w:rsid w:val="006F2235"/>
    <w:rsid w:val="006F2318"/>
    <w:rsid w:val="006F2550"/>
    <w:rsid w:val="006F2CA3"/>
    <w:rsid w:val="006F3B10"/>
    <w:rsid w:val="006F3EA8"/>
    <w:rsid w:val="006F41E7"/>
    <w:rsid w:val="006F4740"/>
    <w:rsid w:val="006F49A7"/>
    <w:rsid w:val="006F4A47"/>
    <w:rsid w:val="006F568F"/>
    <w:rsid w:val="006F5862"/>
    <w:rsid w:val="006F58F8"/>
    <w:rsid w:val="006F5E56"/>
    <w:rsid w:val="006F62F2"/>
    <w:rsid w:val="006F6798"/>
    <w:rsid w:val="006F6D4C"/>
    <w:rsid w:val="006F6E67"/>
    <w:rsid w:val="006F7157"/>
    <w:rsid w:val="006F786E"/>
    <w:rsid w:val="006F78E0"/>
    <w:rsid w:val="006F7FE0"/>
    <w:rsid w:val="0070032D"/>
    <w:rsid w:val="00701590"/>
    <w:rsid w:val="0070176D"/>
    <w:rsid w:val="00701CF4"/>
    <w:rsid w:val="00702150"/>
    <w:rsid w:val="00702468"/>
    <w:rsid w:val="00702B1B"/>
    <w:rsid w:val="00702C43"/>
    <w:rsid w:val="00702CFE"/>
    <w:rsid w:val="00702EFE"/>
    <w:rsid w:val="0070395E"/>
    <w:rsid w:val="00703C76"/>
    <w:rsid w:val="00704164"/>
    <w:rsid w:val="00704473"/>
    <w:rsid w:val="00704E3D"/>
    <w:rsid w:val="00705031"/>
    <w:rsid w:val="00705134"/>
    <w:rsid w:val="007053D4"/>
    <w:rsid w:val="00705FFB"/>
    <w:rsid w:val="00706277"/>
    <w:rsid w:val="00706A58"/>
    <w:rsid w:val="00706CAF"/>
    <w:rsid w:val="00706D75"/>
    <w:rsid w:val="00707670"/>
    <w:rsid w:val="00707EC8"/>
    <w:rsid w:val="007101A0"/>
    <w:rsid w:val="007110E1"/>
    <w:rsid w:val="0071113D"/>
    <w:rsid w:val="00711CFE"/>
    <w:rsid w:val="0071204E"/>
    <w:rsid w:val="007126A8"/>
    <w:rsid w:val="007127F4"/>
    <w:rsid w:val="00712AF8"/>
    <w:rsid w:val="00712C30"/>
    <w:rsid w:val="007135B0"/>
    <w:rsid w:val="00713662"/>
    <w:rsid w:val="00713753"/>
    <w:rsid w:val="007139C3"/>
    <w:rsid w:val="00713ADE"/>
    <w:rsid w:val="00713CE8"/>
    <w:rsid w:val="00714394"/>
    <w:rsid w:val="007143BC"/>
    <w:rsid w:val="007150B9"/>
    <w:rsid w:val="00715AAC"/>
    <w:rsid w:val="007163F8"/>
    <w:rsid w:val="00716B9D"/>
    <w:rsid w:val="00716C46"/>
    <w:rsid w:val="00716D40"/>
    <w:rsid w:val="00716D64"/>
    <w:rsid w:val="0071729C"/>
    <w:rsid w:val="0072057C"/>
    <w:rsid w:val="00720A60"/>
    <w:rsid w:val="00720E0B"/>
    <w:rsid w:val="00720E0F"/>
    <w:rsid w:val="007210F5"/>
    <w:rsid w:val="00721282"/>
    <w:rsid w:val="00721946"/>
    <w:rsid w:val="00721D10"/>
    <w:rsid w:val="00721F54"/>
    <w:rsid w:val="00721F7E"/>
    <w:rsid w:val="0072238C"/>
    <w:rsid w:val="007225B1"/>
    <w:rsid w:val="00722E29"/>
    <w:rsid w:val="007238C5"/>
    <w:rsid w:val="00723F67"/>
    <w:rsid w:val="00724507"/>
    <w:rsid w:val="00724606"/>
    <w:rsid w:val="00724B92"/>
    <w:rsid w:val="00724E85"/>
    <w:rsid w:val="00725318"/>
    <w:rsid w:val="00725346"/>
    <w:rsid w:val="00725860"/>
    <w:rsid w:val="00725FAE"/>
    <w:rsid w:val="007266DD"/>
    <w:rsid w:val="00726815"/>
    <w:rsid w:val="00726B00"/>
    <w:rsid w:val="00726D0F"/>
    <w:rsid w:val="00726DA7"/>
    <w:rsid w:val="00727583"/>
    <w:rsid w:val="00727806"/>
    <w:rsid w:val="00727DDC"/>
    <w:rsid w:val="00730073"/>
    <w:rsid w:val="007304C9"/>
    <w:rsid w:val="007305BB"/>
    <w:rsid w:val="007306E5"/>
    <w:rsid w:val="00730839"/>
    <w:rsid w:val="00730DAF"/>
    <w:rsid w:val="00730F89"/>
    <w:rsid w:val="00731296"/>
    <w:rsid w:val="00731542"/>
    <w:rsid w:val="00731923"/>
    <w:rsid w:val="00731FC8"/>
    <w:rsid w:val="00732170"/>
    <w:rsid w:val="00732B28"/>
    <w:rsid w:val="00732E20"/>
    <w:rsid w:val="00733025"/>
    <w:rsid w:val="00733094"/>
    <w:rsid w:val="0073320D"/>
    <w:rsid w:val="007334DC"/>
    <w:rsid w:val="00733996"/>
    <w:rsid w:val="00733B19"/>
    <w:rsid w:val="007343AA"/>
    <w:rsid w:val="00734858"/>
    <w:rsid w:val="00734887"/>
    <w:rsid w:val="00734994"/>
    <w:rsid w:val="00734A44"/>
    <w:rsid w:val="00734D06"/>
    <w:rsid w:val="0073642E"/>
    <w:rsid w:val="007365B6"/>
    <w:rsid w:val="00736B84"/>
    <w:rsid w:val="00737E64"/>
    <w:rsid w:val="00737EBD"/>
    <w:rsid w:val="007401E2"/>
    <w:rsid w:val="0074077D"/>
    <w:rsid w:val="00740780"/>
    <w:rsid w:val="0074081A"/>
    <w:rsid w:val="00740B49"/>
    <w:rsid w:val="00740E33"/>
    <w:rsid w:val="007411E5"/>
    <w:rsid w:val="00742233"/>
    <w:rsid w:val="007424A6"/>
    <w:rsid w:val="007424CF"/>
    <w:rsid w:val="00742D57"/>
    <w:rsid w:val="00742F8A"/>
    <w:rsid w:val="007431CD"/>
    <w:rsid w:val="007443C2"/>
    <w:rsid w:val="007447A4"/>
    <w:rsid w:val="00744FA3"/>
    <w:rsid w:val="00745ED9"/>
    <w:rsid w:val="00746755"/>
    <w:rsid w:val="00746951"/>
    <w:rsid w:val="0074722C"/>
    <w:rsid w:val="0074791E"/>
    <w:rsid w:val="0075001A"/>
    <w:rsid w:val="00750376"/>
    <w:rsid w:val="00750904"/>
    <w:rsid w:val="00750A08"/>
    <w:rsid w:val="00750A66"/>
    <w:rsid w:val="00750B28"/>
    <w:rsid w:val="00750D0C"/>
    <w:rsid w:val="00750D30"/>
    <w:rsid w:val="0075115D"/>
    <w:rsid w:val="007524D7"/>
    <w:rsid w:val="007525FF"/>
    <w:rsid w:val="0075283C"/>
    <w:rsid w:val="00752BB7"/>
    <w:rsid w:val="00753069"/>
    <w:rsid w:val="007532A7"/>
    <w:rsid w:val="00753890"/>
    <w:rsid w:val="007538F6"/>
    <w:rsid w:val="00753B7D"/>
    <w:rsid w:val="00753E5A"/>
    <w:rsid w:val="00754464"/>
    <w:rsid w:val="00754EEC"/>
    <w:rsid w:val="00754FEC"/>
    <w:rsid w:val="0075500C"/>
    <w:rsid w:val="0075501A"/>
    <w:rsid w:val="007555DF"/>
    <w:rsid w:val="00755818"/>
    <w:rsid w:val="00755B12"/>
    <w:rsid w:val="00755D21"/>
    <w:rsid w:val="00755E75"/>
    <w:rsid w:val="007565B5"/>
    <w:rsid w:val="0075720A"/>
    <w:rsid w:val="007573A5"/>
    <w:rsid w:val="007577CB"/>
    <w:rsid w:val="0076032C"/>
    <w:rsid w:val="00760C40"/>
    <w:rsid w:val="00761434"/>
    <w:rsid w:val="00761721"/>
    <w:rsid w:val="007618EF"/>
    <w:rsid w:val="00761FD5"/>
    <w:rsid w:val="00762065"/>
    <w:rsid w:val="007624BB"/>
    <w:rsid w:val="00762BCF"/>
    <w:rsid w:val="00763027"/>
    <w:rsid w:val="00763072"/>
    <w:rsid w:val="00763D30"/>
    <w:rsid w:val="00763D3A"/>
    <w:rsid w:val="00763D4B"/>
    <w:rsid w:val="00763DB6"/>
    <w:rsid w:val="00763EE6"/>
    <w:rsid w:val="0076460E"/>
    <w:rsid w:val="00764668"/>
    <w:rsid w:val="00764B49"/>
    <w:rsid w:val="00764CBE"/>
    <w:rsid w:val="00764DBD"/>
    <w:rsid w:val="00764E4E"/>
    <w:rsid w:val="00764F70"/>
    <w:rsid w:val="00765CC3"/>
    <w:rsid w:val="00765DD8"/>
    <w:rsid w:val="007666DD"/>
    <w:rsid w:val="007669D3"/>
    <w:rsid w:val="00766D36"/>
    <w:rsid w:val="00766EB1"/>
    <w:rsid w:val="007673C6"/>
    <w:rsid w:val="00767607"/>
    <w:rsid w:val="00767A1C"/>
    <w:rsid w:val="00767E47"/>
    <w:rsid w:val="0077067D"/>
    <w:rsid w:val="007709CB"/>
    <w:rsid w:val="00771587"/>
    <w:rsid w:val="0077158D"/>
    <w:rsid w:val="0077165F"/>
    <w:rsid w:val="00771972"/>
    <w:rsid w:val="0077228D"/>
    <w:rsid w:val="00772FA4"/>
    <w:rsid w:val="0077314F"/>
    <w:rsid w:val="007735C4"/>
    <w:rsid w:val="007736BA"/>
    <w:rsid w:val="00773874"/>
    <w:rsid w:val="00773B7E"/>
    <w:rsid w:val="00773C0D"/>
    <w:rsid w:val="0077477A"/>
    <w:rsid w:val="00774FDC"/>
    <w:rsid w:val="00775048"/>
    <w:rsid w:val="00775273"/>
    <w:rsid w:val="00775861"/>
    <w:rsid w:val="0077589B"/>
    <w:rsid w:val="00775952"/>
    <w:rsid w:val="00775B52"/>
    <w:rsid w:val="00775EED"/>
    <w:rsid w:val="007762DB"/>
    <w:rsid w:val="007765DF"/>
    <w:rsid w:val="007766D8"/>
    <w:rsid w:val="00776AD1"/>
    <w:rsid w:val="007770B9"/>
    <w:rsid w:val="007770E1"/>
    <w:rsid w:val="007778D4"/>
    <w:rsid w:val="00777BA4"/>
    <w:rsid w:val="007803F2"/>
    <w:rsid w:val="00780661"/>
    <w:rsid w:val="00780A4F"/>
    <w:rsid w:val="00780D88"/>
    <w:rsid w:val="00780F42"/>
    <w:rsid w:val="0078126C"/>
    <w:rsid w:val="007813B4"/>
    <w:rsid w:val="00781AD1"/>
    <w:rsid w:val="00781FAF"/>
    <w:rsid w:val="007833C7"/>
    <w:rsid w:val="00783B85"/>
    <w:rsid w:val="007840F3"/>
    <w:rsid w:val="00784121"/>
    <w:rsid w:val="007842A0"/>
    <w:rsid w:val="00784315"/>
    <w:rsid w:val="00784B64"/>
    <w:rsid w:val="00784D55"/>
    <w:rsid w:val="00785491"/>
    <w:rsid w:val="007858C0"/>
    <w:rsid w:val="007863BB"/>
    <w:rsid w:val="0078665C"/>
    <w:rsid w:val="0078679A"/>
    <w:rsid w:val="00786E65"/>
    <w:rsid w:val="0078707F"/>
    <w:rsid w:val="0078731C"/>
    <w:rsid w:val="00787678"/>
    <w:rsid w:val="00787EB5"/>
    <w:rsid w:val="00790739"/>
    <w:rsid w:val="00790DFB"/>
    <w:rsid w:val="00791098"/>
    <w:rsid w:val="007910EB"/>
    <w:rsid w:val="00791B10"/>
    <w:rsid w:val="0079218E"/>
    <w:rsid w:val="00792447"/>
    <w:rsid w:val="00792659"/>
    <w:rsid w:val="00792679"/>
    <w:rsid w:val="0079270E"/>
    <w:rsid w:val="00792855"/>
    <w:rsid w:val="007937CB"/>
    <w:rsid w:val="0079385A"/>
    <w:rsid w:val="007943DF"/>
    <w:rsid w:val="00794A05"/>
    <w:rsid w:val="00794A3A"/>
    <w:rsid w:val="00795B64"/>
    <w:rsid w:val="00795F96"/>
    <w:rsid w:val="0079694C"/>
    <w:rsid w:val="00796DBD"/>
    <w:rsid w:val="00797450"/>
    <w:rsid w:val="0079773A"/>
    <w:rsid w:val="00797FAD"/>
    <w:rsid w:val="007A0AF5"/>
    <w:rsid w:val="007A2AEF"/>
    <w:rsid w:val="007A354D"/>
    <w:rsid w:val="007A38D8"/>
    <w:rsid w:val="007A452F"/>
    <w:rsid w:val="007A4C77"/>
    <w:rsid w:val="007A4E17"/>
    <w:rsid w:val="007A520F"/>
    <w:rsid w:val="007A56E3"/>
    <w:rsid w:val="007A5704"/>
    <w:rsid w:val="007A5AF4"/>
    <w:rsid w:val="007A641B"/>
    <w:rsid w:val="007A660D"/>
    <w:rsid w:val="007A68DC"/>
    <w:rsid w:val="007A6D0D"/>
    <w:rsid w:val="007A79D8"/>
    <w:rsid w:val="007A7F6D"/>
    <w:rsid w:val="007B01C5"/>
    <w:rsid w:val="007B058B"/>
    <w:rsid w:val="007B0FBD"/>
    <w:rsid w:val="007B172E"/>
    <w:rsid w:val="007B1BAF"/>
    <w:rsid w:val="007B1C65"/>
    <w:rsid w:val="007B1E34"/>
    <w:rsid w:val="007B2245"/>
    <w:rsid w:val="007B2331"/>
    <w:rsid w:val="007B2896"/>
    <w:rsid w:val="007B2CDD"/>
    <w:rsid w:val="007B3154"/>
    <w:rsid w:val="007B35F7"/>
    <w:rsid w:val="007B3948"/>
    <w:rsid w:val="007B396F"/>
    <w:rsid w:val="007B3B4C"/>
    <w:rsid w:val="007B41D6"/>
    <w:rsid w:val="007B461D"/>
    <w:rsid w:val="007B4F47"/>
    <w:rsid w:val="007B4F72"/>
    <w:rsid w:val="007B5192"/>
    <w:rsid w:val="007B5445"/>
    <w:rsid w:val="007B5C63"/>
    <w:rsid w:val="007B65CA"/>
    <w:rsid w:val="007B67FC"/>
    <w:rsid w:val="007B6896"/>
    <w:rsid w:val="007B698D"/>
    <w:rsid w:val="007B6D9F"/>
    <w:rsid w:val="007B6DA5"/>
    <w:rsid w:val="007B757D"/>
    <w:rsid w:val="007B75F6"/>
    <w:rsid w:val="007B7764"/>
    <w:rsid w:val="007B7942"/>
    <w:rsid w:val="007B79F5"/>
    <w:rsid w:val="007B7BE9"/>
    <w:rsid w:val="007C0A01"/>
    <w:rsid w:val="007C0E04"/>
    <w:rsid w:val="007C123B"/>
    <w:rsid w:val="007C13DF"/>
    <w:rsid w:val="007C21F1"/>
    <w:rsid w:val="007C2827"/>
    <w:rsid w:val="007C2B1F"/>
    <w:rsid w:val="007C3224"/>
    <w:rsid w:val="007C344C"/>
    <w:rsid w:val="007C3813"/>
    <w:rsid w:val="007C3858"/>
    <w:rsid w:val="007C3A26"/>
    <w:rsid w:val="007C3A80"/>
    <w:rsid w:val="007C40BB"/>
    <w:rsid w:val="007C41F0"/>
    <w:rsid w:val="007C42C0"/>
    <w:rsid w:val="007C4CB1"/>
    <w:rsid w:val="007C5029"/>
    <w:rsid w:val="007C527A"/>
    <w:rsid w:val="007C543F"/>
    <w:rsid w:val="007C6A0A"/>
    <w:rsid w:val="007C6DD2"/>
    <w:rsid w:val="007C6E85"/>
    <w:rsid w:val="007C6EA8"/>
    <w:rsid w:val="007C6F36"/>
    <w:rsid w:val="007C70A7"/>
    <w:rsid w:val="007C73B0"/>
    <w:rsid w:val="007C74E5"/>
    <w:rsid w:val="007C76FB"/>
    <w:rsid w:val="007D060B"/>
    <w:rsid w:val="007D0698"/>
    <w:rsid w:val="007D0E43"/>
    <w:rsid w:val="007D0FFB"/>
    <w:rsid w:val="007D13E7"/>
    <w:rsid w:val="007D1991"/>
    <w:rsid w:val="007D1E37"/>
    <w:rsid w:val="007D2037"/>
    <w:rsid w:val="007D227D"/>
    <w:rsid w:val="007D232F"/>
    <w:rsid w:val="007D2385"/>
    <w:rsid w:val="007D2E2D"/>
    <w:rsid w:val="007D3D9D"/>
    <w:rsid w:val="007D3F52"/>
    <w:rsid w:val="007D45F8"/>
    <w:rsid w:val="007D48B3"/>
    <w:rsid w:val="007D4DCF"/>
    <w:rsid w:val="007D52CA"/>
    <w:rsid w:val="007D563E"/>
    <w:rsid w:val="007D577F"/>
    <w:rsid w:val="007D5B51"/>
    <w:rsid w:val="007D5BA5"/>
    <w:rsid w:val="007D5F71"/>
    <w:rsid w:val="007D5FC1"/>
    <w:rsid w:val="007D6485"/>
    <w:rsid w:val="007D6C3F"/>
    <w:rsid w:val="007D715A"/>
    <w:rsid w:val="007D733A"/>
    <w:rsid w:val="007D740C"/>
    <w:rsid w:val="007E0153"/>
    <w:rsid w:val="007E0A3F"/>
    <w:rsid w:val="007E0E9E"/>
    <w:rsid w:val="007E10A9"/>
    <w:rsid w:val="007E1199"/>
    <w:rsid w:val="007E17B3"/>
    <w:rsid w:val="007E19DC"/>
    <w:rsid w:val="007E1CEA"/>
    <w:rsid w:val="007E21FB"/>
    <w:rsid w:val="007E2347"/>
    <w:rsid w:val="007E26A8"/>
    <w:rsid w:val="007E2E3F"/>
    <w:rsid w:val="007E329D"/>
    <w:rsid w:val="007E3474"/>
    <w:rsid w:val="007E35DC"/>
    <w:rsid w:val="007E39E7"/>
    <w:rsid w:val="007E420B"/>
    <w:rsid w:val="007E47D2"/>
    <w:rsid w:val="007E4932"/>
    <w:rsid w:val="007E49D4"/>
    <w:rsid w:val="007E502C"/>
    <w:rsid w:val="007E598A"/>
    <w:rsid w:val="007E5A74"/>
    <w:rsid w:val="007E5BD7"/>
    <w:rsid w:val="007E6023"/>
    <w:rsid w:val="007E659E"/>
    <w:rsid w:val="007E69C0"/>
    <w:rsid w:val="007E75F0"/>
    <w:rsid w:val="007E7968"/>
    <w:rsid w:val="007E7E7A"/>
    <w:rsid w:val="007F013A"/>
    <w:rsid w:val="007F067A"/>
    <w:rsid w:val="007F0691"/>
    <w:rsid w:val="007F088F"/>
    <w:rsid w:val="007F1890"/>
    <w:rsid w:val="007F193D"/>
    <w:rsid w:val="007F1CE5"/>
    <w:rsid w:val="007F1FB0"/>
    <w:rsid w:val="007F2857"/>
    <w:rsid w:val="007F2D90"/>
    <w:rsid w:val="007F3EFD"/>
    <w:rsid w:val="007F4211"/>
    <w:rsid w:val="007F4F82"/>
    <w:rsid w:val="007F53A5"/>
    <w:rsid w:val="007F54DB"/>
    <w:rsid w:val="007F5DE4"/>
    <w:rsid w:val="007F67D0"/>
    <w:rsid w:val="007F6A9A"/>
    <w:rsid w:val="007F6B93"/>
    <w:rsid w:val="007F6B9F"/>
    <w:rsid w:val="007F709F"/>
    <w:rsid w:val="007F73DA"/>
    <w:rsid w:val="007F78FA"/>
    <w:rsid w:val="0080042A"/>
    <w:rsid w:val="008008F3"/>
    <w:rsid w:val="008013D6"/>
    <w:rsid w:val="008014FC"/>
    <w:rsid w:val="008018AD"/>
    <w:rsid w:val="00801CA0"/>
    <w:rsid w:val="00801EEA"/>
    <w:rsid w:val="00802493"/>
    <w:rsid w:val="00802785"/>
    <w:rsid w:val="00802D6D"/>
    <w:rsid w:val="008039FE"/>
    <w:rsid w:val="00804653"/>
    <w:rsid w:val="00804A2E"/>
    <w:rsid w:val="00805D36"/>
    <w:rsid w:val="00806336"/>
    <w:rsid w:val="00806579"/>
    <w:rsid w:val="008066F8"/>
    <w:rsid w:val="00806A84"/>
    <w:rsid w:val="00806F66"/>
    <w:rsid w:val="008073D2"/>
    <w:rsid w:val="0080750E"/>
    <w:rsid w:val="00807C6C"/>
    <w:rsid w:val="00807F4C"/>
    <w:rsid w:val="0081138B"/>
    <w:rsid w:val="00811F8C"/>
    <w:rsid w:val="0081243E"/>
    <w:rsid w:val="00812687"/>
    <w:rsid w:val="00812B10"/>
    <w:rsid w:val="00813278"/>
    <w:rsid w:val="00813385"/>
    <w:rsid w:val="0081340B"/>
    <w:rsid w:val="00813D52"/>
    <w:rsid w:val="00813DA5"/>
    <w:rsid w:val="00813E59"/>
    <w:rsid w:val="0081628A"/>
    <w:rsid w:val="00816304"/>
    <w:rsid w:val="00816703"/>
    <w:rsid w:val="00816BD8"/>
    <w:rsid w:val="00816C39"/>
    <w:rsid w:val="00816E37"/>
    <w:rsid w:val="00817A98"/>
    <w:rsid w:val="00817BB4"/>
    <w:rsid w:val="00817DFE"/>
    <w:rsid w:val="00817E89"/>
    <w:rsid w:val="00817E9F"/>
    <w:rsid w:val="00820BE8"/>
    <w:rsid w:val="00821021"/>
    <w:rsid w:val="008214BB"/>
    <w:rsid w:val="00821609"/>
    <w:rsid w:val="00821B58"/>
    <w:rsid w:val="0082202C"/>
    <w:rsid w:val="00822117"/>
    <w:rsid w:val="0082211D"/>
    <w:rsid w:val="008225E3"/>
    <w:rsid w:val="00822922"/>
    <w:rsid w:val="00822D06"/>
    <w:rsid w:val="00822D4E"/>
    <w:rsid w:val="00822DC0"/>
    <w:rsid w:val="00823329"/>
    <w:rsid w:val="00823487"/>
    <w:rsid w:val="00823B4E"/>
    <w:rsid w:val="00823CEC"/>
    <w:rsid w:val="00824594"/>
    <w:rsid w:val="0082460C"/>
    <w:rsid w:val="008249B0"/>
    <w:rsid w:val="00824A07"/>
    <w:rsid w:val="00824E60"/>
    <w:rsid w:val="0082529F"/>
    <w:rsid w:val="00825661"/>
    <w:rsid w:val="00825BF1"/>
    <w:rsid w:val="008268A1"/>
    <w:rsid w:val="00826AC0"/>
    <w:rsid w:val="00826CD4"/>
    <w:rsid w:val="00826D8D"/>
    <w:rsid w:val="00826F17"/>
    <w:rsid w:val="00826F4C"/>
    <w:rsid w:val="00827183"/>
    <w:rsid w:val="0082722A"/>
    <w:rsid w:val="00827797"/>
    <w:rsid w:val="00827B01"/>
    <w:rsid w:val="008302F0"/>
    <w:rsid w:val="008309A3"/>
    <w:rsid w:val="0083135D"/>
    <w:rsid w:val="00832524"/>
    <w:rsid w:val="008329DB"/>
    <w:rsid w:val="00833014"/>
    <w:rsid w:val="008330FB"/>
    <w:rsid w:val="00833970"/>
    <w:rsid w:val="00833F66"/>
    <w:rsid w:val="00833FBB"/>
    <w:rsid w:val="00834846"/>
    <w:rsid w:val="00834A99"/>
    <w:rsid w:val="00834BCA"/>
    <w:rsid w:val="00834F10"/>
    <w:rsid w:val="008350BD"/>
    <w:rsid w:val="00835237"/>
    <w:rsid w:val="0083544C"/>
    <w:rsid w:val="00835503"/>
    <w:rsid w:val="008356E1"/>
    <w:rsid w:val="00835EEB"/>
    <w:rsid w:val="00836193"/>
    <w:rsid w:val="00836A4D"/>
    <w:rsid w:val="00836F94"/>
    <w:rsid w:val="0083737F"/>
    <w:rsid w:val="00837699"/>
    <w:rsid w:val="008377DA"/>
    <w:rsid w:val="00837B93"/>
    <w:rsid w:val="00837DF6"/>
    <w:rsid w:val="00837FEE"/>
    <w:rsid w:val="008409B9"/>
    <w:rsid w:val="00840AEB"/>
    <w:rsid w:val="00840AFF"/>
    <w:rsid w:val="00840E57"/>
    <w:rsid w:val="008417B3"/>
    <w:rsid w:val="008425DD"/>
    <w:rsid w:val="008428DE"/>
    <w:rsid w:val="00842A25"/>
    <w:rsid w:val="00843122"/>
    <w:rsid w:val="00843427"/>
    <w:rsid w:val="00843842"/>
    <w:rsid w:val="00844002"/>
    <w:rsid w:val="0084439F"/>
    <w:rsid w:val="0084459B"/>
    <w:rsid w:val="008448DD"/>
    <w:rsid w:val="00844D06"/>
    <w:rsid w:val="00844EC9"/>
    <w:rsid w:val="00845811"/>
    <w:rsid w:val="00845A15"/>
    <w:rsid w:val="00845ED5"/>
    <w:rsid w:val="0084632F"/>
    <w:rsid w:val="0084708B"/>
    <w:rsid w:val="00847121"/>
    <w:rsid w:val="00847309"/>
    <w:rsid w:val="008475A9"/>
    <w:rsid w:val="0084765F"/>
    <w:rsid w:val="00847C0D"/>
    <w:rsid w:val="00847C2B"/>
    <w:rsid w:val="00847DA7"/>
    <w:rsid w:val="00850C0F"/>
    <w:rsid w:val="00850EF7"/>
    <w:rsid w:val="0085106A"/>
    <w:rsid w:val="008523F6"/>
    <w:rsid w:val="00852945"/>
    <w:rsid w:val="00852A1F"/>
    <w:rsid w:val="00853195"/>
    <w:rsid w:val="0085381C"/>
    <w:rsid w:val="00853C37"/>
    <w:rsid w:val="00853F10"/>
    <w:rsid w:val="00853F6C"/>
    <w:rsid w:val="008541E3"/>
    <w:rsid w:val="0085460D"/>
    <w:rsid w:val="0085468B"/>
    <w:rsid w:val="00854D3D"/>
    <w:rsid w:val="00854EA0"/>
    <w:rsid w:val="008552FC"/>
    <w:rsid w:val="00855423"/>
    <w:rsid w:val="008556A6"/>
    <w:rsid w:val="008556B3"/>
    <w:rsid w:val="00855B06"/>
    <w:rsid w:val="008561BB"/>
    <w:rsid w:val="008565AA"/>
    <w:rsid w:val="008575F9"/>
    <w:rsid w:val="00857641"/>
    <w:rsid w:val="00857D29"/>
    <w:rsid w:val="00857E25"/>
    <w:rsid w:val="00860071"/>
    <w:rsid w:val="00860A30"/>
    <w:rsid w:val="00861DC6"/>
    <w:rsid w:val="00862095"/>
    <w:rsid w:val="0086214C"/>
    <w:rsid w:val="008629A8"/>
    <w:rsid w:val="00862E46"/>
    <w:rsid w:val="00863089"/>
    <w:rsid w:val="00863198"/>
    <w:rsid w:val="008633A9"/>
    <w:rsid w:val="00863544"/>
    <w:rsid w:val="00863B3D"/>
    <w:rsid w:val="00863C98"/>
    <w:rsid w:val="00863E32"/>
    <w:rsid w:val="008640B5"/>
    <w:rsid w:val="008648E6"/>
    <w:rsid w:val="00864C32"/>
    <w:rsid w:val="00864C9F"/>
    <w:rsid w:val="00864D55"/>
    <w:rsid w:val="00865199"/>
    <w:rsid w:val="00865426"/>
    <w:rsid w:val="008655BA"/>
    <w:rsid w:val="00865F44"/>
    <w:rsid w:val="0086605D"/>
    <w:rsid w:val="00866572"/>
    <w:rsid w:val="008667FD"/>
    <w:rsid w:val="008679DC"/>
    <w:rsid w:val="00870272"/>
    <w:rsid w:val="008706AE"/>
    <w:rsid w:val="00870CB6"/>
    <w:rsid w:val="00870D76"/>
    <w:rsid w:val="00871421"/>
    <w:rsid w:val="00871499"/>
    <w:rsid w:val="0087163B"/>
    <w:rsid w:val="0087270F"/>
    <w:rsid w:val="00872828"/>
    <w:rsid w:val="00872882"/>
    <w:rsid w:val="00872C79"/>
    <w:rsid w:val="00873D3D"/>
    <w:rsid w:val="00873FEA"/>
    <w:rsid w:val="0087419B"/>
    <w:rsid w:val="008743DF"/>
    <w:rsid w:val="00874592"/>
    <w:rsid w:val="0087475F"/>
    <w:rsid w:val="00874E59"/>
    <w:rsid w:val="00874F9A"/>
    <w:rsid w:val="0087516A"/>
    <w:rsid w:val="00875679"/>
    <w:rsid w:val="00875ADE"/>
    <w:rsid w:val="00875E1F"/>
    <w:rsid w:val="00875E91"/>
    <w:rsid w:val="008762F2"/>
    <w:rsid w:val="0087655C"/>
    <w:rsid w:val="00876F84"/>
    <w:rsid w:val="00876FF9"/>
    <w:rsid w:val="00877741"/>
    <w:rsid w:val="008777A6"/>
    <w:rsid w:val="008778FD"/>
    <w:rsid w:val="00877DF5"/>
    <w:rsid w:val="00877E5C"/>
    <w:rsid w:val="0088028E"/>
    <w:rsid w:val="008807EE"/>
    <w:rsid w:val="00880A96"/>
    <w:rsid w:val="008814F2"/>
    <w:rsid w:val="008818F6"/>
    <w:rsid w:val="00881FFE"/>
    <w:rsid w:val="00882056"/>
    <w:rsid w:val="00882EC4"/>
    <w:rsid w:val="00882F6D"/>
    <w:rsid w:val="00883059"/>
    <w:rsid w:val="0088398E"/>
    <w:rsid w:val="008844D7"/>
    <w:rsid w:val="00884B9F"/>
    <w:rsid w:val="00885BEA"/>
    <w:rsid w:val="008862AF"/>
    <w:rsid w:val="008864AD"/>
    <w:rsid w:val="00886AC5"/>
    <w:rsid w:val="008871C1"/>
    <w:rsid w:val="00887705"/>
    <w:rsid w:val="00887887"/>
    <w:rsid w:val="00887AA0"/>
    <w:rsid w:val="00887C2D"/>
    <w:rsid w:val="00887E02"/>
    <w:rsid w:val="00890237"/>
    <w:rsid w:val="00890535"/>
    <w:rsid w:val="008909F3"/>
    <w:rsid w:val="00890B0F"/>
    <w:rsid w:val="00890CA8"/>
    <w:rsid w:val="00890D7C"/>
    <w:rsid w:val="00890F2E"/>
    <w:rsid w:val="00891E92"/>
    <w:rsid w:val="00892580"/>
    <w:rsid w:val="008929A4"/>
    <w:rsid w:val="00892ADF"/>
    <w:rsid w:val="0089305C"/>
    <w:rsid w:val="008933A7"/>
    <w:rsid w:val="00893479"/>
    <w:rsid w:val="00894121"/>
    <w:rsid w:val="00894A90"/>
    <w:rsid w:val="00894CC7"/>
    <w:rsid w:val="00894EAA"/>
    <w:rsid w:val="00894FC1"/>
    <w:rsid w:val="00895433"/>
    <w:rsid w:val="00895C1C"/>
    <w:rsid w:val="00896ADB"/>
    <w:rsid w:val="008977CD"/>
    <w:rsid w:val="00897A3D"/>
    <w:rsid w:val="00897E03"/>
    <w:rsid w:val="00897F77"/>
    <w:rsid w:val="008A0547"/>
    <w:rsid w:val="008A05E0"/>
    <w:rsid w:val="008A072C"/>
    <w:rsid w:val="008A0FB6"/>
    <w:rsid w:val="008A1517"/>
    <w:rsid w:val="008A1C47"/>
    <w:rsid w:val="008A2400"/>
    <w:rsid w:val="008A28A5"/>
    <w:rsid w:val="008A3084"/>
    <w:rsid w:val="008A34BF"/>
    <w:rsid w:val="008A35AB"/>
    <w:rsid w:val="008A35E7"/>
    <w:rsid w:val="008A465B"/>
    <w:rsid w:val="008A48FF"/>
    <w:rsid w:val="008A4CBF"/>
    <w:rsid w:val="008A4E38"/>
    <w:rsid w:val="008A5290"/>
    <w:rsid w:val="008A5549"/>
    <w:rsid w:val="008A5684"/>
    <w:rsid w:val="008A58A2"/>
    <w:rsid w:val="008A593A"/>
    <w:rsid w:val="008A5A27"/>
    <w:rsid w:val="008A6C5A"/>
    <w:rsid w:val="008B0061"/>
    <w:rsid w:val="008B0202"/>
    <w:rsid w:val="008B031D"/>
    <w:rsid w:val="008B0EAD"/>
    <w:rsid w:val="008B1718"/>
    <w:rsid w:val="008B190C"/>
    <w:rsid w:val="008B1983"/>
    <w:rsid w:val="008B1CA3"/>
    <w:rsid w:val="008B1E83"/>
    <w:rsid w:val="008B1EF5"/>
    <w:rsid w:val="008B219A"/>
    <w:rsid w:val="008B2537"/>
    <w:rsid w:val="008B27A3"/>
    <w:rsid w:val="008B2C9C"/>
    <w:rsid w:val="008B2DF3"/>
    <w:rsid w:val="008B2E4C"/>
    <w:rsid w:val="008B349C"/>
    <w:rsid w:val="008B369E"/>
    <w:rsid w:val="008B376A"/>
    <w:rsid w:val="008B3B97"/>
    <w:rsid w:val="008B3F57"/>
    <w:rsid w:val="008B4969"/>
    <w:rsid w:val="008B5660"/>
    <w:rsid w:val="008B5790"/>
    <w:rsid w:val="008B6576"/>
    <w:rsid w:val="008B69C4"/>
    <w:rsid w:val="008B7220"/>
    <w:rsid w:val="008B75D5"/>
    <w:rsid w:val="008B78D8"/>
    <w:rsid w:val="008B79AB"/>
    <w:rsid w:val="008B7BAA"/>
    <w:rsid w:val="008C00CA"/>
    <w:rsid w:val="008C0246"/>
    <w:rsid w:val="008C031A"/>
    <w:rsid w:val="008C08A5"/>
    <w:rsid w:val="008C1349"/>
    <w:rsid w:val="008C31A3"/>
    <w:rsid w:val="008C3413"/>
    <w:rsid w:val="008C347E"/>
    <w:rsid w:val="008C36B2"/>
    <w:rsid w:val="008C384A"/>
    <w:rsid w:val="008C44D9"/>
    <w:rsid w:val="008C4510"/>
    <w:rsid w:val="008C479C"/>
    <w:rsid w:val="008C47B4"/>
    <w:rsid w:val="008C4AB7"/>
    <w:rsid w:val="008C4D4B"/>
    <w:rsid w:val="008C4E14"/>
    <w:rsid w:val="008C4EDA"/>
    <w:rsid w:val="008C4F75"/>
    <w:rsid w:val="008C543B"/>
    <w:rsid w:val="008C55A4"/>
    <w:rsid w:val="008C57A4"/>
    <w:rsid w:val="008C5C97"/>
    <w:rsid w:val="008C64E3"/>
    <w:rsid w:val="008C6EB6"/>
    <w:rsid w:val="008C725D"/>
    <w:rsid w:val="008C743F"/>
    <w:rsid w:val="008C74C6"/>
    <w:rsid w:val="008C769B"/>
    <w:rsid w:val="008C76BF"/>
    <w:rsid w:val="008C7741"/>
    <w:rsid w:val="008C7868"/>
    <w:rsid w:val="008C7883"/>
    <w:rsid w:val="008C78F9"/>
    <w:rsid w:val="008C7B5C"/>
    <w:rsid w:val="008D044B"/>
    <w:rsid w:val="008D0D1E"/>
    <w:rsid w:val="008D110C"/>
    <w:rsid w:val="008D1E79"/>
    <w:rsid w:val="008D25CD"/>
    <w:rsid w:val="008D29A6"/>
    <w:rsid w:val="008D3103"/>
    <w:rsid w:val="008D3201"/>
    <w:rsid w:val="008D32AF"/>
    <w:rsid w:val="008D33C1"/>
    <w:rsid w:val="008D345F"/>
    <w:rsid w:val="008D3735"/>
    <w:rsid w:val="008D3775"/>
    <w:rsid w:val="008D4677"/>
    <w:rsid w:val="008D49A4"/>
    <w:rsid w:val="008D5693"/>
    <w:rsid w:val="008D58D2"/>
    <w:rsid w:val="008D592A"/>
    <w:rsid w:val="008D59DD"/>
    <w:rsid w:val="008D5BAA"/>
    <w:rsid w:val="008D5D3C"/>
    <w:rsid w:val="008D776F"/>
    <w:rsid w:val="008D7A19"/>
    <w:rsid w:val="008D7E13"/>
    <w:rsid w:val="008E0D5B"/>
    <w:rsid w:val="008E1068"/>
    <w:rsid w:val="008E18A0"/>
    <w:rsid w:val="008E1CC0"/>
    <w:rsid w:val="008E1E54"/>
    <w:rsid w:val="008E2AA2"/>
    <w:rsid w:val="008E38CF"/>
    <w:rsid w:val="008E3921"/>
    <w:rsid w:val="008E3958"/>
    <w:rsid w:val="008E3B12"/>
    <w:rsid w:val="008E3B7C"/>
    <w:rsid w:val="008E3C88"/>
    <w:rsid w:val="008E47E0"/>
    <w:rsid w:val="008E4880"/>
    <w:rsid w:val="008E5643"/>
    <w:rsid w:val="008E6810"/>
    <w:rsid w:val="008E7082"/>
    <w:rsid w:val="008E7211"/>
    <w:rsid w:val="008E75CF"/>
    <w:rsid w:val="008E78F2"/>
    <w:rsid w:val="008E792D"/>
    <w:rsid w:val="008E7A90"/>
    <w:rsid w:val="008F0055"/>
    <w:rsid w:val="008F022C"/>
    <w:rsid w:val="008F089A"/>
    <w:rsid w:val="008F0AB5"/>
    <w:rsid w:val="008F0E05"/>
    <w:rsid w:val="008F0E9C"/>
    <w:rsid w:val="008F12B1"/>
    <w:rsid w:val="008F141E"/>
    <w:rsid w:val="008F1521"/>
    <w:rsid w:val="008F1F09"/>
    <w:rsid w:val="008F25A3"/>
    <w:rsid w:val="008F2838"/>
    <w:rsid w:val="008F2A9A"/>
    <w:rsid w:val="008F2CDD"/>
    <w:rsid w:val="008F41ED"/>
    <w:rsid w:val="008F4886"/>
    <w:rsid w:val="008F55DF"/>
    <w:rsid w:val="008F5988"/>
    <w:rsid w:val="008F6667"/>
    <w:rsid w:val="008F677B"/>
    <w:rsid w:val="008F6794"/>
    <w:rsid w:val="008F6E36"/>
    <w:rsid w:val="008F7069"/>
    <w:rsid w:val="008F783D"/>
    <w:rsid w:val="008F7853"/>
    <w:rsid w:val="008F7AA3"/>
    <w:rsid w:val="009000B6"/>
    <w:rsid w:val="009003DE"/>
    <w:rsid w:val="009003EA"/>
    <w:rsid w:val="00900C7B"/>
    <w:rsid w:val="00901569"/>
    <w:rsid w:val="009024F8"/>
    <w:rsid w:val="00902929"/>
    <w:rsid w:val="00902EC7"/>
    <w:rsid w:val="0090318C"/>
    <w:rsid w:val="00903488"/>
    <w:rsid w:val="009040A3"/>
    <w:rsid w:val="00904795"/>
    <w:rsid w:val="009049FD"/>
    <w:rsid w:val="00904AA8"/>
    <w:rsid w:val="00904C26"/>
    <w:rsid w:val="00904F24"/>
    <w:rsid w:val="00904FB5"/>
    <w:rsid w:val="00905021"/>
    <w:rsid w:val="009059E1"/>
    <w:rsid w:val="00905D12"/>
    <w:rsid w:val="00906619"/>
    <w:rsid w:val="00906A71"/>
    <w:rsid w:val="00906F35"/>
    <w:rsid w:val="0090727F"/>
    <w:rsid w:val="009077BA"/>
    <w:rsid w:val="00907955"/>
    <w:rsid w:val="00907957"/>
    <w:rsid w:val="0090799A"/>
    <w:rsid w:val="00907B8B"/>
    <w:rsid w:val="00910D7E"/>
    <w:rsid w:val="00910D90"/>
    <w:rsid w:val="0091140F"/>
    <w:rsid w:val="009115F6"/>
    <w:rsid w:val="0091270C"/>
    <w:rsid w:val="0091292C"/>
    <w:rsid w:val="00912DE0"/>
    <w:rsid w:val="00913421"/>
    <w:rsid w:val="0091394B"/>
    <w:rsid w:val="009145E9"/>
    <w:rsid w:val="00914825"/>
    <w:rsid w:val="009148DC"/>
    <w:rsid w:val="00916805"/>
    <w:rsid w:val="00916A15"/>
    <w:rsid w:val="00916E58"/>
    <w:rsid w:val="00916FE3"/>
    <w:rsid w:val="00917380"/>
    <w:rsid w:val="00917887"/>
    <w:rsid w:val="00917E45"/>
    <w:rsid w:val="0092007B"/>
    <w:rsid w:val="009207DB"/>
    <w:rsid w:val="009207E1"/>
    <w:rsid w:val="0092117F"/>
    <w:rsid w:val="00921BCD"/>
    <w:rsid w:val="00922024"/>
    <w:rsid w:val="00922AF6"/>
    <w:rsid w:val="00922DF4"/>
    <w:rsid w:val="00922FE4"/>
    <w:rsid w:val="009244A4"/>
    <w:rsid w:val="009246F6"/>
    <w:rsid w:val="00924B93"/>
    <w:rsid w:val="00924BF3"/>
    <w:rsid w:val="00924E99"/>
    <w:rsid w:val="00925288"/>
    <w:rsid w:val="009254AC"/>
    <w:rsid w:val="00925501"/>
    <w:rsid w:val="009255B5"/>
    <w:rsid w:val="00925C4F"/>
    <w:rsid w:val="00925E17"/>
    <w:rsid w:val="00925E32"/>
    <w:rsid w:val="00926301"/>
    <w:rsid w:val="00926982"/>
    <w:rsid w:val="00926BC8"/>
    <w:rsid w:val="00926BF2"/>
    <w:rsid w:val="00926C8F"/>
    <w:rsid w:val="00926C94"/>
    <w:rsid w:val="009270C4"/>
    <w:rsid w:val="00930542"/>
    <w:rsid w:val="00930AA4"/>
    <w:rsid w:val="00930B54"/>
    <w:rsid w:val="00930DF3"/>
    <w:rsid w:val="00930E8A"/>
    <w:rsid w:val="00930F71"/>
    <w:rsid w:val="00931317"/>
    <w:rsid w:val="00931B25"/>
    <w:rsid w:val="00931C34"/>
    <w:rsid w:val="00931D3F"/>
    <w:rsid w:val="0093200A"/>
    <w:rsid w:val="0093208D"/>
    <w:rsid w:val="00932096"/>
    <w:rsid w:val="00932196"/>
    <w:rsid w:val="009321A3"/>
    <w:rsid w:val="0093226D"/>
    <w:rsid w:val="00932459"/>
    <w:rsid w:val="00932B16"/>
    <w:rsid w:val="00932FE6"/>
    <w:rsid w:val="0093412A"/>
    <w:rsid w:val="0093461F"/>
    <w:rsid w:val="00934FA8"/>
    <w:rsid w:val="009363BC"/>
    <w:rsid w:val="00936535"/>
    <w:rsid w:val="0093740F"/>
    <w:rsid w:val="00937B4A"/>
    <w:rsid w:val="00937C1D"/>
    <w:rsid w:val="009405AC"/>
    <w:rsid w:val="009405DB"/>
    <w:rsid w:val="00940712"/>
    <w:rsid w:val="00940A16"/>
    <w:rsid w:val="00940F58"/>
    <w:rsid w:val="00940FC3"/>
    <w:rsid w:val="0094131D"/>
    <w:rsid w:val="0094185C"/>
    <w:rsid w:val="00941BCB"/>
    <w:rsid w:val="00941C49"/>
    <w:rsid w:val="00941F69"/>
    <w:rsid w:val="00942120"/>
    <w:rsid w:val="00942316"/>
    <w:rsid w:val="009425F7"/>
    <w:rsid w:val="00942A91"/>
    <w:rsid w:val="00942F09"/>
    <w:rsid w:val="00942FE3"/>
    <w:rsid w:val="009437F6"/>
    <w:rsid w:val="00943DD5"/>
    <w:rsid w:val="00943F26"/>
    <w:rsid w:val="00944637"/>
    <w:rsid w:val="00944813"/>
    <w:rsid w:val="0094484C"/>
    <w:rsid w:val="00944BC7"/>
    <w:rsid w:val="00944BF0"/>
    <w:rsid w:val="00945072"/>
    <w:rsid w:val="009450E6"/>
    <w:rsid w:val="009458E3"/>
    <w:rsid w:val="00946136"/>
    <w:rsid w:val="00946208"/>
    <w:rsid w:val="00946C1D"/>
    <w:rsid w:val="00947B25"/>
    <w:rsid w:val="00950B62"/>
    <w:rsid w:val="0095124C"/>
    <w:rsid w:val="009512F4"/>
    <w:rsid w:val="00951A3E"/>
    <w:rsid w:val="00951FA8"/>
    <w:rsid w:val="009520CE"/>
    <w:rsid w:val="00952FEE"/>
    <w:rsid w:val="0095348B"/>
    <w:rsid w:val="00953596"/>
    <w:rsid w:val="00953BA0"/>
    <w:rsid w:val="00953BB4"/>
    <w:rsid w:val="00954282"/>
    <w:rsid w:val="009543E5"/>
    <w:rsid w:val="00954427"/>
    <w:rsid w:val="0095467D"/>
    <w:rsid w:val="00954E74"/>
    <w:rsid w:val="00955150"/>
    <w:rsid w:val="009555AB"/>
    <w:rsid w:val="009560A6"/>
    <w:rsid w:val="009562BF"/>
    <w:rsid w:val="00956A2A"/>
    <w:rsid w:val="00956BBB"/>
    <w:rsid w:val="00956DC3"/>
    <w:rsid w:val="00957A1B"/>
    <w:rsid w:val="009607DA"/>
    <w:rsid w:val="00960C03"/>
    <w:rsid w:val="00961505"/>
    <w:rsid w:val="009618F2"/>
    <w:rsid w:val="00961B3E"/>
    <w:rsid w:val="00961C0C"/>
    <w:rsid w:val="0096205F"/>
    <w:rsid w:val="0096323E"/>
    <w:rsid w:val="009633FD"/>
    <w:rsid w:val="00963FAA"/>
    <w:rsid w:val="0096475C"/>
    <w:rsid w:val="00964924"/>
    <w:rsid w:val="00964F4E"/>
    <w:rsid w:val="00965161"/>
    <w:rsid w:val="00965401"/>
    <w:rsid w:val="00965A7A"/>
    <w:rsid w:val="00965E37"/>
    <w:rsid w:val="00965F51"/>
    <w:rsid w:val="00966425"/>
    <w:rsid w:val="0096646C"/>
    <w:rsid w:val="009664D4"/>
    <w:rsid w:val="009666AA"/>
    <w:rsid w:val="00966E16"/>
    <w:rsid w:val="0096797D"/>
    <w:rsid w:val="00967C2F"/>
    <w:rsid w:val="0097030A"/>
    <w:rsid w:val="009710C3"/>
    <w:rsid w:val="00971262"/>
    <w:rsid w:val="009713DD"/>
    <w:rsid w:val="00971A57"/>
    <w:rsid w:val="00971C53"/>
    <w:rsid w:val="009725F2"/>
    <w:rsid w:val="00972DC6"/>
    <w:rsid w:val="00972F2E"/>
    <w:rsid w:val="0097311D"/>
    <w:rsid w:val="00973179"/>
    <w:rsid w:val="00974105"/>
    <w:rsid w:val="00974795"/>
    <w:rsid w:val="00974B4D"/>
    <w:rsid w:val="00975C75"/>
    <w:rsid w:val="009761BB"/>
    <w:rsid w:val="00976390"/>
    <w:rsid w:val="00976582"/>
    <w:rsid w:val="0097766C"/>
    <w:rsid w:val="00977BCA"/>
    <w:rsid w:val="0098054A"/>
    <w:rsid w:val="009806FB"/>
    <w:rsid w:val="009809DE"/>
    <w:rsid w:val="00981000"/>
    <w:rsid w:val="0098177A"/>
    <w:rsid w:val="00981ABB"/>
    <w:rsid w:val="00982997"/>
    <w:rsid w:val="009833A5"/>
    <w:rsid w:val="0098393F"/>
    <w:rsid w:val="00983CE9"/>
    <w:rsid w:val="00983EFD"/>
    <w:rsid w:val="0098422A"/>
    <w:rsid w:val="009845AF"/>
    <w:rsid w:val="009849BB"/>
    <w:rsid w:val="00984A8A"/>
    <w:rsid w:val="009855E7"/>
    <w:rsid w:val="00985855"/>
    <w:rsid w:val="00985D58"/>
    <w:rsid w:val="00985DFA"/>
    <w:rsid w:val="00986257"/>
    <w:rsid w:val="0098643B"/>
    <w:rsid w:val="00986466"/>
    <w:rsid w:val="009864CE"/>
    <w:rsid w:val="009867A7"/>
    <w:rsid w:val="00986861"/>
    <w:rsid w:val="009868C9"/>
    <w:rsid w:val="00986A32"/>
    <w:rsid w:val="009878A0"/>
    <w:rsid w:val="00987BF5"/>
    <w:rsid w:val="00987CBC"/>
    <w:rsid w:val="00987FE7"/>
    <w:rsid w:val="00990519"/>
    <w:rsid w:val="00990609"/>
    <w:rsid w:val="00990904"/>
    <w:rsid w:val="00990AAE"/>
    <w:rsid w:val="00990D2C"/>
    <w:rsid w:val="00990DB9"/>
    <w:rsid w:val="00991706"/>
    <w:rsid w:val="009917E6"/>
    <w:rsid w:val="00992022"/>
    <w:rsid w:val="0099228A"/>
    <w:rsid w:val="009924B9"/>
    <w:rsid w:val="009925AC"/>
    <w:rsid w:val="00992815"/>
    <w:rsid w:val="00992935"/>
    <w:rsid w:val="00992AFB"/>
    <w:rsid w:val="00992E3D"/>
    <w:rsid w:val="0099301E"/>
    <w:rsid w:val="0099337A"/>
    <w:rsid w:val="009936DB"/>
    <w:rsid w:val="00993F17"/>
    <w:rsid w:val="00993FFC"/>
    <w:rsid w:val="00994268"/>
    <w:rsid w:val="009943CA"/>
    <w:rsid w:val="00994EA1"/>
    <w:rsid w:val="00995141"/>
    <w:rsid w:val="0099560D"/>
    <w:rsid w:val="0099589D"/>
    <w:rsid w:val="00995E04"/>
    <w:rsid w:val="009961D6"/>
    <w:rsid w:val="00996326"/>
    <w:rsid w:val="00996349"/>
    <w:rsid w:val="00996415"/>
    <w:rsid w:val="00996546"/>
    <w:rsid w:val="009966A8"/>
    <w:rsid w:val="0099687E"/>
    <w:rsid w:val="00996C6A"/>
    <w:rsid w:val="00996CA3"/>
    <w:rsid w:val="00996E73"/>
    <w:rsid w:val="0099723F"/>
    <w:rsid w:val="009978A9"/>
    <w:rsid w:val="00997F31"/>
    <w:rsid w:val="009A09B4"/>
    <w:rsid w:val="009A10A4"/>
    <w:rsid w:val="009A1411"/>
    <w:rsid w:val="009A1CD8"/>
    <w:rsid w:val="009A1F25"/>
    <w:rsid w:val="009A214E"/>
    <w:rsid w:val="009A2838"/>
    <w:rsid w:val="009A28B2"/>
    <w:rsid w:val="009A2EFF"/>
    <w:rsid w:val="009A2FDF"/>
    <w:rsid w:val="009A327E"/>
    <w:rsid w:val="009A3451"/>
    <w:rsid w:val="009A3567"/>
    <w:rsid w:val="009A44E8"/>
    <w:rsid w:val="009A4654"/>
    <w:rsid w:val="009A4A0D"/>
    <w:rsid w:val="009A4F69"/>
    <w:rsid w:val="009A5B4A"/>
    <w:rsid w:val="009A5F6E"/>
    <w:rsid w:val="009A602D"/>
    <w:rsid w:val="009A61FF"/>
    <w:rsid w:val="009A6BC0"/>
    <w:rsid w:val="009A74CB"/>
    <w:rsid w:val="009A775A"/>
    <w:rsid w:val="009A7A01"/>
    <w:rsid w:val="009A7C99"/>
    <w:rsid w:val="009B09C4"/>
    <w:rsid w:val="009B0FD8"/>
    <w:rsid w:val="009B1D07"/>
    <w:rsid w:val="009B1DA5"/>
    <w:rsid w:val="009B2453"/>
    <w:rsid w:val="009B2861"/>
    <w:rsid w:val="009B28FD"/>
    <w:rsid w:val="009B2AD6"/>
    <w:rsid w:val="009B2B64"/>
    <w:rsid w:val="009B34B9"/>
    <w:rsid w:val="009B35D6"/>
    <w:rsid w:val="009B37F0"/>
    <w:rsid w:val="009B3F30"/>
    <w:rsid w:val="009B3FF1"/>
    <w:rsid w:val="009B45AC"/>
    <w:rsid w:val="009B45F0"/>
    <w:rsid w:val="009B4BDC"/>
    <w:rsid w:val="009B4F14"/>
    <w:rsid w:val="009B5594"/>
    <w:rsid w:val="009B568E"/>
    <w:rsid w:val="009B57DF"/>
    <w:rsid w:val="009B5879"/>
    <w:rsid w:val="009B5A37"/>
    <w:rsid w:val="009B6792"/>
    <w:rsid w:val="009B7144"/>
    <w:rsid w:val="009B729E"/>
    <w:rsid w:val="009B738C"/>
    <w:rsid w:val="009B7498"/>
    <w:rsid w:val="009B74A2"/>
    <w:rsid w:val="009B74BB"/>
    <w:rsid w:val="009B758E"/>
    <w:rsid w:val="009B77D9"/>
    <w:rsid w:val="009B7ED4"/>
    <w:rsid w:val="009C067A"/>
    <w:rsid w:val="009C0A9A"/>
    <w:rsid w:val="009C0CB4"/>
    <w:rsid w:val="009C0F5B"/>
    <w:rsid w:val="009C104A"/>
    <w:rsid w:val="009C1083"/>
    <w:rsid w:val="009C169C"/>
    <w:rsid w:val="009C178B"/>
    <w:rsid w:val="009C17E8"/>
    <w:rsid w:val="009C221F"/>
    <w:rsid w:val="009C27F8"/>
    <w:rsid w:val="009C34CB"/>
    <w:rsid w:val="009C3BFC"/>
    <w:rsid w:val="009C3D84"/>
    <w:rsid w:val="009C411A"/>
    <w:rsid w:val="009C4228"/>
    <w:rsid w:val="009C42B4"/>
    <w:rsid w:val="009C443A"/>
    <w:rsid w:val="009C469D"/>
    <w:rsid w:val="009C4701"/>
    <w:rsid w:val="009C4B41"/>
    <w:rsid w:val="009C50B7"/>
    <w:rsid w:val="009C51B3"/>
    <w:rsid w:val="009C5923"/>
    <w:rsid w:val="009C6283"/>
    <w:rsid w:val="009C6981"/>
    <w:rsid w:val="009C6BB4"/>
    <w:rsid w:val="009C7773"/>
    <w:rsid w:val="009C781D"/>
    <w:rsid w:val="009C79FD"/>
    <w:rsid w:val="009C7A50"/>
    <w:rsid w:val="009C7B1D"/>
    <w:rsid w:val="009D03F1"/>
    <w:rsid w:val="009D1844"/>
    <w:rsid w:val="009D19B9"/>
    <w:rsid w:val="009D1C41"/>
    <w:rsid w:val="009D1CF4"/>
    <w:rsid w:val="009D2E19"/>
    <w:rsid w:val="009D2E2B"/>
    <w:rsid w:val="009D3528"/>
    <w:rsid w:val="009D380F"/>
    <w:rsid w:val="009D402B"/>
    <w:rsid w:val="009D49AF"/>
    <w:rsid w:val="009D5001"/>
    <w:rsid w:val="009D57A7"/>
    <w:rsid w:val="009D5A1E"/>
    <w:rsid w:val="009D678C"/>
    <w:rsid w:val="009D77C9"/>
    <w:rsid w:val="009D7D70"/>
    <w:rsid w:val="009E0410"/>
    <w:rsid w:val="009E0B59"/>
    <w:rsid w:val="009E0BFF"/>
    <w:rsid w:val="009E13B0"/>
    <w:rsid w:val="009E13F3"/>
    <w:rsid w:val="009E1607"/>
    <w:rsid w:val="009E2227"/>
    <w:rsid w:val="009E237E"/>
    <w:rsid w:val="009E2D39"/>
    <w:rsid w:val="009E2E06"/>
    <w:rsid w:val="009E2E5A"/>
    <w:rsid w:val="009E33D1"/>
    <w:rsid w:val="009E3FEF"/>
    <w:rsid w:val="009E4CF8"/>
    <w:rsid w:val="009E4D3E"/>
    <w:rsid w:val="009E52D3"/>
    <w:rsid w:val="009E53EC"/>
    <w:rsid w:val="009E6A55"/>
    <w:rsid w:val="009E6DD0"/>
    <w:rsid w:val="009E6F5C"/>
    <w:rsid w:val="009E7562"/>
    <w:rsid w:val="009E7ADC"/>
    <w:rsid w:val="009E7B6B"/>
    <w:rsid w:val="009F0861"/>
    <w:rsid w:val="009F0BD9"/>
    <w:rsid w:val="009F0C30"/>
    <w:rsid w:val="009F1A0A"/>
    <w:rsid w:val="009F1EB9"/>
    <w:rsid w:val="009F21DC"/>
    <w:rsid w:val="009F2803"/>
    <w:rsid w:val="009F293D"/>
    <w:rsid w:val="009F2BA2"/>
    <w:rsid w:val="009F2C42"/>
    <w:rsid w:val="009F31A9"/>
    <w:rsid w:val="009F3332"/>
    <w:rsid w:val="009F33FA"/>
    <w:rsid w:val="009F344F"/>
    <w:rsid w:val="009F3645"/>
    <w:rsid w:val="009F3AC7"/>
    <w:rsid w:val="009F4283"/>
    <w:rsid w:val="009F42F3"/>
    <w:rsid w:val="009F4BCE"/>
    <w:rsid w:val="009F4C2B"/>
    <w:rsid w:val="009F4E26"/>
    <w:rsid w:val="009F5105"/>
    <w:rsid w:val="009F5259"/>
    <w:rsid w:val="009F5DC4"/>
    <w:rsid w:val="009F6769"/>
    <w:rsid w:val="009F6903"/>
    <w:rsid w:val="009F7107"/>
    <w:rsid w:val="009F7CA8"/>
    <w:rsid w:val="00A002F3"/>
    <w:rsid w:val="00A006BD"/>
    <w:rsid w:val="00A006E1"/>
    <w:rsid w:val="00A00824"/>
    <w:rsid w:val="00A009AC"/>
    <w:rsid w:val="00A00D50"/>
    <w:rsid w:val="00A00DAC"/>
    <w:rsid w:val="00A00DC0"/>
    <w:rsid w:val="00A00FC7"/>
    <w:rsid w:val="00A00FF1"/>
    <w:rsid w:val="00A01149"/>
    <w:rsid w:val="00A01C1F"/>
    <w:rsid w:val="00A01C86"/>
    <w:rsid w:val="00A01C98"/>
    <w:rsid w:val="00A01D92"/>
    <w:rsid w:val="00A02A9F"/>
    <w:rsid w:val="00A02CE8"/>
    <w:rsid w:val="00A02EE0"/>
    <w:rsid w:val="00A02F54"/>
    <w:rsid w:val="00A035F2"/>
    <w:rsid w:val="00A03C90"/>
    <w:rsid w:val="00A04C41"/>
    <w:rsid w:val="00A051FC"/>
    <w:rsid w:val="00A0521B"/>
    <w:rsid w:val="00A052AE"/>
    <w:rsid w:val="00A05322"/>
    <w:rsid w:val="00A05A92"/>
    <w:rsid w:val="00A05ACF"/>
    <w:rsid w:val="00A05D66"/>
    <w:rsid w:val="00A06A54"/>
    <w:rsid w:val="00A06E0F"/>
    <w:rsid w:val="00A06E22"/>
    <w:rsid w:val="00A06EFA"/>
    <w:rsid w:val="00A0749B"/>
    <w:rsid w:val="00A077FC"/>
    <w:rsid w:val="00A10207"/>
    <w:rsid w:val="00A10423"/>
    <w:rsid w:val="00A1050E"/>
    <w:rsid w:val="00A1061C"/>
    <w:rsid w:val="00A10D02"/>
    <w:rsid w:val="00A11911"/>
    <w:rsid w:val="00A11972"/>
    <w:rsid w:val="00A1238B"/>
    <w:rsid w:val="00A1260D"/>
    <w:rsid w:val="00A129CC"/>
    <w:rsid w:val="00A136C8"/>
    <w:rsid w:val="00A137EE"/>
    <w:rsid w:val="00A13CAB"/>
    <w:rsid w:val="00A14034"/>
    <w:rsid w:val="00A14AA2"/>
    <w:rsid w:val="00A152F6"/>
    <w:rsid w:val="00A1548E"/>
    <w:rsid w:val="00A15A52"/>
    <w:rsid w:val="00A1614F"/>
    <w:rsid w:val="00A162F2"/>
    <w:rsid w:val="00A171E1"/>
    <w:rsid w:val="00A172FD"/>
    <w:rsid w:val="00A179AD"/>
    <w:rsid w:val="00A17AEF"/>
    <w:rsid w:val="00A17CFF"/>
    <w:rsid w:val="00A201CF"/>
    <w:rsid w:val="00A20889"/>
    <w:rsid w:val="00A20A26"/>
    <w:rsid w:val="00A21221"/>
    <w:rsid w:val="00A218FE"/>
    <w:rsid w:val="00A21F85"/>
    <w:rsid w:val="00A22536"/>
    <w:rsid w:val="00A227AB"/>
    <w:rsid w:val="00A2283C"/>
    <w:rsid w:val="00A230B1"/>
    <w:rsid w:val="00A2323D"/>
    <w:rsid w:val="00A240AC"/>
    <w:rsid w:val="00A240FF"/>
    <w:rsid w:val="00A2594C"/>
    <w:rsid w:val="00A266C7"/>
    <w:rsid w:val="00A26C96"/>
    <w:rsid w:val="00A2732C"/>
    <w:rsid w:val="00A277C7"/>
    <w:rsid w:val="00A27A71"/>
    <w:rsid w:val="00A27F02"/>
    <w:rsid w:val="00A30047"/>
    <w:rsid w:val="00A301BA"/>
    <w:rsid w:val="00A310C7"/>
    <w:rsid w:val="00A311A8"/>
    <w:rsid w:val="00A314E5"/>
    <w:rsid w:val="00A31CC5"/>
    <w:rsid w:val="00A31DF9"/>
    <w:rsid w:val="00A32078"/>
    <w:rsid w:val="00A32211"/>
    <w:rsid w:val="00A323FD"/>
    <w:rsid w:val="00A32462"/>
    <w:rsid w:val="00A326EF"/>
    <w:rsid w:val="00A32D14"/>
    <w:rsid w:val="00A33876"/>
    <w:rsid w:val="00A33D3A"/>
    <w:rsid w:val="00A34114"/>
    <w:rsid w:val="00A34B29"/>
    <w:rsid w:val="00A34BEA"/>
    <w:rsid w:val="00A34C81"/>
    <w:rsid w:val="00A34E19"/>
    <w:rsid w:val="00A35040"/>
    <w:rsid w:val="00A353D8"/>
    <w:rsid w:val="00A35615"/>
    <w:rsid w:val="00A35B31"/>
    <w:rsid w:val="00A35F00"/>
    <w:rsid w:val="00A361AE"/>
    <w:rsid w:val="00A3664B"/>
    <w:rsid w:val="00A36B46"/>
    <w:rsid w:val="00A36BD5"/>
    <w:rsid w:val="00A37269"/>
    <w:rsid w:val="00A374B1"/>
    <w:rsid w:val="00A401BF"/>
    <w:rsid w:val="00A40906"/>
    <w:rsid w:val="00A409B8"/>
    <w:rsid w:val="00A40C3D"/>
    <w:rsid w:val="00A40D0C"/>
    <w:rsid w:val="00A41302"/>
    <w:rsid w:val="00A415E2"/>
    <w:rsid w:val="00A41C59"/>
    <w:rsid w:val="00A41C63"/>
    <w:rsid w:val="00A420F4"/>
    <w:rsid w:val="00A42130"/>
    <w:rsid w:val="00A421C0"/>
    <w:rsid w:val="00A4271D"/>
    <w:rsid w:val="00A42B3E"/>
    <w:rsid w:val="00A43021"/>
    <w:rsid w:val="00A43278"/>
    <w:rsid w:val="00A4349B"/>
    <w:rsid w:val="00A434EC"/>
    <w:rsid w:val="00A44F68"/>
    <w:rsid w:val="00A459D9"/>
    <w:rsid w:val="00A463EB"/>
    <w:rsid w:val="00A466BC"/>
    <w:rsid w:val="00A469C6"/>
    <w:rsid w:val="00A47029"/>
    <w:rsid w:val="00A47341"/>
    <w:rsid w:val="00A50299"/>
    <w:rsid w:val="00A503CF"/>
    <w:rsid w:val="00A50F4B"/>
    <w:rsid w:val="00A510C2"/>
    <w:rsid w:val="00A518F3"/>
    <w:rsid w:val="00A51D1A"/>
    <w:rsid w:val="00A51D94"/>
    <w:rsid w:val="00A52100"/>
    <w:rsid w:val="00A525EC"/>
    <w:rsid w:val="00A52885"/>
    <w:rsid w:val="00A52FC1"/>
    <w:rsid w:val="00A53048"/>
    <w:rsid w:val="00A5334A"/>
    <w:rsid w:val="00A536D5"/>
    <w:rsid w:val="00A53FCE"/>
    <w:rsid w:val="00A5425D"/>
    <w:rsid w:val="00A5510E"/>
    <w:rsid w:val="00A554CB"/>
    <w:rsid w:val="00A559F4"/>
    <w:rsid w:val="00A56001"/>
    <w:rsid w:val="00A56547"/>
    <w:rsid w:val="00A56BBE"/>
    <w:rsid w:val="00A56D12"/>
    <w:rsid w:val="00A570AE"/>
    <w:rsid w:val="00A570E0"/>
    <w:rsid w:val="00A57343"/>
    <w:rsid w:val="00A57566"/>
    <w:rsid w:val="00A57593"/>
    <w:rsid w:val="00A57889"/>
    <w:rsid w:val="00A606A0"/>
    <w:rsid w:val="00A60754"/>
    <w:rsid w:val="00A60AEA"/>
    <w:rsid w:val="00A60E0C"/>
    <w:rsid w:val="00A61263"/>
    <w:rsid w:val="00A614AD"/>
    <w:rsid w:val="00A61886"/>
    <w:rsid w:val="00A61C42"/>
    <w:rsid w:val="00A6300B"/>
    <w:rsid w:val="00A63706"/>
    <w:rsid w:val="00A63A0E"/>
    <w:rsid w:val="00A63D89"/>
    <w:rsid w:val="00A64DAD"/>
    <w:rsid w:val="00A650DB"/>
    <w:rsid w:val="00A65406"/>
    <w:rsid w:val="00A65E52"/>
    <w:rsid w:val="00A66B3D"/>
    <w:rsid w:val="00A66E04"/>
    <w:rsid w:val="00A671B3"/>
    <w:rsid w:val="00A673BA"/>
    <w:rsid w:val="00A6775B"/>
    <w:rsid w:val="00A67E84"/>
    <w:rsid w:val="00A67F13"/>
    <w:rsid w:val="00A71084"/>
    <w:rsid w:val="00A71181"/>
    <w:rsid w:val="00A71996"/>
    <w:rsid w:val="00A722F7"/>
    <w:rsid w:val="00A726AA"/>
    <w:rsid w:val="00A7290C"/>
    <w:rsid w:val="00A72ADA"/>
    <w:rsid w:val="00A733CD"/>
    <w:rsid w:val="00A73642"/>
    <w:rsid w:val="00A73647"/>
    <w:rsid w:val="00A73915"/>
    <w:rsid w:val="00A740A9"/>
    <w:rsid w:val="00A740DC"/>
    <w:rsid w:val="00A749A2"/>
    <w:rsid w:val="00A74C0B"/>
    <w:rsid w:val="00A74CED"/>
    <w:rsid w:val="00A75085"/>
    <w:rsid w:val="00A753C1"/>
    <w:rsid w:val="00A7588B"/>
    <w:rsid w:val="00A758A0"/>
    <w:rsid w:val="00A75E31"/>
    <w:rsid w:val="00A76063"/>
    <w:rsid w:val="00A7661A"/>
    <w:rsid w:val="00A767A1"/>
    <w:rsid w:val="00A767FD"/>
    <w:rsid w:val="00A76850"/>
    <w:rsid w:val="00A771BF"/>
    <w:rsid w:val="00A77A3F"/>
    <w:rsid w:val="00A801BC"/>
    <w:rsid w:val="00A80822"/>
    <w:rsid w:val="00A80B84"/>
    <w:rsid w:val="00A80D67"/>
    <w:rsid w:val="00A815D0"/>
    <w:rsid w:val="00A81953"/>
    <w:rsid w:val="00A81DB2"/>
    <w:rsid w:val="00A82156"/>
    <w:rsid w:val="00A82385"/>
    <w:rsid w:val="00A823AB"/>
    <w:rsid w:val="00A82C6D"/>
    <w:rsid w:val="00A83B5A"/>
    <w:rsid w:val="00A8409E"/>
    <w:rsid w:val="00A84155"/>
    <w:rsid w:val="00A84A64"/>
    <w:rsid w:val="00A84AE2"/>
    <w:rsid w:val="00A84AEB"/>
    <w:rsid w:val="00A861F3"/>
    <w:rsid w:val="00A86A5D"/>
    <w:rsid w:val="00A86F1A"/>
    <w:rsid w:val="00A874F5"/>
    <w:rsid w:val="00A87A3E"/>
    <w:rsid w:val="00A87A52"/>
    <w:rsid w:val="00A87B18"/>
    <w:rsid w:val="00A900ED"/>
    <w:rsid w:val="00A907B1"/>
    <w:rsid w:val="00A90888"/>
    <w:rsid w:val="00A90A43"/>
    <w:rsid w:val="00A90B1F"/>
    <w:rsid w:val="00A90DB1"/>
    <w:rsid w:val="00A90DCE"/>
    <w:rsid w:val="00A910CC"/>
    <w:rsid w:val="00A9147B"/>
    <w:rsid w:val="00A915DC"/>
    <w:rsid w:val="00A9162D"/>
    <w:rsid w:val="00A91BA8"/>
    <w:rsid w:val="00A91DB9"/>
    <w:rsid w:val="00A91EF1"/>
    <w:rsid w:val="00A91EF2"/>
    <w:rsid w:val="00A91EF4"/>
    <w:rsid w:val="00A92331"/>
    <w:rsid w:val="00A92E10"/>
    <w:rsid w:val="00A9325C"/>
    <w:rsid w:val="00A9325E"/>
    <w:rsid w:val="00A9390E"/>
    <w:rsid w:val="00A93B3D"/>
    <w:rsid w:val="00A94171"/>
    <w:rsid w:val="00A947DA"/>
    <w:rsid w:val="00A94AF3"/>
    <w:rsid w:val="00A94FD5"/>
    <w:rsid w:val="00A95227"/>
    <w:rsid w:val="00A95559"/>
    <w:rsid w:val="00A95F9F"/>
    <w:rsid w:val="00A95FC9"/>
    <w:rsid w:val="00A9676C"/>
    <w:rsid w:val="00A96896"/>
    <w:rsid w:val="00A96CAB"/>
    <w:rsid w:val="00A96E85"/>
    <w:rsid w:val="00A96FC6"/>
    <w:rsid w:val="00A97942"/>
    <w:rsid w:val="00A97ACC"/>
    <w:rsid w:val="00A97B61"/>
    <w:rsid w:val="00A97CAF"/>
    <w:rsid w:val="00AA01DA"/>
    <w:rsid w:val="00AA046E"/>
    <w:rsid w:val="00AA06AB"/>
    <w:rsid w:val="00AA0929"/>
    <w:rsid w:val="00AA0C2D"/>
    <w:rsid w:val="00AA0CA2"/>
    <w:rsid w:val="00AA0F42"/>
    <w:rsid w:val="00AA0FDD"/>
    <w:rsid w:val="00AA115C"/>
    <w:rsid w:val="00AA1211"/>
    <w:rsid w:val="00AA1579"/>
    <w:rsid w:val="00AA1ED0"/>
    <w:rsid w:val="00AA2101"/>
    <w:rsid w:val="00AA2774"/>
    <w:rsid w:val="00AA2E76"/>
    <w:rsid w:val="00AA35E5"/>
    <w:rsid w:val="00AA37D3"/>
    <w:rsid w:val="00AA41E9"/>
    <w:rsid w:val="00AA4358"/>
    <w:rsid w:val="00AA4482"/>
    <w:rsid w:val="00AA450C"/>
    <w:rsid w:val="00AA46FE"/>
    <w:rsid w:val="00AA4AE0"/>
    <w:rsid w:val="00AA5139"/>
    <w:rsid w:val="00AA5265"/>
    <w:rsid w:val="00AA560A"/>
    <w:rsid w:val="00AA5AEF"/>
    <w:rsid w:val="00AA5E20"/>
    <w:rsid w:val="00AA5E31"/>
    <w:rsid w:val="00AA6884"/>
    <w:rsid w:val="00AA6E71"/>
    <w:rsid w:val="00AA6EDF"/>
    <w:rsid w:val="00AA70F2"/>
    <w:rsid w:val="00AA7247"/>
    <w:rsid w:val="00AA7437"/>
    <w:rsid w:val="00AA750C"/>
    <w:rsid w:val="00AA7A5E"/>
    <w:rsid w:val="00AB0229"/>
    <w:rsid w:val="00AB07D1"/>
    <w:rsid w:val="00AB07D9"/>
    <w:rsid w:val="00AB0879"/>
    <w:rsid w:val="00AB0966"/>
    <w:rsid w:val="00AB0AA6"/>
    <w:rsid w:val="00AB0E99"/>
    <w:rsid w:val="00AB0F03"/>
    <w:rsid w:val="00AB1287"/>
    <w:rsid w:val="00AB1CE8"/>
    <w:rsid w:val="00AB1FC9"/>
    <w:rsid w:val="00AB25CE"/>
    <w:rsid w:val="00AB2F20"/>
    <w:rsid w:val="00AB3201"/>
    <w:rsid w:val="00AB3F7B"/>
    <w:rsid w:val="00AB4356"/>
    <w:rsid w:val="00AB4419"/>
    <w:rsid w:val="00AB4AD8"/>
    <w:rsid w:val="00AB4E22"/>
    <w:rsid w:val="00AB5597"/>
    <w:rsid w:val="00AB5677"/>
    <w:rsid w:val="00AB5BAA"/>
    <w:rsid w:val="00AB66AC"/>
    <w:rsid w:val="00AB695B"/>
    <w:rsid w:val="00AB6DFC"/>
    <w:rsid w:val="00AB6EBB"/>
    <w:rsid w:val="00AB6FF1"/>
    <w:rsid w:val="00AB7A79"/>
    <w:rsid w:val="00AC0189"/>
    <w:rsid w:val="00AC09CD"/>
    <w:rsid w:val="00AC1004"/>
    <w:rsid w:val="00AC165A"/>
    <w:rsid w:val="00AC2524"/>
    <w:rsid w:val="00AC2588"/>
    <w:rsid w:val="00AC2832"/>
    <w:rsid w:val="00AC2885"/>
    <w:rsid w:val="00AC332B"/>
    <w:rsid w:val="00AC3739"/>
    <w:rsid w:val="00AC37AF"/>
    <w:rsid w:val="00AC3DB7"/>
    <w:rsid w:val="00AC400E"/>
    <w:rsid w:val="00AC4293"/>
    <w:rsid w:val="00AC438A"/>
    <w:rsid w:val="00AC4E38"/>
    <w:rsid w:val="00AC5606"/>
    <w:rsid w:val="00AC561A"/>
    <w:rsid w:val="00AC570E"/>
    <w:rsid w:val="00AC57D2"/>
    <w:rsid w:val="00AC5FFC"/>
    <w:rsid w:val="00AC658F"/>
    <w:rsid w:val="00AC6954"/>
    <w:rsid w:val="00AC7899"/>
    <w:rsid w:val="00AC7F42"/>
    <w:rsid w:val="00AC7F95"/>
    <w:rsid w:val="00AD0B96"/>
    <w:rsid w:val="00AD1A5F"/>
    <w:rsid w:val="00AD1A60"/>
    <w:rsid w:val="00AD2762"/>
    <w:rsid w:val="00AD27FC"/>
    <w:rsid w:val="00AD2ACE"/>
    <w:rsid w:val="00AD378E"/>
    <w:rsid w:val="00AD3FA7"/>
    <w:rsid w:val="00AD4029"/>
    <w:rsid w:val="00AD44C7"/>
    <w:rsid w:val="00AD4532"/>
    <w:rsid w:val="00AD49F3"/>
    <w:rsid w:val="00AD4B09"/>
    <w:rsid w:val="00AD4EF7"/>
    <w:rsid w:val="00AD4F1C"/>
    <w:rsid w:val="00AD4FA3"/>
    <w:rsid w:val="00AD50AD"/>
    <w:rsid w:val="00AD514D"/>
    <w:rsid w:val="00AD516C"/>
    <w:rsid w:val="00AD5DEF"/>
    <w:rsid w:val="00AD5FD1"/>
    <w:rsid w:val="00AD6407"/>
    <w:rsid w:val="00AD6E95"/>
    <w:rsid w:val="00AD724E"/>
    <w:rsid w:val="00AD752F"/>
    <w:rsid w:val="00AD79BB"/>
    <w:rsid w:val="00AD7D7F"/>
    <w:rsid w:val="00AE00CA"/>
    <w:rsid w:val="00AE0C89"/>
    <w:rsid w:val="00AE10C4"/>
    <w:rsid w:val="00AE1197"/>
    <w:rsid w:val="00AE1524"/>
    <w:rsid w:val="00AE1AE1"/>
    <w:rsid w:val="00AE254F"/>
    <w:rsid w:val="00AE260E"/>
    <w:rsid w:val="00AE2C77"/>
    <w:rsid w:val="00AE2D01"/>
    <w:rsid w:val="00AE2EE6"/>
    <w:rsid w:val="00AE33A7"/>
    <w:rsid w:val="00AE3C7F"/>
    <w:rsid w:val="00AE415F"/>
    <w:rsid w:val="00AE4AB0"/>
    <w:rsid w:val="00AE4C8E"/>
    <w:rsid w:val="00AE4E21"/>
    <w:rsid w:val="00AE4F15"/>
    <w:rsid w:val="00AE5430"/>
    <w:rsid w:val="00AE55BC"/>
    <w:rsid w:val="00AE57D2"/>
    <w:rsid w:val="00AE638D"/>
    <w:rsid w:val="00AE686D"/>
    <w:rsid w:val="00AE6B19"/>
    <w:rsid w:val="00AE6B27"/>
    <w:rsid w:val="00AE6D6A"/>
    <w:rsid w:val="00AE6F0F"/>
    <w:rsid w:val="00AE7656"/>
    <w:rsid w:val="00AE7663"/>
    <w:rsid w:val="00AF00D2"/>
    <w:rsid w:val="00AF083D"/>
    <w:rsid w:val="00AF0B16"/>
    <w:rsid w:val="00AF0F96"/>
    <w:rsid w:val="00AF1021"/>
    <w:rsid w:val="00AF21D7"/>
    <w:rsid w:val="00AF222F"/>
    <w:rsid w:val="00AF2893"/>
    <w:rsid w:val="00AF28EB"/>
    <w:rsid w:val="00AF2ED6"/>
    <w:rsid w:val="00AF3178"/>
    <w:rsid w:val="00AF36B6"/>
    <w:rsid w:val="00AF36BA"/>
    <w:rsid w:val="00AF3A61"/>
    <w:rsid w:val="00AF3C6C"/>
    <w:rsid w:val="00AF49AE"/>
    <w:rsid w:val="00AF4AB5"/>
    <w:rsid w:val="00AF4E1B"/>
    <w:rsid w:val="00AF527E"/>
    <w:rsid w:val="00AF5407"/>
    <w:rsid w:val="00AF5AC5"/>
    <w:rsid w:val="00AF5D56"/>
    <w:rsid w:val="00AF6595"/>
    <w:rsid w:val="00AF6E19"/>
    <w:rsid w:val="00AF7444"/>
    <w:rsid w:val="00AF782D"/>
    <w:rsid w:val="00AF7E50"/>
    <w:rsid w:val="00B00936"/>
    <w:rsid w:val="00B00D08"/>
    <w:rsid w:val="00B00ED5"/>
    <w:rsid w:val="00B017AB"/>
    <w:rsid w:val="00B017EA"/>
    <w:rsid w:val="00B01B8C"/>
    <w:rsid w:val="00B01F2E"/>
    <w:rsid w:val="00B022CF"/>
    <w:rsid w:val="00B02808"/>
    <w:rsid w:val="00B028B0"/>
    <w:rsid w:val="00B028BC"/>
    <w:rsid w:val="00B02BF0"/>
    <w:rsid w:val="00B02C08"/>
    <w:rsid w:val="00B02EEE"/>
    <w:rsid w:val="00B037DC"/>
    <w:rsid w:val="00B038A2"/>
    <w:rsid w:val="00B03920"/>
    <w:rsid w:val="00B03AB4"/>
    <w:rsid w:val="00B03ABD"/>
    <w:rsid w:val="00B043EB"/>
    <w:rsid w:val="00B04580"/>
    <w:rsid w:val="00B0459A"/>
    <w:rsid w:val="00B04830"/>
    <w:rsid w:val="00B04972"/>
    <w:rsid w:val="00B04A5D"/>
    <w:rsid w:val="00B04BED"/>
    <w:rsid w:val="00B05384"/>
    <w:rsid w:val="00B05B34"/>
    <w:rsid w:val="00B05B91"/>
    <w:rsid w:val="00B05C65"/>
    <w:rsid w:val="00B05F77"/>
    <w:rsid w:val="00B05FAD"/>
    <w:rsid w:val="00B05FE5"/>
    <w:rsid w:val="00B0613A"/>
    <w:rsid w:val="00B062A6"/>
    <w:rsid w:val="00B0689A"/>
    <w:rsid w:val="00B069BA"/>
    <w:rsid w:val="00B06DD5"/>
    <w:rsid w:val="00B07297"/>
    <w:rsid w:val="00B077CC"/>
    <w:rsid w:val="00B07CD8"/>
    <w:rsid w:val="00B07F33"/>
    <w:rsid w:val="00B10346"/>
    <w:rsid w:val="00B10762"/>
    <w:rsid w:val="00B10AE6"/>
    <w:rsid w:val="00B10B90"/>
    <w:rsid w:val="00B1114A"/>
    <w:rsid w:val="00B11197"/>
    <w:rsid w:val="00B119A6"/>
    <w:rsid w:val="00B11D78"/>
    <w:rsid w:val="00B11E88"/>
    <w:rsid w:val="00B11F38"/>
    <w:rsid w:val="00B11FEA"/>
    <w:rsid w:val="00B12FD0"/>
    <w:rsid w:val="00B13088"/>
    <w:rsid w:val="00B1325A"/>
    <w:rsid w:val="00B1355A"/>
    <w:rsid w:val="00B13933"/>
    <w:rsid w:val="00B13F7C"/>
    <w:rsid w:val="00B1401B"/>
    <w:rsid w:val="00B1482F"/>
    <w:rsid w:val="00B14E03"/>
    <w:rsid w:val="00B1524E"/>
    <w:rsid w:val="00B152C6"/>
    <w:rsid w:val="00B1551C"/>
    <w:rsid w:val="00B1597B"/>
    <w:rsid w:val="00B15BB2"/>
    <w:rsid w:val="00B16611"/>
    <w:rsid w:val="00B169C8"/>
    <w:rsid w:val="00B17016"/>
    <w:rsid w:val="00B20AF2"/>
    <w:rsid w:val="00B214DD"/>
    <w:rsid w:val="00B216F9"/>
    <w:rsid w:val="00B229BE"/>
    <w:rsid w:val="00B22C92"/>
    <w:rsid w:val="00B22D02"/>
    <w:rsid w:val="00B23157"/>
    <w:rsid w:val="00B23821"/>
    <w:rsid w:val="00B23C29"/>
    <w:rsid w:val="00B241E3"/>
    <w:rsid w:val="00B24E14"/>
    <w:rsid w:val="00B2511B"/>
    <w:rsid w:val="00B25549"/>
    <w:rsid w:val="00B258F7"/>
    <w:rsid w:val="00B25C72"/>
    <w:rsid w:val="00B25E6F"/>
    <w:rsid w:val="00B269C1"/>
    <w:rsid w:val="00B27220"/>
    <w:rsid w:val="00B27A6D"/>
    <w:rsid w:val="00B27CC0"/>
    <w:rsid w:val="00B308F8"/>
    <w:rsid w:val="00B3098F"/>
    <w:rsid w:val="00B30A2A"/>
    <w:rsid w:val="00B30B07"/>
    <w:rsid w:val="00B30BCF"/>
    <w:rsid w:val="00B30D67"/>
    <w:rsid w:val="00B314D0"/>
    <w:rsid w:val="00B31F6E"/>
    <w:rsid w:val="00B324B7"/>
    <w:rsid w:val="00B3254C"/>
    <w:rsid w:val="00B325BF"/>
    <w:rsid w:val="00B329FF"/>
    <w:rsid w:val="00B32C0C"/>
    <w:rsid w:val="00B32E23"/>
    <w:rsid w:val="00B32F2D"/>
    <w:rsid w:val="00B33321"/>
    <w:rsid w:val="00B3370B"/>
    <w:rsid w:val="00B33ACE"/>
    <w:rsid w:val="00B34296"/>
    <w:rsid w:val="00B344C2"/>
    <w:rsid w:val="00B34C4E"/>
    <w:rsid w:val="00B3517D"/>
    <w:rsid w:val="00B35221"/>
    <w:rsid w:val="00B3547E"/>
    <w:rsid w:val="00B35514"/>
    <w:rsid w:val="00B35520"/>
    <w:rsid w:val="00B3621F"/>
    <w:rsid w:val="00B3690C"/>
    <w:rsid w:val="00B370C8"/>
    <w:rsid w:val="00B371AD"/>
    <w:rsid w:val="00B37B57"/>
    <w:rsid w:val="00B40330"/>
    <w:rsid w:val="00B406E5"/>
    <w:rsid w:val="00B4180D"/>
    <w:rsid w:val="00B41B90"/>
    <w:rsid w:val="00B4283B"/>
    <w:rsid w:val="00B42868"/>
    <w:rsid w:val="00B4299A"/>
    <w:rsid w:val="00B42A94"/>
    <w:rsid w:val="00B42C20"/>
    <w:rsid w:val="00B42D9A"/>
    <w:rsid w:val="00B42F20"/>
    <w:rsid w:val="00B434EA"/>
    <w:rsid w:val="00B43697"/>
    <w:rsid w:val="00B43CED"/>
    <w:rsid w:val="00B444DD"/>
    <w:rsid w:val="00B44D47"/>
    <w:rsid w:val="00B44D96"/>
    <w:rsid w:val="00B4521F"/>
    <w:rsid w:val="00B45928"/>
    <w:rsid w:val="00B4592B"/>
    <w:rsid w:val="00B45977"/>
    <w:rsid w:val="00B45E16"/>
    <w:rsid w:val="00B45E8C"/>
    <w:rsid w:val="00B46B3C"/>
    <w:rsid w:val="00B46F19"/>
    <w:rsid w:val="00B470FE"/>
    <w:rsid w:val="00B47148"/>
    <w:rsid w:val="00B479D1"/>
    <w:rsid w:val="00B47E90"/>
    <w:rsid w:val="00B47ED4"/>
    <w:rsid w:val="00B47FE8"/>
    <w:rsid w:val="00B50036"/>
    <w:rsid w:val="00B50B5A"/>
    <w:rsid w:val="00B50F51"/>
    <w:rsid w:val="00B50F82"/>
    <w:rsid w:val="00B51403"/>
    <w:rsid w:val="00B51A2F"/>
    <w:rsid w:val="00B51B5B"/>
    <w:rsid w:val="00B51D30"/>
    <w:rsid w:val="00B52111"/>
    <w:rsid w:val="00B528D0"/>
    <w:rsid w:val="00B52F30"/>
    <w:rsid w:val="00B52FAF"/>
    <w:rsid w:val="00B5323F"/>
    <w:rsid w:val="00B539EB"/>
    <w:rsid w:val="00B54550"/>
    <w:rsid w:val="00B5495B"/>
    <w:rsid w:val="00B54A5A"/>
    <w:rsid w:val="00B54FEB"/>
    <w:rsid w:val="00B55695"/>
    <w:rsid w:val="00B562E6"/>
    <w:rsid w:val="00B5639B"/>
    <w:rsid w:val="00B5660B"/>
    <w:rsid w:val="00B573B9"/>
    <w:rsid w:val="00B57638"/>
    <w:rsid w:val="00B576C3"/>
    <w:rsid w:val="00B576E1"/>
    <w:rsid w:val="00B6004E"/>
    <w:rsid w:val="00B60477"/>
    <w:rsid w:val="00B60722"/>
    <w:rsid w:val="00B6072A"/>
    <w:rsid w:val="00B608F1"/>
    <w:rsid w:val="00B60E97"/>
    <w:rsid w:val="00B60F79"/>
    <w:rsid w:val="00B61337"/>
    <w:rsid w:val="00B6166D"/>
    <w:rsid w:val="00B61B49"/>
    <w:rsid w:val="00B6254F"/>
    <w:rsid w:val="00B62EE3"/>
    <w:rsid w:val="00B6317C"/>
    <w:rsid w:val="00B63591"/>
    <w:rsid w:val="00B635C6"/>
    <w:rsid w:val="00B63704"/>
    <w:rsid w:val="00B63742"/>
    <w:rsid w:val="00B637D9"/>
    <w:rsid w:val="00B63B4A"/>
    <w:rsid w:val="00B64496"/>
    <w:rsid w:val="00B64498"/>
    <w:rsid w:val="00B6604C"/>
    <w:rsid w:val="00B664B0"/>
    <w:rsid w:val="00B667A5"/>
    <w:rsid w:val="00B66853"/>
    <w:rsid w:val="00B67120"/>
    <w:rsid w:val="00B673CA"/>
    <w:rsid w:val="00B6753E"/>
    <w:rsid w:val="00B67550"/>
    <w:rsid w:val="00B676CA"/>
    <w:rsid w:val="00B679F5"/>
    <w:rsid w:val="00B70D3E"/>
    <w:rsid w:val="00B7112A"/>
    <w:rsid w:val="00B7117A"/>
    <w:rsid w:val="00B71203"/>
    <w:rsid w:val="00B715E1"/>
    <w:rsid w:val="00B72053"/>
    <w:rsid w:val="00B7234F"/>
    <w:rsid w:val="00B72537"/>
    <w:rsid w:val="00B73B57"/>
    <w:rsid w:val="00B746D5"/>
    <w:rsid w:val="00B74753"/>
    <w:rsid w:val="00B74BDA"/>
    <w:rsid w:val="00B75037"/>
    <w:rsid w:val="00B75159"/>
    <w:rsid w:val="00B751C0"/>
    <w:rsid w:val="00B7573D"/>
    <w:rsid w:val="00B759D6"/>
    <w:rsid w:val="00B75AAD"/>
    <w:rsid w:val="00B75D3F"/>
    <w:rsid w:val="00B7745A"/>
    <w:rsid w:val="00B77723"/>
    <w:rsid w:val="00B77ABB"/>
    <w:rsid w:val="00B77CA5"/>
    <w:rsid w:val="00B77E12"/>
    <w:rsid w:val="00B802CA"/>
    <w:rsid w:val="00B80B08"/>
    <w:rsid w:val="00B8154C"/>
    <w:rsid w:val="00B815D3"/>
    <w:rsid w:val="00B818D4"/>
    <w:rsid w:val="00B81DB8"/>
    <w:rsid w:val="00B82DE1"/>
    <w:rsid w:val="00B83476"/>
    <w:rsid w:val="00B835D2"/>
    <w:rsid w:val="00B836B0"/>
    <w:rsid w:val="00B842EE"/>
    <w:rsid w:val="00B8438E"/>
    <w:rsid w:val="00B843A1"/>
    <w:rsid w:val="00B8487D"/>
    <w:rsid w:val="00B848BE"/>
    <w:rsid w:val="00B84978"/>
    <w:rsid w:val="00B84C9C"/>
    <w:rsid w:val="00B84FF8"/>
    <w:rsid w:val="00B8573A"/>
    <w:rsid w:val="00B85861"/>
    <w:rsid w:val="00B85AE3"/>
    <w:rsid w:val="00B85CEA"/>
    <w:rsid w:val="00B86071"/>
    <w:rsid w:val="00B861A7"/>
    <w:rsid w:val="00B870B0"/>
    <w:rsid w:val="00B8748B"/>
    <w:rsid w:val="00B8792C"/>
    <w:rsid w:val="00B87BC1"/>
    <w:rsid w:val="00B87F56"/>
    <w:rsid w:val="00B9103E"/>
    <w:rsid w:val="00B911CB"/>
    <w:rsid w:val="00B913F2"/>
    <w:rsid w:val="00B91818"/>
    <w:rsid w:val="00B919AB"/>
    <w:rsid w:val="00B91E1C"/>
    <w:rsid w:val="00B9258B"/>
    <w:rsid w:val="00B927B0"/>
    <w:rsid w:val="00B92F7A"/>
    <w:rsid w:val="00B93597"/>
    <w:rsid w:val="00B9389D"/>
    <w:rsid w:val="00B94798"/>
    <w:rsid w:val="00B947FD"/>
    <w:rsid w:val="00B94BE5"/>
    <w:rsid w:val="00B96011"/>
    <w:rsid w:val="00B965AF"/>
    <w:rsid w:val="00B97182"/>
    <w:rsid w:val="00B97459"/>
    <w:rsid w:val="00B977A2"/>
    <w:rsid w:val="00B977C7"/>
    <w:rsid w:val="00B97927"/>
    <w:rsid w:val="00B97DBD"/>
    <w:rsid w:val="00BA0255"/>
    <w:rsid w:val="00BA02A6"/>
    <w:rsid w:val="00BA064A"/>
    <w:rsid w:val="00BA06D4"/>
    <w:rsid w:val="00BA075F"/>
    <w:rsid w:val="00BA0827"/>
    <w:rsid w:val="00BA0933"/>
    <w:rsid w:val="00BA0A76"/>
    <w:rsid w:val="00BA0D2A"/>
    <w:rsid w:val="00BA0FA7"/>
    <w:rsid w:val="00BA1218"/>
    <w:rsid w:val="00BA17BF"/>
    <w:rsid w:val="00BA1B48"/>
    <w:rsid w:val="00BA1D32"/>
    <w:rsid w:val="00BA256B"/>
    <w:rsid w:val="00BA3A2C"/>
    <w:rsid w:val="00BA3B8C"/>
    <w:rsid w:val="00BA3DFA"/>
    <w:rsid w:val="00BA4246"/>
    <w:rsid w:val="00BA4671"/>
    <w:rsid w:val="00BA4D83"/>
    <w:rsid w:val="00BA4E59"/>
    <w:rsid w:val="00BA52C1"/>
    <w:rsid w:val="00BA52DB"/>
    <w:rsid w:val="00BA58C0"/>
    <w:rsid w:val="00BA6166"/>
    <w:rsid w:val="00BA683A"/>
    <w:rsid w:val="00BA739B"/>
    <w:rsid w:val="00BA76B1"/>
    <w:rsid w:val="00BA7CCB"/>
    <w:rsid w:val="00BB0423"/>
    <w:rsid w:val="00BB0463"/>
    <w:rsid w:val="00BB090B"/>
    <w:rsid w:val="00BB0C7A"/>
    <w:rsid w:val="00BB1CBD"/>
    <w:rsid w:val="00BB1EA8"/>
    <w:rsid w:val="00BB2573"/>
    <w:rsid w:val="00BB2B1F"/>
    <w:rsid w:val="00BB2F0B"/>
    <w:rsid w:val="00BB36C5"/>
    <w:rsid w:val="00BB4AB6"/>
    <w:rsid w:val="00BB4C56"/>
    <w:rsid w:val="00BB4F9A"/>
    <w:rsid w:val="00BB5F6C"/>
    <w:rsid w:val="00BB60C3"/>
    <w:rsid w:val="00BB613F"/>
    <w:rsid w:val="00BB61B4"/>
    <w:rsid w:val="00BB6480"/>
    <w:rsid w:val="00BB6796"/>
    <w:rsid w:val="00BB690D"/>
    <w:rsid w:val="00BB69B6"/>
    <w:rsid w:val="00BB6A4C"/>
    <w:rsid w:val="00BB6C88"/>
    <w:rsid w:val="00BB6ECF"/>
    <w:rsid w:val="00BB74B3"/>
    <w:rsid w:val="00BB76A1"/>
    <w:rsid w:val="00BB777A"/>
    <w:rsid w:val="00BB7C25"/>
    <w:rsid w:val="00BC0B9D"/>
    <w:rsid w:val="00BC0C2F"/>
    <w:rsid w:val="00BC11CE"/>
    <w:rsid w:val="00BC1286"/>
    <w:rsid w:val="00BC137D"/>
    <w:rsid w:val="00BC1424"/>
    <w:rsid w:val="00BC1765"/>
    <w:rsid w:val="00BC1B29"/>
    <w:rsid w:val="00BC1CC3"/>
    <w:rsid w:val="00BC1DFC"/>
    <w:rsid w:val="00BC2243"/>
    <w:rsid w:val="00BC23E1"/>
    <w:rsid w:val="00BC28A7"/>
    <w:rsid w:val="00BC2CA6"/>
    <w:rsid w:val="00BC2E93"/>
    <w:rsid w:val="00BC3668"/>
    <w:rsid w:val="00BC37F6"/>
    <w:rsid w:val="00BC3A87"/>
    <w:rsid w:val="00BC475C"/>
    <w:rsid w:val="00BC47D8"/>
    <w:rsid w:val="00BC51FA"/>
    <w:rsid w:val="00BC5454"/>
    <w:rsid w:val="00BC5961"/>
    <w:rsid w:val="00BC5C7A"/>
    <w:rsid w:val="00BC6288"/>
    <w:rsid w:val="00BC693E"/>
    <w:rsid w:val="00BC7DE9"/>
    <w:rsid w:val="00BD0152"/>
    <w:rsid w:val="00BD028F"/>
    <w:rsid w:val="00BD03C9"/>
    <w:rsid w:val="00BD07F4"/>
    <w:rsid w:val="00BD137C"/>
    <w:rsid w:val="00BD1693"/>
    <w:rsid w:val="00BD16D1"/>
    <w:rsid w:val="00BD1D0B"/>
    <w:rsid w:val="00BD1DEE"/>
    <w:rsid w:val="00BD219A"/>
    <w:rsid w:val="00BD2539"/>
    <w:rsid w:val="00BD26D8"/>
    <w:rsid w:val="00BD2C2C"/>
    <w:rsid w:val="00BD2C42"/>
    <w:rsid w:val="00BD2F2C"/>
    <w:rsid w:val="00BD307A"/>
    <w:rsid w:val="00BD3698"/>
    <w:rsid w:val="00BD4119"/>
    <w:rsid w:val="00BD44A4"/>
    <w:rsid w:val="00BD4655"/>
    <w:rsid w:val="00BD4D35"/>
    <w:rsid w:val="00BD50A8"/>
    <w:rsid w:val="00BD55C0"/>
    <w:rsid w:val="00BD58F5"/>
    <w:rsid w:val="00BD5908"/>
    <w:rsid w:val="00BD65E1"/>
    <w:rsid w:val="00BD6A70"/>
    <w:rsid w:val="00BD6BF2"/>
    <w:rsid w:val="00BD6EF9"/>
    <w:rsid w:val="00BD6F1C"/>
    <w:rsid w:val="00BD754C"/>
    <w:rsid w:val="00BD7568"/>
    <w:rsid w:val="00BD772A"/>
    <w:rsid w:val="00BD7970"/>
    <w:rsid w:val="00BD7E1A"/>
    <w:rsid w:val="00BE02E5"/>
    <w:rsid w:val="00BE1590"/>
    <w:rsid w:val="00BE194D"/>
    <w:rsid w:val="00BE1C76"/>
    <w:rsid w:val="00BE1EB6"/>
    <w:rsid w:val="00BE235C"/>
    <w:rsid w:val="00BE290E"/>
    <w:rsid w:val="00BE29DD"/>
    <w:rsid w:val="00BE2AB1"/>
    <w:rsid w:val="00BE35C9"/>
    <w:rsid w:val="00BE3A79"/>
    <w:rsid w:val="00BE3B80"/>
    <w:rsid w:val="00BE3F85"/>
    <w:rsid w:val="00BE418C"/>
    <w:rsid w:val="00BE4C3A"/>
    <w:rsid w:val="00BE56CF"/>
    <w:rsid w:val="00BE576A"/>
    <w:rsid w:val="00BE5B3E"/>
    <w:rsid w:val="00BE71AE"/>
    <w:rsid w:val="00BE72FD"/>
    <w:rsid w:val="00BE74D1"/>
    <w:rsid w:val="00BE786F"/>
    <w:rsid w:val="00BF0217"/>
    <w:rsid w:val="00BF07C0"/>
    <w:rsid w:val="00BF08F1"/>
    <w:rsid w:val="00BF0993"/>
    <w:rsid w:val="00BF0C38"/>
    <w:rsid w:val="00BF1292"/>
    <w:rsid w:val="00BF139F"/>
    <w:rsid w:val="00BF1728"/>
    <w:rsid w:val="00BF1EF8"/>
    <w:rsid w:val="00BF2674"/>
    <w:rsid w:val="00BF288E"/>
    <w:rsid w:val="00BF2DE5"/>
    <w:rsid w:val="00BF3C29"/>
    <w:rsid w:val="00BF42A3"/>
    <w:rsid w:val="00BF4339"/>
    <w:rsid w:val="00BF44FF"/>
    <w:rsid w:val="00BF4AD7"/>
    <w:rsid w:val="00BF4C49"/>
    <w:rsid w:val="00BF5DA2"/>
    <w:rsid w:val="00BF6338"/>
    <w:rsid w:val="00BF63D1"/>
    <w:rsid w:val="00BF6536"/>
    <w:rsid w:val="00BF6679"/>
    <w:rsid w:val="00BF6D56"/>
    <w:rsid w:val="00BF7325"/>
    <w:rsid w:val="00BF7DFA"/>
    <w:rsid w:val="00C003F5"/>
    <w:rsid w:val="00C0079D"/>
    <w:rsid w:val="00C00B99"/>
    <w:rsid w:val="00C00D03"/>
    <w:rsid w:val="00C00DB1"/>
    <w:rsid w:val="00C01151"/>
    <w:rsid w:val="00C017B2"/>
    <w:rsid w:val="00C01C7E"/>
    <w:rsid w:val="00C01DD3"/>
    <w:rsid w:val="00C01DFC"/>
    <w:rsid w:val="00C02205"/>
    <w:rsid w:val="00C0268F"/>
    <w:rsid w:val="00C0282B"/>
    <w:rsid w:val="00C029A0"/>
    <w:rsid w:val="00C02CA7"/>
    <w:rsid w:val="00C02E62"/>
    <w:rsid w:val="00C03D01"/>
    <w:rsid w:val="00C04382"/>
    <w:rsid w:val="00C04ABC"/>
    <w:rsid w:val="00C04F22"/>
    <w:rsid w:val="00C05343"/>
    <w:rsid w:val="00C05381"/>
    <w:rsid w:val="00C06076"/>
    <w:rsid w:val="00C067E0"/>
    <w:rsid w:val="00C06EF0"/>
    <w:rsid w:val="00C074B8"/>
    <w:rsid w:val="00C075D0"/>
    <w:rsid w:val="00C1025D"/>
    <w:rsid w:val="00C103AB"/>
    <w:rsid w:val="00C10466"/>
    <w:rsid w:val="00C11821"/>
    <w:rsid w:val="00C11E30"/>
    <w:rsid w:val="00C12656"/>
    <w:rsid w:val="00C12999"/>
    <w:rsid w:val="00C12D93"/>
    <w:rsid w:val="00C12EE2"/>
    <w:rsid w:val="00C12F7B"/>
    <w:rsid w:val="00C13419"/>
    <w:rsid w:val="00C139DE"/>
    <w:rsid w:val="00C13B55"/>
    <w:rsid w:val="00C13C3F"/>
    <w:rsid w:val="00C13CBD"/>
    <w:rsid w:val="00C13DB6"/>
    <w:rsid w:val="00C13E07"/>
    <w:rsid w:val="00C142BD"/>
    <w:rsid w:val="00C143D5"/>
    <w:rsid w:val="00C148E5"/>
    <w:rsid w:val="00C14B4C"/>
    <w:rsid w:val="00C14B57"/>
    <w:rsid w:val="00C159C1"/>
    <w:rsid w:val="00C15D34"/>
    <w:rsid w:val="00C16489"/>
    <w:rsid w:val="00C16848"/>
    <w:rsid w:val="00C168C0"/>
    <w:rsid w:val="00C16BF9"/>
    <w:rsid w:val="00C1711E"/>
    <w:rsid w:val="00C1746D"/>
    <w:rsid w:val="00C174C6"/>
    <w:rsid w:val="00C17E6E"/>
    <w:rsid w:val="00C2001A"/>
    <w:rsid w:val="00C20915"/>
    <w:rsid w:val="00C20DB7"/>
    <w:rsid w:val="00C21A06"/>
    <w:rsid w:val="00C221D0"/>
    <w:rsid w:val="00C22309"/>
    <w:rsid w:val="00C23513"/>
    <w:rsid w:val="00C23520"/>
    <w:rsid w:val="00C2366E"/>
    <w:rsid w:val="00C23E35"/>
    <w:rsid w:val="00C23FA9"/>
    <w:rsid w:val="00C24097"/>
    <w:rsid w:val="00C24568"/>
    <w:rsid w:val="00C246D7"/>
    <w:rsid w:val="00C24DA9"/>
    <w:rsid w:val="00C24DC0"/>
    <w:rsid w:val="00C24F12"/>
    <w:rsid w:val="00C24F98"/>
    <w:rsid w:val="00C25082"/>
    <w:rsid w:val="00C25277"/>
    <w:rsid w:val="00C252E0"/>
    <w:rsid w:val="00C25E6A"/>
    <w:rsid w:val="00C25E7D"/>
    <w:rsid w:val="00C25F06"/>
    <w:rsid w:val="00C265D4"/>
    <w:rsid w:val="00C26A80"/>
    <w:rsid w:val="00C26FCA"/>
    <w:rsid w:val="00C273AE"/>
    <w:rsid w:val="00C27589"/>
    <w:rsid w:val="00C275FC"/>
    <w:rsid w:val="00C27D57"/>
    <w:rsid w:val="00C27D69"/>
    <w:rsid w:val="00C27E01"/>
    <w:rsid w:val="00C30D84"/>
    <w:rsid w:val="00C30FD6"/>
    <w:rsid w:val="00C31196"/>
    <w:rsid w:val="00C3145E"/>
    <w:rsid w:val="00C3152A"/>
    <w:rsid w:val="00C315AE"/>
    <w:rsid w:val="00C315D3"/>
    <w:rsid w:val="00C3160C"/>
    <w:rsid w:val="00C317A7"/>
    <w:rsid w:val="00C31EE1"/>
    <w:rsid w:val="00C32310"/>
    <w:rsid w:val="00C32B52"/>
    <w:rsid w:val="00C33431"/>
    <w:rsid w:val="00C33670"/>
    <w:rsid w:val="00C337A9"/>
    <w:rsid w:val="00C33953"/>
    <w:rsid w:val="00C33AEC"/>
    <w:rsid w:val="00C341FB"/>
    <w:rsid w:val="00C34536"/>
    <w:rsid w:val="00C34CDD"/>
    <w:rsid w:val="00C35DE8"/>
    <w:rsid w:val="00C3608B"/>
    <w:rsid w:val="00C36203"/>
    <w:rsid w:val="00C365EB"/>
    <w:rsid w:val="00C36B2D"/>
    <w:rsid w:val="00C36E09"/>
    <w:rsid w:val="00C37532"/>
    <w:rsid w:val="00C37A82"/>
    <w:rsid w:val="00C37CDE"/>
    <w:rsid w:val="00C37E36"/>
    <w:rsid w:val="00C40C58"/>
    <w:rsid w:val="00C410D2"/>
    <w:rsid w:val="00C416C7"/>
    <w:rsid w:val="00C417CD"/>
    <w:rsid w:val="00C41AFB"/>
    <w:rsid w:val="00C41C08"/>
    <w:rsid w:val="00C4253E"/>
    <w:rsid w:val="00C42580"/>
    <w:rsid w:val="00C42A78"/>
    <w:rsid w:val="00C42FB2"/>
    <w:rsid w:val="00C433BA"/>
    <w:rsid w:val="00C435C8"/>
    <w:rsid w:val="00C437D6"/>
    <w:rsid w:val="00C43C3F"/>
    <w:rsid w:val="00C4426C"/>
    <w:rsid w:val="00C4471A"/>
    <w:rsid w:val="00C449E2"/>
    <w:rsid w:val="00C44CC9"/>
    <w:rsid w:val="00C44E13"/>
    <w:rsid w:val="00C44FD9"/>
    <w:rsid w:val="00C45350"/>
    <w:rsid w:val="00C4555D"/>
    <w:rsid w:val="00C45DD1"/>
    <w:rsid w:val="00C45F6D"/>
    <w:rsid w:val="00C45FDE"/>
    <w:rsid w:val="00C4601D"/>
    <w:rsid w:val="00C4698B"/>
    <w:rsid w:val="00C46D3E"/>
    <w:rsid w:val="00C46FE3"/>
    <w:rsid w:val="00C473E7"/>
    <w:rsid w:val="00C47435"/>
    <w:rsid w:val="00C47478"/>
    <w:rsid w:val="00C47BD2"/>
    <w:rsid w:val="00C47EBB"/>
    <w:rsid w:val="00C50B75"/>
    <w:rsid w:val="00C50DFC"/>
    <w:rsid w:val="00C5135F"/>
    <w:rsid w:val="00C51880"/>
    <w:rsid w:val="00C51FA8"/>
    <w:rsid w:val="00C51FF0"/>
    <w:rsid w:val="00C5259A"/>
    <w:rsid w:val="00C52782"/>
    <w:rsid w:val="00C52D4E"/>
    <w:rsid w:val="00C5300F"/>
    <w:rsid w:val="00C53027"/>
    <w:rsid w:val="00C5304D"/>
    <w:rsid w:val="00C53721"/>
    <w:rsid w:val="00C53EE2"/>
    <w:rsid w:val="00C54182"/>
    <w:rsid w:val="00C54473"/>
    <w:rsid w:val="00C55002"/>
    <w:rsid w:val="00C5521D"/>
    <w:rsid w:val="00C55D94"/>
    <w:rsid w:val="00C56850"/>
    <w:rsid w:val="00C572AC"/>
    <w:rsid w:val="00C57567"/>
    <w:rsid w:val="00C57582"/>
    <w:rsid w:val="00C579CF"/>
    <w:rsid w:val="00C6017A"/>
    <w:rsid w:val="00C602E6"/>
    <w:rsid w:val="00C6087E"/>
    <w:rsid w:val="00C608EF"/>
    <w:rsid w:val="00C60FC1"/>
    <w:rsid w:val="00C60FF0"/>
    <w:rsid w:val="00C612BB"/>
    <w:rsid w:val="00C612BF"/>
    <w:rsid w:val="00C619EE"/>
    <w:rsid w:val="00C6207E"/>
    <w:rsid w:val="00C625C7"/>
    <w:rsid w:val="00C628D3"/>
    <w:rsid w:val="00C630A6"/>
    <w:rsid w:val="00C6339B"/>
    <w:rsid w:val="00C63770"/>
    <w:rsid w:val="00C64682"/>
    <w:rsid w:val="00C64784"/>
    <w:rsid w:val="00C64AD8"/>
    <w:rsid w:val="00C64FAE"/>
    <w:rsid w:val="00C65320"/>
    <w:rsid w:val="00C65CEF"/>
    <w:rsid w:val="00C66344"/>
    <w:rsid w:val="00C663EE"/>
    <w:rsid w:val="00C66679"/>
    <w:rsid w:val="00C66D4A"/>
    <w:rsid w:val="00C66E0E"/>
    <w:rsid w:val="00C674F7"/>
    <w:rsid w:val="00C67584"/>
    <w:rsid w:val="00C67955"/>
    <w:rsid w:val="00C70074"/>
    <w:rsid w:val="00C70110"/>
    <w:rsid w:val="00C70244"/>
    <w:rsid w:val="00C70341"/>
    <w:rsid w:val="00C70438"/>
    <w:rsid w:val="00C7089C"/>
    <w:rsid w:val="00C70918"/>
    <w:rsid w:val="00C70E3F"/>
    <w:rsid w:val="00C70EE7"/>
    <w:rsid w:val="00C716CF"/>
    <w:rsid w:val="00C717CD"/>
    <w:rsid w:val="00C71AC2"/>
    <w:rsid w:val="00C722EE"/>
    <w:rsid w:val="00C725B9"/>
    <w:rsid w:val="00C726B3"/>
    <w:rsid w:val="00C72AE3"/>
    <w:rsid w:val="00C72B7C"/>
    <w:rsid w:val="00C73402"/>
    <w:rsid w:val="00C7362E"/>
    <w:rsid w:val="00C7364B"/>
    <w:rsid w:val="00C74283"/>
    <w:rsid w:val="00C745D7"/>
    <w:rsid w:val="00C74865"/>
    <w:rsid w:val="00C74EE5"/>
    <w:rsid w:val="00C750BE"/>
    <w:rsid w:val="00C755C8"/>
    <w:rsid w:val="00C7584E"/>
    <w:rsid w:val="00C758E0"/>
    <w:rsid w:val="00C75A25"/>
    <w:rsid w:val="00C76C64"/>
    <w:rsid w:val="00C76DBB"/>
    <w:rsid w:val="00C7702A"/>
    <w:rsid w:val="00C773C8"/>
    <w:rsid w:val="00C77404"/>
    <w:rsid w:val="00C7746B"/>
    <w:rsid w:val="00C77524"/>
    <w:rsid w:val="00C77707"/>
    <w:rsid w:val="00C807B9"/>
    <w:rsid w:val="00C80827"/>
    <w:rsid w:val="00C80A25"/>
    <w:rsid w:val="00C80BF1"/>
    <w:rsid w:val="00C817D1"/>
    <w:rsid w:val="00C81DB4"/>
    <w:rsid w:val="00C81DF7"/>
    <w:rsid w:val="00C8242E"/>
    <w:rsid w:val="00C82930"/>
    <w:rsid w:val="00C82D33"/>
    <w:rsid w:val="00C8301A"/>
    <w:rsid w:val="00C834B3"/>
    <w:rsid w:val="00C835A1"/>
    <w:rsid w:val="00C83C43"/>
    <w:rsid w:val="00C83E34"/>
    <w:rsid w:val="00C84D4F"/>
    <w:rsid w:val="00C8531E"/>
    <w:rsid w:val="00C853A9"/>
    <w:rsid w:val="00C85644"/>
    <w:rsid w:val="00C8572E"/>
    <w:rsid w:val="00C85B6C"/>
    <w:rsid w:val="00C85E1F"/>
    <w:rsid w:val="00C86BFE"/>
    <w:rsid w:val="00C86D8A"/>
    <w:rsid w:val="00C873ED"/>
    <w:rsid w:val="00C87F73"/>
    <w:rsid w:val="00C87F8D"/>
    <w:rsid w:val="00C900B0"/>
    <w:rsid w:val="00C90164"/>
    <w:rsid w:val="00C90231"/>
    <w:rsid w:val="00C9080B"/>
    <w:rsid w:val="00C90CF6"/>
    <w:rsid w:val="00C90D8A"/>
    <w:rsid w:val="00C90EF9"/>
    <w:rsid w:val="00C9108F"/>
    <w:rsid w:val="00C91328"/>
    <w:rsid w:val="00C91C5C"/>
    <w:rsid w:val="00C92714"/>
    <w:rsid w:val="00C9286B"/>
    <w:rsid w:val="00C92949"/>
    <w:rsid w:val="00C92B1A"/>
    <w:rsid w:val="00C9312F"/>
    <w:rsid w:val="00C933D8"/>
    <w:rsid w:val="00C9358B"/>
    <w:rsid w:val="00C93DE5"/>
    <w:rsid w:val="00C94AD2"/>
    <w:rsid w:val="00C950CA"/>
    <w:rsid w:val="00C958E9"/>
    <w:rsid w:val="00C95ED6"/>
    <w:rsid w:val="00C95F3F"/>
    <w:rsid w:val="00C95FCC"/>
    <w:rsid w:val="00C9741C"/>
    <w:rsid w:val="00CA001B"/>
    <w:rsid w:val="00CA0057"/>
    <w:rsid w:val="00CA1379"/>
    <w:rsid w:val="00CA1B03"/>
    <w:rsid w:val="00CA1DCF"/>
    <w:rsid w:val="00CA1FB0"/>
    <w:rsid w:val="00CA24D1"/>
    <w:rsid w:val="00CA27A0"/>
    <w:rsid w:val="00CA2E1D"/>
    <w:rsid w:val="00CA30A0"/>
    <w:rsid w:val="00CA324D"/>
    <w:rsid w:val="00CA39CC"/>
    <w:rsid w:val="00CA4743"/>
    <w:rsid w:val="00CA48B2"/>
    <w:rsid w:val="00CA52FB"/>
    <w:rsid w:val="00CA6014"/>
    <w:rsid w:val="00CA6568"/>
    <w:rsid w:val="00CA65FC"/>
    <w:rsid w:val="00CA6B6A"/>
    <w:rsid w:val="00CA735E"/>
    <w:rsid w:val="00CA73DD"/>
    <w:rsid w:val="00CA7931"/>
    <w:rsid w:val="00CA7D8A"/>
    <w:rsid w:val="00CB10A6"/>
    <w:rsid w:val="00CB1162"/>
    <w:rsid w:val="00CB138F"/>
    <w:rsid w:val="00CB13E0"/>
    <w:rsid w:val="00CB1640"/>
    <w:rsid w:val="00CB1B42"/>
    <w:rsid w:val="00CB1DCD"/>
    <w:rsid w:val="00CB1F74"/>
    <w:rsid w:val="00CB2197"/>
    <w:rsid w:val="00CB22C2"/>
    <w:rsid w:val="00CB248C"/>
    <w:rsid w:val="00CB254E"/>
    <w:rsid w:val="00CB25B9"/>
    <w:rsid w:val="00CB2E34"/>
    <w:rsid w:val="00CB34D6"/>
    <w:rsid w:val="00CB3934"/>
    <w:rsid w:val="00CB4046"/>
    <w:rsid w:val="00CB43FA"/>
    <w:rsid w:val="00CB4EF9"/>
    <w:rsid w:val="00CB5A89"/>
    <w:rsid w:val="00CB5B31"/>
    <w:rsid w:val="00CB5BE7"/>
    <w:rsid w:val="00CB712E"/>
    <w:rsid w:val="00CB7234"/>
    <w:rsid w:val="00CB76B8"/>
    <w:rsid w:val="00CB7703"/>
    <w:rsid w:val="00CB783B"/>
    <w:rsid w:val="00CB7F84"/>
    <w:rsid w:val="00CB7FBA"/>
    <w:rsid w:val="00CC1189"/>
    <w:rsid w:val="00CC19C4"/>
    <w:rsid w:val="00CC1E2E"/>
    <w:rsid w:val="00CC1F79"/>
    <w:rsid w:val="00CC203E"/>
    <w:rsid w:val="00CC23C6"/>
    <w:rsid w:val="00CC26B8"/>
    <w:rsid w:val="00CC2803"/>
    <w:rsid w:val="00CC32F3"/>
    <w:rsid w:val="00CC3489"/>
    <w:rsid w:val="00CC3A68"/>
    <w:rsid w:val="00CC3E3F"/>
    <w:rsid w:val="00CC40A0"/>
    <w:rsid w:val="00CC468B"/>
    <w:rsid w:val="00CC4B5B"/>
    <w:rsid w:val="00CC56AF"/>
    <w:rsid w:val="00CC56C9"/>
    <w:rsid w:val="00CC6423"/>
    <w:rsid w:val="00CC657C"/>
    <w:rsid w:val="00CC68D6"/>
    <w:rsid w:val="00CC707F"/>
    <w:rsid w:val="00CC79CD"/>
    <w:rsid w:val="00CC7CC8"/>
    <w:rsid w:val="00CD0332"/>
    <w:rsid w:val="00CD0761"/>
    <w:rsid w:val="00CD0CEE"/>
    <w:rsid w:val="00CD0E1F"/>
    <w:rsid w:val="00CD1841"/>
    <w:rsid w:val="00CD1BF1"/>
    <w:rsid w:val="00CD2A3E"/>
    <w:rsid w:val="00CD31C1"/>
    <w:rsid w:val="00CD35E8"/>
    <w:rsid w:val="00CD35F1"/>
    <w:rsid w:val="00CD3EA4"/>
    <w:rsid w:val="00CD4704"/>
    <w:rsid w:val="00CD4AE1"/>
    <w:rsid w:val="00CD4B3B"/>
    <w:rsid w:val="00CD4C9C"/>
    <w:rsid w:val="00CD5401"/>
    <w:rsid w:val="00CD5716"/>
    <w:rsid w:val="00CD5927"/>
    <w:rsid w:val="00CD64BF"/>
    <w:rsid w:val="00CD6524"/>
    <w:rsid w:val="00CD68DD"/>
    <w:rsid w:val="00CD6C24"/>
    <w:rsid w:val="00CD6C94"/>
    <w:rsid w:val="00CD7649"/>
    <w:rsid w:val="00CD7760"/>
    <w:rsid w:val="00CD794A"/>
    <w:rsid w:val="00CD7B0E"/>
    <w:rsid w:val="00CD7B8B"/>
    <w:rsid w:val="00CD7D8E"/>
    <w:rsid w:val="00CE0513"/>
    <w:rsid w:val="00CE073C"/>
    <w:rsid w:val="00CE08C7"/>
    <w:rsid w:val="00CE0AAE"/>
    <w:rsid w:val="00CE1374"/>
    <w:rsid w:val="00CE1D18"/>
    <w:rsid w:val="00CE23D8"/>
    <w:rsid w:val="00CE24CB"/>
    <w:rsid w:val="00CE2B04"/>
    <w:rsid w:val="00CE3F20"/>
    <w:rsid w:val="00CE4565"/>
    <w:rsid w:val="00CE4E5D"/>
    <w:rsid w:val="00CE4F18"/>
    <w:rsid w:val="00CE50E8"/>
    <w:rsid w:val="00CE5298"/>
    <w:rsid w:val="00CE5841"/>
    <w:rsid w:val="00CE58EB"/>
    <w:rsid w:val="00CE596B"/>
    <w:rsid w:val="00CE5F0A"/>
    <w:rsid w:val="00CE6261"/>
    <w:rsid w:val="00CE643F"/>
    <w:rsid w:val="00CE681D"/>
    <w:rsid w:val="00CE6A32"/>
    <w:rsid w:val="00CE78C9"/>
    <w:rsid w:val="00CF0507"/>
    <w:rsid w:val="00CF091E"/>
    <w:rsid w:val="00CF0A69"/>
    <w:rsid w:val="00CF0C1D"/>
    <w:rsid w:val="00CF10F6"/>
    <w:rsid w:val="00CF12EC"/>
    <w:rsid w:val="00CF1331"/>
    <w:rsid w:val="00CF15E2"/>
    <w:rsid w:val="00CF184F"/>
    <w:rsid w:val="00CF1A09"/>
    <w:rsid w:val="00CF1E7E"/>
    <w:rsid w:val="00CF26A8"/>
    <w:rsid w:val="00CF2ACC"/>
    <w:rsid w:val="00CF3547"/>
    <w:rsid w:val="00CF35A2"/>
    <w:rsid w:val="00CF35B2"/>
    <w:rsid w:val="00CF38D4"/>
    <w:rsid w:val="00CF3AB9"/>
    <w:rsid w:val="00CF3BE7"/>
    <w:rsid w:val="00CF3F0D"/>
    <w:rsid w:val="00CF472E"/>
    <w:rsid w:val="00CF5056"/>
    <w:rsid w:val="00CF50F7"/>
    <w:rsid w:val="00CF5593"/>
    <w:rsid w:val="00CF5672"/>
    <w:rsid w:val="00CF5C9C"/>
    <w:rsid w:val="00CF5DB7"/>
    <w:rsid w:val="00CF60B2"/>
    <w:rsid w:val="00CF6874"/>
    <w:rsid w:val="00CF6BB9"/>
    <w:rsid w:val="00CF6DD6"/>
    <w:rsid w:val="00D00061"/>
    <w:rsid w:val="00D00798"/>
    <w:rsid w:val="00D00FDE"/>
    <w:rsid w:val="00D0121F"/>
    <w:rsid w:val="00D022D6"/>
    <w:rsid w:val="00D0244F"/>
    <w:rsid w:val="00D026EE"/>
    <w:rsid w:val="00D02876"/>
    <w:rsid w:val="00D0316E"/>
    <w:rsid w:val="00D03342"/>
    <w:rsid w:val="00D03563"/>
    <w:rsid w:val="00D03A13"/>
    <w:rsid w:val="00D03F31"/>
    <w:rsid w:val="00D041BF"/>
    <w:rsid w:val="00D04451"/>
    <w:rsid w:val="00D04454"/>
    <w:rsid w:val="00D045FD"/>
    <w:rsid w:val="00D05061"/>
    <w:rsid w:val="00D0586B"/>
    <w:rsid w:val="00D0774F"/>
    <w:rsid w:val="00D10303"/>
    <w:rsid w:val="00D103E0"/>
    <w:rsid w:val="00D1060F"/>
    <w:rsid w:val="00D10E2C"/>
    <w:rsid w:val="00D1140B"/>
    <w:rsid w:val="00D11823"/>
    <w:rsid w:val="00D118F2"/>
    <w:rsid w:val="00D11D06"/>
    <w:rsid w:val="00D11E06"/>
    <w:rsid w:val="00D12105"/>
    <w:rsid w:val="00D12207"/>
    <w:rsid w:val="00D12D32"/>
    <w:rsid w:val="00D12D86"/>
    <w:rsid w:val="00D12E0E"/>
    <w:rsid w:val="00D12F07"/>
    <w:rsid w:val="00D12FCB"/>
    <w:rsid w:val="00D130F7"/>
    <w:rsid w:val="00D132C3"/>
    <w:rsid w:val="00D13444"/>
    <w:rsid w:val="00D13887"/>
    <w:rsid w:val="00D140EF"/>
    <w:rsid w:val="00D1452D"/>
    <w:rsid w:val="00D148D1"/>
    <w:rsid w:val="00D149AD"/>
    <w:rsid w:val="00D14CD4"/>
    <w:rsid w:val="00D15416"/>
    <w:rsid w:val="00D159F8"/>
    <w:rsid w:val="00D1637D"/>
    <w:rsid w:val="00D16650"/>
    <w:rsid w:val="00D16C47"/>
    <w:rsid w:val="00D16C61"/>
    <w:rsid w:val="00D16CC4"/>
    <w:rsid w:val="00D1713A"/>
    <w:rsid w:val="00D171C8"/>
    <w:rsid w:val="00D17AFC"/>
    <w:rsid w:val="00D17CFB"/>
    <w:rsid w:val="00D17D1E"/>
    <w:rsid w:val="00D2009D"/>
    <w:rsid w:val="00D20744"/>
    <w:rsid w:val="00D20822"/>
    <w:rsid w:val="00D2110E"/>
    <w:rsid w:val="00D22287"/>
    <w:rsid w:val="00D22567"/>
    <w:rsid w:val="00D226B9"/>
    <w:rsid w:val="00D22D14"/>
    <w:rsid w:val="00D23437"/>
    <w:rsid w:val="00D234D2"/>
    <w:rsid w:val="00D23697"/>
    <w:rsid w:val="00D2373E"/>
    <w:rsid w:val="00D2381C"/>
    <w:rsid w:val="00D23842"/>
    <w:rsid w:val="00D23A94"/>
    <w:rsid w:val="00D23F38"/>
    <w:rsid w:val="00D240BA"/>
    <w:rsid w:val="00D24346"/>
    <w:rsid w:val="00D244E1"/>
    <w:rsid w:val="00D2459A"/>
    <w:rsid w:val="00D24672"/>
    <w:rsid w:val="00D248D9"/>
    <w:rsid w:val="00D24A5C"/>
    <w:rsid w:val="00D24B50"/>
    <w:rsid w:val="00D24CD7"/>
    <w:rsid w:val="00D24D7B"/>
    <w:rsid w:val="00D2502F"/>
    <w:rsid w:val="00D25100"/>
    <w:rsid w:val="00D25450"/>
    <w:rsid w:val="00D255E8"/>
    <w:rsid w:val="00D25A2B"/>
    <w:rsid w:val="00D25F3E"/>
    <w:rsid w:val="00D2628C"/>
    <w:rsid w:val="00D26C87"/>
    <w:rsid w:val="00D26D27"/>
    <w:rsid w:val="00D26D53"/>
    <w:rsid w:val="00D26EF3"/>
    <w:rsid w:val="00D27131"/>
    <w:rsid w:val="00D301AC"/>
    <w:rsid w:val="00D30336"/>
    <w:rsid w:val="00D30815"/>
    <w:rsid w:val="00D30B75"/>
    <w:rsid w:val="00D30C28"/>
    <w:rsid w:val="00D30F3A"/>
    <w:rsid w:val="00D31BBD"/>
    <w:rsid w:val="00D31BEC"/>
    <w:rsid w:val="00D32104"/>
    <w:rsid w:val="00D329A0"/>
    <w:rsid w:val="00D32B44"/>
    <w:rsid w:val="00D32CE1"/>
    <w:rsid w:val="00D32E58"/>
    <w:rsid w:val="00D33010"/>
    <w:rsid w:val="00D33362"/>
    <w:rsid w:val="00D334CD"/>
    <w:rsid w:val="00D3395C"/>
    <w:rsid w:val="00D33980"/>
    <w:rsid w:val="00D34412"/>
    <w:rsid w:val="00D34D6B"/>
    <w:rsid w:val="00D354AD"/>
    <w:rsid w:val="00D35628"/>
    <w:rsid w:val="00D35BAA"/>
    <w:rsid w:val="00D36072"/>
    <w:rsid w:val="00D36122"/>
    <w:rsid w:val="00D36D3C"/>
    <w:rsid w:val="00D36ED8"/>
    <w:rsid w:val="00D3756A"/>
    <w:rsid w:val="00D375DA"/>
    <w:rsid w:val="00D377AE"/>
    <w:rsid w:val="00D400D8"/>
    <w:rsid w:val="00D40342"/>
    <w:rsid w:val="00D404B1"/>
    <w:rsid w:val="00D4113F"/>
    <w:rsid w:val="00D4119C"/>
    <w:rsid w:val="00D412B3"/>
    <w:rsid w:val="00D41378"/>
    <w:rsid w:val="00D41616"/>
    <w:rsid w:val="00D418D3"/>
    <w:rsid w:val="00D42B1F"/>
    <w:rsid w:val="00D42CD9"/>
    <w:rsid w:val="00D43988"/>
    <w:rsid w:val="00D43AC4"/>
    <w:rsid w:val="00D43DBF"/>
    <w:rsid w:val="00D44448"/>
    <w:rsid w:val="00D44869"/>
    <w:rsid w:val="00D44B46"/>
    <w:rsid w:val="00D44BDE"/>
    <w:rsid w:val="00D44E88"/>
    <w:rsid w:val="00D45B50"/>
    <w:rsid w:val="00D45CA8"/>
    <w:rsid w:val="00D460C3"/>
    <w:rsid w:val="00D46109"/>
    <w:rsid w:val="00D4692A"/>
    <w:rsid w:val="00D46C3C"/>
    <w:rsid w:val="00D46D0E"/>
    <w:rsid w:val="00D46E71"/>
    <w:rsid w:val="00D4707E"/>
    <w:rsid w:val="00D4721D"/>
    <w:rsid w:val="00D4722D"/>
    <w:rsid w:val="00D47867"/>
    <w:rsid w:val="00D4788F"/>
    <w:rsid w:val="00D47D6E"/>
    <w:rsid w:val="00D47E2C"/>
    <w:rsid w:val="00D47EAF"/>
    <w:rsid w:val="00D504F6"/>
    <w:rsid w:val="00D50C02"/>
    <w:rsid w:val="00D50E4B"/>
    <w:rsid w:val="00D50E7A"/>
    <w:rsid w:val="00D50EF0"/>
    <w:rsid w:val="00D512EA"/>
    <w:rsid w:val="00D51552"/>
    <w:rsid w:val="00D51B27"/>
    <w:rsid w:val="00D52013"/>
    <w:rsid w:val="00D5227E"/>
    <w:rsid w:val="00D5242C"/>
    <w:rsid w:val="00D52583"/>
    <w:rsid w:val="00D52D7F"/>
    <w:rsid w:val="00D52F8D"/>
    <w:rsid w:val="00D53034"/>
    <w:rsid w:val="00D532F5"/>
    <w:rsid w:val="00D5331B"/>
    <w:rsid w:val="00D538FE"/>
    <w:rsid w:val="00D54373"/>
    <w:rsid w:val="00D545E9"/>
    <w:rsid w:val="00D54785"/>
    <w:rsid w:val="00D547BC"/>
    <w:rsid w:val="00D54BC4"/>
    <w:rsid w:val="00D54E43"/>
    <w:rsid w:val="00D54F28"/>
    <w:rsid w:val="00D555E4"/>
    <w:rsid w:val="00D559DA"/>
    <w:rsid w:val="00D55A05"/>
    <w:rsid w:val="00D55E57"/>
    <w:rsid w:val="00D56202"/>
    <w:rsid w:val="00D564EF"/>
    <w:rsid w:val="00D5676E"/>
    <w:rsid w:val="00D56DB7"/>
    <w:rsid w:val="00D570FB"/>
    <w:rsid w:val="00D57447"/>
    <w:rsid w:val="00D60111"/>
    <w:rsid w:val="00D60231"/>
    <w:rsid w:val="00D60E3C"/>
    <w:rsid w:val="00D60FC5"/>
    <w:rsid w:val="00D60FE9"/>
    <w:rsid w:val="00D613B2"/>
    <w:rsid w:val="00D61A8C"/>
    <w:rsid w:val="00D61A9F"/>
    <w:rsid w:val="00D61EDD"/>
    <w:rsid w:val="00D621D0"/>
    <w:rsid w:val="00D628AF"/>
    <w:rsid w:val="00D6294B"/>
    <w:rsid w:val="00D62AF3"/>
    <w:rsid w:val="00D630BA"/>
    <w:rsid w:val="00D63413"/>
    <w:rsid w:val="00D63446"/>
    <w:rsid w:val="00D6353D"/>
    <w:rsid w:val="00D640B2"/>
    <w:rsid w:val="00D6429C"/>
    <w:rsid w:val="00D642D7"/>
    <w:rsid w:val="00D64490"/>
    <w:rsid w:val="00D64A3D"/>
    <w:rsid w:val="00D65D91"/>
    <w:rsid w:val="00D662EE"/>
    <w:rsid w:val="00D66331"/>
    <w:rsid w:val="00D66697"/>
    <w:rsid w:val="00D66EDC"/>
    <w:rsid w:val="00D6704C"/>
    <w:rsid w:val="00D670B7"/>
    <w:rsid w:val="00D6750E"/>
    <w:rsid w:val="00D67684"/>
    <w:rsid w:val="00D67ACA"/>
    <w:rsid w:val="00D67EA8"/>
    <w:rsid w:val="00D67F69"/>
    <w:rsid w:val="00D70737"/>
    <w:rsid w:val="00D70E58"/>
    <w:rsid w:val="00D71103"/>
    <w:rsid w:val="00D722B4"/>
    <w:rsid w:val="00D723EC"/>
    <w:rsid w:val="00D72420"/>
    <w:rsid w:val="00D72551"/>
    <w:rsid w:val="00D7255F"/>
    <w:rsid w:val="00D725C6"/>
    <w:rsid w:val="00D726EB"/>
    <w:rsid w:val="00D72DF4"/>
    <w:rsid w:val="00D72E06"/>
    <w:rsid w:val="00D731EC"/>
    <w:rsid w:val="00D73302"/>
    <w:rsid w:val="00D73ADE"/>
    <w:rsid w:val="00D73AF1"/>
    <w:rsid w:val="00D74504"/>
    <w:rsid w:val="00D74639"/>
    <w:rsid w:val="00D74DAF"/>
    <w:rsid w:val="00D74F04"/>
    <w:rsid w:val="00D75E74"/>
    <w:rsid w:val="00D762C4"/>
    <w:rsid w:val="00D76DDA"/>
    <w:rsid w:val="00D77EF0"/>
    <w:rsid w:val="00D77F35"/>
    <w:rsid w:val="00D80341"/>
    <w:rsid w:val="00D8093F"/>
    <w:rsid w:val="00D809B7"/>
    <w:rsid w:val="00D8101C"/>
    <w:rsid w:val="00D810C4"/>
    <w:rsid w:val="00D813B0"/>
    <w:rsid w:val="00D81A57"/>
    <w:rsid w:val="00D81FFC"/>
    <w:rsid w:val="00D82A4C"/>
    <w:rsid w:val="00D82E01"/>
    <w:rsid w:val="00D837B4"/>
    <w:rsid w:val="00D83A8B"/>
    <w:rsid w:val="00D84061"/>
    <w:rsid w:val="00D844E7"/>
    <w:rsid w:val="00D8483A"/>
    <w:rsid w:val="00D8551D"/>
    <w:rsid w:val="00D85683"/>
    <w:rsid w:val="00D8682D"/>
    <w:rsid w:val="00D8687A"/>
    <w:rsid w:val="00D86B88"/>
    <w:rsid w:val="00D87125"/>
    <w:rsid w:val="00D87145"/>
    <w:rsid w:val="00D874FB"/>
    <w:rsid w:val="00D87776"/>
    <w:rsid w:val="00D87FDB"/>
    <w:rsid w:val="00D90EC1"/>
    <w:rsid w:val="00D90F8A"/>
    <w:rsid w:val="00D91621"/>
    <w:rsid w:val="00D918C7"/>
    <w:rsid w:val="00D91B8F"/>
    <w:rsid w:val="00D924A0"/>
    <w:rsid w:val="00D92CF0"/>
    <w:rsid w:val="00D930F2"/>
    <w:rsid w:val="00D9310A"/>
    <w:rsid w:val="00D93342"/>
    <w:rsid w:val="00D93415"/>
    <w:rsid w:val="00D9450C"/>
    <w:rsid w:val="00D94D4B"/>
    <w:rsid w:val="00D94E0E"/>
    <w:rsid w:val="00D94F54"/>
    <w:rsid w:val="00D950AF"/>
    <w:rsid w:val="00D9545B"/>
    <w:rsid w:val="00D9553A"/>
    <w:rsid w:val="00D957EB"/>
    <w:rsid w:val="00D95BCF"/>
    <w:rsid w:val="00D95FC2"/>
    <w:rsid w:val="00D961EE"/>
    <w:rsid w:val="00D96952"/>
    <w:rsid w:val="00D97077"/>
    <w:rsid w:val="00D971AA"/>
    <w:rsid w:val="00D97308"/>
    <w:rsid w:val="00D9740F"/>
    <w:rsid w:val="00D97A89"/>
    <w:rsid w:val="00D97BA1"/>
    <w:rsid w:val="00D97D8B"/>
    <w:rsid w:val="00DA01BF"/>
    <w:rsid w:val="00DA02AD"/>
    <w:rsid w:val="00DA09FC"/>
    <w:rsid w:val="00DA0CD3"/>
    <w:rsid w:val="00DA0E8F"/>
    <w:rsid w:val="00DA1779"/>
    <w:rsid w:val="00DA1EE5"/>
    <w:rsid w:val="00DA263F"/>
    <w:rsid w:val="00DA2A54"/>
    <w:rsid w:val="00DA2CDD"/>
    <w:rsid w:val="00DA324E"/>
    <w:rsid w:val="00DA3D5A"/>
    <w:rsid w:val="00DA3D60"/>
    <w:rsid w:val="00DA44CF"/>
    <w:rsid w:val="00DA47B9"/>
    <w:rsid w:val="00DA4829"/>
    <w:rsid w:val="00DA51F4"/>
    <w:rsid w:val="00DA59D2"/>
    <w:rsid w:val="00DA60CB"/>
    <w:rsid w:val="00DA669D"/>
    <w:rsid w:val="00DA691E"/>
    <w:rsid w:val="00DA6DAA"/>
    <w:rsid w:val="00DA776F"/>
    <w:rsid w:val="00DA7B84"/>
    <w:rsid w:val="00DB1749"/>
    <w:rsid w:val="00DB1FEA"/>
    <w:rsid w:val="00DB2948"/>
    <w:rsid w:val="00DB2B7E"/>
    <w:rsid w:val="00DB328A"/>
    <w:rsid w:val="00DB33D2"/>
    <w:rsid w:val="00DB36D2"/>
    <w:rsid w:val="00DB42F9"/>
    <w:rsid w:val="00DB452C"/>
    <w:rsid w:val="00DB476D"/>
    <w:rsid w:val="00DB47C5"/>
    <w:rsid w:val="00DB527B"/>
    <w:rsid w:val="00DB5719"/>
    <w:rsid w:val="00DB5D19"/>
    <w:rsid w:val="00DB5E4A"/>
    <w:rsid w:val="00DB6042"/>
    <w:rsid w:val="00DB624E"/>
    <w:rsid w:val="00DB6888"/>
    <w:rsid w:val="00DB68E8"/>
    <w:rsid w:val="00DB70A2"/>
    <w:rsid w:val="00DB7A4B"/>
    <w:rsid w:val="00DC02EA"/>
    <w:rsid w:val="00DC0A52"/>
    <w:rsid w:val="00DC0BD5"/>
    <w:rsid w:val="00DC0BDC"/>
    <w:rsid w:val="00DC0E65"/>
    <w:rsid w:val="00DC0F49"/>
    <w:rsid w:val="00DC1103"/>
    <w:rsid w:val="00DC1117"/>
    <w:rsid w:val="00DC1228"/>
    <w:rsid w:val="00DC13E6"/>
    <w:rsid w:val="00DC1CA6"/>
    <w:rsid w:val="00DC20CF"/>
    <w:rsid w:val="00DC224D"/>
    <w:rsid w:val="00DC2259"/>
    <w:rsid w:val="00DC2623"/>
    <w:rsid w:val="00DC30AE"/>
    <w:rsid w:val="00DC31CC"/>
    <w:rsid w:val="00DC37FD"/>
    <w:rsid w:val="00DC3A8D"/>
    <w:rsid w:val="00DC6407"/>
    <w:rsid w:val="00DC72B8"/>
    <w:rsid w:val="00DC76C3"/>
    <w:rsid w:val="00DC77BF"/>
    <w:rsid w:val="00DC7A5D"/>
    <w:rsid w:val="00DC7BDA"/>
    <w:rsid w:val="00DC7E69"/>
    <w:rsid w:val="00DD02C0"/>
    <w:rsid w:val="00DD122C"/>
    <w:rsid w:val="00DD1B83"/>
    <w:rsid w:val="00DD1EC6"/>
    <w:rsid w:val="00DD2821"/>
    <w:rsid w:val="00DD2843"/>
    <w:rsid w:val="00DD2BAF"/>
    <w:rsid w:val="00DD2C41"/>
    <w:rsid w:val="00DD2CAD"/>
    <w:rsid w:val="00DD2E32"/>
    <w:rsid w:val="00DD3145"/>
    <w:rsid w:val="00DD3308"/>
    <w:rsid w:val="00DD3316"/>
    <w:rsid w:val="00DD38FE"/>
    <w:rsid w:val="00DD40D7"/>
    <w:rsid w:val="00DD42D8"/>
    <w:rsid w:val="00DD460E"/>
    <w:rsid w:val="00DD4F5E"/>
    <w:rsid w:val="00DD5ADD"/>
    <w:rsid w:val="00DD5C82"/>
    <w:rsid w:val="00DD5E57"/>
    <w:rsid w:val="00DD6DFD"/>
    <w:rsid w:val="00DD6E32"/>
    <w:rsid w:val="00DD70A2"/>
    <w:rsid w:val="00DD7695"/>
    <w:rsid w:val="00DE02BE"/>
    <w:rsid w:val="00DE1255"/>
    <w:rsid w:val="00DE146E"/>
    <w:rsid w:val="00DE1B0C"/>
    <w:rsid w:val="00DE2B78"/>
    <w:rsid w:val="00DE317C"/>
    <w:rsid w:val="00DE3385"/>
    <w:rsid w:val="00DE3554"/>
    <w:rsid w:val="00DE38A1"/>
    <w:rsid w:val="00DE4051"/>
    <w:rsid w:val="00DE4502"/>
    <w:rsid w:val="00DE4638"/>
    <w:rsid w:val="00DE4651"/>
    <w:rsid w:val="00DE4983"/>
    <w:rsid w:val="00DE6569"/>
    <w:rsid w:val="00DE66D7"/>
    <w:rsid w:val="00DE6A04"/>
    <w:rsid w:val="00DE6AAE"/>
    <w:rsid w:val="00DE70A2"/>
    <w:rsid w:val="00DE7265"/>
    <w:rsid w:val="00DE7525"/>
    <w:rsid w:val="00DE7579"/>
    <w:rsid w:val="00DE7623"/>
    <w:rsid w:val="00DE7758"/>
    <w:rsid w:val="00DE7BDC"/>
    <w:rsid w:val="00DF048D"/>
    <w:rsid w:val="00DF1251"/>
    <w:rsid w:val="00DF1298"/>
    <w:rsid w:val="00DF1352"/>
    <w:rsid w:val="00DF16EB"/>
    <w:rsid w:val="00DF1791"/>
    <w:rsid w:val="00DF1AD3"/>
    <w:rsid w:val="00DF2353"/>
    <w:rsid w:val="00DF27FC"/>
    <w:rsid w:val="00DF2C54"/>
    <w:rsid w:val="00DF3724"/>
    <w:rsid w:val="00DF3837"/>
    <w:rsid w:val="00DF3A26"/>
    <w:rsid w:val="00DF3AB2"/>
    <w:rsid w:val="00DF6677"/>
    <w:rsid w:val="00DF6FBC"/>
    <w:rsid w:val="00DF75D9"/>
    <w:rsid w:val="00DF78B2"/>
    <w:rsid w:val="00DF7DD5"/>
    <w:rsid w:val="00DF7ED4"/>
    <w:rsid w:val="00E004C6"/>
    <w:rsid w:val="00E0054D"/>
    <w:rsid w:val="00E00684"/>
    <w:rsid w:val="00E0074B"/>
    <w:rsid w:val="00E00898"/>
    <w:rsid w:val="00E01CB2"/>
    <w:rsid w:val="00E01DD2"/>
    <w:rsid w:val="00E020A9"/>
    <w:rsid w:val="00E02546"/>
    <w:rsid w:val="00E0272B"/>
    <w:rsid w:val="00E02CFF"/>
    <w:rsid w:val="00E02E2F"/>
    <w:rsid w:val="00E03938"/>
    <w:rsid w:val="00E03BB8"/>
    <w:rsid w:val="00E03CBD"/>
    <w:rsid w:val="00E03E83"/>
    <w:rsid w:val="00E042DE"/>
    <w:rsid w:val="00E044DD"/>
    <w:rsid w:val="00E04877"/>
    <w:rsid w:val="00E04C45"/>
    <w:rsid w:val="00E04D1C"/>
    <w:rsid w:val="00E05681"/>
    <w:rsid w:val="00E0576B"/>
    <w:rsid w:val="00E0588C"/>
    <w:rsid w:val="00E058EB"/>
    <w:rsid w:val="00E05A89"/>
    <w:rsid w:val="00E05FA9"/>
    <w:rsid w:val="00E06062"/>
    <w:rsid w:val="00E0628E"/>
    <w:rsid w:val="00E06460"/>
    <w:rsid w:val="00E06826"/>
    <w:rsid w:val="00E0689E"/>
    <w:rsid w:val="00E0730E"/>
    <w:rsid w:val="00E073CF"/>
    <w:rsid w:val="00E07BA5"/>
    <w:rsid w:val="00E07F31"/>
    <w:rsid w:val="00E10C42"/>
    <w:rsid w:val="00E11C13"/>
    <w:rsid w:val="00E11F04"/>
    <w:rsid w:val="00E12535"/>
    <w:rsid w:val="00E12D89"/>
    <w:rsid w:val="00E13167"/>
    <w:rsid w:val="00E1340B"/>
    <w:rsid w:val="00E13602"/>
    <w:rsid w:val="00E13999"/>
    <w:rsid w:val="00E13F45"/>
    <w:rsid w:val="00E14108"/>
    <w:rsid w:val="00E1493B"/>
    <w:rsid w:val="00E149D3"/>
    <w:rsid w:val="00E14EE9"/>
    <w:rsid w:val="00E15082"/>
    <w:rsid w:val="00E15217"/>
    <w:rsid w:val="00E15282"/>
    <w:rsid w:val="00E1557E"/>
    <w:rsid w:val="00E15F3D"/>
    <w:rsid w:val="00E161AD"/>
    <w:rsid w:val="00E16931"/>
    <w:rsid w:val="00E16D18"/>
    <w:rsid w:val="00E16E3C"/>
    <w:rsid w:val="00E17050"/>
    <w:rsid w:val="00E17F53"/>
    <w:rsid w:val="00E2040B"/>
    <w:rsid w:val="00E211FF"/>
    <w:rsid w:val="00E21463"/>
    <w:rsid w:val="00E21479"/>
    <w:rsid w:val="00E21BA1"/>
    <w:rsid w:val="00E21DB7"/>
    <w:rsid w:val="00E2256E"/>
    <w:rsid w:val="00E24195"/>
    <w:rsid w:val="00E24567"/>
    <w:rsid w:val="00E246BF"/>
    <w:rsid w:val="00E249D9"/>
    <w:rsid w:val="00E25124"/>
    <w:rsid w:val="00E25239"/>
    <w:rsid w:val="00E25814"/>
    <w:rsid w:val="00E25A4F"/>
    <w:rsid w:val="00E25AA4"/>
    <w:rsid w:val="00E261F8"/>
    <w:rsid w:val="00E2624E"/>
    <w:rsid w:val="00E2664B"/>
    <w:rsid w:val="00E268EB"/>
    <w:rsid w:val="00E26973"/>
    <w:rsid w:val="00E26E57"/>
    <w:rsid w:val="00E27354"/>
    <w:rsid w:val="00E27467"/>
    <w:rsid w:val="00E278A8"/>
    <w:rsid w:val="00E27BEA"/>
    <w:rsid w:val="00E302E2"/>
    <w:rsid w:val="00E303A9"/>
    <w:rsid w:val="00E3043D"/>
    <w:rsid w:val="00E30628"/>
    <w:rsid w:val="00E30883"/>
    <w:rsid w:val="00E31251"/>
    <w:rsid w:val="00E32231"/>
    <w:rsid w:val="00E324AD"/>
    <w:rsid w:val="00E32E0C"/>
    <w:rsid w:val="00E32F9A"/>
    <w:rsid w:val="00E3336A"/>
    <w:rsid w:val="00E333FB"/>
    <w:rsid w:val="00E3342D"/>
    <w:rsid w:val="00E33683"/>
    <w:rsid w:val="00E33734"/>
    <w:rsid w:val="00E33C47"/>
    <w:rsid w:val="00E33C7F"/>
    <w:rsid w:val="00E33EE3"/>
    <w:rsid w:val="00E3440F"/>
    <w:rsid w:val="00E347F0"/>
    <w:rsid w:val="00E35085"/>
    <w:rsid w:val="00E35094"/>
    <w:rsid w:val="00E3527B"/>
    <w:rsid w:val="00E35693"/>
    <w:rsid w:val="00E356FF"/>
    <w:rsid w:val="00E36783"/>
    <w:rsid w:val="00E36A55"/>
    <w:rsid w:val="00E36CFA"/>
    <w:rsid w:val="00E36EB2"/>
    <w:rsid w:val="00E36F56"/>
    <w:rsid w:val="00E377A0"/>
    <w:rsid w:val="00E37D7C"/>
    <w:rsid w:val="00E37E51"/>
    <w:rsid w:val="00E4060A"/>
    <w:rsid w:val="00E4083B"/>
    <w:rsid w:val="00E40AEB"/>
    <w:rsid w:val="00E40F9D"/>
    <w:rsid w:val="00E4122C"/>
    <w:rsid w:val="00E417D0"/>
    <w:rsid w:val="00E422C4"/>
    <w:rsid w:val="00E428CA"/>
    <w:rsid w:val="00E429EC"/>
    <w:rsid w:val="00E43330"/>
    <w:rsid w:val="00E4335B"/>
    <w:rsid w:val="00E4341C"/>
    <w:rsid w:val="00E4380E"/>
    <w:rsid w:val="00E439F8"/>
    <w:rsid w:val="00E43AD8"/>
    <w:rsid w:val="00E43DC4"/>
    <w:rsid w:val="00E43DF0"/>
    <w:rsid w:val="00E44199"/>
    <w:rsid w:val="00E4431C"/>
    <w:rsid w:val="00E44A0D"/>
    <w:rsid w:val="00E44CD4"/>
    <w:rsid w:val="00E450A6"/>
    <w:rsid w:val="00E455AB"/>
    <w:rsid w:val="00E459A0"/>
    <w:rsid w:val="00E45B91"/>
    <w:rsid w:val="00E46B50"/>
    <w:rsid w:val="00E46B92"/>
    <w:rsid w:val="00E46C57"/>
    <w:rsid w:val="00E46D9B"/>
    <w:rsid w:val="00E47385"/>
    <w:rsid w:val="00E50533"/>
    <w:rsid w:val="00E508F6"/>
    <w:rsid w:val="00E50D34"/>
    <w:rsid w:val="00E50F7B"/>
    <w:rsid w:val="00E51467"/>
    <w:rsid w:val="00E5176B"/>
    <w:rsid w:val="00E517B2"/>
    <w:rsid w:val="00E51B5D"/>
    <w:rsid w:val="00E51CB9"/>
    <w:rsid w:val="00E527FE"/>
    <w:rsid w:val="00E528BA"/>
    <w:rsid w:val="00E53671"/>
    <w:rsid w:val="00E539CD"/>
    <w:rsid w:val="00E53CAB"/>
    <w:rsid w:val="00E53D6A"/>
    <w:rsid w:val="00E540EA"/>
    <w:rsid w:val="00E55339"/>
    <w:rsid w:val="00E55538"/>
    <w:rsid w:val="00E55ADF"/>
    <w:rsid w:val="00E565C2"/>
    <w:rsid w:val="00E56E95"/>
    <w:rsid w:val="00E56ECC"/>
    <w:rsid w:val="00E5731F"/>
    <w:rsid w:val="00E57F05"/>
    <w:rsid w:val="00E57F9B"/>
    <w:rsid w:val="00E60269"/>
    <w:rsid w:val="00E60358"/>
    <w:rsid w:val="00E60586"/>
    <w:rsid w:val="00E6073C"/>
    <w:rsid w:val="00E60B4F"/>
    <w:rsid w:val="00E60C32"/>
    <w:rsid w:val="00E60CD2"/>
    <w:rsid w:val="00E616A2"/>
    <w:rsid w:val="00E6202B"/>
    <w:rsid w:val="00E625DE"/>
    <w:rsid w:val="00E627F6"/>
    <w:rsid w:val="00E62838"/>
    <w:rsid w:val="00E632C3"/>
    <w:rsid w:val="00E639E4"/>
    <w:rsid w:val="00E63AA2"/>
    <w:rsid w:val="00E63E8A"/>
    <w:rsid w:val="00E63F1D"/>
    <w:rsid w:val="00E63FD4"/>
    <w:rsid w:val="00E646D5"/>
    <w:rsid w:val="00E64A75"/>
    <w:rsid w:val="00E64B1B"/>
    <w:rsid w:val="00E650B6"/>
    <w:rsid w:val="00E65779"/>
    <w:rsid w:val="00E6602D"/>
    <w:rsid w:val="00E6603D"/>
    <w:rsid w:val="00E66275"/>
    <w:rsid w:val="00E67336"/>
    <w:rsid w:val="00E67343"/>
    <w:rsid w:val="00E67E86"/>
    <w:rsid w:val="00E7009F"/>
    <w:rsid w:val="00E70752"/>
    <w:rsid w:val="00E7153E"/>
    <w:rsid w:val="00E71650"/>
    <w:rsid w:val="00E729A3"/>
    <w:rsid w:val="00E72A7F"/>
    <w:rsid w:val="00E72E6E"/>
    <w:rsid w:val="00E72EC2"/>
    <w:rsid w:val="00E73199"/>
    <w:rsid w:val="00E73243"/>
    <w:rsid w:val="00E7372A"/>
    <w:rsid w:val="00E7391E"/>
    <w:rsid w:val="00E73F08"/>
    <w:rsid w:val="00E7483A"/>
    <w:rsid w:val="00E74926"/>
    <w:rsid w:val="00E751CF"/>
    <w:rsid w:val="00E752A1"/>
    <w:rsid w:val="00E753AA"/>
    <w:rsid w:val="00E75A9D"/>
    <w:rsid w:val="00E75B62"/>
    <w:rsid w:val="00E75E7C"/>
    <w:rsid w:val="00E76210"/>
    <w:rsid w:val="00E76513"/>
    <w:rsid w:val="00E76A32"/>
    <w:rsid w:val="00E76C5E"/>
    <w:rsid w:val="00E803C3"/>
    <w:rsid w:val="00E80727"/>
    <w:rsid w:val="00E80872"/>
    <w:rsid w:val="00E8098A"/>
    <w:rsid w:val="00E80EFB"/>
    <w:rsid w:val="00E81B34"/>
    <w:rsid w:val="00E81B8E"/>
    <w:rsid w:val="00E81EBF"/>
    <w:rsid w:val="00E81ED7"/>
    <w:rsid w:val="00E8219D"/>
    <w:rsid w:val="00E82941"/>
    <w:rsid w:val="00E83371"/>
    <w:rsid w:val="00E83599"/>
    <w:rsid w:val="00E8377F"/>
    <w:rsid w:val="00E83C5F"/>
    <w:rsid w:val="00E84955"/>
    <w:rsid w:val="00E84D64"/>
    <w:rsid w:val="00E8543E"/>
    <w:rsid w:val="00E855CE"/>
    <w:rsid w:val="00E8607A"/>
    <w:rsid w:val="00E8623F"/>
    <w:rsid w:val="00E8704B"/>
    <w:rsid w:val="00E87631"/>
    <w:rsid w:val="00E878BE"/>
    <w:rsid w:val="00E87B69"/>
    <w:rsid w:val="00E87D52"/>
    <w:rsid w:val="00E87F00"/>
    <w:rsid w:val="00E87F4D"/>
    <w:rsid w:val="00E901BF"/>
    <w:rsid w:val="00E90407"/>
    <w:rsid w:val="00E90555"/>
    <w:rsid w:val="00E90607"/>
    <w:rsid w:val="00E907BE"/>
    <w:rsid w:val="00E90BDB"/>
    <w:rsid w:val="00E91249"/>
    <w:rsid w:val="00E9176F"/>
    <w:rsid w:val="00E91942"/>
    <w:rsid w:val="00E91B48"/>
    <w:rsid w:val="00E91FBA"/>
    <w:rsid w:val="00E9222C"/>
    <w:rsid w:val="00E9229E"/>
    <w:rsid w:val="00E925E4"/>
    <w:rsid w:val="00E92F79"/>
    <w:rsid w:val="00E933EB"/>
    <w:rsid w:val="00E937CF"/>
    <w:rsid w:val="00E9427A"/>
    <w:rsid w:val="00E9439E"/>
    <w:rsid w:val="00E9522B"/>
    <w:rsid w:val="00E95277"/>
    <w:rsid w:val="00E9558B"/>
    <w:rsid w:val="00E95D1B"/>
    <w:rsid w:val="00E95E64"/>
    <w:rsid w:val="00E95EDC"/>
    <w:rsid w:val="00E96098"/>
    <w:rsid w:val="00E9623E"/>
    <w:rsid w:val="00E9649D"/>
    <w:rsid w:val="00E969F0"/>
    <w:rsid w:val="00E96FA8"/>
    <w:rsid w:val="00EA0534"/>
    <w:rsid w:val="00EA09FE"/>
    <w:rsid w:val="00EA0A9B"/>
    <w:rsid w:val="00EA0D79"/>
    <w:rsid w:val="00EA0E71"/>
    <w:rsid w:val="00EA175D"/>
    <w:rsid w:val="00EA2523"/>
    <w:rsid w:val="00EA2EFA"/>
    <w:rsid w:val="00EA32BF"/>
    <w:rsid w:val="00EA3852"/>
    <w:rsid w:val="00EA456E"/>
    <w:rsid w:val="00EA50D6"/>
    <w:rsid w:val="00EA548E"/>
    <w:rsid w:val="00EA5714"/>
    <w:rsid w:val="00EA722D"/>
    <w:rsid w:val="00EA7662"/>
    <w:rsid w:val="00EB016F"/>
    <w:rsid w:val="00EB0635"/>
    <w:rsid w:val="00EB06EB"/>
    <w:rsid w:val="00EB0798"/>
    <w:rsid w:val="00EB0B50"/>
    <w:rsid w:val="00EB13E0"/>
    <w:rsid w:val="00EB222C"/>
    <w:rsid w:val="00EB33F4"/>
    <w:rsid w:val="00EB3B9C"/>
    <w:rsid w:val="00EB3C8F"/>
    <w:rsid w:val="00EB4242"/>
    <w:rsid w:val="00EB4718"/>
    <w:rsid w:val="00EB4C04"/>
    <w:rsid w:val="00EB4CA7"/>
    <w:rsid w:val="00EB50C2"/>
    <w:rsid w:val="00EB5E24"/>
    <w:rsid w:val="00EB5E76"/>
    <w:rsid w:val="00EB5E87"/>
    <w:rsid w:val="00EB62A4"/>
    <w:rsid w:val="00EB649D"/>
    <w:rsid w:val="00EB6C6B"/>
    <w:rsid w:val="00EB6E0D"/>
    <w:rsid w:val="00EB70A4"/>
    <w:rsid w:val="00EB7363"/>
    <w:rsid w:val="00EB7714"/>
    <w:rsid w:val="00EB7A49"/>
    <w:rsid w:val="00EB7B5B"/>
    <w:rsid w:val="00EB7C4B"/>
    <w:rsid w:val="00EC0BAD"/>
    <w:rsid w:val="00EC10FC"/>
    <w:rsid w:val="00EC1320"/>
    <w:rsid w:val="00EC1406"/>
    <w:rsid w:val="00EC1E89"/>
    <w:rsid w:val="00EC217C"/>
    <w:rsid w:val="00EC225B"/>
    <w:rsid w:val="00EC2677"/>
    <w:rsid w:val="00EC2DAB"/>
    <w:rsid w:val="00EC36F2"/>
    <w:rsid w:val="00EC3821"/>
    <w:rsid w:val="00EC39EA"/>
    <w:rsid w:val="00EC3F43"/>
    <w:rsid w:val="00EC40B3"/>
    <w:rsid w:val="00EC419B"/>
    <w:rsid w:val="00EC464A"/>
    <w:rsid w:val="00EC476F"/>
    <w:rsid w:val="00EC486B"/>
    <w:rsid w:val="00EC48D7"/>
    <w:rsid w:val="00EC49B5"/>
    <w:rsid w:val="00EC4B7C"/>
    <w:rsid w:val="00EC4BB6"/>
    <w:rsid w:val="00EC4F33"/>
    <w:rsid w:val="00EC4F7E"/>
    <w:rsid w:val="00EC5507"/>
    <w:rsid w:val="00EC5634"/>
    <w:rsid w:val="00EC5A55"/>
    <w:rsid w:val="00EC64EB"/>
    <w:rsid w:val="00EC7129"/>
    <w:rsid w:val="00EC78CF"/>
    <w:rsid w:val="00EC790A"/>
    <w:rsid w:val="00ED0270"/>
    <w:rsid w:val="00ED0721"/>
    <w:rsid w:val="00ED07A3"/>
    <w:rsid w:val="00ED0F1C"/>
    <w:rsid w:val="00ED11C5"/>
    <w:rsid w:val="00ED1924"/>
    <w:rsid w:val="00ED1DED"/>
    <w:rsid w:val="00ED1E35"/>
    <w:rsid w:val="00ED1EEE"/>
    <w:rsid w:val="00ED2C8F"/>
    <w:rsid w:val="00ED2D4A"/>
    <w:rsid w:val="00ED2DB6"/>
    <w:rsid w:val="00ED304F"/>
    <w:rsid w:val="00ED30DC"/>
    <w:rsid w:val="00ED3D2A"/>
    <w:rsid w:val="00ED400E"/>
    <w:rsid w:val="00ED45FE"/>
    <w:rsid w:val="00ED47C8"/>
    <w:rsid w:val="00ED4BF7"/>
    <w:rsid w:val="00ED4FB2"/>
    <w:rsid w:val="00ED507D"/>
    <w:rsid w:val="00ED5E6A"/>
    <w:rsid w:val="00ED6426"/>
    <w:rsid w:val="00ED6C8B"/>
    <w:rsid w:val="00ED6F17"/>
    <w:rsid w:val="00ED6F48"/>
    <w:rsid w:val="00ED76F1"/>
    <w:rsid w:val="00ED7BC1"/>
    <w:rsid w:val="00EE148A"/>
    <w:rsid w:val="00EE1A2B"/>
    <w:rsid w:val="00EE1C1C"/>
    <w:rsid w:val="00EE2406"/>
    <w:rsid w:val="00EE2431"/>
    <w:rsid w:val="00EE24DB"/>
    <w:rsid w:val="00EE24FB"/>
    <w:rsid w:val="00EE2D3F"/>
    <w:rsid w:val="00EE2FC2"/>
    <w:rsid w:val="00EE3270"/>
    <w:rsid w:val="00EE3367"/>
    <w:rsid w:val="00EE3730"/>
    <w:rsid w:val="00EE375E"/>
    <w:rsid w:val="00EE3DA2"/>
    <w:rsid w:val="00EE43C0"/>
    <w:rsid w:val="00EE4452"/>
    <w:rsid w:val="00EE456D"/>
    <w:rsid w:val="00EE4C7E"/>
    <w:rsid w:val="00EE51DB"/>
    <w:rsid w:val="00EE556D"/>
    <w:rsid w:val="00EE5713"/>
    <w:rsid w:val="00EE5DBE"/>
    <w:rsid w:val="00EE6128"/>
    <w:rsid w:val="00EE6184"/>
    <w:rsid w:val="00EE698F"/>
    <w:rsid w:val="00EE721A"/>
    <w:rsid w:val="00EE7607"/>
    <w:rsid w:val="00EE7A2C"/>
    <w:rsid w:val="00EE7BEB"/>
    <w:rsid w:val="00EE7F49"/>
    <w:rsid w:val="00EF01EF"/>
    <w:rsid w:val="00EF0209"/>
    <w:rsid w:val="00EF066A"/>
    <w:rsid w:val="00EF09BD"/>
    <w:rsid w:val="00EF0E5D"/>
    <w:rsid w:val="00EF0F3B"/>
    <w:rsid w:val="00EF20F2"/>
    <w:rsid w:val="00EF2141"/>
    <w:rsid w:val="00EF2240"/>
    <w:rsid w:val="00EF3069"/>
    <w:rsid w:val="00EF33CF"/>
    <w:rsid w:val="00EF3482"/>
    <w:rsid w:val="00EF3A6B"/>
    <w:rsid w:val="00EF3D31"/>
    <w:rsid w:val="00EF3DE5"/>
    <w:rsid w:val="00EF440C"/>
    <w:rsid w:val="00EF4C4E"/>
    <w:rsid w:val="00EF51B0"/>
    <w:rsid w:val="00EF5693"/>
    <w:rsid w:val="00EF57A5"/>
    <w:rsid w:val="00EF5811"/>
    <w:rsid w:val="00EF5987"/>
    <w:rsid w:val="00EF6556"/>
    <w:rsid w:val="00EF6F14"/>
    <w:rsid w:val="00EF713B"/>
    <w:rsid w:val="00EF7A1A"/>
    <w:rsid w:val="00EF7D09"/>
    <w:rsid w:val="00EF7E24"/>
    <w:rsid w:val="00F002EF"/>
    <w:rsid w:val="00F012A8"/>
    <w:rsid w:val="00F01733"/>
    <w:rsid w:val="00F01AEA"/>
    <w:rsid w:val="00F020BB"/>
    <w:rsid w:val="00F0319D"/>
    <w:rsid w:val="00F03323"/>
    <w:rsid w:val="00F0385E"/>
    <w:rsid w:val="00F03D27"/>
    <w:rsid w:val="00F04521"/>
    <w:rsid w:val="00F04815"/>
    <w:rsid w:val="00F04E2E"/>
    <w:rsid w:val="00F05C43"/>
    <w:rsid w:val="00F066C8"/>
    <w:rsid w:val="00F06C0B"/>
    <w:rsid w:val="00F07089"/>
    <w:rsid w:val="00F07129"/>
    <w:rsid w:val="00F0743E"/>
    <w:rsid w:val="00F077D2"/>
    <w:rsid w:val="00F07BE2"/>
    <w:rsid w:val="00F07E6E"/>
    <w:rsid w:val="00F07F28"/>
    <w:rsid w:val="00F102EC"/>
    <w:rsid w:val="00F10548"/>
    <w:rsid w:val="00F10557"/>
    <w:rsid w:val="00F105A7"/>
    <w:rsid w:val="00F106F3"/>
    <w:rsid w:val="00F11001"/>
    <w:rsid w:val="00F117A0"/>
    <w:rsid w:val="00F1232F"/>
    <w:rsid w:val="00F12994"/>
    <w:rsid w:val="00F12D86"/>
    <w:rsid w:val="00F12DF2"/>
    <w:rsid w:val="00F13058"/>
    <w:rsid w:val="00F13B05"/>
    <w:rsid w:val="00F13F47"/>
    <w:rsid w:val="00F142D6"/>
    <w:rsid w:val="00F1431E"/>
    <w:rsid w:val="00F14642"/>
    <w:rsid w:val="00F14A46"/>
    <w:rsid w:val="00F14BCA"/>
    <w:rsid w:val="00F154D4"/>
    <w:rsid w:val="00F15AF2"/>
    <w:rsid w:val="00F15F1E"/>
    <w:rsid w:val="00F1643F"/>
    <w:rsid w:val="00F16D54"/>
    <w:rsid w:val="00F16E49"/>
    <w:rsid w:val="00F177C6"/>
    <w:rsid w:val="00F178AB"/>
    <w:rsid w:val="00F17B16"/>
    <w:rsid w:val="00F17F5B"/>
    <w:rsid w:val="00F2034E"/>
    <w:rsid w:val="00F20EA1"/>
    <w:rsid w:val="00F20F16"/>
    <w:rsid w:val="00F21290"/>
    <w:rsid w:val="00F219DB"/>
    <w:rsid w:val="00F21B53"/>
    <w:rsid w:val="00F2214E"/>
    <w:rsid w:val="00F231A1"/>
    <w:rsid w:val="00F235C1"/>
    <w:rsid w:val="00F23DBA"/>
    <w:rsid w:val="00F23E5B"/>
    <w:rsid w:val="00F23F33"/>
    <w:rsid w:val="00F24738"/>
    <w:rsid w:val="00F24A7D"/>
    <w:rsid w:val="00F25334"/>
    <w:rsid w:val="00F25416"/>
    <w:rsid w:val="00F25869"/>
    <w:rsid w:val="00F25EC4"/>
    <w:rsid w:val="00F2606A"/>
    <w:rsid w:val="00F26092"/>
    <w:rsid w:val="00F26538"/>
    <w:rsid w:val="00F26808"/>
    <w:rsid w:val="00F268A4"/>
    <w:rsid w:val="00F26EE2"/>
    <w:rsid w:val="00F270CF"/>
    <w:rsid w:val="00F270D4"/>
    <w:rsid w:val="00F273CD"/>
    <w:rsid w:val="00F277DB"/>
    <w:rsid w:val="00F27C71"/>
    <w:rsid w:val="00F27D26"/>
    <w:rsid w:val="00F27E6A"/>
    <w:rsid w:val="00F30251"/>
    <w:rsid w:val="00F30696"/>
    <w:rsid w:val="00F307CC"/>
    <w:rsid w:val="00F30BBA"/>
    <w:rsid w:val="00F31259"/>
    <w:rsid w:val="00F3131A"/>
    <w:rsid w:val="00F31584"/>
    <w:rsid w:val="00F31630"/>
    <w:rsid w:val="00F32532"/>
    <w:rsid w:val="00F3322B"/>
    <w:rsid w:val="00F34A95"/>
    <w:rsid w:val="00F34C99"/>
    <w:rsid w:val="00F34F03"/>
    <w:rsid w:val="00F35084"/>
    <w:rsid w:val="00F353F7"/>
    <w:rsid w:val="00F35CF9"/>
    <w:rsid w:val="00F36007"/>
    <w:rsid w:val="00F36162"/>
    <w:rsid w:val="00F3623B"/>
    <w:rsid w:val="00F367AD"/>
    <w:rsid w:val="00F36816"/>
    <w:rsid w:val="00F36FED"/>
    <w:rsid w:val="00F37072"/>
    <w:rsid w:val="00F400A1"/>
    <w:rsid w:val="00F40CF9"/>
    <w:rsid w:val="00F40F5F"/>
    <w:rsid w:val="00F414E2"/>
    <w:rsid w:val="00F4221B"/>
    <w:rsid w:val="00F4233C"/>
    <w:rsid w:val="00F427D5"/>
    <w:rsid w:val="00F437AD"/>
    <w:rsid w:val="00F43932"/>
    <w:rsid w:val="00F439BB"/>
    <w:rsid w:val="00F43AB0"/>
    <w:rsid w:val="00F43FCA"/>
    <w:rsid w:val="00F440AC"/>
    <w:rsid w:val="00F44640"/>
    <w:rsid w:val="00F446AD"/>
    <w:rsid w:val="00F449D7"/>
    <w:rsid w:val="00F44C0B"/>
    <w:rsid w:val="00F455B8"/>
    <w:rsid w:val="00F4573E"/>
    <w:rsid w:val="00F45F5E"/>
    <w:rsid w:val="00F461AE"/>
    <w:rsid w:val="00F46B1C"/>
    <w:rsid w:val="00F46CA0"/>
    <w:rsid w:val="00F46D8C"/>
    <w:rsid w:val="00F4715C"/>
    <w:rsid w:val="00F47D6C"/>
    <w:rsid w:val="00F47F11"/>
    <w:rsid w:val="00F50FE9"/>
    <w:rsid w:val="00F51106"/>
    <w:rsid w:val="00F517B5"/>
    <w:rsid w:val="00F51A00"/>
    <w:rsid w:val="00F51B88"/>
    <w:rsid w:val="00F52A4C"/>
    <w:rsid w:val="00F52AF9"/>
    <w:rsid w:val="00F534D3"/>
    <w:rsid w:val="00F534ED"/>
    <w:rsid w:val="00F5394F"/>
    <w:rsid w:val="00F53968"/>
    <w:rsid w:val="00F53A7B"/>
    <w:rsid w:val="00F53BAF"/>
    <w:rsid w:val="00F53C00"/>
    <w:rsid w:val="00F5421D"/>
    <w:rsid w:val="00F5435E"/>
    <w:rsid w:val="00F55A8B"/>
    <w:rsid w:val="00F562BE"/>
    <w:rsid w:val="00F566BC"/>
    <w:rsid w:val="00F567A9"/>
    <w:rsid w:val="00F570FA"/>
    <w:rsid w:val="00F6005B"/>
    <w:rsid w:val="00F60458"/>
    <w:rsid w:val="00F60DF3"/>
    <w:rsid w:val="00F61026"/>
    <w:rsid w:val="00F613D5"/>
    <w:rsid w:val="00F61567"/>
    <w:rsid w:val="00F61883"/>
    <w:rsid w:val="00F61C20"/>
    <w:rsid w:val="00F62057"/>
    <w:rsid w:val="00F62582"/>
    <w:rsid w:val="00F64DC6"/>
    <w:rsid w:val="00F64F14"/>
    <w:rsid w:val="00F65084"/>
    <w:rsid w:val="00F658CB"/>
    <w:rsid w:val="00F65BCB"/>
    <w:rsid w:val="00F66466"/>
    <w:rsid w:val="00F66981"/>
    <w:rsid w:val="00F66D31"/>
    <w:rsid w:val="00F67106"/>
    <w:rsid w:val="00F674E0"/>
    <w:rsid w:val="00F67567"/>
    <w:rsid w:val="00F67C01"/>
    <w:rsid w:val="00F67C2B"/>
    <w:rsid w:val="00F709F5"/>
    <w:rsid w:val="00F7114B"/>
    <w:rsid w:val="00F719FF"/>
    <w:rsid w:val="00F71E7A"/>
    <w:rsid w:val="00F721EF"/>
    <w:rsid w:val="00F72203"/>
    <w:rsid w:val="00F72265"/>
    <w:rsid w:val="00F72301"/>
    <w:rsid w:val="00F72599"/>
    <w:rsid w:val="00F72AC2"/>
    <w:rsid w:val="00F72BF8"/>
    <w:rsid w:val="00F72F86"/>
    <w:rsid w:val="00F73ABD"/>
    <w:rsid w:val="00F74168"/>
    <w:rsid w:val="00F742F1"/>
    <w:rsid w:val="00F747FA"/>
    <w:rsid w:val="00F74871"/>
    <w:rsid w:val="00F76037"/>
    <w:rsid w:val="00F773B7"/>
    <w:rsid w:val="00F77724"/>
    <w:rsid w:val="00F7772A"/>
    <w:rsid w:val="00F777F7"/>
    <w:rsid w:val="00F77839"/>
    <w:rsid w:val="00F77995"/>
    <w:rsid w:val="00F77AB9"/>
    <w:rsid w:val="00F8097D"/>
    <w:rsid w:val="00F80A15"/>
    <w:rsid w:val="00F811B9"/>
    <w:rsid w:val="00F814F1"/>
    <w:rsid w:val="00F815CC"/>
    <w:rsid w:val="00F818AC"/>
    <w:rsid w:val="00F81A57"/>
    <w:rsid w:val="00F8246A"/>
    <w:rsid w:val="00F827E8"/>
    <w:rsid w:val="00F8285E"/>
    <w:rsid w:val="00F82FA7"/>
    <w:rsid w:val="00F8336F"/>
    <w:rsid w:val="00F8374F"/>
    <w:rsid w:val="00F83D49"/>
    <w:rsid w:val="00F83ED9"/>
    <w:rsid w:val="00F83F2C"/>
    <w:rsid w:val="00F84796"/>
    <w:rsid w:val="00F84AFC"/>
    <w:rsid w:val="00F85096"/>
    <w:rsid w:val="00F856ED"/>
    <w:rsid w:val="00F8574D"/>
    <w:rsid w:val="00F85DEC"/>
    <w:rsid w:val="00F85FD9"/>
    <w:rsid w:val="00F8615F"/>
    <w:rsid w:val="00F86637"/>
    <w:rsid w:val="00F86D4E"/>
    <w:rsid w:val="00F86E6F"/>
    <w:rsid w:val="00F87BEF"/>
    <w:rsid w:val="00F902F3"/>
    <w:rsid w:val="00F90C13"/>
    <w:rsid w:val="00F90C94"/>
    <w:rsid w:val="00F90DD7"/>
    <w:rsid w:val="00F91164"/>
    <w:rsid w:val="00F9150F"/>
    <w:rsid w:val="00F91524"/>
    <w:rsid w:val="00F926A3"/>
    <w:rsid w:val="00F9270B"/>
    <w:rsid w:val="00F9275A"/>
    <w:rsid w:val="00F92AB1"/>
    <w:rsid w:val="00F92B0F"/>
    <w:rsid w:val="00F92B46"/>
    <w:rsid w:val="00F92BF6"/>
    <w:rsid w:val="00F92C57"/>
    <w:rsid w:val="00F92F53"/>
    <w:rsid w:val="00F93043"/>
    <w:rsid w:val="00F93D6C"/>
    <w:rsid w:val="00F93FCF"/>
    <w:rsid w:val="00F94068"/>
    <w:rsid w:val="00F9489A"/>
    <w:rsid w:val="00F9536B"/>
    <w:rsid w:val="00F95E59"/>
    <w:rsid w:val="00F95FD2"/>
    <w:rsid w:val="00F963DB"/>
    <w:rsid w:val="00F96489"/>
    <w:rsid w:val="00F9687C"/>
    <w:rsid w:val="00F96A63"/>
    <w:rsid w:val="00F96A71"/>
    <w:rsid w:val="00F96A7E"/>
    <w:rsid w:val="00F96ACA"/>
    <w:rsid w:val="00F96D24"/>
    <w:rsid w:val="00F97491"/>
    <w:rsid w:val="00F97BFD"/>
    <w:rsid w:val="00F97E0C"/>
    <w:rsid w:val="00F97E96"/>
    <w:rsid w:val="00FA02C5"/>
    <w:rsid w:val="00FA1AEC"/>
    <w:rsid w:val="00FA26E3"/>
    <w:rsid w:val="00FA279F"/>
    <w:rsid w:val="00FA44FB"/>
    <w:rsid w:val="00FA4BF8"/>
    <w:rsid w:val="00FA5580"/>
    <w:rsid w:val="00FA56B6"/>
    <w:rsid w:val="00FA5BFC"/>
    <w:rsid w:val="00FA5F42"/>
    <w:rsid w:val="00FA620B"/>
    <w:rsid w:val="00FA6361"/>
    <w:rsid w:val="00FA69C3"/>
    <w:rsid w:val="00FA69E4"/>
    <w:rsid w:val="00FA6AAC"/>
    <w:rsid w:val="00FA6CBC"/>
    <w:rsid w:val="00FA6D48"/>
    <w:rsid w:val="00FA7EC0"/>
    <w:rsid w:val="00FB0966"/>
    <w:rsid w:val="00FB0BB2"/>
    <w:rsid w:val="00FB0CE0"/>
    <w:rsid w:val="00FB1311"/>
    <w:rsid w:val="00FB1582"/>
    <w:rsid w:val="00FB1938"/>
    <w:rsid w:val="00FB1AD3"/>
    <w:rsid w:val="00FB349A"/>
    <w:rsid w:val="00FB3790"/>
    <w:rsid w:val="00FB38BE"/>
    <w:rsid w:val="00FB3E1A"/>
    <w:rsid w:val="00FB448D"/>
    <w:rsid w:val="00FB4C36"/>
    <w:rsid w:val="00FB4E5B"/>
    <w:rsid w:val="00FB4EFB"/>
    <w:rsid w:val="00FB5808"/>
    <w:rsid w:val="00FB5AC0"/>
    <w:rsid w:val="00FB61E0"/>
    <w:rsid w:val="00FB6C88"/>
    <w:rsid w:val="00FB6DEC"/>
    <w:rsid w:val="00FB6DFE"/>
    <w:rsid w:val="00FB6F48"/>
    <w:rsid w:val="00FB73D1"/>
    <w:rsid w:val="00FB77CB"/>
    <w:rsid w:val="00FC072E"/>
    <w:rsid w:val="00FC0921"/>
    <w:rsid w:val="00FC11A9"/>
    <w:rsid w:val="00FC1ADE"/>
    <w:rsid w:val="00FC1C6F"/>
    <w:rsid w:val="00FC1DE2"/>
    <w:rsid w:val="00FC20DE"/>
    <w:rsid w:val="00FC2462"/>
    <w:rsid w:val="00FC25F7"/>
    <w:rsid w:val="00FC266E"/>
    <w:rsid w:val="00FC2921"/>
    <w:rsid w:val="00FC30E2"/>
    <w:rsid w:val="00FC3A30"/>
    <w:rsid w:val="00FC3A4E"/>
    <w:rsid w:val="00FC3B2B"/>
    <w:rsid w:val="00FC3CC4"/>
    <w:rsid w:val="00FC3E24"/>
    <w:rsid w:val="00FC4E66"/>
    <w:rsid w:val="00FC5178"/>
    <w:rsid w:val="00FC5249"/>
    <w:rsid w:val="00FC5445"/>
    <w:rsid w:val="00FC551E"/>
    <w:rsid w:val="00FC5613"/>
    <w:rsid w:val="00FC5790"/>
    <w:rsid w:val="00FC5D6A"/>
    <w:rsid w:val="00FC6969"/>
    <w:rsid w:val="00FC6A12"/>
    <w:rsid w:val="00FC6D98"/>
    <w:rsid w:val="00FC6DD7"/>
    <w:rsid w:val="00FC759D"/>
    <w:rsid w:val="00FD039F"/>
    <w:rsid w:val="00FD0721"/>
    <w:rsid w:val="00FD1153"/>
    <w:rsid w:val="00FD13D5"/>
    <w:rsid w:val="00FD1995"/>
    <w:rsid w:val="00FD1FF6"/>
    <w:rsid w:val="00FD25E1"/>
    <w:rsid w:val="00FD2D75"/>
    <w:rsid w:val="00FD32CB"/>
    <w:rsid w:val="00FD37BD"/>
    <w:rsid w:val="00FD3C86"/>
    <w:rsid w:val="00FD3CAB"/>
    <w:rsid w:val="00FD40FF"/>
    <w:rsid w:val="00FD4A49"/>
    <w:rsid w:val="00FD4B8A"/>
    <w:rsid w:val="00FD56F2"/>
    <w:rsid w:val="00FD5E1C"/>
    <w:rsid w:val="00FD62EB"/>
    <w:rsid w:val="00FD6327"/>
    <w:rsid w:val="00FD63DF"/>
    <w:rsid w:val="00FD7339"/>
    <w:rsid w:val="00FD7945"/>
    <w:rsid w:val="00FD7B9D"/>
    <w:rsid w:val="00FE01AC"/>
    <w:rsid w:val="00FE02C1"/>
    <w:rsid w:val="00FE0B54"/>
    <w:rsid w:val="00FE0B5C"/>
    <w:rsid w:val="00FE1324"/>
    <w:rsid w:val="00FE1880"/>
    <w:rsid w:val="00FE1C18"/>
    <w:rsid w:val="00FE1EB0"/>
    <w:rsid w:val="00FE2075"/>
    <w:rsid w:val="00FE23B0"/>
    <w:rsid w:val="00FE3E44"/>
    <w:rsid w:val="00FE3F8E"/>
    <w:rsid w:val="00FE47ED"/>
    <w:rsid w:val="00FE4AAD"/>
    <w:rsid w:val="00FE522B"/>
    <w:rsid w:val="00FE5330"/>
    <w:rsid w:val="00FE56BF"/>
    <w:rsid w:val="00FE61DC"/>
    <w:rsid w:val="00FE6537"/>
    <w:rsid w:val="00FE67D0"/>
    <w:rsid w:val="00FE6D54"/>
    <w:rsid w:val="00FE782B"/>
    <w:rsid w:val="00FE7B01"/>
    <w:rsid w:val="00FE7D33"/>
    <w:rsid w:val="00FF00BF"/>
    <w:rsid w:val="00FF081E"/>
    <w:rsid w:val="00FF0D09"/>
    <w:rsid w:val="00FF1187"/>
    <w:rsid w:val="00FF13A1"/>
    <w:rsid w:val="00FF145C"/>
    <w:rsid w:val="00FF1BBA"/>
    <w:rsid w:val="00FF2151"/>
    <w:rsid w:val="00FF2213"/>
    <w:rsid w:val="00FF2318"/>
    <w:rsid w:val="00FF2403"/>
    <w:rsid w:val="00FF26EE"/>
    <w:rsid w:val="00FF2EC1"/>
    <w:rsid w:val="00FF3102"/>
    <w:rsid w:val="00FF3329"/>
    <w:rsid w:val="00FF3BB6"/>
    <w:rsid w:val="00FF41D8"/>
    <w:rsid w:val="00FF47A3"/>
    <w:rsid w:val="00FF4D23"/>
    <w:rsid w:val="00FF602B"/>
    <w:rsid w:val="00FF6353"/>
    <w:rsid w:val="00FF657E"/>
    <w:rsid w:val="00FF65F1"/>
    <w:rsid w:val="00FF704A"/>
    <w:rsid w:val="00FF7512"/>
    <w:rsid w:val="00FF7877"/>
    <w:rsid w:val="00FF7FC8"/>
    <w:rsid w:val="010D7DD7"/>
    <w:rsid w:val="01396E1E"/>
    <w:rsid w:val="01457570"/>
    <w:rsid w:val="01C20BC1"/>
    <w:rsid w:val="024F656F"/>
    <w:rsid w:val="03125B78"/>
    <w:rsid w:val="04EC44C6"/>
    <w:rsid w:val="052C63B8"/>
    <w:rsid w:val="05900FD6"/>
    <w:rsid w:val="05D9038E"/>
    <w:rsid w:val="06507E65"/>
    <w:rsid w:val="06B55883"/>
    <w:rsid w:val="07574D9C"/>
    <w:rsid w:val="07DE090C"/>
    <w:rsid w:val="08290F2E"/>
    <w:rsid w:val="085F1E58"/>
    <w:rsid w:val="08E7715F"/>
    <w:rsid w:val="08EE6740"/>
    <w:rsid w:val="0906165B"/>
    <w:rsid w:val="09300E18"/>
    <w:rsid w:val="09647D8F"/>
    <w:rsid w:val="0A026946"/>
    <w:rsid w:val="0A1F007C"/>
    <w:rsid w:val="0A2A7FE0"/>
    <w:rsid w:val="0A410AF1"/>
    <w:rsid w:val="0A777171"/>
    <w:rsid w:val="0A856C30"/>
    <w:rsid w:val="0AF0634E"/>
    <w:rsid w:val="0B6D4760"/>
    <w:rsid w:val="0B8339ED"/>
    <w:rsid w:val="0C290BC7"/>
    <w:rsid w:val="0CA737D5"/>
    <w:rsid w:val="0CBB6000"/>
    <w:rsid w:val="0CCE34EE"/>
    <w:rsid w:val="0CE410C9"/>
    <w:rsid w:val="0D094159"/>
    <w:rsid w:val="0D1501C9"/>
    <w:rsid w:val="0D4B14D3"/>
    <w:rsid w:val="0E165CA5"/>
    <w:rsid w:val="0E21353B"/>
    <w:rsid w:val="0E4842B3"/>
    <w:rsid w:val="0EA80944"/>
    <w:rsid w:val="0EC20200"/>
    <w:rsid w:val="0F113188"/>
    <w:rsid w:val="0FC1695C"/>
    <w:rsid w:val="0FD06B9F"/>
    <w:rsid w:val="0FD75461"/>
    <w:rsid w:val="10046336"/>
    <w:rsid w:val="10190EEA"/>
    <w:rsid w:val="10200FCF"/>
    <w:rsid w:val="11144CCC"/>
    <w:rsid w:val="11421D1E"/>
    <w:rsid w:val="115832F0"/>
    <w:rsid w:val="1238019B"/>
    <w:rsid w:val="12803108"/>
    <w:rsid w:val="13613ABC"/>
    <w:rsid w:val="13655850"/>
    <w:rsid w:val="13857CA0"/>
    <w:rsid w:val="139A265D"/>
    <w:rsid w:val="13C52DC7"/>
    <w:rsid w:val="14185704"/>
    <w:rsid w:val="1473228E"/>
    <w:rsid w:val="14C33176"/>
    <w:rsid w:val="14CC7C00"/>
    <w:rsid w:val="14D27A24"/>
    <w:rsid w:val="161D2A4D"/>
    <w:rsid w:val="16426A1B"/>
    <w:rsid w:val="16A973E8"/>
    <w:rsid w:val="1717516A"/>
    <w:rsid w:val="172911EC"/>
    <w:rsid w:val="173F6692"/>
    <w:rsid w:val="17E82DB7"/>
    <w:rsid w:val="181810E3"/>
    <w:rsid w:val="189F35B2"/>
    <w:rsid w:val="18C92972"/>
    <w:rsid w:val="1A746368"/>
    <w:rsid w:val="1A9F789A"/>
    <w:rsid w:val="1AA87BD2"/>
    <w:rsid w:val="1C263325"/>
    <w:rsid w:val="1E2C09AB"/>
    <w:rsid w:val="1E935967"/>
    <w:rsid w:val="1F4F389F"/>
    <w:rsid w:val="1F795899"/>
    <w:rsid w:val="1FD40BF1"/>
    <w:rsid w:val="20261070"/>
    <w:rsid w:val="205F23C3"/>
    <w:rsid w:val="20B120D5"/>
    <w:rsid w:val="20D74DDE"/>
    <w:rsid w:val="20D84460"/>
    <w:rsid w:val="20F55B55"/>
    <w:rsid w:val="218B501C"/>
    <w:rsid w:val="22F34C27"/>
    <w:rsid w:val="2369138D"/>
    <w:rsid w:val="23F30C56"/>
    <w:rsid w:val="242179DA"/>
    <w:rsid w:val="246761DA"/>
    <w:rsid w:val="24CF6FCD"/>
    <w:rsid w:val="2546648E"/>
    <w:rsid w:val="2560231B"/>
    <w:rsid w:val="25B05051"/>
    <w:rsid w:val="26692359"/>
    <w:rsid w:val="270277E7"/>
    <w:rsid w:val="27B16E5E"/>
    <w:rsid w:val="280327F3"/>
    <w:rsid w:val="281335CC"/>
    <w:rsid w:val="28550131"/>
    <w:rsid w:val="288325A9"/>
    <w:rsid w:val="289E3C55"/>
    <w:rsid w:val="292672D4"/>
    <w:rsid w:val="2AF8398E"/>
    <w:rsid w:val="2AFB4FC0"/>
    <w:rsid w:val="2B3050F9"/>
    <w:rsid w:val="2B696A33"/>
    <w:rsid w:val="2C051F5E"/>
    <w:rsid w:val="2CF84D34"/>
    <w:rsid w:val="2D256E9C"/>
    <w:rsid w:val="2D6A3F24"/>
    <w:rsid w:val="2D716A26"/>
    <w:rsid w:val="2DE83A3A"/>
    <w:rsid w:val="2DFC4DDB"/>
    <w:rsid w:val="2E1F5933"/>
    <w:rsid w:val="2EC767E9"/>
    <w:rsid w:val="2F2B1BEC"/>
    <w:rsid w:val="2FC76FBB"/>
    <w:rsid w:val="308A5DD7"/>
    <w:rsid w:val="319B1E4E"/>
    <w:rsid w:val="31D37F49"/>
    <w:rsid w:val="321D6FE5"/>
    <w:rsid w:val="324F174E"/>
    <w:rsid w:val="32AC6B69"/>
    <w:rsid w:val="33376F4A"/>
    <w:rsid w:val="34B424E6"/>
    <w:rsid w:val="34CF7D73"/>
    <w:rsid w:val="34E268A9"/>
    <w:rsid w:val="3529272A"/>
    <w:rsid w:val="353E42CE"/>
    <w:rsid w:val="35A563B0"/>
    <w:rsid w:val="35F876AF"/>
    <w:rsid w:val="36002765"/>
    <w:rsid w:val="3667350A"/>
    <w:rsid w:val="3686688B"/>
    <w:rsid w:val="368806E6"/>
    <w:rsid w:val="36EB330F"/>
    <w:rsid w:val="37B502A5"/>
    <w:rsid w:val="37BE0F45"/>
    <w:rsid w:val="380B09E4"/>
    <w:rsid w:val="38C22C79"/>
    <w:rsid w:val="39346C81"/>
    <w:rsid w:val="3A4E1641"/>
    <w:rsid w:val="3A5E2E76"/>
    <w:rsid w:val="3A881CA1"/>
    <w:rsid w:val="3A8D5671"/>
    <w:rsid w:val="3A932EBB"/>
    <w:rsid w:val="3AE645CD"/>
    <w:rsid w:val="3C94492D"/>
    <w:rsid w:val="3D0F2205"/>
    <w:rsid w:val="3D5C388A"/>
    <w:rsid w:val="3D842BF3"/>
    <w:rsid w:val="3E1C2E2C"/>
    <w:rsid w:val="3E5A3954"/>
    <w:rsid w:val="3EA15EE7"/>
    <w:rsid w:val="3EA710F9"/>
    <w:rsid w:val="3F0F2990"/>
    <w:rsid w:val="3F227025"/>
    <w:rsid w:val="41173D7E"/>
    <w:rsid w:val="411A5A05"/>
    <w:rsid w:val="414651C4"/>
    <w:rsid w:val="414904A5"/>
    <w:rsid w:val="416B0F04"/>
    <w:rsid w:val="42C121F4"/>
    <w:rsid w:val="42EE0B0F"/>
    <w:rsid w:val="43EF4B3E"/>
    <w:rsid w:val="442055BD"/>
    <w:rsid w:val="453666E3"/>
    <w:rsid w:val="45EF7078"/>
    <w:rsid w:val="46F55035"/>
    <w:rsid w:val="47501768"/>
    <w:rsid w:val="475950F1"/>
    <w:rsid w:val="47641DC7"/>
    <w:rsid w:val="47651B77"/>
    <w:rsid w:val="478974E3"/>
    <w:rsid w:val="47995DCD"/>
    <w:rsid w:val="47F72214"/>
    <w:rsid w:val="47FB61A8"/>
    <w:rsid w:val="48681AC2"/>
    <w:rsid w:val="487B4BF3"/>
    <w:rsid w:val="48967C7F"/>
    <w:rsid w:val="48A4054C"/>
    <w:rsid w:val="48B87BF5"/>
    <w:rsid w:val="493D129C"/>
    <w:rsid w:val="49E65525"/>
    <w:rsid w:val="4A673681"/>
    <w:rsid w:val="4A9D1E36"/>
    <w:rsid w:val="4AB3357B"/>
    <w:rsid w:val="4BCE29F7"/>
    <w:rsid w:val="4BD765E4"/>
    <w:rsid w:val="4D2E0486"/>
    <w:rsid w:val="4D3A37DB"/>
    <w:rsid w:val="4DB415C8"/>
    <w:rsid w:val="4E74636C"/>
    <w:rsid w:val="4ECF50CE"/>
    <w:rsid w:val="4ED43CAB"/>
    <w:rsid w:val="4F7379C3"/>
    <w:rsid w:val="4F7F0DFC"/>
    <w:rsid w:val="4FD80B7D"/>
    <w:rsid w:val="500F5A41"/>
    <w:rsid w:val="50642410"/>
    <w:rsid w:val="50B21982"/>
    <w:rsid w:val="511E278C"/>
    <w:rsid w:val="520176EC"/>
    <w:rsid w:val="528523B0"/>
    <w:rsid w:val="52A116FA"/>
    <w:rsid w:val="52AB1BAD"/>
    <w:rsid w:val="52C72F96"/>
    <w:rsid w:val="535D0132"/>
    <w:rsid w:val="541C0E3A"/>
    <w:rsid w:val="54437D45"/>
    <w:rsid w:val="549A4653"/>
    <w:rsid w:val="54A15393"/>
    <w:rsid w:val="55540A0D"/>
    <w:rsid w:val="555E7D76"/>
    <w:rsid w:val="55B41744"/>
    <w:rsid w:val="56113491"/>
    <w:rsid w:val="561A72E1"/>
    <w:rsid w:val="56E821B5"/>
    <w:rsid w:val="56E85B49"/>
    <w:rsid w:val="57664335"/>
    <w:rsid w:val="582941A3"/>
    <w:rsid w:val="58626CF5"/>
    <w:rsid w:val="586316C4"/>
    <w:rsid w:val="58684954"/>
    <w:rsid w:val="58A0024F"/>
    <w:rsid w:val="58EF2522"/>
    <w:rsid w:val="594159E5"/>
    <w:rsid w:val="5953630F"/>
    <w:rsid w:val="5A153E74"/>
    <w:rsid w:val="5ABA3CA0"/>
    <w:rsid w:val="5AC20D8A"/>
    <w:rsid w:val="5AE8674D"/>
    <w:rsid w:val="5B370E4D"/>
    <w:rsid w:val="5B765E19"/>
    <w:rsid w:val="5BE96B00"/>
    <w:rsid w:val="5C0F231B"/>
    <w:rsid w:val="5C621EFA"/>
    <w:rsid w:val="5D481B17"/>
    <w:rsid w:val="5D621140"/>
    <w:rsid w:val="5D6D2855"/>
    <w:rsid w:val="5DC74F93"/>
    <w:rsid w:val="5DEA73A2"/>
    <w:rsid w:val="5E0E772A"/>
    <w:rsid w:val="5E362F0B"/>
    <w:rsid w:val="5E9D190F"/>
    <w:rsid w:val="5F051C85"/>
    <w:rsid w:val="5FAE0E5F"/>
    <w:rsid w:val="603D5158"/>
    <w:rsid w:val="60546BFF"/>
    <w:rsid w:val="60CC2038"/>
    <w:rsid w:val="60ED3B56"/>
    <w:rsid w:val="610F0176"/>
    <w:rsid w:val="61720DAB"/>
    <w:rsid w:val="61C03E43"/>
    <w:rsid w:val="629D1EDE"/>
    <w:rsid w:val="62A911C3"/>
    <w:rsid w:val="62B22B7C"/>
    <w:rsid w:val="63251ED3"/>
    <w:rsid w:val="635665E4"/>
    <w:rsid w:val="63927420"/>
    <w:rsid w:val="646C194A"/>
    <w:rsid w:val="646D1D84"/>
    <w:rsid w:val="65D06126"/>
    <w:rsid w:val="661F65EF"/>
    <w:rsid w:val="66301079"/>
    <w:rsid w:val="66666A8A"/>
    <w:rsid w:val="66680A54"/>
    <w:rsid w:val="666A0329"/>
    <w:rsid w:val="66794A10"/>
    <w:rsid w:val="668F4233"/>
    <w:rsid w:val="67B87541"/>
    <w:rsid w:val="68080E6A"/>
    <w:rsid w:val="680C4CB4"/>
    <w:rsid w:val="683D381B"/>
    <w:rsid w:val="686B482C"/>
    <w:rsid w:val="68A73CAF"/>
    <w:rsid w:val="68D76D7C"/>
    <w:rsid w:val="694E2184"/>
    <w:rsid w:val="696265E0"/>
    <w:rsid w:val="69942B10"/>
    <w:rsid w:val="69BA1345"/>
    <w:rsid w:val="6A46671D"/>
    <w:rsid w:val="6A923CF1"/>
    <w:rsid w:val="6B064398"/>
    <w:rsid w:val="6B105217"/>
    <w:rsid w:val="6B387DCC"/>
    <w:rsid w:val="6BA11F09"/>
    <w:rsid w:val="6C101852"/>
    <w:rsid w:val="6C1E3A57"/>
    <w:rsid w:val="6C8B0FF9"/>
    <w:rsid w:val="6C946514"/>
    <w:rsid w:val="6CBC6118"/>
    <w:rsid w:val="6CCD080F"/>
    <w:rsid w:val="6CE557BD"/>
    <w:rsid w:val="6D837F22"/>
    <w:rsid w:val="6DE704B1"/>
    <w:rsid w:val="6DEC3D19"/>
    <w:rsid w:val="6E3F653F"/>
    <w:rsid w:val="6E4448A1"/>
    <w:rsid w:val="6EB02F99"/>
    <w:rsid w:val="6EFA2466"/>
    <w:rsid w:val="6F03131A"/>
    <w:rsid w:val="6F7748A7"/>
    <w:rsid w:val="6F8739CA"/>
    <w:rsid w:val="700A0487"/>
    <w:rsid w:val="706109EE"/>
    <w:rsid w:val="706202C3"/>
    <w:rsid w:val="70B56644"/>
    <w:rsid w:val="70CC1BE0"/>
    <w:rsid w:val="70CD5DAB"/>
    <w:rsid w:val="713E4EC0"/>
    <w:rsid w:val="714F1E78"/>
    <w:rsid w:val="71551BD5"/>
    <w:rsid w:val="71601728"/>
    <w:rsid w:val="717A163C"/>
    <w:rsid w:val="71916451"/>
    <w:rsid w:val="72534E9D"/>
    <w:rsid w:val="731437CB"/>
    <w:rsid w:val="73155BD6"/>
    <w:rsid w:val="73267CCD"/>
    <w:rsid w:val="73AB60DD"/>
    <w:rsid w:val="73DE4104"/>
    <w:rsid w:val="7530273D"/>
    <w:rsid w:val="75471C28"/>
    <w:rsid w:val="75CC7809"/>
    <w:rsid w:val="76036E05"/>
    <w:rsid w:val="76083B2D"/>
    <w:rsid w:val="76BF71EE"/>
    <w:rsid w:val="76F1414E"/>
    <w:rsid w:val="77562203"/>
    <w:rsid w:val="77DA4962"/>
    <w:rsid w:val="796F65E1"/>
    <w:rsid w:val="79D66B33"/>
    <w:rsid w:val="79E157E7"/>
    <w:rsid w:val="7A5C5D83"/>
    <w:rsid w:val="7B8E6410"/>
    <w:rsid w:val="7C6525CC"/>
    <w:rsid w:val="7C7326A1"/>
    <w:rsid w:val="7CA26617"/>
    <w:rsid w:val="7CEA1D6C"/>
    <w:rsid w:val="7D4F4AFF"/>
    <w:rsid w:val="7D6072DF"/>
    <w:rsid w:val="7DC607F5"/>
    <w:rsid w:val="7DEE13E8"/>
    <w:rsid w:val="7EA22840"/>
    <w:rsid w:val="7EF50554"/>
    <w:rsid w:val="7F2063D5"/>
    <w:rsid w:val="7F8B1C16"/>
    <w:rsid w:val="7FAB54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hd w:val="clear" w:color="auto" w:fill="FFFFFF"/>
      <w:tabs>
        <w:tab w:val="left" w:pos="426"/>
      </w:tabs>
      <w:adjustRightInd w:val="0"/>
      <w:snapToGrid w:val="0"/>
      <w:spacing w:line="360" w:lineRule="auto"/>
      <w:jc w:val="both"/>
    </w:pPr>
    <w:rPr>
      <w:rFonts w:ascii="宋体" w:hAnsi="宋体" w:eastAsia="宋体" w:cs="宋体"/>
      <w:sz w:val="21"/>
      <w:szCs w:val="24"/>
      <w:lang w:val="en-US" w:eastAsia="zh-CN" w:bidi="ar-SA"/>
    </w:rPr>
  </w:style>
  <w:style w:type="paragraph" w:styleId="2">
    <w:name w:val="heading 1"/>
    <w:basedOn w:val="3"/>
    <w:next w:val="1"/>
    <w:link w:val="152"/>
    <w:qFormat/>
    <w:uiPriority w:val="0"/>
    <w:pPr>
      <w:keepNext w:val="0"/>
      <w:keepLines w:val="0"/>
      <w:tabs>
        <w:tab w:val="left" w:pos="426"/>
      </w:tabs>
      <w:spacing w:before="340" w:after="330" w:line="300" w:lineRule="auto"/>
      <w:jc w:val="center"/>
      <w:outlineLvl w:val="0"/>
    </w:pPr>
    <w:rPr>
      <w:rFonts w:eastAsia="黑体"/>
      <w:kern w:val="44"/>
      <w:sz w:val="28"/>
      <w:szCs w:val="28"/>
    </w:rPr>
  </w:style>
  <w:style w:type="paragraph" w:styleId="5">
    <w:name w:val="heading 2"/>
    <w:basedOn w:val="3"/>
    <w:next w:val="4"/>
    <w:link w:val="153"/>
    <w:qFormat/>
    <w:uiPriority w:val="0"/>
    <w:pPr>
      <w:tabs>
        <w:tab w:val="left" w:pos="426"/>
      </w:tabs>
      <w:textAlignment w:val="baseline"/>
      <w:outlineLvl w:val="1"/>
    </w:pPr>
    <w:rPr>
      <w:bCs w:val="0"/>
      <w:kern w:val="0"/>
      <w:szCs w:val="20"/>
    </w:rPr>
  </w:style>
  <w:style w:type="paragraph" w:styleId="3">
    <w:name w:val="heading 3"/>
    <w:basedOn w:val="4"/>
    <w:next w:val="1"/>
    <w:link w:val="151"/>
    <w:qFormat/>
    <w:uiPriority w:val="0"/>
    <w:pPr>
      <w:tabs>
        <w:tab w:val="left" w:pos="426"/>
      </w:tabs>
      <w:spacing w:before="260" w:after="260" w:line="240" w:lineRule="auto"/>
      <w:outlineLvl w:val="2"/>
    </w:pPr>
    <w:rPr>
      <w:rFonts w:ascii="宋体" w:hAnsi="宋体" w:eastAsia="宋体"/>
      <w:sz w:val="24"/>
      <w:szCs w:val="32"/>
    </w:rPr>
  </w:style>
  <w:style w:type="paragraph" w:styleId="4">
    <w:name w:val="heading 4"/>
    <w:basedOn w:val="1"/>
    <w:next w:val="1"/>
    <w:link w:val="150"/>
    <w:qFormat/>
    <w:uiPriority w:val="0"/>
    <w:pPr>
      <w:keepNext/>
      <w:keepLines/>
      <w:spacing w:before="280" w:after="290" w:line="376" w:lineRule="auto"/>
      <w:outlineLvl w:val="3"/>
    </w:pPr>
    <w:rPr>
      <w:rFonts w:ascii="Arial" w:hAnsi="Arial" w:eastAsia="黑体" w:cs="Times New Roman"/>
      <w:b/>
      <w:bCs/>
      <w:kern w:val="2"/>
      <w:sz w:val="28"/>
      <w:szCs w:val="28"/>
    </w:rPr>
  </w:style>
  <w:style w:type="paragraph" w:styleId="6">
    <w:name w:val="heading 5"/>
    <w:basedOn w:val="1"/>
    <w:next w:val="7"/>
    <w:link w:val="154"/>
    <w:qFormat/>
    <w:uiPriority w:val="0"/>
    <w:pPr>
      <w:keepNext/>
      <w:keepLines/>
      <w:spacing w:before="280" w:after="290" w:line="376" w:lineRule="auto"/>
      <w:jc w:val="center"/>
      <w:outlineLvl w:val="4"/>
    </w:pPr>
    <w:rPr>
      <w:rFonts w:ascii="Times New Roman" w:hAnsi="Times New Roman" w:cs="Times New Roman"/>
      <w:b/>
      <w:kern w:val="2"/>
      <w:sz w:val="24"/>
      <w:szCs w:val="20"/>
    </w:rPr>
  </w:style>
  <w:style w:type="paragraph" w:styleId="8">
    <w:name w:val="heading 6"/>
    <w:basedOn w:val="1"/>
    <w:next w:val="7"/>
    <w:link w:val="156"/>
    <w:qFormat/>
    <w:uiPriority w:val="0"/>
    <w:pPr>
      <w:keepNext/>
      <w:keepLines/>
      <w:spacing w:before="240" w:after="64" w:line="320" w:lineRule="auto"/>
      <w:outlineLvl w:val="5"/>
    </w:pPr>
    <w:rPr>
      <w:rFonts w:ascii="Arial" w:hAnsi="Arial" w:eastAsia="黑体" w:cs="Times New Roman"/>
      <w:b/>
      <w:kern w:val="2"/>
      <w:sz w:val="24"/>
      <w:szCs w:val="20"/>
    </w:rPr>
  </w:style>
  <w:style w:type="paragraph" w:styleId="9">
    <w:name w:val="heading 7"/>
    <w:basedOn w:val="1"/>
    <w:next w:val="7"/>
    <w:link w:val="157"/>
    <w:qFormat/>
    <w:uiPriority w:val="0"/>
    <w:pPr>
      <w:keepNext/>
      <w:keepLines/>
      <w:spacing w:before="240" w:after="64" w:line="320" w:lineRule="auto"/>
      <w:outlineLvl w:val="6"/>
    </w:pPr>
    <w:rPr>
      <w:rFonts w:ascii="Times New Roman" w:hAnsi="Times New Roman" w:cs="Times New Roman"/>
      <w:b/>
      <w:kern w:val="2"/>
      <w:sz w:val="24"/>
      <w:szCs w:val="20"/>
    </w:rPr>
  </w:style>
  <w:style w:type="paragraph" w:styleId="10">
    <w:name w:val="heading 8"/>
    <w:basedOn w:val="1"/>
    <w:next w:val="7"/>
    <w:link w:val="158"/>
    <w:qFormat/>
    <w:uiPriority w:val="0"/>
    <w:pPr>
      <w:keepNext/>
      <w:keepLines/>
      <w:spacing w:before="240" w:after="64" w:line="320" w:lineRule="auto"/>
      <w:outlineLvl w:val="7"/>
    </w:pPr>
    <w:rPr>
      <w:rFonts w:ascii="Arial" w:hAnsi="Arial" w:eastAsia="黑体" w:cs="Times New Roman"/>
      <w:kern w:val="2"/>
      <w:sz w:val="24"/>
      <w:szCs w:val="20"/>
    </w:rPr>
  </w:style>
  <w:style w:type="paragraph" w:styleId="11">
    <w:name w:val="heading 9"/>
    <w:basedOn w:val="1"/>
    <w:next w:val="7"/>
    <w:link w:val="159"/>
    <w:qFormat/>
    <w:uiPriority w:val="0"/>
    <w:pPr>
      <w:keepNext/>
      <w:keepLines/>
      <w:spacing w:before="240" w:after="64" w:line="320" w:lineRule="auto"/>
      <w:outlineLvl w:val="8"/>
    </w:pPr>
    <w:rPr>
      <w:rFonts w:ascii="Arial" w:hAnsi="Arial" w:eastAsia="黑体" w:cs="Times New Roman"/>
      <w:kern w:val="2"/>
      <w:szCs w:val="20"/>
    </w:rPr>
  </w:style>
  <w:style w:type="character" w:default="1" w:styleId="130">
    <w:name w:val="Default Paragraph Font"/>
    <w:semiHidden/>
    <w:unhideWhenUsed/>
    <w:qFormat/>
    <w:uiPriority w:val="1"/>
  </w:style>
  <w:style w:type="table" w:default="1" w:styleId="8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55"/>
    <w:qFormat/>
    <w:uiPriority w:val="0"/>
    <w:pPr>
      <w:ind w:firstLine="420"/>
    </w:pPr>
    <w:rPr>
      <w:rFonts w:ascii="Times New Roman" w:hAnsi="Times New Roman" w:cs="Times New Roman"/>
      <w:kern w:val="2"/>
      <w:szCs w:val="20"/>
    </w:rPr>
  </w:style>
  <w:style w:type="paragraph" w:styleId="12">
    <w:name w:val="List 3"/>
    <w:basedOn w:val="1"/>
    <w:qFormat/>
    <w:uiPriority w:val="0"/>
    <w:pPr>
      <w:widowControl w:val="0"/>
      <w:shd w:val="clear" w:color="auto" w:fill="auto"/>
      <w:tabs>
        <w:tab w:val="clear" w:pos="426"/>
      </w:tabs>
      <w:adjustRightInd/>
      <w:snapToGrid/>
      <w:spacing w:line="240" w:lineRule="auto"/>
      <w:ind w:left="100" w:leftChars="400" w:hanging="200" w:hangingChars="200"/>
    </w:pPr>
    <w:rPr>
      <w:rFonts w:ascii="Times New Roman" w:hAnsi="Times New Roman" w:cs="Times New Roman"/>
      <w:kern w:val="2"/>
    </w:rPr>
  </w:style>
  <w:style w:type="paragraph" w:styleId="13">
    <w:name w:val="toc 7"/>
    <w:basedOn w:val="1"/>
    <w:next w:val="1"/>
    <w:qFormat/>
    <w:uiPriority w:val="0"/>
    <w:pPr>
      <w:ind w:left="1260"/>
      <w:jc w:val="left"/>
    </w:pPr>
    <w:rPr>
      <w:szCs w:val="21"/>
    </w:rPr>
  </w:style>
  <w:style w:type="paragraph" w:styleId="14">
    <w:name w:val="List Number 2"/>
    <w:basedOn w:val="1"/>
    <w:qFormat/>
    <w:uiPriority w:val="0"/>
    <w:pPr>
      <w:tabs>
        <w:tab w:val="left" w:pos="820"/>
      </w:tabs>
      <w:spacing w:afterLines="50"/>
      <w:ind w:left="988" w:hanging="420"/>
    </w:pPr>
    <w:rPr>
      <w:sz w:val="24"/>
      <w:szCs w:val="20"/>
    </w:rPr>
  </w:style>
  <w:style w:type="paragraph" w:styleId="15">
    <w:name w:val="Note Heading"/>
    <w:basedOn w:val="1"/>
    <w:next w:val="1"/>
    <w:link w:val="160"/>
    <w:qFormat/>
    <w:uiPriority w:val="0"/>
    <w:pPr>
      <w:widowControl w:val="0"/>
      <w:shd w:val="clear" w:color="auto" w:fill="auto"/>
      <w:tabs>
        <w:tab w:val="clear" w:pos="426"/>
      </w:tabs>
      <w:adjustRightInd/>
      <w:snapToGrid/>
      <w:spacing w:line="240" w:lineRule="auto"/>
      <w:jc w:val="center"/>
    </w:pPr>
    <w:rPr>
      <w:rFonts w:ascii="Times New Roman" w:hAnsi="Times New Roman" w:cs="Times New Roman"/>
      <w:kern w:val="2"/>
    </w:rPr>
  </w:style>
  <w:style w:type="paragraph" w:styleId="16">
    <w:name w:val="List Bullet 4"/>
    <w:basedOn w:val="1"/>
    <w:qFormat/>
    <w:uiPriority w:val="0"/>
    <w:pPr>
      <w:widowControl w:val="0"/>
      <w:shd w:val="clear" w:color="auto" w:fill="auto"/>
      <w:tabs>
        <w:tab w:val="left" w:pos="1620"/>
        <w:tab w:val="clear" w:pos="426"/>
      </w:tabs>
      <w:adjustRightInd/>
      <w:snapToGrid/>
      <w:spacing w:line="240" w:lineRule="auto"/>
      <w:ind w:left="1620" w:hanging="360"/>
    </w:pPr>
    <w:rPr>
      <w:rFonts w:ascii="Times New Roman" w:hAnsi="Times New Roman" w:cs="Times New Roman"/>
      <w:kern w:val="2"/>
    </w:rPr>
  </w:style>
  <w:style w:type="paragraph" w:styleId="17">
    <w:name w:val="index 8"/>
    <w:basedOn w:val="1"/>
    <w:next w:val="1"/>
    <w:qFormat/>
    <w:uiPriority w:val="0"/>
    <w:pPr>
      <w:widowControl w:val="0"/>
      <w:shd w:val="clear" w:color="auto" w:fill="auto"/>
      <w:tabs>
        <w:tab w:val="clear" w:pos="426"/>
      </w:tabs>
      <w:adjustRightInd/>
      <w:snapToGrid/>
      <w:spacing w:line="240" w:lineRule="auto"/>
      <w:ind w:left="1680" w:hanging="210"/>
      <w:jc w:val="left"/>
    </w:pPr>
    <w:rPr>
      <w:rFonts w:ascii="Times New Roman" w:hAnsi="Times New Roman" w:cs="Times New Roman"/>
      <w:kern w:val="2"/>
      <w:sz w:val="20"/>
      <w:szCs w:val="20"/>
    </w:rPr>
  </w:style>
  <w:style w:type="paragraph" w:styleId="18">
    <w:name w:val="E-mail Signature"/>
    <w:basedOn w:val="1"/>
    <w:link w:val="161"/>
    <w:qFormat/>
    <w:uiPriority w:val="0"/>
    <w:pPr>
      <w:widowControl w:val="0"/>
      <w:shd w:val="clear" w:color="auto" w:fill="auto"/>
      <w:tabs>
        <w:tab w:val="clear" w:pos="426"/>
      </w:tabs>
      <w:adjustRightInd/>
      <w:snapToGrid/>
      <w:spacing w:line="240" w:lineRule="auto"/>
    </w:pPr>
    <w:rPr>
      <w:rFonts w:ascii="Times New Roman" w:hAnsi="Times New Roman" w:cs="Times New Roman"/>
      <w:kern w:val="2"/>
    </w:rPr>
  </w:style>
  <w:style w:type="paragraph" w:styleId="19">
    <w:name w:val="List Number"/>
    <w:basedOn w:val="1"/>
    <w:qFormat/>
    <w:uiPriority w:val="0"/>
    <w:pPr>
      <w:widowControl w:val="0"/>
      <w:shd w:val="clear" w:color="auto" w:fill="auto"/>
      <w:tabs>
        <w:tab w:val="left" w:pos="360"/>
        <w:tab w:val="clear" w:pos="426"/>
      </w:tabs>
      <w:adjustRightInd/>
      <w:snapToGrid/>
      <w:spacing w:line="240" w:lineRule="auto"/>
      <w:ind w:left="360" w:hanging="360"/>
    </w:pPr>
    <w:rPr>
      <w:rFonts w:ascii="Times New Roman" w:hAnsi="Times New Roman" w:cs="Times New Roman"/>
      <w:kern w:val="2"/>
    </w:rPr>
  </w:style>
  <w:style w:type="paragraph" w:styleId="20">
    <w:name w:val="caption"/>
    <w:basedOn w:val="1"/>
    <w:next w:val="1"/>
    <w:qFormat/>
    <w:uiPriority w:val="0"/>
    <w:rPr>
      <w:rFonts w:ascii="Arial" w:hAnsi="Arial" w:eastAsia="黑体" w:cs="Arial"/>
      <w:sz w:val="20"/>
      <w:szCs w:val="20"/>
    </w:rPr>
  </w:style>
  <w:style w:type="paragraph" w:styleId="21">
    <w:name w:val="index 5"/>
    <w:basedOn w:val="1"/>
    <w:next w:val="1"/>
    <w:qFormat/>
    <w:uiPriority w:val="0"/>
    <w:pPr>
      <w:widowControl w:val="0"/>
      <w:shd w:val="clear" w:color="auto" w:fill="auto"/>
      <w:tabs>
        <w:tab w:val="clear" w:pos="426"/>
      </w:tabs>
      <w:adjustRightInd/>
      <w:snapToGrid/>
      <w:spacing w:line="240" w:lineRule="auto"/>
      <w:ind w:left="1050" w:hanging="210"/>
      <w:jc w:val="left"/>
    </w:pPr>
    <w:rPr>
      <w:rFonts w:ascii="Times New Roman" w:hAnsi="Times New Roman" w:cs="Times New Roman"/>
      <w:kern w:val="2"/>
      <w:sz w:val="20"/>
      <w:szCs w:val="20"/>
    </w:rPr>
  </w:style>
  <w:style w:type="paragraph" w:styleId="22">
    <w:name w:val="List Bullet"/>
    <w:basedOn w:val="1"/>
    <w:qFormat/>
    <w:uiPriority w:val="0"/>
    <w:pPr>
      <w:tabs>
        <w:tab w:val="left" w:pos="360"/>
      </w:tabs>
      <w:ind w:left="360" w:hanging="360" w:hangingChars="200"/>
    </w:pPr>
    <w:rPr>
      <w:szCs w:val="20"/>
    </w:rPr>
  </w:style>
  <w:style w:type="paragraph" w:styleId="23">
    <w:name w:val="envelope address"/>
    <w:basedOn w:val="1"/>
    <w:qFormat/>
    <w:uiPriority w:val="0"/>
    <w:pPr>
      <w:framePr w:w="7920" w:h="1980" w:hRule="exact" w:hSpace="180" w:wrap="around" w:vAnchor="margin" w:hAnchor="page" w:xAlign="center" w:yAlign="bottom"/>
      <w:widowControl w:val="0"/>
      <w:shd w:val="clear" w:color="auto" w:fill="auto"/>
      <w:tabs>
        <w:tab w:val="clear" w:pos="426"/>
      </w:tabs>
      <w:adjustRightInd/>
      <w:spacing w:line="240" w:lineRule="auto"/>
      <w:ind w:left="100" w:leftChars="1400"/>
    </w:pPr>
    <w:rPr>
      <w:rFonts w:ascii="Arial" w:hAnsi="Arial" w:cs="Arial"/>
      <w:kern w:val="2"/>
      <w:sz w:val="24"/>
    </w:rPr>
  </w:style>
  <w:style w:type="paragraph" w:styleId="24">
    <w:name w:val="Document Map"/>
    <w:basedOn w:val="1"/>
    <w:link w:val="162"/>
    <w:qFormat/>
    <w:uiPriority w:val="0"/>
    <w:pPr>
      <w:shd w:val="clear" w:color="auto" w:fill="000080"/>
    </w:pPr>
    <w:rPr>
      <w:rFonts w:ascii="Times New Roman" w:hAnsi="Times New Roman" w:cs="Times New Roman"/>
      <w:kern w:val="2"/>
    </w:rPr>
  </w:style>
  <w:style w:type="paragraph" w:styleId="25">
    <w:name w:val="toa heading"/>
    <w:basedOn w:val="1"/>
    <w:next w:val="1"/>
    <w:qFormat/>
    <w:uiPriority w:val="0"/>
    <w:pPr>
      <w:spacing w:before="120"/>
    </w:pPr>
    <w:rPr>
      <w:rFonts w:ascii="Arial" w:hAnsi="Arial"/>
      <w:sz w:val="24"/>
      <w:szCs w:val="20"/>
    </w:rPr>
  </w:style>
  <w:style w:type="paragraph" w:styleId="26">
    <w:name w:val="annotation text"/>
    <w:basedOn w:val="1"/>
    <w:link w:val="163"/>
    <w:qFormat/>
    <w:uiPriority w:val="99"/>
    <w:pPr>
      <w:autoSpaceDE w:val="0"/>
      <w:autoSpaceDN w:val="0"/>
      <w:jc w:val="left"/>
      <w:textAlignment w:val="baseline"/>
    </w:pPr>
    <w:rPr>
      <w:rFonts w:hAnsi="Times New Roman" w:cs="Times New Roman"/>
      <w:sz w:val="34"/>
      <w:szCs w:val="20"/>
    </w:rPr>
  </w:style>
  <w:style w:type="paragraph" w:styleId="27">
    <w:name w:val="index 6"/>
    <w:basedOn w:val="1"/>
    <w:next w:val="1"/>
    <w:qFormat/>
    <w:uiPriority w:val="0"/>
    <w:pPr>
      <w:widowControl w:val="0"/>
      <w:shd w:val="clear" w:color="auto" w:fill="auto"/>
      <w:tabs>
        <w:tab w:val="clear" w:pos="426"/>
      </w:tabs>
      <w:adjustRightInd/>
      <w:snapToGrid/>
      <w:spacing w:line="240" w:lineRule="auto"/>
      <w:ind w:left="1260" w:hanging="210"/>
      <w:jc w:val="left"/>
    </w:pPr>
    <w:rPr>
      <w:rFonts w:ascii="Times New Roman" w:hAnsi="Times New Roman" w:cs="Times New Roman"/>
      <w:kern w:val="2"/>
      <w:sz w:val="20"/>
      <w:szCs w:val="20"/>
    </w:rPr>
  </w:style>
  <w:style w:type="paragraph" w:styleId="28">
    <w:name w:val="Salutation"/>
    <w:basedOn w:val="1"/>
    <w:next w:val="1"/>
    <w:link w:val="164"/>
    <w:qFormat/>
    <w:uiPriority w:val="0"/>
    <w:pPr>
      <w:widowControl w:val="0"/>
      <w:shd w:val="clear" w:color="auto" w:fill="auto"/>
      <w:tabs>
        <w:tab w:val="clear" w:pos="426"/>
      </w:tabs>
      <w:adjustRightInd/>
      <w:snapToGrid/>
      <w:spacing w:line="240" w:lineRule="auto"/>
    </w:pPr>
    <w:rPr>
      <w:rFonts w:ascii="Times New Roman" w:hAnsi="Times New Roman" w:cs="Times New Roman"/>
      <w:kern w:val="2"/>
    </w:rPr>
  </w:style>
  <w:style w:type="paragraph" w:styleId="29">
    <w:name w:val="Body Text 3"/>
    <w:basedOn w:val="1"/>
    <w:link w:val="165"/>
    <w:qFormat/>
    <w:uiPriority w:val="0"/>
    <w:pPr>
      <w:spacing w:after="120"/>
    </w:pPr>
    <w:rPr>
      <w:rFonts w:ascii="Times New Roman" w:hAnsi="Times New Roman" w:cs="Times New Roman"/>
      <w:kern w:val="2"/>
      <w:sz w:val="16"/>
      <w:szCs w:val="16"/>
    </w:rPr>
  </w:style>
  <w:style w:type="paragraph" w:styleId="30">
    <w:name w:val="Closing"/>
    <w:basedOn w:val="1"/>
    <w:link w:val="166"/>
    <w:qFormat/>
    <w:uiPriority w:val="0"/>
    <w:pPr>
      <w:widowControl w:val="0"/>
      <w:shd w:val="clear" w:color="auto" w:fill="auto"/>
      <w:tabs>
        <w:tab w:val="clear" w:pos="426"/>
      </w:tabs>
      <w:adjustRightInd/>
      <w:snapToGrid/>
      <w:spacing w:line="240" w:lineRule="auto"/>
      <w:ind w:left="100" w:leftChars="2100"/>
    </w:pPr>
    <w:rPr>
      <w:rFonts w:ascii="Times New Roman" w:hAnsi="Times New Roman" w:cs="Times New Roman"/>
      <w:kern w:val="2"/>
    </w:rPr>
  </w:style>
  <w:style w:type="paragraph" w:styleId="31">
    <w:name w:val="List Bullet 3"/>
    <w:basedOn w:val="1"/>
    <w:qFormat/>
    <w:uiPriority w:val="0"/>
    <w:pPr>
      <w:widowControl w:val="0"/>
      <w:shd w:val="clear" w:color="auto" w:fill="auto"/>
      <w:tabs>
        <w:tab w:val="left" w:pos="1200"/>
        <w:tab w:val="clear" w:pos="426"/>
      </w:tabs>
      <w:adjustRightInd/>
      <w:snapToGrid/>
      <w:spacing w:line="240" w:lineRule="auto"/>
      <w:ind w:left="1200" w:hanging="360"/>
    </w:pPr>
    <w:rPr>
      <w:rFonts w:ascii="Times New Roman" w:hAnsi="Times New Roman" w:cs="Times New Roman"/>
      <w:kern w:val="2"/>
    </w:rPr>
  </w:style>
  <w:style w:type="paragraph" w:styleId="32">
    <w:name w:val="Body Text"/>
    <w:basedOn w:val="1"/>
    <w:link w:val="167"/>
    <w:qFormat/>
    <w:uiPriority w:val="0"/>
    <w:rPr>
      <w:rFonts w:cs="Times New Roman"/>
      <w:b/>
      <w:bCs/>
      <w:sz w:val="24"/>
    </w:rPr>
  </w:style>
  <w:style w:type="paragraph" w:styleId="33">
    <w:name w:val="Body Text Indent"/>
    <w:basedOn w:val="1"/>
    <w:next w:val="34"/>
    <w:link w:val="148"/>
    <w:qFormat/>
    <w:uiPriority w:val="0"/>
    <w:pPr>
      <w:ind w:firstLine="420" w:firstLineChars="200"/>
    </w:pPr>
    <w:rPr>
      <w:rFonts w:ascii="Times New Roman" w:hAnsi="Times New Roman" w:cs="Times New Roman"/>
      <w:kern w:val="2"/>
    </w:rPr>
  </w:style>
  <w:style w:type="paragraph" w:styleId="34">
    <w:name w:val="envelope return"/>
    <w:basedOn w:val="1"/>
    <w:qFormat/>
    <w:uiPriority w:val="0"/>
    <w:pPr>
      <w:widowControl w:val="0"/>
      <w:shd w:val="clear" w:color="auto" w:fill="auto"/>
      <w:tabs>
        <w:tab w:val="clear" w:pos="426"/>
      </w:tabs>
      <w:adjustRightInd/>
      <w:spacing w:line="240" w:lineRule="auto"/>
    </w:pPr>
    <w:rPr>
      <w:rFonts w:ascii="Arial" w:hAnsi="Arial" w:cs="Arial"/>
      <w:kern w:val="2"/>
    </w:rPr>
  </w:style>
  <w:style w:type="paragraph" w:styleId="35">
    <w:name w:val="List Number 3"/>
    <w:basedOn w:val="1"/>
    <w:qFormat/>
    <w:uiPriority w:val="0"/>
    <w:pPr>
      <w:widowControl w:val="0"/>
      <w:shd w:val="clear" w:color="auto" w:fill="auto"/>
      <w:tabs>
        <w:tab w:val="left" w:pos="1200"/>
        <w:tab w:val="clear" w:pos="426"/>
      </w:tabs>
      <w:adjustRightInd/>
      <w:snapToGrid/>
      <w:spacing w:line="240" w:lineRule="auto"/>
      <w:ind w:left="1200" w:hanging="360"/>
    </w:pPr>
    <w:rPr>
      <w:rFonts w:ascii="Times New Roman" w:hAnsi="Times New Roman" w:cs="Times New Roman"/>
      <w:kern w:val="2"/>
    </w:rPr>
  </w:style>
  <w:style w:type="paragraph" w:styleId="36">
    <w:name w:val="List 2"/>
    <w:basedOn w:val="1"/>
    <w:qFormat/>
    <w:uiPriority w:val="0"/>
    <w:pPr>
      <w:widowControl w:val="0"/>
      <w:shd w:val="clear" w:color="auto" w:fill="auto"/>
      <w:tabs>
        <w:tab w:val="clear" w:pos="426"/>
      </w:tabs>
      <w:adjustRightInd/>
      <w:snapToGrid/>
      <w:spacing w:line="240" w:lineRule="auto"/>
      <w:ind w:left="100" w:leftChars="200" w:hanging="200" w:hangingChars="200"/>
    </w:pPr>
    <w:rPr>
      <w:rFonts w:ascii="Times New Roman" w:hAnsi="Times New Roman" w:cs="Times New Roman"/>
      <w:kern w:val="2"/>
    </w:rPr>
  </w:style>
  <w:style w:type="paragraph" w:styleId="37">
    <w:name w:val="List Continue"/>
    <w:basedOn w:val="1"/>
    <w:qFormat/>
    <w:uiPriority w:val="0"/>
    <w:pPr>
      <w:widowControl w:val="0"/>
      <w:shd w:val="clear" w:color="auto" w:fill="auto"/>
      <w:tabs>
        <w:tab w:val="clear" w:pos="426"/>
      </w:tabs>
      <w:adjustRightInd/>
      <w:snapToGrid/>
      <w:spacing w:after="120" w:line="240" w:lineRule="auto"/>
      <w:ind w:left="420" w:leftChars="200"/>
    </w:pPr>
    <w:rPr>
      <w:rFonts w:ascii="Times New Roman" w:hAnsi="Times New Roman" w:cs="Times New Roman"/>
      <w:kern w:val="2"/>
    </w:rPr>
  </w:style>
  <w:style w:type="paragraph" w:styleId="38">
    <w:name w:val="Block Text"/>
    <w:basedOn w:val="1"/>
    <w:qFormat/>
    <w:uiPriority w:val="0"/>
    <w:pPr>
      <w:widowControl w:val="0"/>
      <w:shd w:val="clear" w:color="auto" w:fill="auto"/>
      <w:tabs>
        <w:tab w:val="clear" w:pos="426"/>
      </w:tabs>
      <w:adjustRightInd/>
      <w:snapToGrid/>
      <w:spacing w:after="120" w:line="240" w:lineRule="auto"/>
      <w:ind w:left="1440" w:leftChars="700" w:right="1440" w:rightChars="700"/>
    </w:pPr>
    <w:rPr>
      <w:rFonts w:ascii="Times New Roman" w:hAnsi="Times New Roman" w:cs="Times New Roman"/>
      <w:kern w:val="2"/>
    </w:rPr>
  </w:style>
  <w:style w:type="paragraph" w:styleId="39">
    <w:name w:val="List Bullet 2"/>
    <w:basedOn w:val="1"/>
    <w:qFormat/>
    <w:uiPriority w:val="0"/>
    <w:pPr>
      <w:widowControl w:val="0"/>
      <w:shd w:val="clear" w:color="auto" w:fill="auto"/>
      <w:tabs>
        <w:tab w:val="left" w:pos="780"/>
        <w:tab w:val="clear" w:pos="426"/>
      </w:tabs>
      <w:adjustRightInd/>
      <w:snapToGrid/>
      <w:spacing w:line="240" w:lineRule="auto"/>
      <w:ind w:left="780" w:hanging="360"/>
    </w:pPr>
    <w:rPr>
      <w:rFonts w:ascii="Times New Roman" w:hAnsi="Times New Roman" w:cs="Times New Roman"/>
      <w:kern w:val="2"/>
    </w:rPr>
  </w:style>
  <w:style w:type="paragraph" w:styleId="40">
    <w:name w:val="HTML Address"/>
    <w:basedOn w:val="1"/>
    <w:link w:val="168"/>
    <w:qFormat/>
    <w:uiPriority w:val="0"/>
    <w:pPr>
      <w:widowControl w:val="0"/>
      <w:shd w:val="clear" w:color="auto" w:fill="auto"/>
      <w:tabs>
        <w:tab w:val="clear" w:pos="426"/>
      </w:tabs>
      <w:adjustRightInd/>
      <w:snapToGrid/>
      <w:spacing w:line="240" w:lineRule="auto"/>
    </w:pPr>
    <w:rPr>
      <w:rFonts w:ascii="Times New Roman" w:hAnsi="Times New Roman" w:cs="Times New Roman"/>
      <w:i/>
      <w:iCs/>
      <w:kern w:val="2"/>
    </w:rPr>
  </w:style>
  <w:style w:type="paragraph" w:styleId="41">
    <w:name w:val="index 4"/>
    <w:basedOn w:val="1"/>
    <w:next w:val="1"/>
    <w:qFormat/>
    <w:uiPriority w:val="0"/>
    <w:pPr>
      <w:widowControl w:val="0"/>
      <w:shd w:val="clear" w:color="auto" w:fill="auto"/>
      <w:tabs>
        <w:tab w:val="clear" w:pos="426"/>
      </w:tabs>
      <w:adjustRightInd/>
      <w:snapToGrid/>
      <w:spacing w:line="240" w:lineRule="auto"/>
      <w:ind w:left="840" w:hanging="210"/>
      <w:jc w:val="left"/>
    </w:pPr>
    <w:rPr>
      <w:rFonts w:ascii="Times New Roman" w:hAnsi="Times New Roman" w:cs="Times New Roman"/>
      <w:kern w:val="2"/>
      <w:sz w:val="20"/>
      <w:szCs w:val="20"/>
    </w:rPr>
  </w:style>
  <w:style w:type="paragraph" w:styleId="42">
    <w:name w:val="toc 5"/>
    <w:basedOn w:val="1"/>
    <w:next w:val="1"/>
    <w:qFormat/>
    <w:uiPriority w:val="0"/>
    <w:pPr>
      <w:ind w:left="840"/>
      <w:jc w:val="left"/>
    </w:pPr>
    <w:rPr>
      <w:szCs w:val="21"/>
    </w:rPr>
  </w:style>
  <w:style w:type="paragraph" w:styleId="43">
    <w:name w:val="toc 3"/>
    <w:basedOn w:val="1"/>
    <w:next w:val="1"/>
    <w:qFormat/>
    <w:uiPriority w:val="39"/>
    <w:pPr>
      <w:ind w:left="420"/>
      <w:jc w:val="left"/>
    </w:pPr>
    <w:rPr>
      <w:i/>
      <w:iCs/>
    </w:rPr>
  </w:style>
  <w:style w:type="paragraph" w:styleId="44">
    <w:name w:val="Plain Text"/>
    <w:basedOn w:val="1"/>
    <w:link w:val="169"/>
    <w:qFormat/>
    <w:uiPriority w:val="0"/>
    <w:rPr>
      <w:rFonts w:hAnsi="Courier New" w:cs="Times New Roman"/>
      <w:kern w:val="2"/>
      <w:szCs w:val="20"/>
    </w:rPr>
  </w:style>
  <w:style w:type="paragraph" w:styleId="45">
    <w:name w:val="List Bullet 5"/>
    <w:basedOn w:val="1"/>
    <w:qFormat/>
    <w:uiPriority w:val="0"/>
    <w:pPr>
      <w:widowControl w:val="0"/>
      <w:shd w:val="clear" w:color="auto" w:fill="auto"/>
      <w:tabs>
        <w:tab w:val="left" w:pos="2040"/>
        <w:tab w:val="clear" w:pos="426"/>
      </w:tabs>
      <w:adjustRightInd/>
      <w:snapToGrid/>
      <w:spacing w:line="240" w:lineRule="auto"/>
      <w:ind w:left="2040" w:hanging="360"/>
    </w:pPr>
    <w:rPr>
      <w:rFonts w:ascii="Times New Roman" w:hAnsi="Times New Roman" w:cs="Times New Roman"/>
      <w:kern w:val="2"/>
    </w:rPr>
  </w:style>
  <w:style w:type="paragraph" w:styleId="46">
    <w:name w:val="List Number 4"/>
    <w:basedOn w:val="1"/>
    <w:qFormat/>
    <w:uiPriority w:val="0"/>
    <w:pPr>
      <w:widowControl w:val="0"/>
      <w:shd w:val="clear" w:color="auto" w:fill="auto"/>
      <w:tabs>
        <w:tab w:val="left" w:pos="1620"/>
        <w:tab w:val="clear" w:pos="426"/>
      </w:tabs>
      <w:adjustRightInd/>
      <w:snapToGrid/>
      <w:spacing w:line="240" w:lineRule="auto"/>
      <w:ind w:left="1620" w:hanging="360"/>
    </w:pPr>
    <w:rPr>
      <w:rFonts w:ascii="Times New Roman" w:hAnsi="Times New Roman" w:cs="Times New Roman"/>
      <w:kern w:val="2"/>
    </w:rPr>
  </w:style>
  <w:style w:type="paragraph" w:styleId="47">
    <w:name w:val="toc 8"/>
    <w:basedOn w:val="1"/>
    <w:next w:val="1"/>
    <w:qFormat/>
    <w:uiPriority w:val="0"/>
    <w:pPr>
      <w:ind w:left="1470"/>
      <w:jc w:val="left"/>
    </w:pPr>
    <w:rPr>
      <w:szCs w:val="21"/>
    </w:rPr>
  </w:style>
  <w:style w:type="paragraph" w:styleId="48">
    <w:name w:val="index 3"/>
    <w:basedOn w:val="1"/>
    <w:next w:val="1"/>
    <w:qFormat/>
    <w:uiPriority w:val="0"/>
    <w:pPr>
      <w:widowControl w:val="0"/>
      <w:shd w:val="clear" w:color="auto" w:fill="auto"/>
      <w:tabs>
        <w:tab w:val="clear" w:pos="426"/>
      </w:tabs>
      <w:adjustRightInd/>
      <w:snapToGrid/>
      <w:spacing w:line="240" w:lineRule="auto"/>
      <w:ind w:left="630" w:hanging="210"/>
      <w:jc w:val="left"/>
    </w:pPr>
    <w:rPr>
      <w:rFonts w:ascii="Times New Roman" w:hAnsi="Times New Roman" w:cs="Times New Roman"/>
      <w:kern w:val="2"/>
      <w:sz w:val="20"/>
      <w:szCs w:val="20"/>
    </w:rPr>
  </w:style>
  <w:style w:type="paragraph" w:styleId="49">
    <w:name w:val="Date"/>
    <w:basedOn w:val="1"/>
    <w:next w:val="1"/>
    <w:link w:val="170"/>
    <w:qFormat/>
    <w:uiPriority w:val="0"/>
    <w:rPr>
      <w:rFonts w:hAnsi="Courier New" w:cs="Times New Roman"/>
      <w:kern w:val="2"/>
      <w:sz w:val="32"/>
      <w:szCs w:val="20"/>
    </w:rPr>
  </w:style>
  <w:style w:type="paragraph" w:styleId="50">
    <w:name w:val="Body Text Indent 2"/>
    <w:basedOn w:val="1"/>
    <w:link w:val="171"/>
    <w:qFormat/>
    <w:uiPriority w:val="0"/>
    <w:pPr>
      <w:spacing w:beforeLines="50" w:afterLines="50" w:line="120" w:lineRule="auto"/>
      <w:ind w:firstLine="840" w:firstLineChars="400"/>
      <w:jc w:val="left"/>
    </w:pPr>
    <w:rPr>
      <w:rFonts w:cs="Times New Roman"/>
      <w:kern w:val="2"/>
    </w:rPr>
  </w:style>
  <w:style w:type="paragraph" w:styleId="51">
    <w:name w:val="endnote text"/>
    <w:basedOn w:val="1"/>
    <w:link w:val="172"/>
    <w:qFormat/>
    <w:uiPriority w:val="0"/>
    <w:pPr>
      <w:widowControl w:val="0"/>
      <w:shd w:val="clear" w:color="auto" w:fill="auto"/>
      <w:tabs>
        <w:tab w:val="clear" w:pos="426"/>
      </w:tabs>
      <w:adjustRightInd/>
      <w:spacing w:line="240" w:lineRule="auto"/>
      <w:jc w:val="left"/>
    </w:pPr>
    <w:rPr>
      <w:rFonts w:ascii="Times New Roman" w:hAnsi="Times New Roman" w:cs="Times New Roman"/>
      <w:kern w:val="2"/>
    </w:rPr>
  </w:style>
  <w:style w:type="paragraph" w:styleId="52">
    <w:name w:val="List Continue 5"/>
    <w:basedOn w:val="1"/>
    <w:qFormat/>
    <w:uiPriority w:val="0"/>
    <w:pPr>
      <w:widowControl w:val="0"/>
      <w:shd w:val="clear" w:color="auto" w:fill="auto"/>
      <w:tabs>
        <w:tab w:val="clear" w:pos="426"/>
      </w:tabs>
      <w:adjustRightInd/>
      <w:snapToGrid/>
      <w:spacing w:after="120" w:line="240" w:lineRule="auto"/>
      <w:ind w:left="2100" w:leftChars="1000"/>
    </w:pPr>
    <w:rPr>
      <w:rFonts w:ascii="Times New Roman" w:hAnsi="Times New Roman" w:cs="Times New Roman"/>
      <w:kern w:val="2"/>
    </w:rPr>
  </w:style>
  <w:style w:type="paragraph" w:styleId="53">
    <w:name w:val="Balloon Text"/>
    <w:basedOn w:val="1"/>
    <w:link w:val="173"/>
    <w:qFormat/>
    <w:uiPriority w:val="0"/>
    <w:rPr>
      <w:rFonts w:ascii="Times New Roman" w:hAnsi="Times New Roman" w:cs="Times New Roman"/>
      <w:kern w:val="2"/>
      <w:sz w:val="18"/>
      <w:szCs w:val="18"/>
    </w:rPr>
  </w:style>
  <w:style w:type="paragraph" w:styleId="54">
    <w:name w:val="footer"/>
    <w:basedOn w:val="1"/>
    <w:link w:val="174"/>
    <w:qFormat/>
    <w:uiPriority w:val="0"/>
    <w:pPr>
      <w:tabs>
        <w:tab w:val="center" w:pos="4153"/>
        <w:tab w:val="right" w:pos="8306"/>
      </w:tabs>
      <w:jc w:val="left"/>
    </w:pPr>
    <w:rPr>
      <w:rFonts w:ascii="Times New Roman" w:hAnsi="Times New Roman" w:cs="Times New Roman"/>
      <w:kern w:val="2"/>
      <w:sz w:val="18"/>
      <w:szCs w:val="18"/>
    </w:rPr>
  </w:style>
  <w:style w:type="paragraph" w:styleId="55">
    <w:name w:val="header"/>
    <w:basedOn w:val="1"/>
    <w:link w:val="175"/>
    <w:qFormat/>
    <w:uiPriority w:val="0"/>
    <w:pPr>
      <w:pBdr>
        <w:bottom w:val="single" w:color="auto" w:sz="6" w:space="1"/>
      </w:pBdr>
      <w:tabs>
        <w:tab w:val="center" w:pos="4153"/>
        <w:tab w:val="right" w:pos="8306"/>
      </w:tabs>
      <w:jc w:val="center"/>
    </w:pPr>
    <w:rPr>
      <w:rFonts w:ascii="Times New Roman" w:hAnsi="Times New Roman" w:cs="Times New Roman"/>
      <w:kern w:val="2"/>
      <w:sz w:val="18"/>
      <w:szCs w:val="18"/>
    </w:rPr>
  </w:style>
  <w:style w:type="paragraph" w:styleId="56">
    <w:name w:val="Signature"/>
    <w:basedOn w:val="1"/>
    <w:link w:val="176"/>
    <w:qFormat/>
    <w:uiPriority w:val="0"/>
    <w:pPr>
      <w:widowControl w:val="0"/>
      <w:shd w:val="clear" w:color="auto" w:fill="auto"/>
      <w:tabs>
        <w:tab w:val="clear" w:pos="426"/>
      </w:tabs>
      <w:adjustRightInd/>
      <w:snapToGrid/>
      <w:spacing w:line="240" w:lineRule="auto"/>
      <w:ind w:left="100" w:leftChars="2100"/>
    </w:pPr>
    <w:rPr>
      <w:rFonts w:ascii="Times New Roman" w:hAnsi="Times New Roman" w:cs="Times New Roman"/>
      <w:kern w:val="2"/>
    </w:rPr>
  </w:style>
  <w:style w:type="paragraph" w:styleId="57">
    <w:name w:val="toc 1"/>
    <w:basedOn w:val="1"/>
    <w:next w:val="1"/>
    <w:qFormat/>
    <w:uiPriority w:val="39"/>
    <w:pPr>
      <w:tabs>
        <w:tab w:val="right" w:leader="dot" w:pos="8789"/>
      </w:tabs>
      <w:adjustRightInd/>
      <w:snapToGrid/>
      <w:spacing w:before="120" w:after="120"/>
      <w:jc w:val="left"/>
    </w:pPr>
    <w:rPr>
      <w:b/>
      <w:bCs/>
      <w:caps/>
      <w:sz w:val="28"/>
    </w:rPr>
  </w:style>
  <w:style w:type="paragraph" w:styleId="58">
    <w:name w:val="List Continue 4"/>
    <w:basedOn w:val="1"/>
    <w:qFormat/>
    <w:uiPriority w:val="0"/>
    <w:pPr>
      <w:widowControl w:val="0"/>
      <w:shd w:val="clear" w:color="auto" w:fill="auto"/>
      <w:tabs>
        <w:tab w:val="clear" w:pos="426"/>
      </w:tabs>
      <w:adjustRightInd/>
      <w:snapToGrid/>
      <w:spacing w:after="120" w:line="240" w:lineRule="auto"/>
      <w:ind w:left="1680" w:leftChars="800"/>
    </w:pPr>
    <w:rPr>
      <w:rFonts w:ascii="Times New Roman" w:hAnsi="Times New Roman" w:cs="Times New Roman"/>
      <w:kern w:val="2"/>
    </w:rPr>
  </w:style>
  <w:style w:type="paragraph" w:styleId="59">
    <w:name w:val="toc 4"/>
    <w:basedOn w:val="1"/>
    <w:next w:val="1"/>
    <w:qFormat/>
    <w:uiPriority w:val="0"/>
    <w:pPr>
      <w:ind w:left="630"/>
      <w:jc w:val="left"/>
    </w:pPr>
    <w:rPr>
      <w:szCs w:val="21"/>
    </w:rPr>
  </w:style>
  <w:style w:type="paragraph" w:styleId="60">
    <w:name w:val="index heading"/>
    <w:basedOn w:val="1"/>
    <w:next w:val="61"/>
    <w:qFormat/>
    <w:uiPriority w:val="0"/>
    <w:pPr>
      <w:widowControl w:val="0"/>
      <w:shd w:val="clear" w:color="auto" w:fill="auto"/>
      <w:tabs>
        <w:tab w:val="clear" w:pos="426"/>
      </w:tabs>
      <w:adjustRightInd/>
      <w:snapToGrid/>
      <w:spacing w:before="120" w:after="120" w:line="240" w:lineRule="auto"/>
      <w:jc w:val="left"/>
    </w:pPr>
    <w:rPr>
      <w:rFonts w:ascii="Times New Roman" w:hAnsi="Times New Roman" w:cs="Times New Roman"/>
      <w:b/>
      <w:bCs/>
      <w:i/>
      <w:iCs/>
      <w:kern w:val="2"/>
      <w:sz w:val="20"/>
      <w:szCs w:val="20"/>
    </w:rPr>
  </w:style>
  <w:style w:type="paragraph" w:styleId="61">
    <w:name w:val="index 1"/>
    <w:basedOn w:val="1"/>
    <w:next w:val="1"/>
    <w:qFormat/>
    <w:uiPriority w:val="99"/>
    <w:rPr>
      <w:b/>
      <w:color w:val="0000FF"/>
      <w:sz w:val="24"/>
    </w:rPr>
  </w:style>
  <w:style w:type="paragraph" w:styleId="62">
    <w:name w:val="Subtitle"/>
    <w:basedOn w:val="1"/>
    <w:next w:val="1"/>
    <w:link w:val="177"/>
    <w:qFormat/>
    <w:uiPriority w:val="0"/>
    <w:pPr>
      <w:tabs>
        <w:tab w:val="clear" w:pos="426"/>
      </w:tabs>
      <w:spacing w:before="240" w:after="60" w:line="312" w:lineRule="auto"/>
      <w:jc w:val="center"/>
      <w:outlineLvl w:val="1"/>
    </w:pPr>
    <w:rPr>
      <w:rFonts w:ascii="Cambria" w:hAnsi="Cambria" w:cs="Times New Roman"/>
      <w:b/>
      <w:bCs/>
      <w:kern w:val="28"/>
      <w:sz w:val="28"/>
      <w:szCs w:val="32"/>
    </w:rPr>
  </w:style>
  <w:style w:type="paragraph" w:styleId="63">
    <w:name w:val="List Number 5"/>
    <w:basedOn w:val="1"/>
    <w:qFormat/>
    <w:uiPriority w:val="0"/>
    <w:pPr>
      <w:widowControl w:val="0"/>
      <w:shd w:val="clear" w:color="auto" w:fill="auto"/>
      <w:tabs>
        <w:tab w:val="left" w:pos="2040"/>
        <w:tab w:val="clear" w:pos="426"/>
      </w:tabs>
      <w:adjustRightInd/>
      <w:snapToGrid/>
      <w:spacing w:line="240" w:lineRule="auto"/>
      <w:ind w:left="2040" w:hanging="360"/>
    </w:pPr>
    <w:rPr>
      <w:rFonts w:ascii="Times New Roman" w:hAnsi="Times New Roman" w:cs="Times New Roman"/>
      <w:kern w:val="2"/>
    </w:rPr>
  </w:style>
  <w:style w:type="paragraph" w:styleId="64">
    <w:name w:val="List"/>
    <w:basedOn w:val="1"/>
    <w:qFormat/>
    <w:uiPriority w:val="0"/>
    <w:pPr>
      <w:widowControl w:val="0"/>
      <w:shd w:val="clear" w:color="auto" w:fill="auto"/>
      <w:tabs>
        <w:tab w:val="clear" w:pos="426"/>
      </w:tabs>
      <w:adjustRightInd/>
      <w:snapToGrid/>
      <w:spacing w:line="240" w:lineRule="auto"/>
      <w:ind w:left="200" w:hanging="200" w:hangingChars="200"/>
    </w:pPr>
    <w:rPr>
      <w:rFonts w:ascii="Times New Roman" w:hAnsi="Times New Roman" w:cs="Times New Roman"/>
      <w:kern w:val="2"/>
    </w:rPr>
  </w:style>
  <w:style w:type="paragraph" w:styleId="65">
    <w:name w:val="footnote text"/>
    <w:basedOn w:val="1"/>
    <w:link w:val="178"/>
    <w:qFormat/>
    <w:uiPriority w:val="0"/>
    <w:pPr>
      <w:widowControl w:val="0"/>
      <w:shd w:val="clear" w:color="auto" w:fill="auto"/>
      <w:tabs>
        <w:tab w:val="clear" w:pos="426"/>
      </w:tabs>
      <w:adjustRightInd/>
      <w:spacing w:line="240" w:lineRule="auto"/>
      <w:jc w:val="left"/>
    </w:pPr>
    <w:rPr>
      <w:rFonts w:ascii="Times New Roman" w:hAnsi="Times New Roman" w:cs="Times New Roman"/>
      <w:kern w:val="2"/>
      <w:sz w:val="18"/>
    </w:rPr>
  </w:style>
  <w:style w:type="paragraph" w:styleId="66">
    <w:name w:val="toc 6"/>
    <w:basedOn w:val="1"/>
    <w:next w:val="1"/>
    <w:qFormat/>
    <w:uiPriority w:val="0"/>
    <w:pPr>
      <w:ind w:left="1050"/>
      <w:jc w:val="left"/>
    </w:pPr>
    <w:rPr>
      <w:szCs w:val="21"/>
    </w:rPr>
  </w:style>
  <w:style w:type="paragraph" w:styleId="67">
    <w:name w:val="List 5"/>
    <w:basedOn w:val="1"/>
    <w:qFormat/>
    <w:uiPriority w:val="0"/>
    <w:pPr>
      <w:widowControl w:val="0"/>
      <w:shd w:val="clear" w:color="auto" w:fill="auto"/>
      <w:tabs>
        <w:tab w:val="clear" w:pos="426"/>
      </w:tabs>
      <w:adjustRightInd/>
      <w:snapToGrid/>
      <w:spacing w:line="240" w:lineRule="auto"/>
      <w:ind w:left="100" w:leftChars="800" w:hanging="200" w:hangingChars="200"/>
    </w:pPr>
    <w:rPr>
      <w:rFonts w:ascii="Times New Roman" w:hAnsi="Times New Roman" w:cs="Times New Roman"/>
      <w:kern w:val="2"/>
    </w:rPr>
  </w:style>
  <w:style w:type="paragraph" w:styleId="68">
    <w:name w:val="Body Text Indent 3"/>
    <w:basedOn w:val="1"/>
    <w:link w:val="179"/>
    <w:qFormat/>
    <w:uiPriority w:val="0"/>
    <w:pPr>
      <w:ind w:firstLine="482" w:firstLineChars="200"/>
    </w:pPr>
    <w:rPr>
      <w:rFonts w:hAnsi="Times New Roman" w:cs="Times New Roman"/>
      <w:b/>
      <w:bCs/>
      <w:kern w:val="2"/>
      <w:sz w:val="24"/>
    </w:rPr>
  </w:style>
  <w:style w:type="paragraph" w:styleId="69">
    <w:name w:val="index 7"/>
    <w:basedOn w:val="1"/>
    <w:next w:val="1"/>
    <w:qFormat/>
    <w:uiPriority w:val="0"/>
    <w:pPr>
      <w:widowControl w:val="0"/>
      <w:shd w:val="clear" w:color="auto" w:fill="auto"/>
      <w:tabs>
        <w:tab w:val="clear" w:pos="426"/>
      </w:tabs>
      <w:adjustRightInd/>
      <w:snapToGrid/>
      <w:spacing w:line="240" w:lineRule="auto"/>
      <w:ind w:left="1470" w:hanging="210"/>
      <w:jc w:val="left"/>
    </w:pPr>
    <w:rPr>
      <w:rFonts w:ascii="Times New Roman" w:hAnsi="Times New Roman" w:cs="Times New Roman"/>
      <w:kern w:val="2"/>
      <w:sz w:val="20"/>
      <w:szCs w:val="20"/>
    </w:rPr>
  </w:style>
  <w:style w:type="paragraph" w:styleId="70">
    <w:name w:val="index 9"/>
    <w:basedOn w:val="1"/>
    <w:next w:val="1"/>
    <w:qFormat/>
    <w:uiPriority w:val="0"/>
    <w:pPr>
      <w:widowControl w:val="0"/>
      <w:shd w:val="clear" w:color="auto" w:fill="auto"/>
      <w:tabs>
        <w:tab w:val="clear" w:pos="426"/>
      </w:tabs>
      <w:adjustRightInd/>
      <w:snapToGrid/>
      <w:spacing w:line="240" w:lineRule="auto"/>
      <w:ind w:left="1890" w:hanging="210"/>
      <w:jc w:val="left"/>
    </w:pPr>
    <w:rPr>
      <w:rFonts w:ascii="Times New Roman" w:hAnsi="Times New Roman" w:cs="Times New Roman"/>
      <w:kern w:val="2"/>
      <w:sz w:val="20"/>
      <w:szCs w:val="20"/>
    </w:rPr>
  </w:style>
  <w:style w:type="paragraph" w:styleId="71">
    <w:name w:val="toc 2"/>
    <w:basedOn w:val="1"/>
    <w:next w:val="1"/>
    <w:qFormat/>
    <w:uiPriority w:val="39"/>
    <w:pPr>
      <w:tabs>
        <w:tab w:val="right" w:leader="dot" w:pos="8789"/>
        <w:tab w:val="clear" w:pos="426"/>
      </w:tabs>
      <w:adjustRightInd/>
      <w:snapToGrid/>
      <w:spacing w:line="300" w:lineRule="auto"/>
      <w:ind w:left="50" w:leftChars="50"/>
    </w:pPr>
    <w:rPr>
      <w:smallCaps/>
      <w:sz w:val="28"/>
    </w:rPr>
  </w:style>
  <w:style w:type="paragraph" w:styleId="72">
    <w:name w:val="toc 9"/>
    <w:basedOn w:val="1"/>
    <w:next w:val="1"/>
    <w:qFormat/>
    <w:uiPriority w:val="0"/>
    <w:pPr>
      <w:ind w:left="1680"/>
      <w:jc w:val="left"/>
    </w:pPr>
    <w:rPr>
      <w:szCs w:val="21"/>
    </w:rPr>
  </w:style>
  <w:style w:type="paragraph" w:styleId="73">
    <w:name w:val="Body Text 2"/>
    <w:basedOn w:val="1"/>
    <w:link w:val="180"/>
    <w:qFormat/>
    <w:uiPriority w:val="0"/>
    <w:rPr>
      <w:rFonts w:ascii="Times New Roman" w:hAnsi="Times New Roman" w:cs="Times New Roman"/>
      <w:kern w:val="2"/>
      <w:sz w:val="24"/>
    </w:rPr>
  </w:style>
  <w:style w:type="paragraph" w:styleId="74">
    <w:name w:val="List 4"/>
    <w:basedOn w:val="1"/>
    <w:qFormat/>
    <w:uiPriority w:val="0"/>
    <w:pPr>
      <w:widowControl w:val="0"/>
      <w:shd w:val="clear" w:color="auto" w:fill="auto"/>
      <w:tabs>
        <w:tab w:val="clear" w:pos="426"/>
      </w:tabs>
      <w:adjustRightInd/>
      <w:snapToGrid/>
      <w:spacing w:line="240" w:lineRule="auto"/>
      <w:ind w:left="100" w:leftChars="600" w:hanging="200" w:hangingChars="200"/>
    </w:pPr>
    <w:rPr>
      <w:rFonts w:ascii="Times New Roman" w:hAnsi="Times New Roman" w:cs="Times New Roman"/>
      <w:kern w:val="2"/>
    </w:rPr>
  </w:style>
  <w:style w:type="paragraph" w:styleId="75">
    <w:name w:val="List Continue 2"/>
    <w:basedOn w:val="1"/>
    <w:qFormat/>
    <w:uiPriority w:val="0"/>
    <w:pPr>
      <w:widowControl w:val="0"/>
      <w:shd w:val="clear" w:color="auto" w:fill="auto"/>
      <w:tabs>
        <w:tab w:val="clear" w:pos="426"/>
      </w:tabs>
      <w:adjustRightInd/>
      <w:snapToGrid/>
      <w:spacing w:after="120" w:line="240" w:lineRule="auto"/>
      <w:ind w:left="840" w:leftChars="400"/>
    </w:pPr>
    <w:rPr>
      <w:rFonts w:ascii="Times New Roman" w:hAnsi="Times New Roman" w:cs="Times New Roman"/>
      <w:kern w:val="2"/>
    </w:rPr>
  </w:style>
  <w:style w:type="paragraph" w:styleId="76">
    <w:name w:val="Message Header"/>
    <w:basedOn w:val="1"/>
    <w:link w:val="181"/>
    <w:qFormat/>
    <w:uiPriority w:val="0"/>
    <w:pPr>
      <w:widowControl w:val="0"/>
      <w:pBdr>
        <w:top w:val="single" w:color="auto" w:sz="6" w:space="1"/>
        <w:left w:val="single" w:color="auto" w:sz="6" w:space="1"/>
        <w:bottom w:val="single" w:color="auto" w:sz="6" w:space="1"/>
        <w:right w:val="single" w:color="auto" w:sz="6" w:space="1"/>
      </w:pBdr>
      <w:shd w:val="pct20" w:color="auto" w:fill="auto"/>
      <w:tabs>
        <w:tab w:val="clear" w:pos="426"/>
      </w:tabs>
      <w:adjustRightInd/>
      <w:snapToGrid/>
      <w:spacing w:line="240" w:lineRule="auto"/>
      <w:ind w:left="1080" w:leftChars="500" w:hanging="1080" w:hangingChars="500"/>
    </w:pPr>
    <w:rPr>
      <w:rFonts w:ascii="Arial" w:hAnsi="Arial" w:cs="Times New Roman"/>
      <w:kern w:val="2"/>
      <w:sz w:val="24"/>
    </w:rPr>
  </w:style>
  <w:style w:type="paragraph" w:styleId="77">
    <w:name w:val="HTML Preformatted"/>
    <w:basedOn w:val="1"/>
    <w:link w:val="18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imes New Roman"/>
      <w:color w:val="000000"/>
      <w:sz w:val="20"/>
      <w:szCs w:val="20"/>
    </w:rPr>
  </w:style>
  <w:style w:type="paragraph" w:styleId="78">
    <w:name w:val="Normal (Web)"/>
    <w:basedOn w:val="1"/>
    <w:qFormat/>
    <w:uiPriority w:val="0"/>
    <w:rPr>
      <w:sz w:val="24"/>
    </w:rPr>
  </w:style>
  <w:style w:type="paragraph" w:styleId="79">
    <w:name w:val="List Continue 3"/>
    <w:basedOn w:val="1"/>
    <w:qFormat/>
    <w:uiPriority w:val="0"/>
    <w:pPr>
      <w:widowControl w:val="0"/>
      <w:shd w:val="clear" w:color="auto" w:fill="auto"/>
      <w:tabs>
        <w:tab w:val="clear" w:pos="426"/>
      </w:tabs>
      <w:adjustRightInd/>
      <w:snapToGrid/>
      <w:spacing w:after="120" w:line="240" w:lineRule="auto"/>
      <w:ind w:left="1260" w:leftChars="600"/>
    </w:pPr>
    <w:rPr>
      <w:rFonts w:ascii="Times New Roman" w:hAnsi="Times New Roman" w:cs="Times New Roman"/>
      <w:kern w:val="2"/>
    </w:rPr>
  </w:style>
  <w:style w:type="paragraph" w:styleId="80">
    <w:name w:val="index 2"/>
    <w:basedOn w:val="1"/>
    <w:next w:val="1"/>
    <w:qFormat/>
    <w:uiPriority w:val="0"/>
    <w:pPr>
      <w:widowControl w:val="0"/>
      <w:shd w:val="clear" w:color="auto" w:fill="auto"/>
      <w:tabs>
        <w:tab w:val="clear" w:pos="426"/>
      </w:tabs>
      <w:adjustRightInd/>
      <w:snapToGrid/>
      <w:spacing w:line="240" w:lineRule="auto"/>
      <w:ind w:left="420" w:hanging="210"/>
      <w:jc w:val="left"/>
    </w:pPr>
    <w:rPr>
      <w:rFonts w:ascii="Times New Roman" w:hAnsi="Times New Roman" w:cs="Times New Roman"/>
      <w:kern w:val="2"/>
      <w:sz w:val="20"/>
      <w:szCs w:val="20"/>
    </w:rPr>
  </w:style>
  <w:style w:type="paragraph" w:styleId="81">
    <w:name w:val="Title"/>
    <w:basedOn w:val="1"/>
    <w:link w:val="183"/>
    <w:qFormat/>
    <w:uiPriority w:val="0"/>
    <w:pPr>
      <w:spacing w:before="240" w:after="60"/>
      <w:jc w:val="center"/>
      <w:outlineLvl w:val="0"/>
    </w:pPr>
    <w:rPr>
      <w:rFonts w:ascii="Arial" w:hAnsi="Arial" w:cs="Times New Roman"/>
      <w:b/>
      <w:bCs/>
      <w:kern w:val="2"/>
      <w:sz w:val="36"/>
      <w:szCs w:val="32"/>
    </w:rPr>
  </w:style>
  <w:style w:type="paragraph" w:styleId="82">
    <w:name w:val="annotation subject"/>
    <w:basedOn w:val="26"/>
    <w:next w:val="26"/>
    <w:link w:val="184"/>
    <w:qFormat/>
    <w:uiPriority w:val="0"/>
    <w:pPr>
      <w:autoSpaceDE/>
      <w:autoSpaceDN/>
      <w:adjustRightInd/>
      <w:textAlignment w:val="auto"/>
    </w:pPr>
    <w:rPr>
      <w:rFonts w:ascii="Times New Roman"/>
      <w:b/>
      <w:bCs/>
      <w:kern w:val="2"/>
      <w:sz w:val="21"/>
      <w:szCs w:val="24"/>
    </w:rPr>
  </w:style>
  <w:style w:type="paragraph" w:styleId="83">
    <w:name w:val="Body Text First Indent"/>
    <w:basedOn w:val="32"/>
    <w:link w:val="185"/>
    <w:qFormat/>
    <w:uiPriority w:val="0"/>
    <w:pPr>
      <w:widowControl w:val="0"/>
      <w:shd w:val="clear" w:color="auto" w:fill="auto"/>
      <w:adjustRightInd/>
      <w:snapToGrid/>
      <w:spacing w:after="120" w:line="240" w:lineRule="auto"/>
      <w:ind w:firstLine="420" w:firstLineChars="100"/>
    </w:pPr>
    <w:rPr>
      <w:kern w:val="2"/>
      <w:sz w:val="21"/>
    </w:rPr>
  </w:style>
  <w:style w:type="paragraph" w:styleId="84">
    <w:name w:val="Body Text First Indent 2"/>
    <w:basedOn w:val="33"/>
    <w:link w:val="149"/>
    <w:qFormat/>
    <w:uiPriority w:val="0"/>
    <w:pPr>
      <w:widowControl w:val="0"/>
      <w:shd w:val="clear" w:color="auto" w:fill="auto"/>
      <w:adjustRightInd/>
      <w:snapToGrid/>
      <w:spacing w:after="120" w:line="240" w:lineRule="auto"/>
      <w:ind w:left="420" w:leftChars="200"/>
    </w:pPr>
  </w:style>
  <w:style w:type="table" w:styleId="86">
    <w:name w:val="Table Grid"/>
    <w:basedOn w:val="8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7">
    <w:name w:val="Table Theme"/>
    <w:basedOn w:val="8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8">
    <w:name w:val="Table Colorful 1"/>
    <w:basedOn w:val="85"/>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9">
    <w:name w:val="Table Colorful 2"/>
    <w:basedOn w:val="85"/>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0">
    <w:name w:val="Table Colorful 3"/>
    <w:basedOn w:val="85"/>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1">
    <w:name w:val="Table Elegant"/>
    <w:basedOn w:val="8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2">
    <w:name w:val="Table Classic 1"/>
    <w:basedOn w:val="85"/>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3">
    <w:name w:val="Table Classic 2"/>
    <w:basedOn w:val="85"/>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4">
    <w:name w:val="Table Classic 3"/>
    <w:basedOn w:val="85"/>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5">
    <w:name w:val="Table Classic 4"/>
    <w:basedOn w:val="85"/>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6">
    <w:name w:val="Table Simple 1"/>
    <w:basedOn w:val="85"/>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7">
    <w:name w:val="Table Simple 2"/>
    <w:basedOn w:val="85"/>
    <w:qFormat/>
    <w:uiPriority w:val="0"/>
    <w:pPr>
      <w:widowControl w:val="0"/>
      <w:jc w:val="both"/>
    </w:p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8">
    <w:name w:val="Table Simple 3"/>
    <w:basedOn w:val="85"/>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9">
    <w:name w:val="Table Subtle 1"/>
    <w:basedOn w:val="85"/>
    <w:qFormat/>
    <w:uiPriority w:val="0"/>
    <w:pPr>
      <w:widowControl w:val="0"/>
      <w:jc w:val="both"/>
    </w:p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0">
    <w:name w:val="Table Subtle 2"/>
    <w:basedOn w:val="85"/>
    <w:qFormat/>
    <w:uiPriority w:val="0"/>
    <w:pPr>
      <w:widowControl w:val="0"/>
      <w:jc w:val="both"/>
    </w:p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3D effects 1"/>
    <w:basedOn w:val="85"/>
    <w:qFormat/>
    <w:uiPriority w:val="0"/>
    <w:pPr>
      <w:widowControl w:val="0"/>
      <w:jc w:val="both"/>
    </w:pP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2">
    <w:name w:val="Table 3D effects 2"/>
    <w:basedOn w:val="85"/>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3D effects 3"/>
    <w:basedOn w:val="85"/>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List 1"/>
    <w:basedOn w:val="85"/>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5">
    <w:name w:val="Table List 2"/>
    <w:basedOn w:val="85"/>
    <w:qFormat/>
    <w:uiPriority w:val="0"/>
    <w:pPr>
      <w:widowControl w:val="0"/>
      <w:jc w:val="both"/>
    </w:p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List 3"/>
    <w:basedOn w:val="85"/>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7">
    <w:name w:val="Table List 4"/>
    <w:basedOn w:val="8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8">
    <w:name w:val="Table List 5"/>
    <w:basedOn w:val="8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9">
    <w:name w:val="Table List 6"/>
    <w:basedOn w:val="85"/>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0">
    <w:name w:val="Table List 7"/>
    <w:basedOn w:val="85"/>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1">
    <w:name w:val="Table List 8"/>
    <w:basedOn w:val="85"/>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2">
    <w:name w:val="Table Contemporary"/>
    <w:basedOn w:val="85"/>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3">
    <w:name w:val="Table Columns 1"/>
    <w:basedOn w:val="85"/>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4">
    <w:name w:val="Table Columns 2"/>
    <w:basedOn w:val="85"/>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5">
    <w:name w:val="Table Columns 3"/>
    <w:basedOn w:val="85"/>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6">
    <w:name w:val="Table Columns 4"/>
    <w:basedOn w:val="85"/>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7">
    <w:name w:val="Table Columns 5"/>
    <w:basedOn w:val="85"/>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8">
    <w:name w:val="Table Grid 1"/>
    <w:basedOn w:val="8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9">
    <w:name w:val="Table Grid 2"/>
    <w:basedOn w:val="85"/>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0">
    <w:name w:val="Table Grid 3"/>
    <w:basedOn w:val="85"/>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Grid 4"/>
    <w:basedOn w:val="85"/>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2">
    <w:name w:val="Table Grid 5"/>
    <w:basedOn w:val="8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3">
    <w:name w:val="Table Grid 6"/>
    <w:basedOn w:val="85"/>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7"/>
    <w:basedOn w:val="85"/>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5">
    <w:name w:val="Table Grid 8"/>
    <w:basedOn w:val="8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6">
    <w:name w:val="Table Web 1"/>
    <w:basedOn w:val="85"/>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7">
    <w:name w:val="Table Web 2"/>
    <w:basedOn w:val="85"/>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8">
    <w:name w:val="Table Web 3"/>
    <w:basedOn w:val="85"/>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9">
    <w:name w:val="Table Professional"/>
    <w:basedOn w:val="8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31">
    <w:name w:val="Strong"/>
    <w:qFormat/>
    <w:uiPriority w:val="0"/>
    <w:rPr>
      <w:b/>
      <w:bCs/>
    </w:rPr>
  </w:style>
  <w:style w:type="character" w:styleId="132">
    <w:name w:val="endnote reference"/>
    <w:qFormat/>
    <w:uiPriority w:val="0"/>
    <w:rPr>
      <w:vertAlign w:val="superscript"/>
    </w:rPr>
  </w:style>
  <w:style w:type="character" w:styleId="133">
    <w:name w:val="page number"/>
    <w:qFormat/>
    <w:uiPriority w:val="0"/>
  </w:style>
  <w:style w:type="character" w:styleId="134">
    <w:name w:val="FollowedHyperlink"/>
    <w:qFormat/>
    <w:uiPriority w:val="0"/>
    <w:rPr>
      <w:color w:val="800080"/>
      <w:u w:val="single"/>
    </w:rPr>
  </w:style>
  <w:style w:type="character" w:styleId="135">
    <w:name w:val="Emphasis"/>
    <w:qFormat/>
    <w:uiPriority w:val="0"/>
    <w:rPr>
      <w:i/>
      <w:iCs/>
    </w:rPr>
  </w:style>
  <w:style w:type="character" w:styleId="136">
    <w:name w:val="line number"/>
    <w:qFormat/>
    <w:uiPriority w:val="0"/>
  </w:style>
  <w:style w:type="character" w:styleId="137">
    <w:name w:val="HTML Definition"/>
    <w:qFormat/>
    <w:uiPriority w:val="0"/>
    <w:rPr>
      <w:i/>
      <w:iCs/>
    </w:rPr>
  </w:style>
  <w:style w:type="character" w:styleId="138">
    <w:name w:val="HTML Typewriter"/>
    <w:qFormat/>
    <w:uiPriority w:val="0"/>
    <w:rPr>
      <w:rFonts w:ascii="Courier New" w:hAnsi="Courier New" w:cs="Courier New"/>
      <w:sz w:val="20"/>
      <w:szCs w:val="20"/>
    </w:rPr>
  </w:style>
  <w:style w:type="character" w:styleId="139">
    <w:name w:val="HTML Acronym"/>
    <w:qFormat/>
    <w:uiPriority w:val="0"/>
  </w:style>
  <w:style w:type="character" w:styleId="140">
    <w:name w:val="HTML Variable"/>
    <w:qFormat/>
    <w:uiPriority w:val="0"/>
    <w:rPr>
      <w:i/>
      <w:iCs/>
    </w:rPr>
  </w:style>
  <w:style w:type="character" w:styleId="141">
    <w:name w:val="Hyperlink"/>
    <w:qFormat/>
    <w:uiPriority w:val="99"/>
    <w:rPr>
      <w:color w:val="0000FF"/>
      <w:u w:val="single"/>
    </w:rPr>
  </w:style>
  <w:style w:type="character" w:styleId="142">
    <w:name w:val="HTML Code"/>
    <w:qFormat/>
    <w:uiPriority w:val="0"/>
    <w:rPr>
      <w:rFonts w:ascii="Courier New" w:hAnsi="Courier New" w:cs="Courier New"/>
      <w:sz w:val="20"/>
      <w:szCs w:val="20"/>
    </w:rPr>
  </w:style>
  <w:style w:type="character" w:styleId="143">
    <w:name w:val="annotation reference"/>
    <w:unhideWhenUsed/>
    <w:qFormat/>
    <w:uiPriority w:val="0"/>
    <w:rPr>
      <w:sz w:val="21"/>
      <w:szCs w:val="21"/>
    </w:rPr>
  </w:style>
  <w:style w:type="character" w:styleId="144">
    <w:name w:val="HTML Cite"/>
    <w:qFormat/>
    <w:uiPriority w:val="0"/>
    <w:rPr>
      <w:i/>
      <w:iCs/>
    </w:rPr>
  </w:style>
  <w:style w:type="character" w:styleId="145">
    <w:name w:val="footnote reference"/>
    <w:qFormat/>
    <w:uiPriority w:val="0"/>
    <w:rPr>
      <w:vertAlign w:val="superscript"/>
    </w:rPr>
  </w:style>
  <w:style w:type="character" w:styleId="146">
    <w:name w:val="HTML Keyboard"/>
    <w:qFormat/>
    <w:uiPriority w:val="0"/>
    <w:rPr>
      <w:rFonts w:ascii="Courier New" w:hAnsi="Courier New" w:cs="Courier New"/>
      <w:sz w:val="20"/>
      <w:szCs w:val="20"/>
    </w:rPr>
  </w:style>
  <w:style w:type="character" w:styleId="147">
    <w:name w:val="HTML Sample"/>
    <w:qFormat/>
    <w:uiPriority w:val="0"/>
    <w:rPr>
      <w:rFonts w:ascii="Courier New" w:hAnsi="Courier New" w:cs="Courier New"/>
    </w:rPr>
  </w:style>
  <w:style w:type="character" w:customStyle="1" w:styleId="148">
    <w:name w:val="正文文本缩进 字符"/>
    <w:link w:val="33"/>
    <w:qFormat/>
    <w:uiPriority w:val="0"/>
    <w:rPr>
      <w:kern w:val="2"/>
      <w:sz w:val="21"/>
      <w:szCs w:val="24"/>
    </w:rPr>
  </w:style>
  <w:style w:type="character" w:customStyle="1" w:styleId="149">
    <w:name w:val="正文文本首行缩进 2 字符"/>
    <w:link w:val="84"/>
    <w:qFormat/>
    <w:uiPriority w:val="0"/>
    <w:rPr>
      <w:kern w:val="2"/>
      <w:sz w:val="21"/>
      <w:szCs w:val="24"/>
    </w:rPr>
  </w:style>
  <w:style w:type="character" w:customStyle="1" w:styleId="150">
    <w:name w:val="标题 4 字符"/>
    <w:link w:val="4"/>
    <w:qFormat/>
    <w:uiPriority w:val="0"/>
    <w:rPr>
      <w:rFonts w:ascii="Arial" w:hAnsi="Arial" w:eastAsia="黑体"/>
      <w:b/>
      <w:bCs/>
      <w:kern w:val="2"/>
      <w:sz w:val="28"/>
      <w:szCs w:val="28"/>
      <w:lang w:val="en-US" w:eastAsia="zh-CN" w:bidi="ar-SA"/>
    </w:rPr>
  </w:style>
  <w:style w:type="character" w:customStyle="1" w:styleId="151">
    <w:name w:val="标题 3 字符"/>
    <w:link w:val="3"/>
    <w:qFormat/>
    <w:uiPriority w:val="0"/>
    <w:rPr>
      <w:rFonts w:ascii="宋体" w:hAnsi="宋体"/>
      <w:b/>
      <w:bCs/>
      <w:kern w:val="2"/>
      <w:sz w:val="24"/>
      <w:szCs w:val="32"/>
      <w:shd w:val="clear" w:color="auto" w:fill="FFFFFF"/>
    </w:rPr>
  </w:style>
  <w:style w:type="character" w:customStyle="1" w:styleId="152">
    <w:name w:val="标题 1 字符"/>
    <w:link w:val="2"/>
    <w:qFormat/>
    <w:uiPriority w:val="0"/>
    <w:rPr>
      <w:rFonts w:ascii="宋体" w:hAnsi="宋体" w:eastAsia="黑体"/>
      <w:b/>
      <w:bCs/>
      <w:kern w:val="44"/>
      <w:sz w:val="28"/>
      <w:szCs w:val="28"/>
      <w:lang w:val="en-US" w:eastAsia="zh-CN" w:bidi="ar-SA"/>
    </w:rPr>
  </w:style>
  <w:style w:type="character" w:customStyle="1" w:styleId="153">
    <w:name w:val="标题 2 字符"/>
    <w:link w:val="5"/>
    <w:qFormat/>
    <w:uiPriority w:val="0"/>
    <w:rPr>
      <w:rFonts w:ascii="宋体" w:hAnsi="宋体"/>
      <w:b/>
      <w:sz w:val="24"/>
      <w:shd w:val="clear" w:color="auto" w:fill="FFFFFF"/>
    </w:rPr>
  </w:style>
  <w:style w:type="character" w:customStyle="1" w:styleId="154">
    <w:name w:val="标题 5 字符"/>
    <w:link w:val="6"/>
    <w:qFormat/>
    <w:uiPriority w:val="0"/>
    <w:rPr>
      <w:b/>
      <w:kern w:val="2"/>
      <w:sz w:val="24"/>
    </w:rPr>
  </w:style>
  <w:style w:type="character" w:customStyle="1" w:styleId="155">
    <w:name w:val="正文缩进 字符"/>
    <w:link w:val="7"/>
    <w:qFormat/>
    <w:uiPriority w:val="0"/>
    <w:rPr>
      <w:rFonts w:eastAsia="宋体"/>
      <w:kern w:val="2"/>
      <w:sz w:val="21"/>
      <w:lang w:val="en-US" w:eastAsia="zh-CN" w:bidi="ar-SA"/>
    </w:rPr>
  </w:style>
  <w:style w:type="character" w:customStyle="1" w:styleId="156">
    <w:name w:val="标题 6 字符"/>
    <w:link w:val="8"/>
    <w:qFormat/>
    <w:uiPriority w:val="0"/>
    <w:rPr>
      <w:rFonts w:ascii="Arial" w:hAnsi="Arial" w:eastAsia="黑体"/>
      <w:b/>
      <w:kern w:val="2"/>
      <w:sz w:val="24"/>
    </w:rPr>
  </w:style>
  <w:style w:type="character" w:customStyle="1" w:styleId="157">
    <w:name w:val="标题 7 字符"/>
    <w:link w:val="9"/>
    <w:qFormat/>
    <w:uiPriority w:val="0"/>
    <w:rPr>
      <w:b/>
      <w:kern w:val="2"/>
      <w:sz w:val="24"/>
    </w:rPr>
  </w:style>
  <w:style w:type="character" w:customStyle="1" w:styleId="158">
    <w:name w:val="标题 8 字符"/>
    <w:link w:val="10"/>
    <w:qFormat/>
    <w:uiPriority w:val="0"/>
    <w:rPr>
      <w:rFonts w:ascii="Arial" w:hAnsi="Arial" w:eastAsia="黑体"/>
      <w:kern w:val="2"/>
      <w:sz w:val="24"/>
    </w:rPr>
  </w:style>
  <w:style w:type="character" w:customStyle="1" w:styleId="159">
    <w:name w:val="标题 9 字符"/>
    <w:link w:val="11"/>
    <w:qFormat/>
    <w:uiPriority w:val="0"/>
    <w:rPr>
      <w:rFonts w:ascii="Arial" w:hAnsi="Arial" w:eastAsia="黑体"/>
      <w:kern w:val="2"/>
      <w:sz w:val="21"/>
    </w:rPr>
  </w:style>
  <w:style w:type="character" w:customStyle="1" w:styleId="160">
    <w:name w:val="注释标题 字符"/>
    <w:link w:val="15"/>
    <w:qFormat/>
    <w:uiPriority w:val="0"/>
    <w:rPr>
      <w:kern w:val="2"/>
      <w:sz w:val="21"/>
      <w:szCs w:val="24"/>
    </w:rPr>
  </w:style>
  <w:style w:type="character" w:customStyle="1" w:styleId="161">
    <w:name w:val="电子邮件签名 字符"/>
    <w:link w:val="18"/>
    <w:qFormat/>
    <w:uiPriority w:val="0"/>
    <w:rPr>
      <w:kern w:val="2"/>
      <w:sz w:val="21"/>
      <w:szCs w:val="24"/>
    </w:rPr>
  </w:style>
  <w:style w:type="character" w:customStyle="1" w:styleId="162">
    <w:name w:val="文档结构图 字符"/>
    <w:link w:val="24"/>
    <w:qFormat/>
    <w:uiPriority w:val="0"/>
    <w:rPr>
      <w:kern w:val="2"/>
      <w:sz w:val="21"/>
      <w:szCs w:val="24"/>
      <w:shd w:val="clear" w:color="auto" w:fill="000080"/>
    </w:rPr>
  </w:style>
  <w:style w:type="character" w:customStyle="1" w:styleId="163">
    <w:name w:val="批注文字 字符"/>
    <w:link w:val="26"/>
    <w:qFormat/>
    <w:uiPriority w:val="99"/>
    <w:rPr>
      <w:rFonts w:ascii="宋体"/>
      <w:sz w:val="34"/>
      <w:shd w:val="clear" w:color="auto" w:fill="FFFFFF"/>
    </w:rPr>
  </w:style>
  <w:style w:type="character" w:customStyle="1" w:styleId="164">
    <w:name w:val="称呼 字符"/>
    <w:link w:val="28"/>
    <w:qFormat/>
    <w:uiPriority w:val="0"/>
    <w:rPr>
      <w:kern w:val="2"/>
      <w:sz w:val="21"/>
      <w:szCs w:val="24"/>
    </w:rPr>
  </w:style>
  <w:style w:type="character" w:customStyle="1" w:styleId="165">
    <w:name w:val="正文文本 3 字符"/>
    <w:link w:val="29"/>
    <w:qFormat/>
    <w:uiPriority w:val="0"/>
    <w:rPr>
      <w:kern w:val="2"/>
      <w:sz w:val="16"/>
      <w:szCs w:val="16"/>
    </w:rPr>
  </w:style>
  <w:style w:type="character" w:customStyle="1" w:styleId="166">
    <w:name w:val="结束语 字符"/>
    <w:link w:val="30"/>
    <w:qFormat/>
    <w:uiPriority w:val="0"/>
    <w:rPr>
      <w:kern w:val="2"/>
      <w:sz w:val="21"/>
      <w:szCs w:val="24"/>
    </w:rPr>
  </w:style>
  <w:style w:type="character" w:customStyle="1" w:styleId="167">
    <w:name w:val="正文文本 字符"/>
    <w:link w:val="32"/>
    <w:qFormat/>
    <w:uiPriority w:val="0"/>
    <w:rPr>
      <w:rFonts w:ascii="宋体" w:hAnsi="宋体" w:cs="宋体"/>
      <w:b/>
      <w:bCs/>
      <w:sz w:val="24"/>
      <w:szCs w:val="24"/>
      <w:shd w:val="clear" w:color="auto" w:fill="FFFFFF"/>
    </w:rPr>
  </w:style>
  <w:style w:type="character" w:customStyle="1" w:styleId="168">
    <w:name w:val="HTML 地址 字符"/>
    <w:link w:val="40"/>
    <w:qFormat/>
    <w:uiPriority w:val="0"/>
    <w:rPr>
      <w:i/>
      <w:iCs/>
      <w:kern w:val="2"/>
      <w:sz w:val="21"/>
      <w:szCs w:val="24"/>
    </w:rPr>
  </w:style>
  <w:style w:type="character" w:customStyle="1" w:styleId="169">
    <w:name w:val="纯文本 字符"/>
    <w:link w:val="44"/>
    <w:qFormat/>
    <w:uiPriority w:val="0"/>
    <w:rPr>
      <w:rFonts w:ascii="宋体" w:hAnsi="Courier New"/>
      <w:kern w:val="2"/>
      <w:sz w:val="21"/>
      <w:shd w:val="clear" w:color="auto" w:fill="FFFFFF"/>
    </w:rPr>
  </w:style>
  <w:style w:type="character" w:customStyle="1" w:styleId="170">
    <w:name w:val="日期 字符"/>
    <w:link w:val="49"/>
    <w:qFormat/>
    <w:uiPriority w:val="0"/>
    <w:rPr>
      <w:rFonts w:ascii="宋体" w:hAnsi="Courier New"/>
      <w:kern w:val="2"/>
      <w:sz w:val="32"/>
    </w:rPr>
  </w:style>
  <w:style w:type="character" w:customStyle="1" w:styleId="171">
    <w:name w:val="正文文本缩进 2 字符"/>
    <w:link w:val="50"/>
    <w:qFormat/>
    <w:uiPriority w:val="0"/>
    <w:rPr>
      <w:rFonts w:ascii="宋体" w:hAnsi="宋体"/>
      <w:kern w:val="2"/>
      <w:sz w:val="21"/>
      <w:szCs w:val="24"/>
    </w:rPr>
  </w:style>
  <w:style w:type="character" w:customStyle="1" w:styleId="172">
    <w:name w:val="尾注文本 字符"/>
    <w:link w:val="51"/>
    <w:qFormat/>
    <w:uiPriority w:val="0"/>
    <w:rPr>
      <w:kern w:val="2"/>
      <w:sz w:val="21"/>
      <w:szCs w:val="24"/>
    </w:rPr>
  </w:style>
  <w:style w:type="character" w:customStyle="1" w:styleId="173">
    <w:name w:val="批注框文本 字符"/>
    <w:link w:val="53"/>
    <w:qFormat/>
    <w:uiPriority w:val="0"/>
    <w:rPr>
      <w:kern w:val="2"/>
      <w:sz w:val="18"/>
      <w:szCs w:val="18"/>
    </w:rPr>
  </w:style>
  <w:style w:type="character" w:customStyle="1" w:styleId="174">
    <w:name w:val="页脚 字符"/>
    <w:link w:val="54"/>
    <w:qFormat/>
    <w:uiPriority w:val="0"/>
    <w:rPr>
      <w:kern w:val="2"/>
      <w:sz w:val="18"/>
      <w:szCs w:val="18"/>
    </w:rPr>
  </w:style>
  <w:style w:type="character" w:customStyle="1" w:styleId="175">
    <w:name w:val="页眉 字符"/>
    <w:link w:val="55"/>
    <w:qFormat/>
    <w:uiPriority w:val="0"/>
    <w:rPr>
      <w:kern w:val="2"/>
      <w:sz w:val="18"/>
      <w:szCs w:val="18"/>
    </w:rPr>
  </w:style>
  <w:style w:type="character" w:customStyle="1" w:styleId="176">
    <w:name w:val="签名 字符"/>
    <w:link w:val="56"/>
    <w:qFormat/>
    <w:uiPriority w:val="0"/>
    <w:rPr>
      <w:kern w:val="2"/>
      <w:sz w:val="21"/>
      <w:szCs w:val="24"/>
    </w:rPr>
  </w:style>
  <w:style w:type="character" w:customStyle="1" w:styleId="177">
    <w:name w:val="副标题 字符"/>
    <w:link w:val="62"/>
    <w:qFormat/>
    <w:uiPriority w:val="0"/>
    <w:rPr>
      <w:rFonts w:ascii="Cambria" w:hAnsi="Cambria"/>
      <w:b/>
      <w:bCs/>
      <w:kern w:val="28"/>
      <w:sz w:val="28"/>
      <w:szCs w:val="32"/>
      <w:shd w:val="clear" w:color="auto" w:fill="FFFFFF"/>
    </w:rPr>
  </w:style>
  <w:style w:type="character" w:customStyle="1" w:styleId="178">
    <w:name w:val="脚注文本 字符"/>
    <w:link w:val="65"/>
    <w:qFormat/>
    <w:uiPriority w:val="0"/>
    <w:rPr>
      <w:kern w:val="2"/>
      <w:sz w:val="18"/>
      <w:szCs w:val="24"/>
    </w:rPr>
  </w:style>
  <w:style w:type="character" w:customStyle="1" w:styleId="179">
    <w:name w:val="正文文本缩进 3 字符"/>
    <w:link w:val="68"/>
    <w:qFormat/>
    <w:uiPriority w:val="0"/>
    <w:rPr>
      <w:rFonts w:ascii="宋体"/>
      <w:b/>
      <w:bCs/>
      <w:kern w:val="2"/>
      <w:sz w:val="24"/>
      <w:szCs w:val="24"/>
    </w:rPr>
  </w:style>
  <w:style w:type="character" w:customStyle="1" w:styleId="180">
    <w:name w:val="正文文本 2 字符"/>
    <w:link w:val="73"/>
    <w:qFormat/>
    <w:uiPriority w:val="0"/>
    <w:rPr>
      <w:kern w:val="2"/>
      <w:sz w:val="24"/>
      <w:szCs w:val="24"/>
    </w:rPr>
  </w:style>
  <w:style w:type="character" w:customStyle="1" w:styleId="181">
    <w:name w:val="信息标题 字符"/>
    <w:link w:val="76"/>
    <w:qFormat/>
    <w:uiPriority w:val="0"/>
    <w:rPr>
      <w:rFonts w:ascii="Arial" w:hAnsi="Arial" w:cs="Arial"/>
      <w:kern w:val="2"/>
      <w:sz w:val="24"/>
      <w:szCs w:val="24"/>
      <w:shd w:val="pct20" w:color="auto" w:fill="auto"/>
    </w:rPr>
  </w:style>
  <w:style w:type="character" w:customStyle="1" w:styleId="182">
    <w:name w:val="HTML 预设格式 字符"/>
    <w:link w:val="77"/>
    <w:qFormat/>
    <w:uiPriority w:val="0"/>
    <w:rPr>
      <w:rFonts w:ascii="Arial Unicode MS" w:hAnsi="Arial Unicode MS" w:eastAsia="Arial Unicode MS"/>
      <w:color w:val="000000"/>
    </w:rPr>
  </w:style>
  <w:style w:type="character" w:customStyle="1" w:styleId="183">
    <w:name w:val="标题 字符"/>
    <w:link w:val="81"/>
    <w:qFormat/>
    <w:uiPriority w:val="0"/>
    <w:rPr>
      <w:rFonts w:ascii="Arial" w:hAnsi="Arial" w:cs="Arial"/>
      <w:b/>
      <w:bCs/>
      <w:kern w:val="2"/>
      <w:sz w:val="36"/>
      <w:szCs w:val="32"/>
    </w:rPr>
  </w:style>
  <w:style w:type="character" w:customStyle="1" w:styleId="184">
    <w:name w:val="批注主题 字符"/>
    <w:link w:val="82"/>
    <w:qFormat/>
    <w:uiPriority w:val="0"/>
    <w:rPr>
      <w:b/>
      <w:bCs/>
      <w:kern w:val="2"/>
      <w:sz w:val="21"/>
      <w:szCs w:val="24"/>
    </w:rPr>
  </w:style>
  <w:style w:type="character" w:customStyle="1" w:styleId="185">
    <w:name w:val="正文文本首行缩进 字符"/>
    <w:link w:val="83"/>
    <w:qFormat/>
    <w:uiPriority w:val="0"/>
    <w:rPr>
      <w:rFonts w:ascii="宋体" w:hAnsi="宋体" w:cs="宋体"/>
      <w:b/>
      <w:bCs/>
      <w:kern w:val="2"/>
      <w:sz w:val="21"/>
      <w:szCs w:val="24"/>
      <w:shd w:val="clear" w:color="auto" w:fill="FFFFFF"/>
    </w:rPr>
  </w:style>
  <w:style w:type="character" w:customStyle="1" w:styleId="186">
    <w:name w:val="pan Char"/>
    <w:link w:val="187"/>
    <w:qFormat/>
    <w:uiPriority w:val="0"/>
    <w:rPr>
      <w:rFonts w:ascii="黑体" w:hAnsi="黑体" w:eastAsia="黑体"/>
      <w:kern w:val="2"/>
      <w:sz w:val="32"/>
      <w:szCs w:val="32"/>
      <w:shd w:val="clear" w:color="auto" w:fill="FFFFFF"/>
    </w:rPr>
  </w:style>
  <w:style w:type="paragraph" w:customStyle="1" w:styleId="187">
    <w:name w:val="pan"/>
    <w:basedOn w:val="188"/>
    <w:link w:val="186"/>
    <w:qFormat/>
    <w:uiPriority w:val="0"/>
    <w:pPr>
      <w:tabs>
        <w:tab w:val="left" w:pos="426"/>
        <w:tab w:val="left" w:pos="840"/>
      </w:tabs>
      <w:ind w:left="840" w:hanging="420" w:firstLineChars="0"/>
      <w:outlineLvl w:val="0"/>
    </w:pPr>
    <w:rPr>
      <w:rFonts w:ascii="黑体" w:hAnsi="黑体" w:eastAsia="黑体"/>
      <w:sz w:val="32"/>
      <w:szCs w:val="32"/>
    </w:rPr>
  </w:style>
  <w:style w:type="paragraph" w:customStyle="1" w:styleId="188">
    <w:name w:val="列出段落1"/>
    <w:basedOn w:val="1"/>
    <w:link w:val="189"/>
    <w:qFormat/>
    <w:uiPriority w:val="0"/>
    <w:pPr>
      <w:ind w:firstLine="420" w:firstLineChars="200"/>
    </w:pPr>
    <w:rPr>
      <w:rFonts w:ascii="Times New Roman" w:hAnsi="Times New Roman" w:cs="Times New Roman"/>
      <w:kern w:val="2"/>
    </w:rPr>
  </w:style>
  <w:style w:type="character" w:customStyle="1" w:styleId="189">
    <w:name w:val="列出段落 Char"/>
    <w:link w:val="188"/>
    <w:qFormat/>
    <w:uiPriority w:val="0"/>
    <w:rPr>
      <w:kern w:val="2"/>
      <w:sz w:val="21"/>
      <w:szCs w:val="24"/>
    </w:rPr>
  </w:style>
  <w:style w:type="character" w:customStyle="1" w:styleId="190">
    <w:name w:val="图片注释 Char"/>
    <w:link w:val="191"/>
    <w:qFormat/>
    <w:uiPriority w:val="0"/>
    <w:rPr>
      <w:rFonts w:ascii="宋体" w:hAnsi="宋体"/>
      <w:kern w:val="2"/>
      <w:sz w:val="24"/>
      <w:szCs w:val="24"/>
      <w:u w:val="single"/>
    </w:rPr>
  </w:style>
  <w:style w:type="paragraph" w:customStyle="1" w:styleId="191">
    <w:name w:val="图片注释"/>
    <w:basedOn w:val="1"/>
    <w:link w:val="190"/>
    <w:qFormat/>
    <w:uiPriority w:val="0"/>
    <w:pPr>
      <w:spacing w:afterLines="25"/>
      <w:ind w:firstLine="200" w:firstLineChars="200"/>
      <w:jc w:val="center"/>
    </w:pPr>
    <w:rPr>
      <w:rFonts w:cs="Times New Roman"/>
      <w:kern w:val="2"/>
      <w:sz w:val="24"/>
      <w:u w:val="single"/>
    </w:rPr>
  </w:style>
  <w:style w:type="character" w:customStyle="1" w:styleId="192">
    <w:name w:val="段内层标 Char"/>
    <w:link w:val="193"/>
    <w:qFormat/>
    <w:uiPriority w:val="0"/>
    <w:rPr>
      <w:rFonts w:ascii="宋体" w:hAnsi="宋体"/>
      <w:b/>
      <w:kern w:val="2"/>
      <w:sz w:val="28"/>
      <w:szCs w:val="28"/>
      <w:shd w:val="clear" w:color="auto" w:fill="FFFFFF"/>
    </w:rPr>
  </w:style>
  <w:style w:type="paragraph" w:customStyle="1" w:styleId="193">
    <w:name w:val="段内层标"/>
    <w:basedOn w:val="194"/>
    <w:link w:val="192"/>
    <w:qFormat/>
    <w:uiPriority w:val="0"/>
    <w:pPr>
      <w:tabs>
        <w:tab w:val="left" w:pos="426"/>
      </w:tabs>
      <w:spacing w:beforeLines="25" w:afterLines="25"/>
      <w:ind w:left="620" w:firstLine="200" w:firstLineChars="200"/>
    </w:pPr>
    <w:rPr>
      <w:rFonts w:ascii="宋体" w:hAnsi="宋体"/>
      <w:b/>
      <w:kern w:val="2"/>
      <w:sz w:val="28"/>
      <w:szCs w:val="28"/>
    </w:rPr>
  </w:style>
  <w:style w:type="paragraph" w:customStyle="1" w:styleId="194">
    <w:name w:val="正文内容"/>
    <w:basedOn w:val="1"/>
    <w:next w:val="24"/>
    <w:link w:val="195"/>
    <w:qFormat/>
    <w:uiPriority w:val="0"/>
    <w:rPr>
      <w:rFonts w:ascii="Times New Roman" w:hAnsi="Times New Roman" w:cs="Times New Roman"/>
      <w:sz w:val="20"/>
    </w:rPr>
  </w:style>
  <w:style w:type="character" w:customStyle="1" w:styleId="195">
    <w:name w:val="正文内容 Char"/>
    <w:link w:val="194"/>
    <w:qFormat/>
    <w:uiPriority w:val="0"/>
    <w:rPr>
      <w:szCs w:val="24"/>
    </w:rPr>
  </w:style>
  <w:style w:type="character" w:customStyle="1" w:styleId="196">
    <w:name w:val="标题3 Char"/>
    <w:link w:val="197"/>
    <w:qFormat/>
    <w:uiPriority w:val="0"/>
    <w:rPr>
      <w:rFonts w:ascii="黑体" w:hAnsi="黑体" w:eastAsia="黑体"/>
      <w:kern w:val="2"/>
      <w:sz w:val="28"/>
      <w:szCs w:val="28"/>
      <w:shd w:val="clear" w:color="auto" w:fill="FFFFFF"/>
    </w:rPr>
  </w:style>
  <w:style w:type="paragraph" w:customStyle="1" w:styleId="197">
    <w:name w:val="标题3"/>
    <w:basedOn w:val="188"/>
    <w:link w:val="196"/>
    <w:qFormat/>
    <w:uiPriority w:val="0"/>
    <w:pPr>
      <w:ind w:left="1822" w:firstLine="0" w:firstLineChars="0"/>
      <w:outlineLvl w:val="2"/>
    </w:pPr>
    <w:rPr>
      <w:rFonts w:ascii="黑体" w:hAnsi="黑体" w:eastAsia="黑体"/>
      <w:sz w:val="28"/>
      <w:szCs w:val="28"/>
    </w:rPr>
  </w:style>
  <w:style w:type="character" w:customStyle="1" w:styleId="198">
    <w:name w:val="Char Char4"/>
    <w:qFormat/>
    <w:uiPriority w:val="0"/>
    <w:rPr>
      <w:rFonts w:eastAsia="宋体"/>
      <w:b/>
      <w:kern w:val="2"/>
      <w:sz w:val="24"/>
      <w:lang w:val="en-US" w:eastAsia="zh-CN" w:bidi="ar-SA"/>
    </w:rPr>
  </w:style>
  <w:style w:type="character" w:customStyle="1" w:styleId="199">
    <w:name w:val="书籍标题1"/>
    <w:qFormat/>
    <w:uiPriority w:val="33"/>
    <w:rPr>
      <w:b/>
      <w:bCs/>
      <w:smallCaps/>
      <w:spacing w:val="5"/>
    </w:rPr>
  </w:style>
  <w:style w:type="character" w:customStyle="1" w:styleId="200">
    <w:name w:val="正文文本缩进 2 Char"/>
    <w:qFormat/>
    <w:uiPriority w:val="0"/>
    <w:rPr>
      <w:rFonts w:ascii="宋体" w:hAnsi="宋体"/>
      <w:kern w:val="2"/>
      <w:sz w:val="21"/>
      <w:szCs w:val="24"/>
      <w:shd w:val="clear" w:color="auto" w:fill="FFFFFF"/>
    </w:rPr>
  </w:style>
  <w:style w:type="character" w:customStyle="1" w:styleId="201">
    <w:name w:val="正文文本 Char"/>
    <w:qFormat/>
    <w:uiPriority w:val="99"/>
    <w:rPr>
      <w:rFonts w:ascii="宋体"/>
      <w:kern w:val="10"/>
      <w:sz w:val="21"/>
    </w:rPr>
  </w:style>
  <w:style w:type="character" w:customStyle="1" w:styleId="202">
    <w:name w:val="批注主题 Char"/>
    <w:qFormat/>
    <w:uiPriority w:val="0"/>
    <w:rPr>
      <w:rFonts w:ascii="宋体" w:hAnsi="宋体" w:cs="宋体"/>
      <w:b/>
      <w:bCs/>
      <w:kern w:val="2"/>
      <w:sz w:val="21"/>
      <w:szCs w:val="24"/>
      <w:shd w:val="clear" w:color="auto" w:fill="FFFFFF"/>
    </w:rPr>
  </w:style>
  <w:style w:type="character" w:customStyle="1" w:styleId="203">
    <w:name w:val="style3"/>
    <w:qFormat/>
    <w:uiPriority w:val="0"/>
  </w:style>
  <w:style w:type="character" w:customStyle="1" w:styleId="204">
    <w:name w:val="font10pt"/>
    <w:qFormat/>
    <w:uiPriority w:val="0"/>
  </w:style>
  <w:style w:type="character" w:customStyle="1" w:styleId="205">
    <w:name w:val="文档结构图 Char"/>
    <w:semiHidden/>
    <w:qFormat/>
    <w:uiPriority w:val="0"/>
    <w:rPr>
      <w:kern w:val="2"/>
      <w:sz w:val="21"/>
      <w:szCs w:val="24"/>
      <w:shd w:val="clear" w:color="auto" w:fill="000080"/>
    </w:rPr>
  </w:style>
  <w:style w:type="character" w:customStyle="1" w:styleId="206">
    <w:name w:val="翟 正文 Char"/>
    <w:link w:val="207"/>
    <w:qFormat/>
    <w:uiPriority w:val="0"/>
    <w:rPr>
      <w:rFonts w:ascii="宋体" w:hAnsi="仿宋"/>
      <w:snapToGrid/>
      <w:color w:val="000000"/>
      <w:sz w:val="28"/>
      <w:szCs w:val="28"/>
      <w:u w:color="000000"/>
    </w:rPr>
  </w:style>
  <w:style w:type="paragraph" w:customStyle="1" w:styleId="207">
    <w:name w:val="翟 正文"/>
    <w:basedOn w:val="1"/>
    <w:link w:val="206"/>
    <w:qFormat/>
    <w:uiPriority w:val="0"/>
    <w:pPr>
      <w:widowControl w:val="0"/>
      <w:shd w:val="clear" w:color="auto" w:fill="auto"/>
      <w:tabs>
        <w:tab w:val="clear" w:pos="426"/>
      </w:tabs>
      <w:adjustRightInd/>
      <w:snapToGrid/>
      <w:spacing w:line="480" w:lineRule="exact"/>
      <w:ind w:firstLine="560" w:firstLineChars="200"/>
    </w:pPr>
    <w:rPr>
      <w:rFonts w:hAnsi="仿宋" w:cs="Times New Roman"/>
      <w:color w:val="000000"/>
      <w:sz w:val="28"/>
      <w:szCs w:val="28"/>
      <w:u w:color="000000"/>
    </w:rPr>
  </w:style>
  <w:style w:type="character" w:customStyle="1" w:styleId="208">
    <w:name w:val="日期 Char1"/>
    <w:semiHidden/>
    <w:qFormat/>
    <w:uiPriority w:val="99"/>
    <w:rPr>
      <w:kern w:val="2"/>
      <w:sz w:val="21"/>
      <w:szCs w:val="24"/>
    </w:rPr>
  </w:style>
  <w:style w:type="character" w:customStyle="1" w:styleId="209">
    <w:name w:val="段内主题 Char"/>
    <w:link w:val="210"/>
    <w:qFormat/>
    <w:uiPriority w:val="0"/>
    <w:rPr>
      <w:rFonts w:ascii="宋体" w:hAnsi="宋体"/>
      <w:b/>
      <w:kern w:val="2"/>
      <w:sz w:val="24"/>
      <w:szCs w:val="24"/>
      <w:shd w:val="clear" w:color="auto" w:fill="FFFFFF"/>
    </w:rPr>
  </w:style>
  <w:style w:type="paragraph" w:customStyle="1" w:styleId="210">
    <w:name w:val="段内主题"/>
    <w:basedOn w:val="1"/>
    <w:link w:val="209"/>
    <w:qFormat/>
    <w:uiPriority w:val="0"/>
    <w:pPr>
      <w:ind w:left="840"/>
    </w:pPr>
    <w:rPr>
      <w:rFonts w:cs="Times New Roman"/>
      <w:b/>
      <w:kern w:val="2"/>
      <w:sz w:val="24"/>
    </w:rPr>
  </w:style>
  <w:style w:type="character" w:customStyle="1" w:styleId="211">
    <w:name w:val="1 Char"/>
    <w:link w:val="212"/>
    <w:qFormat/>
    <w:uiPriority w:val="0"/>
    <w:rPr>
      <w:rFonts w:ascii="宋体" w:hAnsi="宋体" w:cs="宋体"/>
      <w:b/>
      <w:sz w:val="24"/>
      <w:szCs w:val="24"/>
      <w:shd w:val="clear" w:color="auto" w:fill="FFFFFF"/>
    </w:rPr>
  </w:style>
  <w:style w:type="paragraph" w:customStyle="1" w:styleId="212">
    <w:name w:val="1"/>
    <w:basedOn w:val="1"/>
    <w:link w:val="211"/>
    <w:qFormat/>
    <w:uiPriority w:val="0"/>
    <w:pPr>
      <w:tabs>
        <w:tab w:val="clear" w:pos="426"/>
      </w:tabs>
      <w:adjustRightInd/>
      <w:snapToGrid/>
      <w:spacing w:before="280" w:after="290" w:line="377" w:lineRule="auto"/>
      <w:ind w:left="420" w:hanging="420"/>
      <w:jc w:val="left"/>
      <w:outlineLvl w:val="2"/>
    </w:pPr>
    <w:rPr>
      <w:rFonts w:cs="Times New Roman"/>
      <w:b/>
      <w:sz w:val="24"/>
    </w:rPr>
  </w:style>
  <w:style w:type="character" w:customStyle="1" w:styleId="213">
    <w:name w:val="图片 Char"/>
    <w:link w:val="214"/>
    <w:qFormat/>
    <w:uiPriority w:val="0"/>
    <w:rPr>
      <w:rFonts w:ascii="宋体" w:hAnsi="宋体"/>
      <w:kern w:val="2"/>
      <w:sz w:val="24"/>
      <w:szCs w:val="24"/>
    </w:rPr>
  </w:style>
  <w:style w:type="paragraph" w:customStyle="1" w:styleId="214">
    <w:name w:val="图片"/>
    <w:basedOn w:val="1"/>
    <w:link w:val="213"/>
    <w:qFormat/>
    <w:uiPriority w:val="0"/>
    <w:pPr>
      <w:ind w:firstLine="200" w:firstLineChars="200"/>
      <w:jc w:val="center"/>
    </w:pPr>
    <w:rPr>
      <w:rFonts w:cs="Times New Roman"/>
      <w:kern w:val="2"/>
      <w:sz w:val="24"/>
    </w:rPr>
  </w:style>
  <w:style w:type="character" w:customStyle="1" w:styleId="215">
    <w:name w:val="页脚 Char1"/>
    <w:semiHidden/>
    <w:qFormat/>
    <w:uiPriority w:val="99"/>
    <w:rPr>
      <w:kern w:val="2"/>
      <w:sz w:val="18"/>
      <w:szCs w:val="18"/>
    </w:rPr>
  </w:style>
  <w:style w:type="character" w:customStyle="1" w:styleId="216">
    <w:name w:val="四级标题 Char"/>
    <w:link w:val="217"/>
    <w:qFormat/>
    <w:uiPriority w:val="0"/>
    <w:rPr>
      <w:rFonts w:ascii="黑体" w:hAnsi="黑体" w:eastAsia="黑体"/>
      <w:kern w:val="2"/>
      <w:sz w:val="30"/>
      <w:szCs w:val="30"/>
      <w:shd w:val="clear" w:color="auto" w:fill="FFFFFF"/>
    </w:rPr>
  </w:style>
  <w:style w:type="paragraph" w:customStyle="1" w:styleId="217">
    <w:name w:val="四级标题"/>
    <w:basedOn w:val="188"/>
    <w:link w:val="216"/>
    <w:qFormat/>
    <w:uiPriority w:val="0"/>
    <w:pPr>
      <w:spacing w:line="720" w:lineRule="auto"/>
      <w:ind w:firstLine="0" w:firstLineChars="0"/>
      <w:outlineLvl w:val="3"/>
    </w:pPr>
    <w:rPr>
      <w:rFonts w:ascii="黑体" w:hAnsi="黑体" w:eastAsia="黑体"/>
      <w:sz w:val="30"/>
      <w:szCs w:val="30"/>
    </w:rPr>
  </w:style>
  <w:style w:type="character" w:customStyle="1" w:styleId="218">
    <w:name w:val="标题 5 Char"/>
    <w:qFormat/>
    <w:uiPriority w:val="0"/>
    <w:rPr>
      <w:b/>
      <w:kern w:val="2"/>
      <w:sz w:val="24"/>
      <w:shd w:val="clear" w:color="auto" w:fill="FFFFFF"/>
    </w:rPr>
  </w:style>
  <w:style w:type="character" w:customStyle="1" w:styleId="219">
    <w:name w:val="标准正文 Char"/>
    <w:link w:val="220"/>
    <w:qFormat/>
    <w:uiPriority w:val="0"/>
    <w:rPr>
      <w:rFonts w:ascii="宋体" w:hAnsi="宋体" w:cs="宋体"/>
      <w:sz w:val="24"/>
    </w:rPr>
  </w:style>
  <w:style w:type="paragraph" w:customStyle="1" w:styleId="220">
    <w:name w:val="标准正文"/>
    <w:basedOn w:val="33"/>
    <w:link w:val="219"/>
    <w:qFormat/>
    <w:uiPriority w:val="0"/>
    <w:pPr>
      <w:spacing w:before="60" w:after="60"/>
      <w:ind w:firstLine="482" w:firstLineChars="0"/>
      <w:jc w:val="left"/>
    </w:pPr>
    <w:rPr>
      <w:rFonts w:ascii="宋体" w:hAnsi="宋体"/>
      <w:kern w:val="0"/>
      <w:sz w:val="24"/>
      <w:szCs w:val="20"/>
    </w:rPr>
  </w:style>
  <w:style w:type="character" w:customStyle="1" w:styleId="221">
    <w:name w:val="标题 2 Char"/>
    <w:qFormat/>
    <w:uiPriority w:val="0"/>
    <w:rPr>
      <w:rFonts w:ascii="宋体" w:hAnsi="宋体"/>
      <w:b/>
      <w:sz w:val="24"/>
      <w:shd w:val="clear" w:color="auto" w:fill="FFFFFF"/>
    </w:rPr>
  </w:style>
  <w:style w:type="character" w:customStyle="1" w:styleId="222">
    <w:name w:val="正文（缩进） Char"/>
    <w:link w:val="223"/>
    <w:qFormat/>
    <w:uiPriority w:val="0"/>
    <w:rPr>
      <w:sz w:val="24"/>
      <w:szCs w:val="24"/>
    </w:rPr>
  </w:style>
  <w:style w:type="paragraph" w:customStyle="1" w:styleId="223">
    <w:name w:val="正文（缩进）"/>
    <w:basedOn w:val="1"/>
    <w:link w:val="222"/>
    <w:qFormat/>
    <w:uiPriority w:val="0"/>
    <w:pPr>
      <w:spacing w:beforeLines="50" w:afterLines="50"/>
      <w:ind w:firstLine="480" w:firstLineChars="200"/>
    </w:pPr>
    <w:rPr>
      <w:rFonts w:ascii="Times New Roman" w:hAnsi="Times New Roman" w:cs="Times New Roman"/>
      <w:sz w:val="24"/>
    </w:rPr>
  </w:style>
  <w:style w:type="character" w:customStyle="1" w:styleId="224">
    <w:name w:val="ss1"/>
    <w:semiHidden/>
    <w:qFormat/>
    <w:uiPriority w:val="0"/>
    <w:rPr>
      <w:rFonts w:hint="default" w:ascii="ˎ̥" w:hAnsi="ˎ̥"/>
      <w:color w:val="000000"/>
      <w:sz w:val="18"/>
      <w:szCs w:val="18"/>
      <w:u w:val="none"/>
    </w:rPr>
  </w:style>
  <w:style w:type="character" w:customStyle="1" w:styleId="225">
    <w:name w:val="二级标题 Char"/>
    <w:link w:val="226"/>
    <w:qFormat/>
    <w:uiPriority w:val="0"/>
    <w:rPr>
      <w:rFonts w:ascii="黑体" w:hAnsi="黑体" w:eastAsia="黑体"/>
      <w:kern w:val="2"/>
      <w:sz w:val="36"/>
      <w:szCs w:val="36"/>
      <w:shd w:val="clear" w:color="auto" w:fill="FFFFFF"/>
    </w:rPr>
  </w:style>
  <w:style w:type="paragraph" w:customStyle="1" w:styleId="226">
    <w:name w:val="二级标题"/>
    <w:basedOn w:val="188"/>
    <w:link w:val="225"/>
    <w:qFormat/>
    <w:uiPriority w:val="0"/>
    <w:pPr>
      <w:spacing w:line="720" w:lineRule="auto"/>
      <w:ind w:firstLine="0" w:firstLineChars="0"/>
      <w:outlineLvl w:val="1"/>
    </w:pPr>
    <w:rPr>
      <w:rFonts w:ascii="黑体" w:hAnsi="黑体" w:eastAsia="黑体"/>
      <w:sz w:val="36"/>
      <w:szCs w:val="36"/>
    </w:rPr>
  </w:style>
  <w:style w:type="character" w:customStyle="1" w:styleId="227">
    <w:name w:val="标题 6 Char"/>
    <w:qFormat/>
    <w:uiPriority w:val="0"/>
    <w:rPr>
      <w:rFonts w:ascii="Arial" w:hAnsi="Arial" w:eastAsia="黑体"/>
      <w:b/>
      <w:kern w:val="2"/>
      <w:sz w:val="24"/>
      <w:shd w:val="clear" w:color="auto" w:fill="FFFFFF"/>
    </w:rPr>
  </w:style>
  <w:style w:type="character" w:customStyle="1" w:styleId="228">
    <w:name w:val="层标 Char"/>
    <w:link w:val="229"/>
    <w:qFormat/>
    <w:uiPriority w:val="0"/>
    <w:rPr>
      <w:rFonts w:ascii="宋体" w:hAnsi="宋体"/>
      <w:b/>
      <w:kern w:val="2"/>
      <w:sz w:val="28"/>
      <w:szCs w:val="28"/>
      <w:shd w:val="clear" w:color="auto" w:fill="FFFFFF"/>
    </w:rPr>
  </w:style>
  <w:style w:type="paragraph" w:customStyle="1" w:styleId="229">
    <w:name w:val="层标"/>
    <w:basedOn w:val="194"/>
    <w:link w:val="228"/>
    <w:qFormat/>
    <w:uiPriority w:val="0"/>
    <w:pPr>
      <w:spacing w:beforeLines="25" w:afterLines="25"/>
      <w:ind w:left="980"/>
    </w:pPr>
    <w:rPr>
      <w:rFonts w:ascii="宋体" w:hAnsi="宋体"/>
      <w:b/>
      <w:kern w:val="2"/>
      <w:sz w:val="28"/>
      <w:szCs w:val="28"/>
    </w:rPr>
  </w:style>
  <w:style w:type="character" w:customStyle="1" w:styleId="230">
    <w:name w:val="正文文本缩进 Char1"/>
    <w:semiHidden/>
    <w:qFormat/>
    <w:uiPriority w:val="99"/>
    <w:rPr>
      <w:kern w:val="2"/>
      <w:sz w:val="21"/>
      <w:szCs w:val="24"/>
    </w:rPr>
  </w:style>
  <w:style w:type="character" w:customStyle="1" w:styleId="231">
    <w:name w:val="五级标题 Char"/>
    <w:link w:val="232"/>
    <w:qFormat/>
    <w:uiPriority w:val="0"/>
    <w:rPr>
      <w:rFonts w:ascii="黑体" w:hAnsi="黑体" w:eastAsia="黑体"/>
      <w:kern w:val="2"/>
      <w:sz w:val="28"/>
      <w:szCs w:val="28"/>
      <w:shd w:val="clear" w:color="auto" w:fill="FFFFFF"/>
    </w:rPr>
  </w:style>
  <w:style w:type="paragraph" w:customStyle="1" w:styleId="232">
    <w:name w:val="五级标题"/>
    <w:basedOn w:val="188"/>
    <w:link w:val="231"/>
    <w:qFormat/>
    <w:uiPriority w:val="0"/>
    <w:pPr>
      <w:spacing w:line="720" w:lineRule="auto"/>
      <w:ind w:firstLine="0" w:firstLineChars="0"/>
      <w:outlineLvl w:val="4"/>
    </w:pPr>
    <w:rPr>
      <w:rFonts w:ascii="黑体" w:hAnsi="黑体" w:eastAsia="黑体"/>
      <w:sz w:val="28"/>
      <w:szCs w:val="28"/>
    </w:rPr>
  </w:style>
  <w:style w:type="character" w:customStyle="1" w:styleId="233">
    <w:name w:val="￥正文 Char"/>
    <w:link w:val="234"/>
    <w:qFormat/>
    <w:uiPriority w:val="0"/>
    <w:rPr>
      <w:rFonts w:ascii="Calibri" w:hAnsi="Calibri"/>
      <w:kern w:val="2"/>
      <w:sz w:val="24"/>
    </w:rPr>
  </w:style>
  <w:style w:type="paragraph" w:customStyle="1" w:styleId="234">
    <w:name w:val="￥正文"/>
    <w:basedOn w:val="1"/>
    <w:link w:val="233"/>
    <w:qFormat/>
    <w:uiPriority w:val="0"/>
    <w:pPr>
      <w:ind w:firstLine="200" w:firstLineChars="200"/>
    </w:pPr>
    <w:rPr>
      <w:rFonts w:ascii="Calibri" w:hAnsi="Calibri" w:cs="Times New Roman"/>
      <w:kern w:val="2"/>
      <w:sz w:val="24"/>
      <w:szCs w:val="20"/>
    </w:rPr>
  </w:style>
  <w:style w:type="character" w:customStyle="1" w:styleId="235">
    <w:name w:val="文档结构图 Char1"/>
    <w:semiHidden/>
    <w:qFormat/>
    <w:uiPriority w:val="99"/>
    <w:rPr>
      <w:rFonts w:ascii="宋体"/>
      <w:kern w:val="2"/>
      <w:sz w:val="18"/>
      <w:szCs w:val="18"/>
    </w:rPr>
  </w:style>
  <w:style w:type="character" w:customStyle="1" w:styleId="236">
    <w:name w:val="ggwenhao"/>
    <w:semiHidden/>
    <w:qFormat/>
    <w:uiPriority w:val="0"/>
  </w:style>
  <w:style w:type="character" w:customStyle="1" w:styleId="237">
    <w:name w:val="未处理的提及1"/>
    <w:unhideWhenUsed/>
    <w:qFormat/>
    <w:uiPriority w:val="99"/>
    <w:rPr>
      <w:color w:val="605E5C"/>
      <w:shd w:val="clear" w:color="auto" w:fill="E1DFDD"/>
    </w:rPr>
  </w:style>
  <w:style w:type="character" w:customStyle="1" w:styleId="238">
    <w:name w:val="一级标题 Char"/>
    <w:link w:val="239"/>
    <w:qFormat/>
    <w:uiPriority w:val="0"/>
    <w:rPr>
      <w:rFonts w:ascii="黑体" w:hAnsi="黑体" w:eastAsia="黑体"/>
      <w:kern w:val="2"/>
      <w:sz w:val="44"/>
      <w:szCs w:val="44"/>
      <w:shd w:val="clear" w:color="auto" w:fill="FFFFFF"/>
    </w:rPr>
  </w:style>
  <w:style w:type="paragraph" w:customStyle="1" w:styleId="239">
    <w:name w:val="一级标题"/>
    <w:basedOn w:val="188"/>
    <w:link w:val="238"/>
    <w:qFormat/>
    <w:uiPriority w:val="0"/>
    <w:pPr>
      <w:tabs>
        <w:tab w:val="left" w:pos="340"/>
      </w:tabs>
      <w:spacing w:line="720" w:lineRule="auto"/>
      <w:ind w:firstLine="0" w:firstLineChars="0"/>
      <w:jc w:val="center"/>
      <w:outlineLvl w:val="0"/>
    </w:pPr>
    <w:rPr>
      <w:rFonts w:ascii="黑体" w:hAnsi="黑体" w:eastAsia="黑体"/>
      <w:sz w:val="44"/>
      <w:szCs w:val="44"/>
    </w:rPr>
  </w:style>
  <w:style w:type="character" w:customStyle="1" w:styleId="240">
    <w:name w:val="标题 7 Char"/>
    <w:qFormat/>
    <w:uiPriority w:val="0"/>
    <w:rPr>
      <w:b/>
      <w:kern w:val="2"/>
      <w:sz w:val="24"/>
      <w:shd w:val="clear" w:color="auto" w:fill="FFFFFF"/>
    </w:rPr>
  </w:style>
  <w:style w:type="character" w:customStyle="1" w:styleId="241">
    <w:name w:val="段落强调 Char"/>
    <w:link w:val="242"/>
    <w:qFormat/>
    <w:uiPriority w:val="0"/>
    <w:rPr>
      <w:b/>
      <w:kern w:val="2"/>
      <w:sz w:val="24"/>
      <w:szCs w:val="24"/>
      <w:shd w:val="clear" w:color="auto" w:fill="FFFFFF"/>
    </w:rPr>
  </w:style>
  <w:style w:type="paragraph" w:customStyle="1" w:styleId="242">
    <w:name w:val="段落强调"/>
    <w:basedOn w:val="1"/>
    <w:link w:val="241"/>
    <w:qFormat/>
    <w:uiPriority w:val="0"/>
    <w:pPr>
      <w:ind w:firstLine="420"/>
    </w:pPr>
    <w:rPr>
      <w:rFonts w:ascii="Times New Roman" w:hAnsi="Times New Roman" w:cs="Times New Roman"/>
      <w:b/>
      <w:kern w:val="2"/>
      <w:sz w:val="24"/>
    </w:rPr>
  </w:style>
  <w:style w:type="character" w:customStyle="1" w:styleId="243">
    <w:name w:val="pan2 Char"/>
    <w:link w:val="244"/>
    <w:qFormat/>
    <w:uiPriority w:val="0"/>
    <w:rPr>
      <w:rFonts w:ascii="黑体" w:hAnsi="黑体" w:eastAsia="黑体"/>
      <w:kern w:val="2"/>
      <w:sz w:val="30"/>
      <w:szCs w:val="30"/>
      <w:shd w:val="clear" w:color="auto" w:fill="FFFFFF"/>
    </w:rPr>
  </w:style>
  <w:style w:type="paragraph" w:customStyle="1" w:styleId="244">
    <w:name w:val="pan2"/>
    <w:basedOn w:val="188"/>
    <w:link w:val="243"/>
    <w:qFormat/>
    <w:uiPriority w:val="0"/>
    <w:pPr>
      <w:tabs>
        <w:tab w:val="left" w:pos="840"/>
      </w:tabs>
      <w:ind w:left="840" w:hanging="420" w:firstLineChars="0"/>
      <w:outlineLvl w:val="1"/>
    </w:pPr>
    <w:rPr>
      <w:rFonts w:ascii="黑体" w:hAnsi="黑体" w:eastAsia="黑体"/>
      <w:sz w:val="30"/>
      <w:szCs w:val="30"/>
    </w:rPr>
  </w:style>
  <w:style w:type="character" w:customStyle="1" w:styleId="245">
    <w:name w:val="明显参考1"/>
    <w:qFormat/>
    <w:uiPriority w:val="32"/>
    <w:rPr>
      <w:rFonts w:eastAsia="宋体"/>
      <w:bCs/>
      <w:smallCaps/>
      <w:color w:val="000000"/>
      <w:spacing w:val="5"/>
      <w:sz w:val="24"/>
      <w:u w:val="single"/>
    </w:rPr>
  </w:style>
  <w:style w:type="character" w:customStyle="1" w:styleId="246">
    <w:name w:val="引用 字符"/>
    <w:link w:val="247"/>
    <w:qFormat/>
    <w:uiPriority w:val="29"/>
    <w:rPr>
      <w:iCs/>
      <w:color w:val="000000"/>
      <w:kern w:val="2"/>
      <w:sz w:val="24"/>
      <w:szCs w:val="24"/>
    </w:rPr>
  </w:style>
  <w:style w:type="paragraph" w:styleId="247">
    <w:name w:val="Quote"/>
    <w:basedOn w:val="1"/>
    <w:next w:val="1"/>
    <w:link w:val="246"/>
    <w:qFormat/>
    <w:uiPriority w:val="29"/>
    <w:pPr>
      <w:jc w:val="center"/>
    </w:pPr>
    <w:rPr>
      <w:rFonts w:ascii="Times New Roman" w:hAnsi="Times New Roman" w:cs="Times New Roman"/>
      <w:iCs/>
      <w:color w:val="000000"/>
      <w:kern w:val="2"/>
      <w:sz w:val="24"/>
    </w:rPr>
  </w:style>
  <w:style w:type="character" w:customStyle="1" w:styleId="248">
    <w:name w:val="模板正文 Char"/>
    <w:link w:val="249"/>
    <w:qFormat/>
    <w:locked/>
    <w:uiPriority w:val="0"/>
    <w:rPr>
      <w:rFonts w:eastAsia="仿宋_GB2312"/>
      <w:sz w:val="28"/>
      <w:szCs w:val="21"/>
    </w:rPr>
  </w:style>
  <w:style w:type="paragraph" w:customStyle="1" w:styleId="249">
    <w:name w:val="模板正文"/>
    <w:basedOn w:val="1"/>
    <w:link w:val="248"/>
    <w:qFormat/>
    <w:uiPriority w:val="0"/>
    <w:pPr>
      <w:widowControl w:val="0"/>
      <w:shd w:val="clear" w:color="auto" w:fill="auto"/>
      <w:tabs>
        <w:tab w:val="clear" w:pos="426"/>
      </w:tabs>
      <w:wordWrap w:val="0"/>
      <w:adjustRightInd/>
      <w:snapToGrid/>
      <w:spacing w:beforeLines="50"/>
      <w:ind w:firstLine="200" w:firstLineChars="200"/>
    </w:pPr>
    <w:rPr>
      <w:rFonts w:ascii="Times New Roman" w:hAnsi="Times New Roman" w:eastAsia="仿宋_GB2312" w:cs="Times New Roman"/>
      <w:sz w:val="28"/>
      <w:szCs w:val="21"/>
    </w:rPr>
  </w:style>
  <w:style w:type="character" w:customStyle="1" w:styleId="250">
    <w:name w:val="三级标题 Char"/>
    <w:link w:val="251"/>
    <w:qFormat/>
    <w:uiPriority w:val="0"/>
    <w:rPr>
      <w:rFonts w:ascii="黑体" w:hAnsi="黑体" w:eastAsia="黑体"/>
      <w:kern w:val="2"/>
      <w:sz w:val="32"/>
      <w:szCs w:val="32"/>
      <w:shd w:val="clear" w:color="auto" w:fill="FFFFFF"/>
    </w:rPr>
  </w:style>
  <w:style w:type="paragraph" w:customStyle="1" w:styleId="251">
    <w:name w:val="三级标题"/>
    <w:basedOn w:val="188"/>
    <w:link w:val="250"/>
    <w:qFormat/>
    <w:uiPriority w:val="0"/>
    <w:pPr>
      <w:spacing w:line="720" w:lineRule="auto"/>
      <w:ind w:firstLine="0" w:firstLineChars="0"/>
      <w:outlineLvl w:val="2"/>
    </w:pPr>
    <w:rPr>
      <w:rFonts w:ascii="黑体" w:hAnsi="黑体" w:eastAsia="黑体"/>
      <w:sz w:val="32"/>
      <w:szCs w:val="32"/>
    </w:rPr>
  </w:style>
  <w:style w:type="character" w:customStyle="1" w:styleId="252">
    <w:name w:val="正文文本缩进 Char"/>
    <w:qFormat/>
    <w:uiPriority w:val="0"/>
    <w:rPr>
      <w:kern w:val="2"/>
      <w:sz w:val="21"/>
      <w:szCs w:val="24"/>
      <w:shd w:val="clear" w:color="auto" w:fill="FFFFFF"/>
    </w:rPr>
  </w:style>
  <w:style w:type="character" w:customStyle="1" w:styleId="253">
    <w:name w:val="页眉 Char"/>
    <w:qFormat/>
    <w:uiPriority w:val="99"/>
    <w:rPr>
      <w:kern w:val="2"/>
      <w:sz w:val="18"/>
      <w:szCs w:val="18"/>
      <w:shd w:val="clear" w:color="auto" w:fill="FFFFFF"/>
    </w:rPr>
  </w:style>
  <w:style w:type="character" w:customStyle="1" w:styleId="254">
    <w:name w:val="页脚 Char"/>
    <w:qFormat/>
    <w:uiPriority w:val="99"/>
    <w:rPr>
      <w:kern w:val="2"/>
      <w:sz w:val="18"/>
      <w:szCs w:val="18"/>
      <w:shd w:val="clear" w:color="auto" w:fill="FFFFFF"/>
    </w:rPr>
  </w:style>
  <w:style w:type="character" w:customStyle="1" w:styleId="255">
    <w:name w:val="批注文字 Char1"/>
    <w:qFormat/>
    <w:uiPriority w:val="0"/>
    <w:rPr>
      <w:rFonts w:ascii="宋体"/>
      <w:sz w:val="34"/>
      <w:shd w:val="clear" w:color="auto" w:fill="FFFFFF"/>
    </w:rPr>
  </w:style>
  <w:style w:type="character" w:customStyle="1" w:styleId="256">
    <w:name w:val="HTML 预设格式 Char"/>
    <w:qFormat/>
    <w:uiPriority w:val="0"/>
    <w:rPr>
      <w:rFonts w:ascii="Arial Unicode MS" w:hAnsi="Arial Unicode MS" w:eastAsia="Arial Unicode MS"/>
      <w:color w:val="000000"/>
      <w:shd w:val="clear" w:color="auto" w:fill="FFFFFF"/>
    </w:rPr>
  </w:style>
  <w:style w:type="character" w:customStyle="1" w:styleId="257">
    <w:name w:val="标题 1 字符1"/>
    <w:qFormat/>
    <w:uiPriority w:val="0"/>
    <w:rPr>
      <w:rFonts w:ascii="Times New Roman" w:hAnsi="Times New Roman" w:eastAsia="宋体" w:cs="Times New Roman"/>
      <w:b/>
      <w:kern w:val="44"/>
      <w:sz w:val="44"/>
      <w:szCs w:val="20"/>
    </w:rPr>
  </w:style>
  <w:style w:type="character" w:customStyle="1" w:styleId="258">
    <w:name w:val="正文标题 Char"/>
    <w:link w:val="259"/>
    <w:qFormat/>
    <w:uiPriority w:val="0"/>
    <w:rPr>
      <w:rFonts w:ascii="Calibri" w:hAnsi="Calibri"/>
      <w:b/>
      <w:kern w:val="2"/>
      <w:sz w:val="28"/>
      <w:szCs w:val="28"/>
      <w:shd w:val="clear" w:color="auto" w:fill="FFFFFF"/>
    </w:rPr>
  </w:style>
  <w:style w:type="paragraph" w:customStyle="1" w:styleId="259">
    <w:name w:val="正文标题"/>
    <w:basedOn w:val="1"/>
    <w:link w:val="258"/>
    <w:qFormat/>
    <w:uiPriority w:val="0"/>
    <w:pPr>
      <w:ind w:left="982" w:firstLine="200" w:firstLineChars="200"/>
    </w:pPr>
    <w:rPr>
      <w:rFonts w:ascii="Calibri" w:hAnsi="Calibri" w:cs="Times New Roman"/>
      <w:b/>
      <w:kern w:val="2"/>
      <w:sz w:val="28"/>
      <w:szCs w:val="28"/>
    </w:rPr>
  </w:style>
  <w:style w:type="character" w:customStyle="1" w:styleId="260">
    <w:name w:val="图片注释新 Char"/>
    <w:link w:val="261"/>
    <w:qFormat/>
    <w:uiPriority w:val="0"/>
    <w:rPr>
      <w:rFonts w:ascii="宋体" w:hAnsi="宋体"/>
      <w:kern w:val="2"/>
      <w:sz w:val="24"/>
      <w:szCs w:val="24"/>
      <w:u w:val="single"/>
    </w:rPr>
  </w:style>
  <w:style w:type="paragraph" w:customStyle="1" w:styleId="261">
    <w:name w:val="图片注释新"/>
    <w:basedOn w:val="191"/>
    <w:link w:val="260"/>
    <w:qFormat/>
    <w:uiPriority w:val="0"/>
    <w:pPr>
      <w:spacing w:after="81"/>
      <w:ind w:firstLine="0" w:firstLineChars="0"/>
    </w:pPr>
  </w:style>
  <w:style w:type="character" w:customStyle="1" w:styleId="262">
    <w:name w:val="副标题 Char"/>
    <w:qFormat/>
    <w:uiPriority w:val="0"/>
    <w:rPr>
      <w:rFonts w:ascii="Cambria" w:hAnsi="Cambria"/>
      <w:b/>
      <w:bCs/>
      <w:kern w:val="28"/>
      <w:sz w:val="28"/>
      <w:szCs w:val="32"/>
      <w:shd w:val="clear" w:color="auto" w:fill="FFFFFF"/>
    </w:rPr>
  </w:style>
  <w:style w:type="character" w:customStyle="1" w:styleId="263">
    <w:name w:val="正文文本缩进 3 Char1"/>
    <w:semiHidden/>
    <w:qFormat/>
    <w:uiPriority w:val="99"/>
    <w:rPr>
      <w:kern w:val="2"/>
      <w:sz w:val="16"/>
      <w:szCs w:val="16"/>
    </w:rPr>
  </w:style>
  <w:style w:type="character" w:customStyle="1" w:styleId="264">
    <w:name w:val="纯文本 Char"/>
    <w:qFormat/>
    <w:uiPriority w:val="0"/>
    <w:rPr>
      <w:rFonts w:ascii="宋体" w:hAnsi="Courier New"/>
      <w:kern w:val="2"/>
      <w:sz w:val="21"/>
      <w:shd w:val="clear" w:color="auto" w:fill="FFFFFF"/>
    </w:rPr>
  </w:style>
  <w:style w:type="character" w:customStyle="1" w:styleId="265">
    <w:name w:val="标题 4 Char"/>
    <w:qFormat/>
    <w:uiPriority w:val="0"/>
    <w:rPr>
      <w:rFonts w:ascii="Arial" w:hAnsi="Arial" w:eastAsia="黑体"/>
      <w:b/>
      <w:bCs/>
      <w:kern w:val="2"/>
      <w:sz w:val="28"/>
      <w:szCs w:val="28"/>
      <w:shd w:val="clear" w:color="auto" w:fill="FFFFFF"/>
    </w:rPr>
  </w:style>
  <w:style w:type="character" w:customStyle="1" w:styleId="266">
    <w:name w:val="标题 8 Char"/>
    <w:qFormat/>
    <w:uiPriority w:val="0"/>
    <w:rPr>
      <w:rFonts w:ascii="Arial" w:hAnsi="Arial" w:eastAsia="黑体"/>
      <w:kern w:val="2"/>
      <w:sz w:val="24"/>
      <w:shd w:val="clear" w:color="auto" w:fill="FFFFFF"/>
    </w:rPr>
  </w:style>
  <w:style w:type="character" w:customStyle="1" w:styleId="267">
    <w:name w:val="图标题 Char"/>
    <w:link w:val="268"/>
    <w:qFormat/>
    <w:uiPriority w:val="0"/>
    <w:rPr>
      <w:rFonts w:ascii="宋体" w:hAnsi="宋体"/>
      <w:kern w:val="2"/>
      <w:sz w:val="21"/>
      <w:szCs w:val="24"/>
    </w:rPr>
  </w:style>
  <w:style w:type="paragraph" w:customStyle="1" w:styleId="268">
    <w:name w:val="图标题"/>
    <w:basedOn w:val="1"/>
    <w:link w:val="267"/>
    <w:qFormat/>
    <w:uiPriority w:val="0"/>
    <w:pPr>
      <w:jc w:val="center"/>
    </w:pPr>
    <w:rPr>
      <w:rFonts w:cs="Times New Roman"/>
      <w:kern w:val="2"/>
    </w:rPr>
  </w:style>
  <w:style w:type="character" w:customStyle="1" w:styleId="269">
    <w:name w:val="批注文字 Char"/>
    <w:qFormat/>
    <w:uiPriority w:val="0"/>
    <w:rPr>
      <w:rFonts w:ascii="宋体" w:hAnsi="宋体" w:cs="宋体"/>
      <w:sz w:val="21"/>
      <w:szCs w:val="24"/>
      <w:shd w:val="clear" w:color="auto" w:fill="FFFFFF"/>
    </w:rPr>
  </w:style>
  <w:style w:type="character" w:customStyle="1" w:styleId="270">
    <w:name w:val="标题 3 Char1"/>
    <w:qFormat/>
    <w:uiPriority w:val="0"/>
    <w:rPr>
      <w:rFonts w:ascii="宋体" w:hAnsi="宋体"/>
      <w:b/>
      <w:bCs/>
      <w:kern w:val="2"/>
      <w:sz w:val="24"/>
      <w:szCs w:val="32"/>
      <w:shd w:val="clear" w:color="auto" w:fill="FFFFFF"/>
    </w:rPr>
  </w:style>
  <w:style w:type="character" w:customStyle="1" w:styleId="271">
    <w:name w:val="日期 Char"/>
    <w:qFormat/>
    <w:uiPriority w:val="0"/>
    <w:rPr>
      <w:rFonts w:ascii="宋体" w:hAnsi="Courier New"/>
      <w:kern w:val="2"/>
      <w:sz w:val="32"/>
      <w:shd w:val="clear" w:color="auto" w:fill="FFFFFF"/>
    </w:rPr>
  </w:style>
  <w:style w:type="character" w:customStyle="1" w:styleId="272">
    <w:name w:val="普通文字1 Char Char"/>
    <w:qFormat/>
    <w:uiPriority w:val="0"/>
    <w:rPr>
      <w:rFonts w:ascii="宋体" w:hAnsi="Courier New" w:eastAsia="宋体" w:cs="Courier New"/>
      <w:kern w:val="2"/>
      <w:sz w:val="21"/>
      <w:szCs w:val="21"/>
      <w:lang w:val="en-US" w:eastAsia="zh-CN" w:bidi="ar-SA"/>
    </w:rPr>
  </w:style>
  <w:style w:type="character" w:customStyle="1" w:styleId="273">
    <w:name w:val="正文文本缩进 3 Char"/>
    <w:qFormat/>
    <w:uiPriority w:val="0"/>
    <w:rPr>
      <w:rFonts w:ascii="宋体"/>
      <w:b/>
      <w:bCs/>
      <w:kern w:val="2"/>
      <w:sz w:val="24"/>
      <w:szCs w:val="24"/>
      <w:shd w:val="clear" w:color="auto" w:fill="FFFFFF"/>
    </w:rPr>
  </w:style>
  <w:style w:type="character" w:customStyle="1" w:styleId="274">
    <w:name w:val="副标题 Char1"/>
    <w:qFormat/>
    <w:uiPriority w:val="11"/>
    <w:rPr>
      <w:rFonts w:ascii="Cambria" w:hAnsi="Cambria" w:cs="Times New Roman"/>
      <w:b/>
      <w:bCs/>
      <w:kern w:val="28"/>
      <w:sz w:val="32"/>
      <w:szCs w:val="32"/>
    </w:rPr>
  </w:style>
  <w:style w:type="character" w:customStyle="1" w:styleId="275">
    <w:name w:val="标题 9 Char"/>
    <w:qFormat/>
    <w:uiPriority w:val="0"/>
    <w:rPr>
      <w:rFonts w:ascii="Arial" w:hAnsi="Arial" w:eastAsia="黑体"/>
      <w:kern w:val="2"/>
      <w:sz w:val="21"/>
      <w:shd w:val="clear" w:color="auto" w:fill="FFFFFF"/>
    </w:rPr>
  </w:style>
  <w:style w:type="character" w:customStyle="1" w:styleId="276">
    <w:name w:val="书籍标题11"/>
    <w:qFormat/>
    <w:uiPriority w:val="33"/>
    <w:rPr>
      <w:b/>
      <w:bCs/>
      <w:smallCaps/>
      <w:spacing w:val="5"/>
    </w:rPr>
  </w:style>
  <w:style w:type="character" w:customStyle="1" w:styleId="277">
    <w:name w:val="正文文本 2 Char"/>
    <w:qFormat/>
    <w:uiPriority w:val="0"/>
    <w:rPr>
      <w:kern w:val="2"/>
      <w:sz w:val="24"/>
      <w:szCs w:val="24"/>
      <w:shd w:val="clear" w:color="auto" w:fill="FFFFFF"/>
    </w:rPr>
  </w:style>
  <w:style w:type="character" w:customStyle="1" w:styleId="278">
    <w:name w:val="标题 Char"/>
    <w:qFormat/>
    <w:uiPriority w:val="0"/>
    <w:rPr>
      <w:rFonts w:ascii="Arial" w:hAnsi="Arial"/>
      <w:b/>
      <w:bCs/>
      <w:kern w:val="2"/>
      <w:sz w:val="36"/>
      <w:szCs w:val="32"/>
      <w:shd w:val="clear" w:color="auto" w:fill="FFFFFF"/>
    </w:rPr>
  </w:style>
  <w:style w:type="character" w:customStyle="1" w:styleId="279">
    <w:name w:val="apple-converted-space"/>
    <w:qFormat/>
    <w:uiPriority w:val="0"/>
  </w:style>
  <w:style w:type="character" w:customStyle="1" w:styleId="280">
    <w:name w:val="unnamed211"/>
    <w:semiHidden/>
    <w:qFormat/>
    <w:uiPriority w:val="0"/>
    <w:rPr>
      <w:sz w:val="23"/>
      <w:szCs w:val="23"/>
    </w:rPr>
  </w:style>
  <w:style w:type="character" w:customStyle="1" w:styleId="281">
    <w:name w:val="pan4 Char"/>
    <w:link w:val="282"/>
    <w:qFormat/>
    <w:uiPriority w:val="0"/>
    <w:rPr>
      <w:rFonts w:ascii="黑体" w:hAnsi="黑体" w:eastAsia="黑体"/>
      <w:kern w:val="2"/>
      <w:sz w:val="28"/>
      <w:szCs w:val="28"/>
      <w:shd w:val="clear" w:color="auto" w:fill="FFFFFF"/>
    </w:rPr>
  </w:style>
  <w:style w:type="paragraph" w:customStyle="1" w:styleId="282">
    <w:name w:val="pan4"/>
    <w:basedOn w:val="188"/>
    <w:link w:val="281"/>
    <w:qFormat/>
    <w:uiPriority w:val="0"/>
    <w:pPr>
      <w:tabs>
        <w:tab w:val="left" w:pos="1680"/>
      </w:tabs>
      <w:ind w:left="1680" w:hanging="420" w:firstLineChars="0"/>
      <w:outlineLvl w:val="3"/>
    </w:pPr>
    <w:rPr>
      <w:rFonts w:ascii="黑体" w:hAnsi="黑体" w:eastAsia="黑体"/>
      <w:sz w:val="28"/>
      <w:szCs w:val="28"/>
    </w:rPr>
  </w:style>
  <w:style w:type="character" w:customStyle="1" w:styleId="283">
    <w:name w:val="138v1"/>
    <w:qFormat/>
    <w:uiPriority w:val="0"/>
  </w:style>
  <w:style w:type="character" w:customStyle="1" w:styleId="284">
    <w:name w:val="批注框文本 Char"/>
    <w:semiHidden/>
    <w:qFormat/>
    <w:uiPriority w:val="0"/>
    <w:rPr>
      <w:kern w:val="2"/>
      <w:sz w:val="18"/>
      <w:szCs w:val="18"/>
      <w:shd w:val="clear" w:color="auto" w:fill="FFFFFF"/>
    </w:rPr>
  </w:style>
  <w:style w:type="character" w:customStyle="1" w:styleId="285">
    <w:name w:val="纯文本 Char1"/>
    <w:qFormat/>
    <w:uiPriority w:val="0"/>
    <w:rPr>
      <w:rFonts w:ascii="宋体" w:hAnsi="Courier New" w:cs="Courier New"/>
      <w:kern w:val="2"/>
      <w:sz w:val="21"/>
      <w:szCs w:val="21"/>
    </w:rPr>
  </w:style>
  <w:style w:type="character" w:customStyle="1" w:styleId="286">
    <w:name w:val="pan5 Char"/>
    <w:link w:val="287"/>
    <w:qFormat/>
    <w:uiPriority w:val="0"/>
    <w:rPr>
      <w:rFonts w:ascii="黑体" w:hAnsi="黑体" w:eastAsia="黑体"/>
      <w:kern w:val="2"/>
      <w:sz w:val="24"/>
      <w:szCs w:val="24"/>
      <w:shd w:val="clear" w:color="auto" w:fill="FFFFFF"/>
    </w:rPr>
  </w:style>
  <w:style w:type="paragraph" w:customStyle="1" w:styleId="287">
    <w:name w:val="pan5"/>
    <w:basedOn w:val="188"/>
    <w:link w:val="286"/>
    <w:qFormat/>
    <w:uiPriority w:val="0"/>
    <w:pPr>
      <w:tabs>
        <w:tab w:val="left" w:pos="1008"/>
      </w:tabs>
      <w:ind w:left="1008" w:hanging="1008" w:firstLineChars="0"/>
      <w:outlineLvl w:val="4"/>
    </w:pPr>
    <w:rPr>
      <w:rFonts w:ascii="黑体" w:hAnsi="黑体" w:eastAsia="黑体"/>
      <w:sz w:val="24"/>
    </w:rPr>
  </w:style>
  <w:style w:type="character" w:customStyle="1" w:styleId="288">
    <w:name w:val="正文文本 3 Char"/>
    <w:qFormat/>
    <w:uiPriority w:val="0"/>
    <w:rPr>
      <w:kern w:val="2"/>
      <w:sz w:val="16"/>
      <w:szCs w:val="16"/>
      <w:shd w:val="clear" w:color="auto" w:fill="FFFFFF"/>
    </w:rPr>
  </w:style>
  <w:style w:type="character" w:customStyle="1" w:styleId="289">
    <w:name w:val="引用 Char"/>
    <w:qFormat/>
    <w:uiPriority w:val="29"/>
    <w:rPr>
      <w:iCs/>
      <w:color w:val="000000"/>
      <w:kern w:val="2"/>
      <w:sz w:val="24"/>
      <w:szCs w:val="24"/>
      <w:shd w:val="clear" w:color="auto" w:fill="FFFFFF"/>
    </w:rPr>
  </w:style>
  <w:style w:type="character" w:customStyle="1" w:styleId="290">
    <w:name w:val="Default Char"/>
    <w:link w:val="291"/>
    <w:qFormat/>
    <w:uiPriority w:val="0"/>
    <w:rPr>
      <w:rFonts w:ascii="宋体" w:hAnsi="Calibri"/>
      <w:color w:val="000000"/>
      <w:sz w:val="24"/>
      <w:szCs w:val="24"/>
      <w:lang w:val="en-US" w:eastAsia="zh-CN" w:bidi="ar-SA"/>
    </w:rPr>
  </w:style>
  <w:style w:type="paragraph" w:customStyle="1" w:styleId="291">
    <w:name w:val="Default"/>
    <w:link w:val="290"/>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character" w:customStyle="1" w:styleId="292">
    <w:name w:val="tpc_content1"/>
    <w:qFormat/>
    <w:uiPriority w:val="0"/>
    <w:rPr>
      <w:sz w:val="20"/>
      <w:szCs w:val="20"/>
    </w:rPr>
  </w:style>
  <w:style w:type="character" w:customStyle="1" w:styleId="293">
    <w:name w:val="f14b1"/>
    <w:semiHidden/>
    <w:qFormat/>
    <w:uiPriority w:val="0"/>
    <w:rPr>
      <w:b/>
      <w:bCs/>
      <w:sz w:val="21"/>
      <w:szCs w:val="21"/>
    </w:rPr>
  </w:style>
  <w:style w:type="character" w:customStyle="1" w:styleId="294">
    <w:name w:val="f142"/>
    <w:semiHidden/>
    <w:qFormat/>
    <w:uiPriority w:val="0"/>
    <w:rPr>
      <w:sz w:val="21"/>
      <w:szCs w:val="21"/>
    </w:rPr>
  </w:style>
  <w:style w:type="character" w:customStyle="1" w:styleId="295">
    <w:name w:val="正文缩进 Char1"/>
    <w:qFormat/>
    <w:uiPriority w:val="0"/>
    <w:rPr>
      <w:kern w:val="2"/>
      <w:sz w:val="21"/>
    </w:rPr>
  </w:style>
  <w:style w:type="character" w:customStyle="1" w:styleId="296">
    <w:name w:val="明显参考2"/>
    <w:qFormat/>
    <w:uiPriority w:val="32"/>
    <w:rPr>
      <w:rFonts w:eastAsia="宋体"/>
      <w:bCs/>
      <w:smallCaps/>
      <w:color w:val="000000"/>
      <w:spacing w:val="5"/>
      <w:sz w:val="24"/>
      <w:u w:val="single"/>
    </w:rPr>
  </w:style>
  <w:style w:type="character" w:customStyle="1" w:styleId="297">
    <w:name w:val="pan3 Char"/>
    <w:link w:val="298"/>
    <w:qFormat/>
    <w:uiPriority w:val="0"/>
    <w:rPr>
      <w:rFonts w:ascii="黑体" w:hAnsi="黑体" w:eastAsia="黑体"/>
      <w:kern w:val="2"/>
      <w:sz w:val="28"/>
      <w:szCs w:val="28"/>
      <w:shd w:val="clear" w:color="auto" w:fill="FFFFFF"/>
    </w:rPr>
  </w:style>
  <w:style w:type="paragraph" w:customStyle="1" w:styleId="298">
    <w:name w:val="pan3"/>
    <w:basedOn w:val="188"/>
    <w:link w:val="297"/>
    <w:qFormat/>
    <w:uiPriority w:val="0"/>
    <w:pPr>
      <w:tabs>
        <w:tab w:val="left" w:pos="1260"/>
      </w:tabs>
      <w:ind w:left="1260" w:hanging="420" w:firstLineChars="0"/>
      <w:outlineLvl w:val="2"/>
    </w:pPr>
    <w:rPr>
      <w:rFonts w:ascii="黑体" w:hAnsi="黑体" w:eastAsia="黑体"/>
      <w:sz w:val="28"/>
      <w:szCs w:val="28"/>
    </w:rPr>
  </w:style>
  <w:style w:type="character" w:customStyle="1" w:styleId="299">
    <w:name w:val="标题 1 Char"/>
    <w:qFormat/>
    <w:uiPriority w:val="0"/>
    <w:rPr>
      <w:rFonts w:ascii="宋体" w:hAnsi="宋体" w:eastAsia="黑体" w:cs="Times New Roman"/>
      <w:b/>
      <w:bCs/>
      <w:kern w:val="44"/>
      <w:sz w:val="28"/>
      <w:szCs w:val="28"/>
      <w:shd w:val="clear" w:color="auto" w:fill="FFFFFF"/>
    </w:rPr>
  </w:style>
  <w:style w:type="character" w:customStyle="1" w:styleId="300">
    <w:name w:val="方案正文段落 Char"/>
    <w:link w:val="301"/>
    <w:qFormat/>
    <w:uiPriority w:val="0"/>
    <w:rPr>
      <w:kern w:val="2"/>
      <w:sz w:val="21"/>
    </w:rPr>
  </w:style>
  <w:style w:type="paragraph" w:customStyle="1" w:styleId="301">
    <w:name w:val="方案正文段落"/>
    <w:basedOn w:val="1"/>
    <w:link w:val="300"/>
    <w:qFormat/>
    <w:uiPriority w:val="0"/>
    <w:pPr>
      <w:ind w:firstLine="420" w:firstLineChars="200"/>
    </w:pPr>
    <w:rPr>
      <w:rFonts w:ascii="Times New Roman" w:hAnsi="Times New Roman" w:cs="Times New Roman"/>
      <w:kern w:val="2"/>
      <w:szCs w:val="20"/>
    </w:rPr>
  </w:style>
  <w:style w:type="character" w:customStyle="1" w:styleId="302">
    <w:name w:val="text1"/>
    <w:qFormat/>
    <w:uiPriority w:val="0"/>
  </w:style>
  <w:style w:type="character" w:customStyle="1" w:styleId="303">
    <w:name w:val="标题 3 Char"/>
    <w:qFormat/>
    <w:uiPriority w:val="0"/>
    <w:rPr>
      <w:rFonts w:ascii="黑体" w:eastAsia="黑体"/>
      <w:bCs/>
      <w:sz w:val="30"/>
    </w:rPr>
  </w:style>
  <w:style w:type="paragraph" w:customStyle="1" w:styleId="304">
    <w:name w:val="Char1 Char Char Char"/>
    <w:basedOn w:val="1"/>
    <w:qFormat/>
    <w:uiPriority w:val="0"/>
    <w:pPr>
      <w:widowControl w:val="0"/>
      <w:shd w:val="clear" w:color="auto" w:fill="auto"/>
      <w:tabs>
        <w:tab w:val="clear" w:pos="426"/>
      </w:tabs>
      <w:adjustRightInd/>
      <w:snapToGrid/>
      <w:spacing w:line="240" w:lineRule="auto"/>
    </w:pPr>
    <w:rPr>
      <w:rFonts w:ascii="Times New Roman" w:hAnsi="Times New Roman" w:eastAsia="仿宋_GB2312" w:cs="Times New Roman"/>
      <w:kern w:val="2"/>
      <w:sz w:val="28"/>
    </w:rPr>
  </w:style>
  <w:style w:type="paragraph" w:customStyle="1" w:styleId="305">
    <w:name w:val="xl10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sz w:val="22"/>
      <w:szCs w:val="22"/>
    </w:rPr>
  </w:style>
  <w:style w:type="paragraph" w:customStyle="1" w:styleId="306">
    <w:name w:val="_Style 38"/>
    <w:basedOn w:val="1"/>
    <w:qFormat/>
    <w:uiPriority w:val="0"/>
    <w:pPr>
      <w:widowControl w:val="0"/>
      <w:shd w:val="clear" w:color="auto" w:fill="auto"/>
      <w:tabs>
        <w:tab w:val="clear" w:pos="426"/>
      </w:tabs>
      <w:adjustRightInd/>
      <w:snapToGrid/>
      <w:spacing w:line="240" w:lineRule="auto"/>
    </w:pPr>
    <w:rPr>
      <w:rFonts w:ascii="Times New Roman" w:hAnsi="Times New Roman" w:cs="Times New Roman"/>
      <w:kern w:val="2"/>
    </w:rPr>
  </w:style>
  <w:style w:type="paragraph" w:customStyle="1" w:styleId="307">
    <w:name w:val="xl232"/>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308">
    <w:name w:val="xl11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309">
    <w:name w:val="方案标题2"/>
    <w:basedOn w:val="81"/>
    <w:qFormat/>
    <w:uiPriority w:val="0"/>
    <w:pPr>
      <w:tabs>
        <w:tab w:val="left" w:pos="720"/>
      </w:tabs>
      <w:spacing w:beforeLines="50" w:afterLines="50"/>
      <w:ind w:firstLine="200" w:firstLineChars="200"/>
      <w:jc w:val="left"/>
      <w:outlineLvl w:val="1"/>
    </w:pPr>
    <w:rPr>
      <w:rFonts w:eastAsia="仿宋_GB2312"/>
      <w:color w:val="000000"/>
      <w:sz w:val="30"/>
      <w:szCs w:val="30"/>
    </w:rPr>
  </w:style>
  <w:style w:type="paragraph" w:customStyle="1" w:styleId="310">
    <w:name w:val="Char"/>
    <w:basedOn w:val="1"/>
    <w:qFormat/>
    <w:uiPriority w:val="0"/>
    <w:pPr>
      <w:spacing w:after="160" w:line="240" w:lineRule="exact"/>
      <w:jc w:val="left"/>
    </w:pPr>
    <w:rPr>
      <w:rFonts w:ascii="Verdana" w:hAnsi="Verdana" w:eastAsia="仿宋_GB2312"/>
      <w:sz w:val="24"/>
      <w:szCs w:val="20"/>
      <w:lang w:eastAsia="en-US"/>
    </w:rPr>
  </w:style>
  <w:style w:type="paragraph" w:customStyle="1" w:styleId="311">
    <w:name w:val="xl225"/>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12">
    <w:name w:val="Char5 Char Char 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313">
    <w:name w:val="TOC 标题2"/>
    <w:basedOn w:val="2"/>
    <w:next w:val="1"/>
    <w:qFormat/>
    <w:uiPriority w:val="39"/>
    <w:pPr>
      <w:keepNext/>
      <w:keepLines/>
      <w:shd w:val="clear" w:color="auto" w:fill="auto"/>
      <w:adjustRightInd/>
      <w:snapToGrid/>
      <w:spacing w:before="480" w:after="0" w:line="276" w:lineRule="auto"/>
      <w:jc w:val="left"/>
      <w:outlineLvl w:val="9"/>
    </w:pPr>
    <w:rPr>
      <w:rFonts w:ascii="Cambria" w:hAnsi="Cambria" w:eastAsia="宋体"/>
      <w:color w:val="365F91"/>
      <w:kern w:val="0"/>
    </w:rPr>
  </w:style>
  <w:style w:type="paragraph" w:customStyle="1" w:styleId="314">
    <w:name w:val="xl9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styleId="315">
    <w:name w:val="List Paragraph"/>
    <w:basedOn w:val="1"/>
    <w:qFormat/>
    <w:uiPriority w:val="34"/>
    <w:pPr>
      <w:widowControl w:val="0"/>
      <w:shd w:val="clear" w:color="auto" w:fill="auto"/>
      <w:tabs>
        <w:tab w:val="clear" w:pos="426"/>
      </w:tabs>
      <w:adjustRightInd/>
      <w:snapToGrid/>
      <w:ind w:firstLine="420" w:firstLineChars="200"/>
    </w:pPr>
    <w:rPr>
      <w:rFonts w:ascii="Times New Roman" w:hAnsi="Times New Roman" w:cs="Times New Roman"/>
      <w:kern w:val="2"/>
      <w:sz w:val="24"/>
    </w:rPr>
  </w:style>
  <w:style w:type="paragraph" w:customStyle="1" w:styleId="316">
    <w:name w:val="xl103"/>
    <w:basedOn w:val="1"/>
    <w:qFormat/>
    <w:uiPriority w:val="0"/>
    <w:pPr>
      <w:spacing w:beforeAutospacing="1" w:afterAutospacing="1"/>
      <w:jc w:val="left"/>
      <w:textAlignment w:val="center"/>
    </w:pPr>
    <w:rPr>
      <w:color w:val="FF0000"/>
      <w:sz w:val="22"/>
      <w:szCs w:val="22"/>
    </w:rPr>
  </w:style>
  <w:style w:type="paragraph" w:customStyle="1" w:styleId="317">
    <w:name w:val="xl81"/>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318">
    <w:name w:val="xl250"/>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19">
    <w:name w:val="xl265"/>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20">
    <w:name w:val="pa-2"/>
    <w:basedOn w:val="1"/>
    <w:qFormat/>
    <w:uiPriority w:val="0"/>
    <w:pPr>
      <w:spacing w:before="100" w:beforeAutospacing="1" w:after="100" w:afterAutospacing="1"/>
      <w:jc w:val="left"/>
    </w:pPr>
    <w:rPr>
      <w:sz w:val="24"/>
    </w:rPr>
  </w:style>
  <w:style w:type="paragraph" w:customStyle="1" w:styleId="321">
    <w:name w:val="xl227"/>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b/>
      <w:bCs/>
      <w:sz w:val="24"/>
    </w:rPr>
  </w:style>
  <w:style w:type="paragraph" w:customStyle="1" w:styleId="322">
    <w:name w:val="xl86"/>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pPr>
    <w:rPr>
      <w:color w:val="000000"/>
      <w:sz w:val="24"/>
    </w:rPr>
  </w:style>
  <w:style w:type="paragraph" w:customStyle="1" w:styleId="323">
    <w:name w:val="正文样式"/>
    <w:basedOn w:val="33"/>
    <w:qFormat/>
    <w:uiPriority w:val="0"/>
    <w:pPr>
      <w:widowControl w:val="0"/>
      <w:shd w:val="clear" w:color="auto" w:fill="auto"/>
      <w:adjustRightInd/>
      <w:snapToGrid/>
      <w:jc w:val="left"/>
    </w:pPr>
    <w:rPr>
      <w:rFonts w:ascii="宋体" w:cs="宋体"/>
      <w:szCs w:val="20"/>
    </w:rPr>
  </w:style>
  <w:style w:type="paragraph" w:customStyle="1" w:styleId="324">
    <w:name w:val="xl241"/>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textAlignment w:val="center"/>
    </w:pPr>
    <w:rPr>
      <w:sz w:val="24"/>
    </w:rPr>
  </w:style>
  <w:style w:type="paragraph" w:customStyle="1" w:styleId="325">
    <w:name w:val="xl248"/>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26">
    <w:name w:val="xl127"/>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sz w:val="22"/>
      <w:szCs w:val="22"/>
    </w:rPr>
  </w:style>
  <w:style w:type="paragraph" w:customStyle="1" w:styleId="327">
    <w:name w:val="正文Land"/>
    <w:basedOn w:val="1"/>
    <w:qFormat/>
    <w:uiPriority w:val="0"/>
    <w:pPr>
      <w:spacing w:beforeLines="20" w:afterLines="50"/>
      <w:ind w:firstLine="200" w:firstLineChars="200"/>
    </w:pPr>
    <w:rPr>
      <w:color w:val="000000"/>
      <w:sz w:val="24"/>
    </w:rPr>
  </w:style>
  <w:style w:type="paragraph" w:customStyle="1" w:styleId="328">
    <w:name w:val="xl244"/>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29">
    <w:name w:val="xl12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330">
    <w:name w:val="xl238"/>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31">
    <w:name w:val="font9"/>
    <w:basedOn w:val="1"/>
    <w:qFormat/>
    <w:uiPriority w:val="0"/>
    <w:pPr>
      <w:shd w:val="clear" w:color="auto" w:fill="auto"/>
      <w:tabs>
        <w:tab w:val="clear" w:pos="426"/>
      </w:tabs>
      <w:adjustRightInd/>
      <w:snapToGrid/>
      <w:spacing w:before="100" w:beforeAutospacing="1" w:after="100" w:afterAutospacing="1" w:line="240" w:lineRule="auto"/>
      <w:jc w:val="left"/>
    </w:pPr>
    <w:rPr>
      <w:b/>
      <w:bCs/>
      <w:sz w:val="20"/>
      <w:szCs w:val="20"/>
    </w:rPr>
  </w:style>
  <w:style w:type="paragraph" w:customStyle="1" w:styleId="332">
    <w:name w:val="xl111"/>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rFonts w:ascii="仿宋_GB2312" w:eastAsia="仿宋_GB2312"/>
      <w:sz w:val="22"/>
      <w:szCs w:val="22"/>
    </w:rPr>
  </w:style>
  <w:style w:type="paragraph" w:customStyle="1" w:styleId="333">
    <w:name w:val="xl257"/>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34">
    <w:name w:val="xl10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FF0000"/>
      <w:sz w:val="22"/>
      <w:szCs w:val="22"/>
    </w:rPr>
  </w:style>
  <w:style w:type="paragraph" w:customStyle="1" w:styleId="335">
    <w:name w:val="样式 (西文) 宋体 行距: 1.5 倍行距"/>
    <w:basedOn w:val="1"/>
    <w:qFormat/>
    <w:uiPriority w:val="0"/>
    <w:pPr>
      <w:widowControl w:val="0"/>
      <w:shd w:val="clear" w:color="auto" w:fill="auto"/>
      <w:tabs>
        <w:tab w:val="clear" w:pos="426"/>
      </w:tabs>
      <w:adjustRightInd/>
      <w:snapToGrid/>
    </w:pPr>
    <w:rPr>
      <w:kern w:val="2"/>
      <w:szCs w:val="20"/>
    </w:rPr>
  </w:style>
  <w:style w:type="paragraph" w:customStyle="1" w:styleId="336">
    <w:name w:val="样式1"/>
    <w:basedOn w:val="1"/>
    <w:qFormat/>
    <w:uiPriority w:val="0"/>
    <w:pPr>
      <w:keepNext/>
      <w:keepLines/>
      <w:spacing w:before="340" w:after="330"/>
      <w:ind w:left="420" w:hanging="420"/>
      <w:outlineLvl w:val="0"/>
    </w:pPr>
    <w:rPr>
      <w:b/>
      <w:kern w:val="44"/>
      <w:sz w:val="44"/>
      <w:szCs w:val="20"/>
    </w:rPr>
  </w:style>
  <w:style w:type="paragraph" w:customStyle="1" w:styleId="337">
    <w:name w:val="xl25"/>
    <w:basedOn w:val="1"/>
    <w:qFormat/>
    <w:uiPriority w:val="0"/>
    <w:pPr>
      <w:pBdr>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520" w:lineRule="exact"/>
      <w:jc w:val="center"/>
      <w:textAlignment w:val="center"/>
    </w:pPr>
    <w:rPr>
      <w:rFonts w:cs="Times New Roman"/>
      <w:sz w:val="24"/>
      <w:szCs w:val="20"/>
    </w:rPr>
  </w:style>
  <w:style w:type="paragraph" w:customStyle="1" w:styleId="338">
    <w:name w:val="xl83"/>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b/>
      <w:bCs/>
      <w:color w:val="000000"/>
      <w:sz w:val="24"/>
    </w:rPr>
  </w:style>
  <w:style w:type="paragraph" w:customStyle="1" w:styleId="339">
    <w:name w:val="xl236"/>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40">
    <w:name w:val="xl65"/>
    <w:basedOn w:val="1"/>
    <w:qFormat/>
    <w:uiPriority w:val="0"/>
    <w:pPr>
      <w:pBdr>
        <w:top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b/>
      <w:bCs/>
      <w:sz w:val="24"/>
    </w:rPr>
  </w:style>
  <w:style w:type="paragraph" w:customStyle="1" w:styleId="341">
    <w:name w:val="xl11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000000"/>
      <w:sz w:val="22"/>
      <w:szCs w:val="22"/>
    </w:rPr>
  </w:style>
  <w:style w:type="paragraph" w:customStyle="1" w:styleId="342">
    <w:name w:val="xl64"/>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343">
    <w:name w:val="xl104"/>
    <w:basedOn w:val="1"/>
    <w:qFormat/>
    <w:uiPriority w:val="0"/>
    <w:pPr>
      <w:spacing w:beforeAutospacing="1" w:afterAutospacing="1"/>
      <w:jc w:val="center"/>
    </w:pPr>
    <w:rPr>
      <w:sz w:val="24"/>
    </w:rPr>
  </w:style>
  <w:style w:type="paragraph" w:customStyle="1" w:styleId="344">
    <w:name w:val="xl71"/>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345">
    <w:name w:val="xl9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sz w:val="22"/>
      <w:szCs w:val="22"/>
    </w:rPr>
  </w:style>
  <w:style w:type="paragraph" w:customStyle="1" w:styleId="346">
    <w:name w:val="xl132"/>
    <w:basedOn w:val="1"/>
    <w:qFormat/>
    <w:uiPriority w:val="0"/>
    <w:pPr>
      <w:pBdr>
        <w:top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347">
    <w:name w:val="xl228"/>
    <w:basedOn w:val="1"/>
    <w:qFormat/>
    <w:uiPriority w:val="0"/>
    <w:pP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4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349">
    <w:name w:val="xl269"/>
    <w:basedOn w:val="1"/>
    <w:qFormat/>
    <w:uiPriority w:val="0"/>
    <w:pPr>
      <w:pBdr>
        <w:bottom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40"/>
      <w:szCs w:val="40"/>
    </w:rPr>
  </w:style>
  <w:style w:type="paragraph" w:customStyle="1" w:styleId="350">
    <w:name w:val="xl251"/>
    <w:basedOn w:val="1"/>
    <w:qFormat/>
    <w:uiPriority w:val="0"/>
    <w:pP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51">
    <w:name w:val="附件标题"/>
    <w:basedOn w:val="1"/>
    <w:qFormat/>
    <w:uiPriority w:val="0"/>
    <w:pPr>
      <w:ind w:firstLine="200" w:firstLineChars="200"/>
      <w:jc w:val="center"/>
    </w:pPr>
    <w:rPr>
      <w:rFonts w:ascii="Arial" w:hAnsi="Arial" w:eastAsia="黑体"/>
      <w:sz w:val="24"/>
    </w:rPr>
  </w:style>
  <w:style w:type="paragraph" w:customStyle="1" w:styleId="352">
    <w:name w:val="xl121"/>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353">
    <w:name w:val="标题5"/>
    <w:basedOn w:val="188"/>
    <w:qFormat/>
    <w:uiPriority w:val="0"/>
    <w:pPr>
      <w:tabs>
        <w:tab w:val="left" w:pos="2038"/>
      </w:tabs>
      <w:ind w:left="2038" w:hanging="420" w:firstLineChars="0"/>
      <w:jc w:val="left"/>
      <w:outlineLvl w:val="4"/>
    </w:pPr>
    <w:rPr>
      <w:rFonts w:ascii="黑体" w:hAnsi="黑体" w:eastAsia="黑体"/>
      <w:sz w:val="28"/>
      <w:szCs w:val="28"/>
    </w:rPr>
  </w:style>
  <w:style w:type="paragraph" w:customStyle="1" w:styleId="354">
    <w:name w:val="xl267"/>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55">
    <w:name w:val="_Style 95"/>
    <w:unhideWhenUsed/>
    <w:qFormat/>
    <w:uiPriority w:val="99"/>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56">
    <w:name w:val="xl253"/>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57">
    <w:name w:val="xl82"/>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pPr>
    <w:rPr>
      <w:color w:val="000000"/>
      <w:sz w:val="24"/>
    </w:rPr>
  </w:style>
  <w:style w:type="paragraph" w:customStyle="1" w:styleId="358">
    <w:name w:val="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359">
    <w:name w:val="xl98"/>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sz w:val="22"/>
      <w:szCs w:val="22"/>
    </w:rPr>
  </w:style>
  <w:style w:type="paragraph" w:customStyle="1" w:styleId="360">
    <w:name w:val="--规划正文"/>
    <w:basedOn w:val="1"/>
    <w:qFormat/>
    <w:uiPriority w:val="0"/>
    <w:pPr>
      <w:widowControl w:val="0"/>
      <w:shd w:val="clear" w:color="auto" w:fill="auto"/>
      <w:tabs>
        <w:tab w:val="clear" w:pos="426"/>
      </w:tabs>
      <w:adjustRightInd/>
      <w:snapToGrid/>
      <w:ind w:firstLine="200" w:firstLineChars="200"/>
    </w:pPr>
    <w:rPr>
      <w:rFonts w:ascii="Times New Roman" w:hAnsi="Times New Roman" w:cs="Times New Roman"/>
      <w:kern w:val="2"/>
      <w:szCs w:val="20"/>
    </w:rPr>
  </w:style>
  <w:style w:type="paragraph" w:customStyle="1" w:styleId="361">
    <w:name w:val="xl240"/>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62">
    <w:name w:val="TOC 标题1"/>
    <w:basedOn w:val="2"/>
    <w:next w:val="1"/>
    <w:qFormat/>
    <w:uiPriority w:val="39"/>
    <w:pPr>
      <w:spacing w:before="480" w:after="0" w:line="276" w:lineRule="auto"/>
      <w:jc w:val="left"/>
      <w:outlineLvl w:val="9"/>
    </w:pPr>
    <w:rPr>
      <w:rFonts w:ascii="Cambria" w:hAnsi="Cambria" w:eastAsia="宋体"/>
      <w:color w:val="365F91"/>
      <w:kern w:val="0"/>
    </w:rPr>
  </w:style>
  <w:style w:type="paragraph" w:customStyle="1" w:styleId="363">
    <w:name w:val="xl68"/>
    <w:basedOn w:val="1"/>
    <w:qFormat/>
    <w:uiPriority w:val="0"/>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b/>
      <w:bCs/>
      <w:sz w:val="24"/>
    </w:rPr>
  </w:style>
  <w:style w:type="paragraph" w:customStyle="1" w:styleId="364">
    <w:name w:val="Char Char Char Char Char Char Char"/>
    <w:basedOn w:val="1"/>
    <w:qFormat/>
    <w:uiPriority w:val="0"/>
    <w:pPr>
      <w:widowControl w:val="0"/>
      <w:shd w:val="clear" w:color="auto" w:fill="auto"/>
      <w:tabs>
        <w:tab w:val="clear" w:pos="426"/>
      </w:tabs>
      <w:adjustRightInd/>
      <w:snapToGrid/>
      <w:spacing w:line="240" w:lineRule="auto"/>
    </w:pPr>
    <w:rPr>
      <w:rFonts w:ascii="仿宋_GB2312" w:hAnsi="Times New Roman" w:eastAsia="仿宋_GB2312" w:cs="Times New Roman"/>
      <w:b/>
      <w:kern w:val="2"/>
      <w:sz w:val="32"/>
      <w:szCs w:val="32"/>
    </w:rPr>
  </w:style>
  <w:style w:type="paragraph" w:customStyle="1" w:styleId="365">
    <w:name w:val="ggbody"/>
    <w:basedOn w:val="1"/>
    <w:semiHidden/>
    <w:qFormat/>
    <w:uiPriority w:val="0"/>
    <w:pPr>
      <w:shd w:val="clear" w:color="auto" w:fill="auto"/>
      <w:tabs>
        <w:tab w:val="clear" w:pos="426"/>
      </w:tabs>
      <w:adjustRightInd/>
      <w:snapToGrid/>
      <w:spacing w:before="100" w:beforeAutospacing="1" w:after="100" w:afterAutospacing="1" w:line="330" w:lineRule="atLeast"/>
      <w:jc w:val="left"/>
    </w:pPr>
    <w:rPr>
      <w:sz w:val="23"/>
      <w:szCs w:val="23"/>
    </w:rPr>
  </w:style>
  <w:style w:type="paragraph" w:customStyle="1" w:styleId="366">
    <w:name w:val="!项目ALT+P"/>
    <w:basedOn w:val="1"/>
    <w:qFormat/>
    <w:uiPriority w:val="0"/>
    <w:pPr>
      <w:tabs>
        <w:tab w:val="left" w:pos="420"/>
        <w:tab w:val="clear" w:pos="426"/>
      </w:tabs>
      <w:spacing w:line="320" w:lineRule="atLeast"/>
      <w:ind w:left="420"/>
      <w:textAlignment w:val="baseline"/>
    </w:pPr>
    <w:rPr>
      <w:szCs w:val="21"/>
    </w:rPr>
  </w:style>
  <w:style w:type="paragraph" w:customStyle="1" w:styleId="367">
    <w:name w:val="xl32"/>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rFonts w:ascii="Times New Roman" w:hAnsi="Times New Roman" w:eastAsia="Arial Unicode MS" w:cs="Times New Roman"/>
      <w:sz w:val="24"/>
    </w:rPr>
  </w:style>
  <w:style w:type="paragraph" w:customStyle="1" w:styleId="368">
    <w:name w:val="Char1"/>
    <w:basedOn w:val="1"/>
    <w:qFormat/>
    <w:uiPriority w:val="0"/>
    <w:pPr>
      <w:spacing w:after="160" w:line="240" w:lineRule="exact"/>
      <w:jc w:val="left"/>
    </w:pPr>
    <w:rPr>
      <w:rFonts w:ascii="Verdana" w:hAnsi="Verdana" w:eastAsia="仿宋_GB2312"/>
      <w:sz w:val="24"/>
      <w:szCs w:val="20"/>
      <w:lang w:eastAsia="en-US"/>
    </w:rPr>
  </w:style>
  <w:style w:type="paragraph" w:customStyle="1" w:styleId="369">
    <w:name w:val="xl11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370">
    <w:name w:val="xl11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0"/>
      <w:szCs w:val="20"/>
    </w:rPr>
  </w:style>
  <w:style w:type="paragraph" w:customStyle="1" w:styleId="371">
    <w:name w:val="正文-1级列表-(1)"/>
    <w:basedOn w:val="1"/>
    <w:qFormat/>
    <w:uiPriority w:val="0"/>
    <w:pPr>
      <w:tabs>
        <w:tab w:val="left" w:pos="420"/>
        <w:tab w:val="clear" w:pos="426"/>
      </w:tabs>
      <w:ind w:left="800"/>
    </w:pPr>
    <w:rPr>
      <w:sz w:val="24"/>
      <w:lang w:val="en-GB"/>
    </w:rPr>
  </w:style>
  <w:style w:type="paragraph" w:customStyle="1" w:styleId="372">
    <w:name w:val="xl234"/>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73">
    <w:name w:val="xl67"/>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color w:val="000000"/>
      <w:sz w:val="24"/>
    </w:rPr>
  </w:style>
  <w:style w:type="paragraph" w:customStyle="1" w:styleId="374">
    <w:name w:val="font7"/>
    <w:basedOn w:val="1"/>
    <w:qFormat/>
    <w:uiPriority w:val="0"/>
    <w:pPr>
      <w:shd w:val="clear" w:color="auto" w:fill="auto"/>
      <w:tabs>
        <w:tab w:val="clear" w:pos="426"/>
      </w:tabs>
      <w:adjustRightInd/>
      <w:snapToGrid/>
      <w:spacing w:before="100" w:beforeAutospacing="1" w:after="100" w:afterAutospacing="1" w:line="240" w:lineRule="auto"/>
      <w:jc w:val="left"/>
    </w:pPr>
    <w:rPr>
      <w:rFonts w:ascii="Times New Roman" w:hAnsi="Times New Roman" w:cs="Times New Roman"/>
      <w:sz w:val="20"/>
      <w:szCs w:val="20"/>
    </w:rPr>
  </w:style>
  <w:style w:type="paragraph" w:customStyle="1" w:styleId="375">
    <w:name w:val="xl226"/>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76">
    <w:name w:val="5"/>
    <w:basedOn w:val="1"/>
    <w:qFormat/>
    <w:uiPriority w:val="0"/>
    <w:pPr>
      <w:ind w:firstLine="200" w:firstLineChars="200"/>
      <w:jc w:val="left"/>
    </w:pPr>
    <w:rPr>
      <w:sz w:val="24"/>
    </w:rPr>
  </w:style>
  <w:style w:type="paragraph" w:customStyle="1" w:styleId="377">
    <w:name w:val="样式 标题 4h4heading 4h41heading 41h42heading 42h411heading ..."/>
    <w:basedOn w:val="4"/>
    <w:qFormat/>
    <w:uiPriority w:val="0"/>
    <w:pPr>
      <w:spacing w:beforeLines="50" w:afterLines="50" w:line="377" w:lineRule="auto"/>
      <w:ind w:left="2240" w:right="220"/>
      <w:jc w:val="left"/>
    </w:pPr>
    <w:rPr>
      <w:rFonts w:ascii="Cambria" w:hAnsi="Cambria" w:eastAsia="宋体" w:cs="宋体"/>
      <w:sz w:val="24"/>
      <w:szCs w:val="20"/>
    </w:rPr>
  </w:style>
  <w:style w:type="paragraph" w:customStyle="1" w:styleId="378">
    <w:name w:val="xl8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b/>
      <w:bCs/>
      <w:color w:val="000000"/>
      <w:sz w:val="24"/>
    </w:rPr>
  </w:style>
  <w:style w:type="paragraph" w:customStyle="1" w:styleId="379">
    <w:name w:val="缺省文本"/>
    <w:basedOn w:val="1"/>
    <w:qFormat/>
    <w:uiPriority w:val="0"/>
    <w:pPr>
      <w:widowControl w:val="0"/>
      <w:shd w:val="clear" w:color="auto" w:fill="auto"/>
      <w:tabs>
        <w:tab w:val="clear" w:pos="426"/>
      </w:tabs>
      <w:autoSpaceDE w:val="0"/>
      <w:autoSpaceDN w:val="0"/>
      <w:snapToGrid/>
      <w:spacing w:line="240" w:lineRule="auto"/>
      <w:jc w:val="left"/>
    </w:pPr>
    <w:rPr>
      <w:rFonts w:ascii="Times New Roman" w:hAnsi="Times New Roman" w:cs="Times New Roman"/>
      <w:sz w:val="24"/>
    </w:rPr>
  </w:style>
  <w:style w:type="paragraph" w:customStyle="1" w:styleId="380">
    <w:name w:val="参数内容"/>
    <w:basedOn w:val="188"/>
    <w:qFormat/>
    <w:uiPriority w:val="0"/>
    <w:pPr>
      <w:ind w:left="780" w:firstLine="0" w:firstLineChars="0"/>
    </w:pPr>
    <w:rPr>
      <w:szCs w:val="18"/>
    </w:rPr>
  </w:style>
  <w:style w:type="paragraph" w:customStyle="1" w:styleId="381">
    <w:name w:val="默认段落字体 Para Char Char Char Char Char Char Char Char Char3 Char Char Char Char"/>
    <w:basedOn w:val="24"/>
    <w:qFormat/>
    <w:uiPriority w:val="0"/>
    <w:pPr>
      <w:spacing w:line="436" w:lineRule="exact"/>
      <w:ind w:left="357"/>
      <w:jc w:val="left"/>
      <w:outlineLvl w:val="3"/>
    </w:pPr>
    <w:rPr>
      <w:rFonts w:ascii="Tahoma" w:hAnsi="Tahoma"/>
      <w:b/>
      <w:sz w:val="24"/>
    </w:rPr>
  </w:style>
  <w:style w:type="paragraph" w:customStyle="1" w:styleId="382">
    <w:name w:val="样式5"/>
    <w:basedOn w:val="1"/>
    <w:qFormat/>
    <w:uiPriority w:val="0"/>
    <w:pPr>
      <w:tabs>
        <w:tab w:val="left" w:pos="900"/>
      </w:tabs>
      <w:spacing w:beforeLines="50" w:afterLines="50"/>
      <w:ind w:left="900"/>
    </w:pPr>
    <w:rPr>
      <w:rFonts w:eastAsia="仿宋_GB2312"/>
      <w:color w:val="000000"/>
      <w:sz w:val="24"/>
    </w:rPr>
  </w:style>
  <w:style w:type="paragraph" w:customStyle="1" w:styleId="383">
    <w:name w:val="Char Char10 Char Char"/>
    <w:basedOn w:val="24"/>
    <w:qFormat/>
    <w:uiPriority w:val="0"/>
    <w:rPr>
      <w:rFonts w:ascii="Tahoma" w:hAnsi="Tahoma"/>
      <w:sz w:val="24"/>
    </w:rPr>
  </w:style>
  <w:style w:type="paragraph" w:customStyle="1" w:styleId="384">
    <w:name w:val="表格正文"/>
    <w:basedOn w:val="1"/>
    <w:qFormat/>
    <w:uiPriority w:val="0"/>
    <w:pPr>
      <w:widowControl w:val="0"/>
      <w:shd w:val="clear" w:color="auto" w:fill="auto"/>
      <w:tabs>
        <w:tab w:val="clear" w:pos="426"/>
      </w:tabs>
      <w:adjustRightInd/>
      <w:snapToGrid/>
      <w:ind w:firstLine="200" w:firstLineChars="200"/>
    </w:pPr>
    <w:rPr>
      <w:rFonts w:ascii="Arial" w:hAnsi="Arial" w:eastAsia="仿宋_GB2312" w:cs="Times New Roman"/>
      <w:kern w:val="2"/>
      <w:sz w:val="24"/>
      <w:szCs w:val="22"/>
    </w:rPr>
  </w:style>
  <w:style w:type="paragraph" w:customStyle="1" w:styleId="385">
    <w:name w:val="文档正文"/>
    <w:basedOn w:val="1"/>
    <w:qFormat/>
    <w:uiPriority w:val="0"/>
    <w:pPr>
      <w:spacing w:line="480" w:lineRule="atLeast"/>
      <w:ind w:firstLine="567" w:firstLineChars="200"/>
      <w:textAlignment w:val="baseline"/>
    </w:pPr>
    <w:rPr>
      <w:rFonts w:ascii="长城仿宋"/>
      <w:szCs w:val="20"/>
    </w:rPr>
  </w:style>
  <w:style w:type="paragraph" w:customStyle="1" w:styleId="386">
    <w:name w:val="xl11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387">
    <w:name w:val="xl114"/>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sz w:val="22"/>
      <w:szCs w:val="22"/>
    </w:rPr>
  </w:style>
  <w:style w:type="paragraph" w:customStyle="1" w:styleId="388">
    <w:name w:val="xl9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0"/>
      <w:szCs w:val="20"/>
    </w:rPr>
  </w:style>
  <w:style w:type="paragraph" w:customStyle="1" w:styleId="389">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390">
    <w:name w:val="Char Char Char Char1"/>
    <w:basedOn w:val="1"/>
    <w:qFormat/>
    <w:uiPriority w:val="0"/>
    <w:pPr>
      <w:spacing w:after="160" w:line="240" w:lineRule="exact"/>
      <w:jc w:val="left"/>
    </w:pPr>
    <w:rPr>
      <w:rFonts w:ascii="Verdana" w:hAnsi="Verdana" w:eastAsia="仿宋_GB2312"/>
      <w:sz w:val="24"/>
      <w:szCs w:val="20"/>
      <w:lang w:eastAsia="en-US"/>
    </w:rPr>
  </w:style>
  <w:style w:type="paragraph" w:customStyle="1" w:styleId="391">
    <w:name w:val="附件1."/>
    <w:basedOn w:val="2"/>
    <w:qFormat/>
    <w:uiPriority w:val="0"/>
    <w:pPr>
      <w:tabs>
        <w:tab w:val="left" w:pos="360"/>
        <w:tab w:val="left" w:pos="420"/>
        <w:tab w:val="clear" w:pos="426"/>
      </w:tabs>
      <w:spacing w:before="0" w:after="0" w:line="360" w:lineRule="auto"/>
      <w:ind w:left="567" w:hanging="567"/>
      <w:jc w:val="both"/>
    </w:pPr>
    <w:rPr>
      <w:rFonts w:ascii="Times New Roman" w:hAnsi="Times New Roman" w:eastAsia="宋体"/>
      <w:b w:val="0"/>
      <w:sz w:val="24"/>
      <w:szCs w:val="44"/>
    </w:rPr>
  </w:style>
  <w:style w:type="paragraph" w:customStyle="1" w:styleId="392">
    <w:name w:val="样式 首行缩进:  0 字符"/>
    <w:basedOn w:val="1"/>
    <w:qFormat/>
    <w:uiPriority w:val="0"/>
    <w:pPr>
      <w:ind w:firstLine="200" w:firstLineChars="200"/>
    </w:pPr>
    <w:rPr>
      <w:sz w:val="24"/>
      <w:szCs w:val="20"/>
    </w:rPr>
  </w:style>
  <w:style w:type="paragraph" w:customStyle="1" w:styleId="393">
    <w:name w:val="xl78"/>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b/>
      <w:bCs/>
      <w:color w:val="000000"/>
      <w:sz w:val="24"/>
    </w:rPr>
  </w:style>
  <w:style w:type="paragraph" w:customStyle="1" w:styleId="394">
    <w:name w:val="xl10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b/>
      <w:bCs/>
      <w:sz w:val="18"/>
      <w:szCs w:val="18"/>
    </w:rPr>
  </w:style>
  <w:style w:type="paragraph" w:customStyle="1" w:styleId="395">
    <w:name w:val="Default Text"/>
    <w:basedOn w:val="1"/>
    <w:qFormat/>
    <w:uiPriority w:val="0"/>
    <w:pPr>
      <w:widowControl w:val="0"/>
      <w:shd w:val="clear" w:color="auto" w:fill="auto"/>
      <w:tabs>
        <w:tab w:val="clear" w:pos="426"/>
      </w:tabs>
      <w:autoSpaceDE w:val="0"/>
      <w:autoSpaceDN w:val="0"/>
      <w:snapToGrid/>
      <w:spacing w:line="240" w:lineRule="auto"/>
      <w:jc w:val="left"/>
    </w:pPr>
    <w:rPr>
      <w:rFonts w:ascii="Times New Roman" w:hAnsi="Times New Roman" w:cs="Times New Roman"/>
      <w:sz w:val="24"/>
    </w:rPr>
  </w:style>
  <w:style w:type="paragraph" w:customStyle="1" w:styleId="396">
    <w:name w:val="xl69"/>
    <w:basedOn w:val="1"/>
    <w:qFormat/>
    <w:uiPriority w:val="0"/>
    <w:pPr>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397">
    <w:name w:val="xl79"/>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398">
    <w:name w:val="xl73"/>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399">
    <w:name w:val="cqq2"/>
    <w:basedOn w:val="1"/>
    <w:qFormat/>
    <w:uiPriority w:val="0"/>
    <w:pPr>
      <w:widowControl w:val="0"/>
      <w:shd w:val="clear" w:color="auto" w:fill="auto"/>
      <w:tabs>
        <w:tab w:val="clear" w:pos="426"/>
      </w:tabs>
      <w:adjustRightInd/>
      <w:snapToGrid/>
      <w:spacing w:line="520" w:lineRule="exact"/>
    </w:pPr>
    <w:rPr>
      <w:rFonts w:ascii="仿宋_GB2312" w:hAnsi="Times New Roman" w:eastAsia="仿宋_GB2312" w:cs="Times New Roman"/>
      <w:b/>
      <w:kern w:val="2"/>
      <w:sz w:val="28"/>
      <w:szCs w:val="20"/>
    </w:rPr>
  </w:style>
  <w:style w:type="paragraph" w:customStyle="1" w:styleId="400">
    <w:name w:val="MaoC2"/>
    <w:basedOn w:val="1"/>
    <w:qFormat/>
    <w:uiPriority w:val="0"/>
    <w:pPr>
      <w:tabs>
        <w:tab w:val="left" w:pos="510"/>
      </w:tabs>
      <w:spacing w:line="480" w:lineRule="auto"/>
      <w:ind w:left="420" w:hanging="420"/>
      <w:outlineLvl w:val="1"/>
    </w:pPr>
    <w:rPr>
      <w:rFonts w:ascii="黑体" w:eastAsia="黑体"/>
      <w:szCs w:val="20"/>
    </w:rPr>
  </w:style>
  <w:style w:type="paragraph" w:customStyle="1" w:styleId="401">
    <w:name w:val="xl10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Courier New" w:hAnsi="Courier New" w:cs="Courier New"/>
      <w:sz w:val="22"/>
      <w:szCs w:val="22"/>
    </w:rPr>
  </w:style>
  <w:style w:type="paragraph" w:customStyle="1" w:styleId="402">
    <w:name w:val="xl266"/>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03">
    <w:name w:val="样式 标题 2H2Heading 2 HiddenHeading 2 CCBSheading 22nd levelh...1"/>
    <w:basedOn w:val="5"/>
    <w:qFormat/>
    <w:uiPriority w:val="0"/>
    <w:pPr>
      <w:adjustRightInd/>
      <w:spacing w:before="240" w:after="240"/>
      <w:ind w:left="576" w:hanging="576"/>
      <w:jc w:val="left"/>
      <w:textAlignment w:val="auto"/>
    </w:pPr>
    <w:rPr>
      <w:bCs/>
      <w:kern w:val="2"/>
      <w:sz w:val="28"/>
      <w:szCs w:val="28"/>
    </w:rPr>
  </w:style>
  <w:style w:type="paragraph" w:customStyle="1" w:styleId="404">
    <w:name w:val="样式 Verdana 四号 首行缩进:  2 字符"/>
    <w:basedOn w:val="1"/>
    <w:qFormat/>
    <w:uiPriority w:val="0"/>
    <w:pPr>
      <w:ind w:firstLine="560" w:firstLineChars="200"/>
      <w:jc w:val="left"/>
    </w:pPr>
    <w:rPr>
      <w:rFonts w:ascii="Verdana" w:hAnsi="Verdana"/>
      <w:sz w:val="24"/>
      <w:szCs w:val="20"/>
    </w:rPr>
  </w:style>
  <w:style w:type="paragraph" w:customStyle="1" w:styleId="405">
    <w:name w:val="主题"/>
    <w:basedOn w:val="1"/>
    <w:qFormat/>
    <w:uiPriority w:val="0"/>
  </w:style>
  <w:style w:type="paragraph" w:customStyle="1" w:styleId="406">
    <w:name w:val="ggtitle"/>
    <w:basedOn w:val="1"/>
    <w:semiHidden/>
    <w:qFormat/>
    <w:uiPriority w:val="0"/>
    <w:pPr>
      <w:shd w:val="clear" w:color="auto" w:fill="auto"/>
      <w:tabs>
        <w:tab w:val="clear" w:pos="426"/>
      </w:tabs>
      <w:adjustRightInd/>
      <w:snapToGrid/>
      <w:spacing w:before="100" w:beforeAutospacing="1" w:after="100" w:afterAutospacing="1" w:line="330" w:lineRule="atLeast"/>
      <w:jc w:val="left"/>
    </w:pPr>
    <w:rPr>
      <w:sz w:val="23"/>
      <w:szCs w:val="23"/>
    </w:rPr>
  </w:style>
  <w:style w:type="paragraph" w:customStyle="1" w:styleId="407">
    <w:name w:val="小标题 1"/>
    <w:basedOn w:val="1"/>
    <w:qFormat/>
    <w:uiPriority w:val="0"/>
    <w:pPr>
      <w:autoSpaceDE w:val="0"/>
      <w:autoSpaceDN w:val="0"/>
      <w:spacing w:line="360" w:lineRule="atLeast"/>
    </w:pPr>
    <w:rPr>
      <w:rFonts w:ascii="文鼎粗黑" w:eastAsia="文鼎粗黑"/>
      <w:sz w:val="22"/>
      <w:szCs w:val="20"/>
    </w:rPr>
  </w:style>
  <w:style w:type="paragraph" w:customStyle="1" w:styleId="408">
    <w:name w:val="修订1"/>
    <w:unhideWhenUsed/>
    <w:qFormat/>
    <w:uiPriority w:val="99"/>
    <w:rPr>
      <w:rFonts w:ascii="宋体" w:hAnsi="宋体" w:eastAsia="宋体" w:cs="宋体"/>
      <w:sz w:val="21"/>
      <w:szCs w:val="24"/>
      <w:lang w:val="en-US" w:eastAsia="zh-CN" w:bidi="ar-SA"/>
    </w:rPr>
  </w:style>
  <w:style w:type="paragraph" w:customStyle="1" w:styleId="409">
    <w:name w:val="样式 标题 4 + 段前: 0.5 行 段后: 0.5 行"/>
    <w:basedOn w:val="4"/>
    <w:qFormat/>
    <w:uiPriority w:val="0"/>
    <w:pPr>
      <w:spacing w:beforeLines="50" w:afterLines="50" w:line="377" w:lineRule="auto"/>
      <w:ind w:left="2240"/>
      <w:jc w:val="left"/>
    </w:pPr>
    <w:rPr>
      <w:rFonts w:ascii="Cambria" w:hAnsi="Cambria" w:eastAsia="宋体" w:cs="宋体"/>
      <w:sz w:val="24"/>
      <w:szCs w:val="20"/>
    </w:rPr>
  </w:style>
  <w:style w:type="paragraph" w:customStyle="1" w:styleId="410">
    <w:name w:val="xl12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411">
    <w:name w:val="xl80"/>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left"/>
      <w:textAlignment w:val="center"/>
    </w:pPr>
    <w:rPr>
      <w:color w:val="000000"/>
      <w:sz w:val="24"/>
    </w:rPr>
  </w:style>
  <w:style w:type="paragraph" w:customStyle="1" w:styleId="412">
    <w:name w:val="xl77"/>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left"/>
      <w:textAlignment w:val="center"/>
    </w:pPr>
    <w:rPr>
      <w:color w:val="000000"/>
      <w:sz w:val="24"/>
    </w:rPr>
  </w:style>
  <w:style w:type="paragraph" w:customStyle="1" w:styleId="413">
    <w:name w:val="样式 标题 2H2Heading 2 HiddenHeading 2 CCBSheading 22nd levelh..."/>
    <w:basedOn w:val="5"/>
    <w:qFormat/>
    <w:uiPriority w:val="0"/>
    <w:pPr>
      <w:adjustRightInd/>
      <w:spacing w:before="120" w:after="120"/>
      <w:ind w:left="576" w:hanging="576"/>
      <w:jc w:val="left"/>
      <w:textAlignment w:val="auto"/>
    </w:pPr>
    <w:rPr>
      <w:rFonts w:ascii="Arial" w:hAnsi="Arial" w:eastAsia="黑体" w:cs="宋体"/>
      <w:bCs/>
      <w:kern w:val="2"/>
      <w:sz w:val="28"/>
      <w:szCs w:val="28"/>
    </w:rPr>
  </w:style>
  <w:style w:type="paragraph" w:customStyle="1" w:styleId="414">
    <w:name w:val="自定义正文"/>
    <w:basedOn w:val="1"/>
    <w:qFormat/>
    <w:uiPriority w:val="0"/>
    <w:pPr>
      <w:spacing w:afterLines="50"/>
      <w:ind w:left="600" w:leftChars="600"/>
    </w:pPr>
  </w:style>
  <w:style w:type="paragraph" w:customStyle="1" w:styleId="415">
    <w:name w:val="xl72"/>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textAlignment w:val="center"/>
    </w:pPr>
    <w:rPr>
      <w:color w:val="000000"/>
      <w:sz w:val="24"/>
    </w:rPr>
  </w:style>
  <w:style w:type="paragraph" w:customStyle="1" w:styleId="416">
    <w:name w:val="Char Char Char Char Char"/>
    <w:basedOn w:val="1"/>
    <w:qFormat/>
    <w:uiPriority w:val="0"/>
    <w:rPr>
      <w:rFonts w:ascii="Tahoma" w:hAnsi="Tahoma"/>
      <w:sz w:val="24"/>
      <w:szCs w:val="20"/>
    </w:rPr>
  </w:style>
  <w:style w:type="paragraph" w:customStyle="1" w:styleId="417">
    <w:name w:val="È±Ê¡ÎÄ±¾"/>
    <w:basedOn w:val="1"/>
    <w:qFormat/>
    <w:uiPriority w:val="0"/>
    <w:pPr>
      <w:overflowPunct w:val="0"/>
      <w:autoSpaceDE w:val="0"/>
      <w:autoSpaceDN w:val="0"/>
      <w:jc w:val="left"/>
      <w:textAlignment w:val="baseline"/>
    </w:pPr>
    <w:rPr>
      <w:sz w:val="24"/>
      <w:szCs w:val="20"/>
    </w:rPr>
  </w:style>
  <w:style w:type="paragraph" w:customStyle="1" w:styleId="418">
    <w:name w:val="xl10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419">
    <w:name w:val="USE 4"/>
    <w:basedOn w:val="1"/>
    <w:qFormat/>
    <w:uiPriority w:val="0"/>
    <w:pPr>
      <w:widowControl w:val="0"/>
      <w:shd w:val="clear" w:color="auto" w:fill="auto"/>
      <w:tabs>
        <w:tab w:val="clear" w:pos="426"/>
      </w:tabs>
      <w:adjustRightInd/>
      <w:snapToGrid/>
      <w:ind w:left="284" w:hanging="227"/>
      <w:jc w:val="left"/>
    </w:pPr>
    <w:rPr>
      <w:rFonts w:cs="Times New Roman"/>
      <w:kern w:val="2"/>
      <w:sz w:val="24"/>
      <w:szCs w:val="20"/>
    </w:rPr>
  </w:style>
  <w:style w:type="paragraph" w:customStyle="1" w:styleId="420">
    <w:name w:val="表1"/>
    <w:basedOn w:val="1"/>
    <w:qFormat/>
    <w:uiPriority w:val="0"/>
    <w:pPr>
      <w:widowControl w:val="0"/>
      <w:shd w:val="clear" w:color="auto" w:fill="auto"/>
      <w:tabs>
        <w:tab w:val="clear" w:pos="426"/>
      </w:tabs>
      <w:adjustRightInd/>
      <w:snapToGrid/>
      <w:spacing w:line="240" w:lineRule="auto"/>
    </w:pPr>
    <w:rPr>
      <w:rFonts w:hint="eastAsia" w:ascii="Times New Roman" w:cs="Times New Roman"/>
      <w:kern w:val="2"/>
      <w:sz w:val="24"/>
      <w:szCs w:val="20"/>
    </w:rPr>
  </w:style>
  <w:style w:type="paragraph" w:customStyle="1" w:styleId="421">
    <w:name w:val="xl258"/>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22">
    <w:name w:val="Char Char Char1 Char Char Char1 Char Char Char Char Char Char1 Char Char Char1 Char"/>
    <w:basedOn w:val="1"/>
    <w:qFormat/>
    <w:uiPriority w:val="0"/>
    <w:pPr>
      <w:widowControl w:val="0"/>
      <w:shd w:val="clear" w:color="auto" w:fill="auto"/>
      <w:tabs>
        <w:tab w:val="clear" w:pos="426"/>
      </w:tabs>
      <w:adjustRightInd/>
      <w:snapToGrid/>
      <w:spacing w:line="240" w:lineRule="auto"/>
    </w:pPr>
    <w:rPr>
      <w:rFonts w:ascii="Times New Roman" w:hAnsi="Times New Roman" w:cs="Times New Roman"/>
      <w:kern w:val="2"/>
      <w:szCs w:val="20"/>
    </w:rPr>
  </w:style>
  <w:style w:type="paragraph" w:customStyle="1" w:styleId="423">
    <w:name w:val="附件圈"/>
    <w:basedOn w:val="424"/>
    <w:qFormat/>
    <w:uiPriority w:val="0"/>
    <w:pPr>
      <w:tabs>
        <w:tab w:val="left" w:pos="420"/>
        <w:tab w:val="left" w:pos="426"/>
      </w:tabs>
      <w:ind w:left="0" w:firstLine="420"/>
    </w:pPr>
  </w:style>
  <w:style w:type="paragraph" w:customStyle="1" w:styleId="424">
    <w:name w:val="附件(1)"/>
    <w:basedOn w:val="1"/>
    <w:qFormat/>
    <w:uiPriority w:val="0"/>
    <w:pPr>
      <w:ind w:left="900" w:firstLine="200" w:firstLineChars="200"/>
    </w:pPr>
    <w:rPr>
      <w:sz w:val="24"/>
    </w:rPr>
  </w:style>
  <w:style w:type="paragraph" w:customStyle="1" w:styleId="425">
    <w:name w:val="样式 10 磅"/>
    <w:qFormat/>
    <w:uiPriority w:val="0"/>
    <w:pPr>
      <w:shd w:val="clear" w:color="auto" w:fill="FFFFFF"/>
      <w:tabs>
        <w:tab w:val="left" w:pos="426"/>
      </w:tabs>
      <w:adjustRightInd w:val="0"/>
      <w:snapToGrid w:val="0"/>
      <w:jc w:val="center"/>
    </w:pPr>
    <w:rPr>
      <w:rFonts w:ascii="宋体" w:hAnsi="Times New Roman" w:eastAsia="宋体" w:cs="宋体"/>
      <w:sz w:val="21"/>
      <w:szCs w:val="24"/>
      <w:lang w:val="en-US" w:eastAsia="zh-CN" w:bidi="ar-SA"/>
    </w:rPr>
  </w:style>
  <w:style w:type="paragraph" w:customStyle="1" w:styleId="426">
    <w:name w:val="xl256"/>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2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28">
    <w:name w:val="方案标题1"/>
    <w:basedOn w:val="81"/>
    <w:qFormat/>
    <w:uiPriority w:val="0"/>
    <w:pPr>
      <w:tabs>
        <w:tab w:val="left" w:pos="1440"/>
      </w:tabs>
      <w:spacing w:beforeLines="50" w:afterLines="50"/>
      <w:ind w:firstLine="200" w:firstLineChars="200"/>
      <w:jc w:val="both"/>
    </w:pPr>
    <w:rPr>
      <w:color w:val="000000"/>
    </w:rPr>
  </w:style>
  <w:style w:type="paragraph" w:customStyle="1" w:styleId="429">
    <w:name w:val="xl260"/>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30">
    <w:name w:val="标题1"/>
    <w:basedOn w:val="2"/>
    <w:qFormat/>
    <w:uiPriority w:val="0"/>
    <w:pPr>
      <w:keepNext/>
      <w:keepLines/>
      <w:widowControl w:val="0"/>
      <w:shd w:val="clear" w:color="auto" w:fill="auto"/>
      <w:tabs>
        <w:tab w:val="clear" w:pos="426"/>
      </w:tabs>
      <w:adjustRightInd/>
      <w:snapToGrid/>
      <w:spacing w:before="400" w:after="400" w:line="240" w:lineRule="auto"/>
      <w:ind w:left="284" w:hanging="284"/>
      <w:jc w:val="both"/>
    </w:pPr>
    <w:rPr>
      <w:rFonts w:ascii="Times New Roman" w:hAnsi="Times New Roman" w:cs="宋体"/>
      <w:sz w:val="30"/>
      <w:szCs w:val="24"/>
    </w:rPr>
  </w:style>
  <w:style w:type="paragraph" w:customStyle="1" w:styleId="431">
    <w:name w:val="xl264"/>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32">
    <w:name w:val="表格注释"/>
    <w:basedOn w:val="1"/>
    <w:qFormat/>
    <w:uiPriority w:val="0"/>
    <w:pPr>
      <w:widowControl w:val="0"/>
      <w:shd w:val="clear" w:color="auto" w:fill="auto"/>
      <w:tabs>
        <w:tab w:val="clear" w:pos="426"/>
      </w:tabs>
      <w:adjustRightInd/>
      <w:snapToGrid/>
      <w:spacing w:line="300" w:lineRule="exact"/>
      <w:ind w:firstLine="200" w:firstLineChars="200"/>
      <w:jc w:val="left"/>
    </w:pPr>
    <w:rPr>
      <w:rFonts w:ascii="Times New Roman" w:hAnsi="Times New Roman" w:eastAsia="楷体_GB2312"/>
      <w:szCs w:val="21"/>
    </w:rPr>
  </w:style>
  <w:style w:type="paragraph" w:customStyle="1" w:styleId="433">
    <w:name w:val="xl254"/>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color w:val="000000"/>
      <w:sz w:val="24"/>
    </w:rPr>
  </w:style>
  <w:style w:type="paragraph" w:customStyle="1" w:styleId="434">
    <w:name w:val="xl9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2"/>
      <w:szCs w:val="22"/>
    </w:rPr>
  </w:style>
  <w:style w:type="paragraph" w:customStyle="1" w:styleId="435">
    <w:name w:val="2册标题2"/>
    <w:basedOn w:val="1"/>
    <w:next w:val="1"/>
    <w:qFormat/>
    <w:uiPriority w:val="0"/>
    <w:pPr>
      <w:shd w:val="clear" w:color="auto" w:fill="auto"/>
      <w:tabs>
        <w:tab w:val="clear" w:pos="426"/>
      </w:tabs>
      <w:adjustRightInd/>
      <w:snapToGrid/>
      <w:spacing w:beforeLines="50" w:afterLines="50" w:line="300" w:lineRule="auto"/>
      <w:jc w:val="left"/>
      <w:outlineLvl w:val="1"/>
    </w:pPr>
    <w:rPr>
      <w:rFonts w:ascii="Arial" w:hAnsi="Arial" w:eastAsia="黑体" w:cs="Times New Roman"/>
      <w:sz w:val="30"/>
      <w:szCs w:val="30"/>
      <w:lang w:eastAsia="en-US" w:bidi="en-US"/>
    </w:rPr>
  </w:style>
  <w:style w:type="paragraph" w:customStyle="1" w:styleId="436">
    <w:name w:val="xl76"/>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color w:val="000000"/>
      <w:sz w:val="24"/>
    </w:rPr>
  </w:style>
  <w:style w:type="paragraph" w:customStyle="1" w:styleId="437">
    <w:name w:val="CM51"/>
    <w:basedOn w:val="291"/>
    <w:next w:val="291"/>
    <w:qFormat/>
    <w:uiPriority w:val="0"/>
    <w:pPr>
      <w:spacing w:after="103"/>
    </w:pPr>
    <w:rPr>
      <w:rFonts w:ascii="黑体" w:eastAsia="黑体"/>
      <w:color w:val="auto"/>
    </w:rPr>
  </w:style>
  <w:style w:type="paragraph" w:customStyle="1" w:styleId="438">
    <w:name w:val="xl259"/>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39">
    <w:name w:val="样式3"/>
    <w:basedOn w:val="1"/>
    <w:qFormat/>
    <w:uiPriority w:val="0"/>
    <w:pPr>
      <w:ind w:left="1620" w:hanging="420"/>
      <w:outlineLvl w:val="2"/>
    </w:pPr>
    <w:rPr>
      <w:b/>
    </w:rPr>
  </w:style>
  <w:style w:type="paragraph" w:customStyle="1" w:styleId="440">
    <w:name w:val="目录"/>
    <w:basedOn w:val="1"/>
    <w:qFormat/>
    <w:uiPriority w:val="0"/>
    <w:pPr>
      <w:shd w:val="clear" w:color="auto" w:fill="auto"/>
      <w:tabs>
        <w:tab w:val="clear" w:pos="426"/>
      </w:tabs>
      <w:adjustRightInd/>
      <w:snapToGrid/>
      <w:spacing w:line="240" w:lineRule="auto"/>
      <w:jc w:val="center"/>
    </w:pPr>
    <w:rPr>
      <w:rFonts w:hAnsi="Times New Roman" w:cs="Times New Roman"/>
      <w:b/>
      <w:sz w:val="36"/>
      <w:szCs w:val="20"/>
    </w:rPr>
  </w:style>
  <w:style w:type="paragraph" w:customStyle="1" w:styleId="441">
    <w:name w:val="xl233"/>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42">
    <w:name w:val="xl235"/>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43">
    <w:name w:val="font0"/>
    <w:basedOn w:val="1"/>
    <w:qFormat/>
    <w:uiPriority w:val="0"/>
    <w:pPr>
      <w:shd w:val="clear" w:color="auto" w:fill="auto"/>
      <w:tabs>
        <w:tab w:val="clear" w:pos="426"/>
      </w:tabs>
      <w:adjustRightInd/>
      <w:snapToGrid/>
      <w:spacing w:before="100" w:beforeAutospacing="1" w:after="100" w:afterAutospacing="1" w:line="240" w:lineRule="auto"/>
      <w:jc w:val="left"/>
    </w:pPr>
    <w:rPr>
      <w:rFonts w:ascii="Arial" w:hAnsi="Arial" w:cs="Arial"/>
      <w:sz w:val="20"/>
      <w:szCs w:val="20"/>
    </w:rPr>
  </w:style>
  <w:style w:type="paragraph" w:customStyle="1" w:styleId="444">
    <w:name w:val="font5"/>
    <w:basedOn w:val="1"/>
    <w:qFormat/>
    <w:uiPriority w:val="0"/>
    <w:pPr>
      <w:spacing w:before="100" w:beforeAutospacing="1" w:after="100" w:afterAutospacing="1"/>
      <w:jc w:val="left"/>
    </w:pPr>
    <w:rPr>
      <w:sz w:val="18"/>
      <w:szCs w:val="18"/>
    </w:rPr>
  </w:style>
  <w:style w:type="paragraph" w:customStyle="1" w:styleId="445">
    <w:name w:val="xl11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446">
    <w:name w:val="xl70"/>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b/>
      <w:bCs/>
      <w:color w:val="000000"/>
      <w:sz w:val="24"/>
    </w:rPr>
  </w:style>
  <w:style w:type="paragraph" w:customStyle="1" w:styleId="447">
    <w:name w:val="USE 1"/>
    <w:basedOn w:val="1"/>
    <w:qFormat/>
    <w:uiPriority w:val="99"/>
    <w:pPr>
      <w:widowControl w:val="0"/>
      <w:shd w:val="clear" w:color="auto" w:fill="auto"/>
      <w:tabs>
        <w:tab w:val="clear" w:pos="426"/>
      </w:tabs>
      <w:adjustRightInd/>
      <w:snapToGrid/>
      <w:spacing w:line="200" w:lineRule="atLeast"/>
    </w:pPr>
    <w:rPr>
      <w:rFonts w:cs="Times New Roman"/>
      <w:b/>
      <w:kern w:val="2"/>
      <w:sz w:val="24"/>
      <w:szCs w:val="28"/>
    </w:rPr>
  </w:style>
  <w:style w:type="paragraph" w:customStyle="1" w:styleId="448">
    <w:name w:val="样式 USE 1 + 行距: 单倍行距"/>
    <w:basedOn w:val="1"/>
    <w:qFormat/>
    <w:uiPriority w:val="0"/>
    <w:pPr>
      <w:widowControl w:val="0"/>
      <w:shd w:val="clear" w:color="auto" w:fill="auto"/>
      <w:tabs>
        <w:tab w:val="clear" w:pos="426"/>
      </w:tabs>
      <w:adjustRightInd/>
      <w:snapToGrid/>
      <w:spacing w:line="180" w:lineRule="atLeast"/>
      <w:ind w:left="180"/>
      <w:jc w:val="left"/>
    </w:pPr>
    <w:rPr>
      <w:b/>
      <w:bCs/>
      <w:kern w:val="2"/>
      <w:sz w:val="24"/>
      <w:szCs w:val="20"/>
    </w:rPr>
  </w:style>
  <w:style w:type="paragraph" w:customStyle="1" w:styleId="449">
    <w:name w:val="font8"/>
    <w:basedOn w:val="1"/>
    <w:qFormat/>
    <w:uiPriority w:val="0"/>
    <w:pPr>
      <w:shd w:val="clear" w:color="auto" w:fill="auto"/>
      <w:tabs>
        <w:tab w:val="clear" w:pos="426"/>
      </w:tabs>
      <w:adjustRightInd/>
      <w:snapToGrid/>
      <w:spacing w:before="100" w:beforeAutospacing="1" w:after="100" w:afterAutospacing="1" w:line="240" w:lineRule="auto"/>
      <w:jc w:val="left"/>
    </w:pPr>
    <w:rPr>
      <w:rFonts w:ascii="Times New Roman" w:hAnsi="Times New Roman" w:cs="Times New Roman"/>
      <w:sz w:val="18"/>
      <w:szCs w:val="18"/>
    </w:rPr>
  </w:style>
  <w:style w:type="paragraph" w:customStyle="1" w:styleId="450">
    <w:name w:val="xl131"/>
    <w:basedOn w:val="1"/>
    <w:qFormat/>
    <w:uiPriority w:val="0"/>
    <w:pPr>
      <w:pBdr>
        <w:top w:val="single" w:color="auto" w:sz="4" w:space="0"/>
        <w:left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451">
    <w:name w:val="xl89"/>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452">
    <w:name w:val="xl268"/>
    <w:basedOn w:val="1"/>
    <w:qFormat/>
    <w:uiPriority w:val="0"/>
    <w:pP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53">
    <w:name w:val="正文-1级标题-1"/>
    <w:basedOn w:val="1"/>
    <w:next w:val="1"/>
    <w:qFormat/>
    <w:uiPriority w:val="0"/>
    <w:pPr>
      <w:keepNext/>
      <w:tabs>
        <w:tab w:val="left" w:pos="420"/>
        <w:tab w:val="clear" w:pos="426"/>
      </w:tabs>
      <w:spacing w:beforeLines="30" w:afterLines="30"/>
    </w:pPr>
    <w:rPr>
      <w:b/>
      <w:sz w:val="24"/>
      <w:szCs w:val="28"/>
      <w:lang w:val="en-GB"/>
    </w:rPr>
  </w:style>
  <w:style w:type="paragraph" w:customStyle="1" w:styleId="454">
    <w:name w:val="样式 标题 1 + 段前: 0.5 行 段后: 0.5 行"/>
    <w:basedOn w:val="2"/>
    <w:qFormat/>
    <w:uiPriority w:val="0"/>
    <w:pPr>
      <w:keepNext/>
      <w:keepLines/>
      <w:spacing w:beforeLines="50" w:afterLines="50" w:line="578" w:lineRule="auto"/>
      <w:jc w:val="both"/>
    </w:pPr>
    <w:rPr>
      <w:rFonts w:ascii="Times New Roman" w:hAnsi="Times New Roman" w:eastAsia="宋体" w:cs="宋体"/>
      <w:sz w:val="44"/>
      <w:szCs w:val="20"/>
    </w:rPr>
  </w:style>
  <w:style w:type="paragraph" w:customStyle="1" w:styleId="455">
    <w:name w:val="样式2"/>
    <w:basedOn w:val="2"/>
    <w:qFormat/>
    <w:uiPriority w:val="0"/>
    <w:pPr>
      <w:keepNext/>
      <w:keepLines/>
      <w:spacing w:before="0" w:after="0" w:line="578" w:lineRule="auto"/>
      <w:ind w:left="1200" w:hanging="420"/>
      <w:jc w:val="both"/>
    </w:pPr>
    <w:rPr>
      <w:rFonts w:eastAsia="宋体"/>
      <w:szCs w:val="44"/>
    </w:rPr>
  </w:style>
  <w:style w:type="paragraph" w:customStyle="1" w:styleId="456">
    <w:name w:val="xl95"/>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sz w:val="22"/>
      <w:szCs w:val="22"/>
    </w:rPr>
  </w:style>
  <w:style w:type="paragraph" w:customStyle="1" w:styleId="457">
    <w:name w:val="xl224"/>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58">
    <w:name w:val="xl74"/>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pPr>
    <w:rPr>
      <w:color w:val="000000"/>
      <w:sz w:val="24"/>
    </w:rPr>
  </w:style>
  <w:style w:type="paragraph" w:customStyle="1" w:styleId="459">
    <w:name w:val="p0"/>
    <w:basedOn w:val="1"/>
    <w:qFormat/>
    <w:uiPriority w:val="0"/>
    <w:rPr>
      <w:rFonts w:ascii="Calibri" w:hAnsi="Calibri"/>
      <w:szCs w:val="21"/>
    </w:rPr>
  </w:style>
  <w:style w:type="paragraph" w:customStyle="1" w:styleId="460">
    <w:name w:val="xl12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461">
    <w:name w:val="xl133"/>
    <w:basedOn w:val="1"/>
    <w:qFormat/>
    <w:uiPriority w:val="0"/>
    <w:pPr>
      <w:pBdr>
        <w:top w:val="single" w:color="auto" w:sz="4" w:space="0"/>
        <w:bottom w:val="single" w:color="auto" w:sz="4" w:space="0"/>
        <w:right w:val="single" w:color="auto" w:sz="4" w:space="0"/>
      </w:pBdr>
      <w:spacing w:beforeAutospacing="1" w:afterAutospacing="1"/>
      <w:jc w:val="center"/>
      <w:textAlignment w:val="center"/>
    </w:pPr>
    <w:rPr>
      <w:rFonts w:ascii="黑体" w:hAnsi="黑体" w:eastAsia="黑体"/>
      <w:b/>
      <w:bCs/>
      <w:sz w:val="28"/>
      <w:szCs w:val="28"/>
    </w:rPr>
  </w:style>
  <w:style w:type="paragraph" w:customStyle="1" w:styleId="462">
    <w:name w:val="TOC 标题11"/>
    <w:basedOn w:val="2"/>
    <w:next w:val="1"/>
    <w:qFormat/>
    <w:uiPriority w:val="39"/>
    <w:pPr>
      <w:spacing w:before="480" w:after="0" w:line="276" w:lineRule="auto"/>
      <w:jc w:val="left"/>
      <w:outlineLvl w:val="9"/>
    </w:pPr>
    <w:rPr>
      <w:rFonts w:ascii="Cambria" w:hAnsi="Cambria" w:eastAsia="宋体"/>
      <w:color w:val="365F91"/>
      <w:kern w:val="0"/>
    </w:rPr>
  </w:style>
  <w:style w:type="paragraph" w:customStyle="1" w:styleId="463">
    <w:name w:val="xl245"/>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64">
    <w:name w:val="样式 题注 + 行距: 固定值 23 磅"/>
    <w:basedOn w:val="20"/>
    <w:qFormat/>
    <w:uiPriority w:val="0"/>
    <w:pPr>
      <w:widowControl w:val="0"/>
      <w:shd w:val="clear" w:color="auto" w:fill="auto"/>
      <w:adjustRightInd/>
      <w:snapToGrid/>
      <w:spacing w:after="300" w:line="460" w:lineRule="exact"/>
      <w:jc w:val="center"/>
    </w:pPr>
    <w:rPr>
      <w:rFonts w:eastAsia="宋体" w:cs="宋体"/>
      <w:kern w:val="2"/>
      <w:sz w:val="21"/>
      <w:szCs w:val="24"/>
    </w:rPr>
  </w:style>
  <w:style w:type="paragraph" w:customStyle="1" w:styleId="465">
    <w:name w:val="方案标题3"/>
    <w:basedOn w:val="81"/>
    <w:qFormat/>
    <w:uiPriority w:val="0"/>
    <w:pPr>
      <w:spacing w:beforeLines="50" w:afterLines="50" w:line="440" w:lineRule="exact"/>
      <w:ind w:firstLine="200" w:firstLineChars="200"/>
      <w:jc w:val="left"/>
      <w:outlineLvl w:val="2"/>
    </w:pPr>
    <w:rPr>
      <w:rFonts w:ascii="黑体" w:eastAsia="黑体"/>
      <w:color w:val="000000"/>
      <w:sz w:val="28"/>
      <w:szCs w:val="24"/>
    </w:rPr>
  </w:style>
  <w:style w:type="paragraph" w:customStyle="1" w:styleId="466">
    <w:name w:val="font6"/>
    <w:basedOn w:val="1"/>
    <w:qFormat/>
    <w:uiPriority w:val="0"/>
    <w:pPr>
      <w:spacing w:beforeAutospacing="1" w:afterAutospacing="1"/>
      <w:jc w:val="left"/>
    </w:pPr>
    <w:rPr>
      <w:sz w:val="18"/>
      <w:szCs w:val="18"/>
    </w:rPr>
  </w:style>
  <w:style w:type="paragraph" w:customStyle="1" w:styleId="467">
    <w:name w:val="样式 标题 4 + 段前: 0.5 行 段后: 0.5 行1"/>
    <w:basedOn w:val="4"/>
    <w:qFormat/>
    <w:uiPriority w:val="0"/>
    <w:pPr>
      <w:spacing w:beforeLines="50" w:afterLines="50" w:line="377" w:lineRule="auto"/>
      <w:ind w:left="-2" w:leftChars="-1" w:firstLine="569" w:firstLineChars="236"/>
      <w:jc w:val="left"/>
    </w:pPr>
    <w:rPr>
      <w:rFonts w:ascii="Cambria" w:hAnsi="Cambria" w:eastAsia="宋体" w:cs="宋体"/>
      <w:sz w:val="24"/>
      <w:szCs w:val="20"/>
    </w:rPr>
  </w:style>
  <w:style w:type="paragraph" w:customStyle="1" w:styleId="468">
    <w:name w:val="表标题"/>
    <w:basedOn w:val="1"/>
    <w:qFormat/>
    <w:uiPriority w:val="0"/>
    <w:pPr>
      <w:jc w:val="center"/>
    </w:pPr>
    <w:rPr>
      <w:rFonts w:eastAsia="黑体"/>
      <w:b/>
    </w:rPr>
  </w:style>
  <w:style w:type="paragraph" w:customStyle="1" w:styleId="469">
    <w:name w:val="图"/>
    <w:basedOn w:val="1"/>
    <w:qFormat/>
    <w:uiPriority w:val="0"/>
    <w:pPr>
      <w:keepNext/>
      <w:spacing w:before="60" w:after="60" w:line="300" w:lineRule="auto"/>
      <w:jc w:val="center"/>
    </w:pPr>
    <w:rPr>
      <w:spacing w:val="20"/>
      <w:sz w:val="24"/>
      <w:szCs w:val="20"/>
    </w:rPr>
  </w:style>
  <w:style w:type="paragraph" w:customStyle="1" w:styleId="470">
    <w:name w:val="xl243"/>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71">
    <w:name w:val="样式 样式 (符号) 宋体 小四 行距: 1.5 倍行距 首行缩进:  1.5 字符 + 宋体 首行缩进:  2 字符"/>
    <w:basedOn w:val="1"/>
    <w:qFormat/>
    <w:uiPriority w:val="0"/>
    <w:pPr>
      <w:ind w:firstLine="480" w:firstLineChars="200"/>
    </w:pPr>
    <w:rPr>
      <w:sz w:val="24"/>
      <w:szCs w:val="20"/>
    </w:rPr>
  </w:style>
  <w:style w:type="paragraph" w:customStyle="1" w:styleId="472">
    <w:name w:val="font10"/>
    <w:basedOn w:val="1"/>
    <w:qFormat/>
    <w:uiPriority w:val="0"/>
    <w:pPr>
      <w:shd w:val="clear" w:color="auto" w:fill="auto"/>
      <w:tabs>
        <w:tab w:val="clear" w:pos="426"/>
      </w:tabs>
      <w:adjustRightInd/>
      <w:snapToGrid/>
      <w:spacing w:before="100" w:beforeAutospacing="1" w:after="100" w:afterAutospacing="1" w:line="240" w:lineRule="auto"/>
      <w:jc w:val="left"/>
    </w:pPr>
    <w:rPr>
      <w:rFonts w:ascii="Calibri" w:hAnsi="Calibri"/>
      <w:sz w:val="20"/>
      <w:szCs w:val="20"/>
    </w:rPr>
  </w:style>
  <w:style w:type="paragraph" w:customStyle="1" w:styleId="473">
    <w:name w:val="样式 标题 3style3H3h33rd levelLevel 3 Headlevel_3PIM 33l3C..."/>
    <w:basedOn w:val="3"/>
    <w:qFormat/>
    <w:uiPriority w:val="0"/>
    <w:pPr>
      <w:tabs>
        <w:tab w:val="left" w:pos="851"/>
      </w:tabs>
      <w:spacing w:beforeLines="50" w:afterLines="50" w:line="415" w:lineRule="auto"/>
      <w:ind w:left="-4" w:leftChars="-2" w:right="220" w:firstLine="571" w:firstLineChars="203"/>
      <w:jc w:val="left"/>
    </w:pPr>
    <w:rPr>
      <w:rFonts w:ascii="Times New Roman" w:hAnsi="Times New Roman" w:cs="宋体"/>
      <w:bCs w:val="0"/>
      <w:color w:val="000000"/>
      <w:szCs w:val="20"/>
    </w:rPr>
  </w:style>
  <w:style w:type="paragraph" w:customStyle="1" w:styleId="474">
    <w:name w:val="xl9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sz w:val="22"/>
      <w:szCs w:val="22"/>
    </w:rPr>
  </w:style>
  <w:style w:type="paragraph" w:customStyle="1" w:styleId="475">
    <w:name w:val="附录"/>
    <w:basedOn w:val="20"/>
    <w:next w:val="1"/>
    <w:qFormat/>
    <w:uiPriority w:val="0"/>
    <w:pPr>
      <w:widowControl w:val="0"/>
      <w:shd w:val="clear" w:color="auto" w:fill="auto"/>
      <w:adjustRightInd/>
      <w:snapToGrid/>
      <w:spacing w:before="152" w:after="160" w:line="240" w:lineRule="auto"/>
    </w:pPr>
    <w:rPr>
      <w:kern w:val="2"/>
    </w:rPr>
  </w:style>
  <w:style w:type="paragraph" w:customStyle="1" w:styleId="476">
    <w:name w:val="xl66"/>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477">
    <w:name w:val="xl262"/>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78">
    <w:name w:val="xl84"/>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479">
    <w:name w:val="xl239"/>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80">
    <w:name w:val="xl247"/>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81">
    <w:name w:val="xl91"/>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000000"/>
      <w:sz w:val="22"/>
      <w:szCs w:val="22"/>
    </w:rPr>
  </w:style>
  <w:style w:type="paragraph" w:customStyle="1" w:styleId="482">
    <w:name w:val="Char Char Char1"/>
    <w:basedOn w:val="1"/>
    <w:qFormat/>
    <w:uiPriority w:val="0"/>
    <w:rPr>
      <w:rFonts w:ascii="Tahoma" w:hAnsi="Tahoma"/>
      <w:sz w:val="24"/>
      <w:szCs w:val="20"/>
    </w:rPr>
  </w:style>
  <w:style w:type="paragraph" w:customStyle="1" w:styleId="483">
    <w:name w:val="修订11"/>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484">
    <w:name w:val="xl11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485">
    <w:name w:val="xl252"/>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rFonts w:ascii="Calibri" w:hAnsi="Calibri"/>
      <w:sz w:val="24"/>
    </w:rPr>
  </w:style>
  <w:style w:type="paragraph" w:customStyle="1" w:styleId="486">
    <w:name w:val="xl12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2"/>
      <w:szCs w:val="22"/>
    </w:rPr>
  </w:style>
  <w:style w:type="paragraph" w:customStyle="1" w:styleId="487">
    <w:name w:val="xl107"/>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488">
    <w:name w:val="方案设计2级标题"/>
    <w:basedOn w:val="188"/>
    <w:qFormat/>
    <w:uiPriority w:val="0"/>
    <w:pPr>
      <w:ind w:left="1402" w:firstLine="0" w:firstLineChars="0"/>
      <w:outlineLvl w:val="1"/>
    </w:pPr>
    <w:rPr>
      <w:rFonts w:ascii="黑体" w:hAnsi="黑体" w:eastAsia="黑体"/>
      <w:sz w:val="32"/>
      <w:szCs w:val="32"/>
    </w:rPr>
  </w:style>
  <w:style w:type="paragraph" w:customStyle="1" w:styleId="489">
    <w:name w:val="方案设计1级标题"/>
    <w:basedOn w:val="188"/>
    <w:qFormat/>
    <w:uiPriority w:val="0"/>
    <w:pPr>
      <w:tabs>
        <w:tab w:val="left" w:pos="840"/>
      </w:tabs>
      <w:ind w:left="840" w:firstLine="0" w:firstLineChars="0"/>
      <w:jc w:val="center"/>
      <w:outlineLvl w:val="0"/>
    </w:pPr>
    <w:rPr>
      <w:rFonts w:ascii="黑体" w:hAnsi="黑体" w:eastAsia="黑体"/>
      <w:sz w:val="44"/>
      <w:szCs w:val="44"/>
    </w:rPr>
  </w:style>
  <w:style w:type="paragraph" w:customStyle="1" w:styleId="490">
    <w:name w:val="xl101"/>
    <w:basedOn w:val="1"/>
    <w:qFormat/>
    <w:uiPriority w:val="0"/>
    <w:pPr>
      <w:spacing w:beforeAutospacing="1" w:afterAutospacing="1"/>
      <w:jc w:val="left"/>
      <w:textAlignment w:val="center"/>
    </w:pPr>
    <w:rPr>
      <w:color w:val="FF0000"/>
      <w:sz w:val="20"/>
      <w:szCs w:val="20"/>
    </w:rPr>
  </w:style>
  <w:style w:type="paragraph" w:customStyle="1" w:styleId="491">
    <w:name w:val="样式4"/>
    <w:basedOn w:val="188"/>
    <w:qFormat/>
    <w:uiPriority w:val="0"/>
    <w:pPr>
      <w:ind w:left="2040" w:firstLine="0" w:firstLineChars="0"/>
      <w:jc w:val="left"/>
      <w:outlineLvl w:val="3"/>
    </w:pPr>
    <w:rPr>
      <w:rFonts w:ascii="宋体" w:hAnsi="宋体"/>
    </w:rPr>
  </w:style>
  <w:style w:type="paragraph" w:customStyle="1" w:styleId="492">
    <w:name w:val="xl237"/>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93">
    <w:name w:val="xl261"/>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94">
    <w:name w:val="xl87"/>
    <w:basedOn w:val="1"/>
    <w:qFormat/>
    <w:uiPriority w:val="0"/>
    <w:pPr>
      <w:spacing w:beforeAutospacing="1" w:afterAutospacing="1"/>
      <w:jc w:val="left"/>
    </w:pPr>
    <w:rPr>
      <w:sz w:val="24"/>
    </w:rPr>
  </w:style>
  <w:style w:type="paragraph" w:customStyle="1" w:styleId="495">
    <w:name w:val="目次、标准名称标题"/>
    <w:basedOn w:val="1"/>
    <w:next w:val="1"/>
    <w:qFormat/>
    <w:uiPriority w:val="0"/>
    <w:pPr>
      <w:shd w:val="clear" w:color="FFFFFF" w:fill="FFFFFF"/>
      <w:spacing w:before="640" w:after="560" w:line="460" w:lineRule="exact"/>
      <w:jc w:val="center"/>
      <w:outlineLvl w:val="0"/>
    </w:pPr>
    <w:rPr>
      <w:rFonts w:ascii="黑体" w:eastAsia="黑体"/>
      <w:sz w:val="32"/>
      <w:szCs w:val="20"/>
    </w:rPr>
  </w:style>
  <w:style w:type="paragraph" w:customStyle="1" w:styleId="496">
    <w:name w:val="倪芳"/>
    <w:basedOn w:val="1"/>
    <w:qFormat/>
    <w:uiPriority w:val="0"/>
    <w:pPr>
      <w:widowControl w:val="0"/>
      <w:shd w:val="clear" w:color="auto" w:fill="auto"/>
      <w:tabs>
        <w:tab w:val="clear" w:pos="426"/>
      </w:tabs>
      <w:adjustRightInd/>
      <w:snapToGrid/>
      <w:spacing w:beforeLines="25" w:afterLines="15" w:line="400" w:lineRule="exact"/>
    </w:pPr>
    <w:rPr>
      <w:rFonts w:hAnsi="Courier New" w:cs="Courier New"/>
      <w:kern w:val="2"/>
      <w:sz w:val="24"/>
      <w:szCs w:val="21"/>
    </w:rPr>
  </w:style>
  <w:style w:type="paragraph" w:customStyle="1" w:styleId="497">
    <w:name w:val="Char Char Char Char Char Char Char1"/>
    <w:basedOn w:val="1"/>
    <w:qFormat/>
    <w:uiPriority w:val="0"/>
    <w:pPr>
      <w:widowControl w:val="0"/>
      <w:shd w:val="clear" w:color="auto" w:fill="auto"/>
      <w:tabs>
        <w:tab w:val="center" w:leader="middleDot" w:pos="9240"/>
        <w:tab w:val="center" w:pos="9520"/>
        <w:tab w:val="clear" w:pos="426"/>
      </w:tabs>
      <w:adjustRightInd/>
      <w:snapToGrid/>
      <w:spacing w:line="240" w:lineRule="auto"/>
    </w:pPr>
    <w:rPr>
      <w:rFonts w:ascii="Times New Roman" w:hAnsi="Times New Roman" w:eastAsia="仿宋_GB2312" w:cs="Times New Roman"/>
      <w:kern w:val="2"/>
      <w:sz w:val="24"/>
    </w:rPr>
  </w:style>
  <w:style w:type="paragraph" w:customStyle="1" w:styleId="498">
    <w:name w:val="xl10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color w:val="FF0000"/>
      <w:sz w:val="22"/>
      <w:szCs w:val="22"/>
    </w:rPr>
  </w:style>
  <w:style w:type="paragraph" w:customStyle="1" w:styleId="499">
    <w:name w:val="xl246"/>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500">
    <w:name w:val="xl229"/>
    <w:basedOn w:val="1"/>
    <w:qFormat/>
    <w:uiPriority w:val="0"/>
    <w:pPr>
      <w:pBdr>
        <w:left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501">
    <w:name w:val="USE 2"/>
    <w:basedOn w:val="1"/>
    <w:qFormat/>
    <w:uiPriority w:val="0"/>
    <w:pPr>
      <w:widowControl w:val="0"/>
      <w:shd w:val="clear" w:color="auto" w:fill="auto"/>
      <w:tabs>
        <w:tab w:val="clear" w:pos="426"/>
      </w:tabs>
      <w:adjustRightInd/>
      <w:snapToGrid/>
      <w:ind w:left="4736" w:hanging="3836"/>
      <w:jc w:val="left"/>
    </w:pPr>
    <w:rPr>
      <w:rFonts w:cs="Times New Roman"/>
      <w:kern w:val="2"/>
      <w:sz w:val="24"/>
      <w:szCs w:val="20"/>
    </w:rPr>
  </w:style>
  <w:style w:type="paragraph" w:customStyle="1" w:styleId="502">
    <w:name w:val="xl231"/>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503">
    <w:name w:val="图目录4"/>
    <w:basedOn w:val="1"/>
    <w:next w:val="1"/>
    <w:qFormat/>
    <w:uiPriority w:val="0"/>
    <w:pPr>
      <w:tabs>
        <w:tab w:val="left" w:pos="737"/>
      </w:tabs>
      <w:ind w:left="737" w:hanging="448"/>
      <w:jc w:val="center"/>
      <w:textAlignment w:val="baseline"/>
    </w:pPr>
    <w:rPr>
      <w:szCs w:val="20"/>
    </w:rPr>
  </w:style>
  <w:style w:type="paragraph" w:customStyle="1" w:styleId="504">
    <w:name w:val="xl255"/>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505">
    <w:name w:val="下级参数内容"/>
    <w:basedOn w:val="188"/>
    <w:qFormat/>
    <w:uiPriority w:val="0"/>
    <w:pPr>
      <w:ind w:left="1134" w:firstLine="0" w:firstLineChars="0"/>
    </w:pPr>
    <w:rPr>
      <w:rFonts w:ascii="仿宋" w:hAnsi="仿宋"/>
    </w:rPr>
  </w:style>
  <w:style w:type="paragraph" w:customStyle="1" w:styleId="506">
    <w:name w:val="xl123"/>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507">
    <w:name w:val="xl13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2"/>
      <w:szCs w:val="22"/>
    </w:rPr>
  </w:style>
  <w:style w:type="paragraph" w:customStyle="1" w:styleId="508">
    <w:name w:val="xl11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509">
    <w:name w:val="xl263"/>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510">
    <w:name w:val="xl75"/>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b/>
      <w:bCs/>
      <w:color w:val="000000"/>
      <w:sz w:val="24"/>
    </w:rPr>
  </w:style>
  <w:style w:type="paragraph" w:customStyle="1" w:styleId="511">
    <w:name w:val="xl9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512">
    <w:name w:val="表1黑体居中"/>
    <w:basedOn w:val="1"/>
    <w:qFormat/>
    <w:uiPriority w:val="0"/>
    <w:pPr>
      <w:ind w:firstLine="435"/>
      <w:jc w:val="center"/>
      <w:textAlignment w:val="baseline"/>
    </w:pPr>
    <w:rPr>
      <w:rFonts w:ascii="黑体" w:eastAsia="黑体"/>
      <w:szCs w:val="21"/>
    </w:rPr>
  </w:style>
  <w:style w:type="paragraph" w:customStyle="1" w:styleId="513">
    <w:name w:val="Char Char"/>
    <w:basedOn w:val="1"/>
    <w:qFormat/>
    <w:uiPriority w:val="0"/>
    <w:rPr>
      <w:rFonts w:ascii="Tahoma" w:hAnsi="Tahoma"/>
      <w:sz w:val="24"/>
      <w:szCs w:val="20"/>
    </w:rPr>
  </w:style>
  <w:style w:type="paragraph" w:customStyle="1" w:styleId="514">
    <w:name w:val="Char Char Char"/>
    <w:basedOn w:val="1"/>
    <w:qFormat/>
    <w:uiPriority w:val="0"/>
    <w:rPr>
      <w:rFonts w:ascii="Tahoma" w:hAnsi="Tahoma"/>
      <w:sz w:val="24"/>
      <w:szCs w:val="20"/>
    </w:rPr>
  </w:style>
  <w:style w:type="paragraph" w:customStyle="1" w:styleId="515">
    <w:name w:val="样式41"/>
    <w:basedOn w:val="1"/>
    <w:qFormat/>
    <w:uiPriority w:val="0"/>
    <w:pPr>
      <w:tabs>
        <w:tab w:val="left" w:pos="945"/>
        <w:tab w:val="left" w:pos="2040"/>
      </w:tabs>
      <w:ind w:left="2040" w:leftChars="800" w:hanging="360" w:hangingChars="200"/>
    </w:pPr>
    <w:rPr>
      <w:b/>
      <w:color w:val="000000"/>
      <w:sz w:val="24"/>
      <w:szCs w:val="20"/>
    </w:rPr>
  </w:style>
  <w:style w:type="paragraph" w:customStyle="1" w:styleId="516">
    <w:name w:val="USE 5"/>
    <w:basedOn w:val="1"/>
    <w:qFormat/>
    <w:uiPriority w:val="0"/>
    <w:pPr>
      <w:widowControl w:val="0"/>
      <w:shd w:val="clear" w:color="auto" w:fill="auto"/>
      <w:tabs>
        <w:tab w:val="clear" w:pos="426"/>
      </w:tabs>
      <w:adjustRightInd/>
      <w:snapToGrid/>
      <w:ind w:left="397" w:hanging="340"/>
      <w:jc w:val="left"/>
    </w:pPr>
    <w:rPr>
      <w:rFonts w:cs="Times New Roman"/>
      <w:kern w:val="2"/>
      <w:sz w:val="24"/>
    </w:rPr>
  </w:style>
  <w:style w:type="paragraph" w:customStyle="1" w:styleId="517">
    <w:name w:val="xl96"/>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sz w:val="22"/>
      <w:szCs w:val="22"/>
    </w:rPr>
  </w:style>
  <w:style w:type="paragraph" w:customStyle="1" w:styleId="518">
    <w:name w:val="xl242"/>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519">
    <w:name w:val="xl249"/>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520">
    <w:name w:val="xl12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521">
    <w:name w:val="p9"/>
    <w:basedOn w:val="1"/>
    <w:qFormat/>
    <w:uiPriority w:val="0"/>
    <w:pPr>
      <w:shd w:val="clear" w:color="auto" w:fill="auto"/>
      <w:tabs>
        <w:tab w:val="clear" w:pos="426"/>
      </w:tabs>
      <w:adjustRightInd/>
      <w:snapToGrid/>
      <w:spacing w:before="100" w:beforeAutospacing="1" w:after="100" w:afterAutospacing="1" w:line="240" w:lineRule="auto"/>
      <w:jc w:val="left"/>
    </w:pPr>
    <w:rPr>
      <w:rFonts w:ascii="Times New Roman" w:hAnsi="Times New Roman" w:eastAsia="Arial Unicode MS" w:cs="Arial Unicode MS"/>
      <w:color w:val="000000"/>
      <w:sz w:val="18"/>
      <w:szCs w:val="18"/>
    </w:rPr>
  </w:style>
  <w:style w:type="paragraph" w:customStyle="1" w:styleId="522">
    <w:name w:val="xl230"/>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523">
    <w:name w:val="xl85"/>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524">
    <w:name w:val="Bulleted Items--Level 2"/>
    <w:basedOn w:val="1"/>
    <w:qFormat/>
    <w:uiPriority w:val="0"/>
    <w:pPr>
      <w:tabs>
        <w:tab w:val="left" w:pos="1771"/>
        <w:tab w:val="left" w:pos="2520"/>
      </w:tabs>
      <w:spacing w:line="280" w:lineRule="exact"/>
      <w:ind w:left="2520"/>
    </w:pPr>
    <w:rPr>
      <w:color w:val="000000"/>
      <w:sz w:val="22"/>
      <w:szCs w:val="20"/>
      <w:lang w:eastAsia="en-US"/>
    </w:rPr>
  </w:style>
  <w:style w:type="paragraph" w:customStyle="1" w:styleId="525">
    <w:name w:val="xl126"/>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526">
    <w:name w:val="USE 3"/>
    <w:basedOn w:val="1"/>
    <w:qFormat/>
    <w:uiPriority w:val="0"/>
    <w:pPr>
      <w:widowControl w:val="0"/>
      <w:shd w:val="clear" w:color="auto" w:fill="auto"/>
      <w:tabs>
        <w:tab w:val="clear" w:pos="426"/>
      </w:tabs>
      <w:adjustRightInd/>
      <w:snapToGrid/>
      <w:ind w:left="890" w:hanging="170"/>
      <w:jc w:val="left"/>
    </w:pPr>
    <w:rPr>
      <w:rFonts w:cs="Times New Roman"/>
      <w:kern w:val="2"/>
      <w:sz w:val="24"/>
      <w:szCs w:val="20"/>
    </w:rPr>
  </w:style>
  <w:style w:type="paragraph" w:customStyle="1" w:styleId="527">
    <w:name w:val="xl12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4"/>
    </w:rPr>
  </w:style>
  <w:style w:type="paragraph" w:customStyle="1" w:styleId="528">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table" w:customStyle="1" w:styleId="529">
    <w:name w:val="Table Normal"/>
    <w:qFormat/>
    <w:uiPriority w:val="0"/>
    <w:pPr>
      <w:spacing w:line="360" w:lineRule="auto"/>
      <w:jc w:val="both"/>
    </w:pPr>
    <w:tblPr>
      <w:tblCellMar>
        <w:top w:w="0" w:type="dxa"/>
        <w:left w:w="0" w:type="dxa"/>
        <w:bottom w:w="0" w:type="dxa"/>
        <w:right w:w="0" w:type="dxa"/>
      </w:tblCellMar>
    </w:tblPr>
  </w:style>
  <w:style w:type="table" w:customStyle="1" w:styleId="530">
    <w:name w:val="网格型1"/>
    <w:basedOn w:val="85"/>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1">
    <w:name w:val="Table Normal1"/>
    <w:qFormat/>
    <w:uiPriority w:val="0"/>
    <w:pPr>
      <w:spacing w:line="360" w:lineRule="auto"/>
      <w:jc w:val="both"/>
    </w:pPr>
    <w:tblPr>
      <w:tblCellMar>
        <w:top w:w="0" w:type="dxa"/>
        <w:left w:w="0" w:type="dxa"/>
        <w:bottom w:w="0" w:type="dxa"/>
        <w:right w:w="0" w:type="dxa"/>
      </w:tblCellMar>
    </w:tblPr>
  </w:style>
  <w:style w:type="table" w:customStyle="1" w:styleId="532">
    <w:name w:val="Table Normal11"/>
    <w:unhideWhenUsed/>
    <w:qFormat/>
    <w:uiPriority w:val="2"/>
    <w:pPr>
      <w:widowControl w:val="0"/>
    </w:pPr>
    <w:rPr>
      <w:rFonts w:ascii="Calibri" w:hAnsi="Calibri"/>
      <w:sz w:val="22"/>
      <w:szCs w:val="22"/>
    </w:rPr>
    <w:tblPr>
      <w:tblCellMar>
        <w:top w:w="0" w:type="dxa"/>
        <w:left w:w="0" w:type="dxa"/>
        <w:bottom w:w="0" w:type="dxa"/>
        <w:right w:w="0" w:type="dxa"/>
      </w:tblCellMar>
    </w:tblPr>
  </w:style>
  <w:style w:type="paragraph" w:customStyle="1" w:styleId="533">
    <w:name w:val="Other|1"/>
    <w:basedOn w:val="1"/>
    <w:qFormat/>
    <w:uiPriority w:val="0"/>
    <w:pPr>
      <w:spacing w:line="310" w:lineRule="auto"/>
    </w:pPr>
    <w:rPr>
      <w:sz w:val="18"/>
      <w:szCs w:val="18"/>
      <w:lang w:val="zh-TW" w:eastAsia="zh-TW" w:bidi="zh-TW"/>
    </w:rPr>
  </w:style>
  <w:style w:type="paragraph" w:customStyle="1" w:styleId="534">
    <w:name w:val="Body text|1"/>
    <w:basedOn w:val="1"/>
    <w:link w:val="535"/>
    <w:qFormat/>
    <w:uiPriority w:val="0"/>
    <w:pPr>
      <w:spacing w:line="310" w:lineRule="auto"/>
    </w:pPr>
    <w:rPr>
      <w:sz w:val="18"/>
      <w:szCs w:val="18"/>
      <w:lang w:val="zh-TW" w:eastAsia="zh-TW" w:bidi="zh-TW"/>
    </w:rPr>
  </w:style>
  <w:style w:type="character" w:customStyle="1" w:styleId="535">
    <w:name w:val="Body text|1_"/>
    <w:link w:val="534"/>
    <w:qFormat/>
    <w:uiPriority w:val="0"/>
    <w:rPr>
      <w:rFonts w:ascii="宋体" w:hAnsi="宋体" w:cs="宋体"/>
      <w:sz w:val="18"/>
      <w:szCs w:val="18"/>
      <w:shd w:val="clear" w:color="auto" w:fill="FFFFFF"/>
      <w:lang w:val="zh-TW" w:eastAsia="zh-TW" w:bidi="zh-TW"/>
    </w:rPr>
  </w:style>
  <w:style w:type="paragraph" w:customStyle="1" w:styleId="536">
    <w:name w:val="样式 7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7">
    <w:name w:val="样式 312 10 磅"/>
    <w:qFormat/>
    <w:uiPriority w:val="0"/>
    <w:pPr>
      <w:widowControl w:val="0"/>
      <w:jc w:val="both"/>
    </w:pPr>
    <w:rPr>
      <w:rFonts w:ascii="Calibri" w:hAnsi="Calibri" w:eastAsia="宋体" w:cs="Times New Roman"/>
      <w:kern w:val="2"/>
      <w:sz w:val="21"/>
      <w:szCs w:val="22"/>
      <w:lang w:val="en-US" w:eastAsia="en-US" w:bidi="ar-SA"/>
    </w:rPr>
  </w:style>
  <w:style w:type="paragraph" w:customStyle="1" w:styleId="538">
    <w:name w:val="样式 315 10 磅"/>
    <w:qFormat/>
    <w:uiPriority w:val="0"/>
    <w:pPr>
      <w:widowControl w:val="0"/>
      <w:jc w:val="both"/>
    </w:pPr>
    <w:rPr>
      <w:rFonts w:ascii="Calibri" w:hAnsi="Calibri" w:eastAsia="宋体" w:cs="Times New Roman"/>
      <w:kern w:val="2"/>
      <w:sz w:val="21"/>
      <w:szCs w:val="22"/>
      <w:lang w:val="en-US" w:eastAsia="en-US" w:bidi="ar-SA"/>
    </w:rPr>
  </w:style>
  <w:style w:type="paragraph" w:customStyle="1" w:styleId="539">
    <w:name w:val="样式 316 10 磅"/>
    <w:qFormat/>
    <w:uiPriority w:val="0"/>
    <w:pPr>
      <w:widowControl w:val="0"/>
      <w:jc w:val="both"/>
    </w:pPr>
    <w:rPr>
      <w:rFonts w:ascii="Calibri" w:hAnsi="Calibri" w:eastAsia="宋体" w:cs="Times New Roman"/>
      <w:kern w:val="2"/>
      <w:sz w:val="21"/>
      <w:szCs w:val="22"/>
      <w:lang w:val="en-US" w:eastAsia="en-US" w:bidi="ar-SA"/>
    </w:rPr>
  </w:style>
  <w:style w:type="paragraph" w:customStyle="1" w:styleId="540">
    <w:name w:val="样式 320 10 磅"/>
    <w:qFormat/>
    <w:uiPriority w:val="0"/>
    <w:pPr>
      <w:widowControl w:val="0"/>
      <w:jc w:val="both"/>
    </w:pPr>
    <w:rPr>
      <w:rFonts w:ascii="Calibri" w:hAnsi="Calibri" w:eastAsia="宋体" w:cs="Times New Roman"/>
      <w:kern w:val="2"/>
      <w:sz w:val="21"/>
      <w:szCs w:val="22"/>
      <w:lang w:val="en-US" w:eastAsia="en-US" w:bidi="ar-SA"/>
    </w:rPr>
  </w:style>
  <w:style w:type="paragraph" w:customStyle="1" w:styleId="541">
    <w:name w:val="样式 36 11 磅"/>
    <w:qFormat/>
    <w:uiPriority w:val="0"/>
    <w:pPr>
      <w:spacing w:after="160" w:line="259" w:lineRule="auto"/>
    </w:pPr>
    <w:rPr>
      <w:rFonts w:ascii="Calibri" w:hAnsi="Calibri" w:eastAsia="Calibri" w:cs="Calibri"/>
      <w:color w:val="000000"/>
      <w:kern w:val="2"/>
      <w:sz w:val="22"/>
      <w:szCs w:val="22"/>
      <w:lang w:val="en-US" w:eastAsia="en-US" w:bidi="ar-SA"/>
    </w:rPr>
  </w:style>
  <w:style w:type="character" w:customStyle="1" w:styleId="542">
    <w:name w:val="批注文字 字符1"/>
    <w:qFormat/>
    <w:uiPriority w:val="0"/>
    <w:rPr>
      <w:rFonts w:ascii="宋体"/>
      <w:sz w:val="34"/>
      <w:shd w:val="clear" w:color="auto" w:fill="FFFFFF"/>
    </w:rPr>
  </w:style>
  <w:style w:type="paragraph" w:customStyle="1" w:styleId="543">
    <w:name w:val="修订2"/>
    <w:hidden/>
    <w:unhideWhenUsed/>
    <w:qFormat/>
    <w:uiPriority w:val="99"/>
    <w:rPr>
      <w:rFonts w:ascii="宋体" w:hAnsi="宋体" w:eastAsia="宋体" w:cs="宋体"/>
      <w:sz w:val="21"/>
      <w:szCs w:val="24"/>
      <w:lang w:val="en-US" w:eastAsia="zh-CN" w:bidi="ar-SA"/>
    </w:rPr>
  </w:style>
  <w:style w:type="paragraph" w:customStyle="1" w:styleId="544">
    <w:name w:val="修订3"/>
    <w:hidden/>
    <w:unhideWhenUsed/>
    <w:qFormat/>
    <w:uiPriority w:val="99"/>
    <w:rPr>
      <w:rFonts w:ascii="宋体" w:hAnsi="宋体" w:eastAsia="宋体" w:cs="宋体"/>
      <w:sz w:val="21"/>
      <w:szCs w:val="24"/>
      <w:lang w:val="en-US" w:eastAsia="zh-CN" w:bidi="ar-SA"/>
    </w:rPr>
  </w:style>
  <w:style w:type="character" w:customStyle="1" w:styleId="545">
    <w:name w:val="font41"/>
    <w:basedOn w:val="130"/>
    <w:qFormat/>
    <w:uiPriority w:val="0"/>
    <w:rPr>
      <w:rFonts w:hint="eastAsia" w:ascii="宋体" w:hAnsi="宋体" w:eastAsia="宋体" w:cs="宋体"/>
      <w:color w:val="000000"/>
      <w:sz w:val="20"/>
      <w:szCs w:val="20"/>
      <w:u w:val="none"/>
    </w:rPr>
  </w:style>
  <w:style w:type="table" w:customStyle="1" w:styleId="546">
    <w:name w:val="网格型2"/>
    <w:basedOn w:val="85"/>
    <w:qFormat/>
    <w:locked/>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7">
    <w:name w:val="表格备注"/>
    <w:basedOn w:val="1"/>
    <w:link w:val="548"/>
    <w:qFormat/>
    <w:uiPriority w:val="0"/>
    <w:pPr>
      <w:spacing w:line="240" w:lineRule="auto"/>
      <w:ind w:firstLine="422" w:firstLineChars="200"/>
    </w:pPr>
    <w:rPr>
      <w:b/>
    </w:rPr>
  </w:style>
  <w:style w:type="character" w:customStyle="1" w:styleId="548">
    <w:name w:val="表格备注 字符"/>
    <w:basedOn w:val="130"/>
    <w:link w:val="547"/>
    <w:qFormat/>
    <w:uiPriority w:val="0"/>
    <w:rPr>
      <w:rFonts w:ascii="宋体" w:hAnsi="宋体" w:cs="宋体"/>
      <w:b/>
      <w:sz w:val="21"/>
      <w:szCs w:val="24"/>
      <w:shd w:val="clear" w:color="auto" w:fill="FFFFFF"/>
    </w:rPr>
  </w:style>
  <w:style w:type="paragraph" w:customStyle="1" w:styleId="549">
    <w:name w:val="0编制指引"/>
    <w:basedOn w:val="1"/>
    <w:link w:val="550"/>
    <w:qFormat/>
    <w:uiPriority w:val="0"/>
    <w:pPr>
      <w:tabs>
        <w:tab w:val="clear" w:pos="426"/>
      </w:tabs>
      <w:spacing w:line="240" w:lineRule="auto"/>
      <w:jc w:val="left"/>
      <w:outlineLvl w:val="4"/>
    </w:pPr>
    <w:rPr>
      <w:i/>
      <w:iCs/>
      <w:color w:val="00B050"/>
    </w:rPr>
  </w:style>
  <w:style w:type="character" w:customStyle="1" w:styleId="550">
    <w:name w:val="0编制指引 字符"/>
    <w:basedOn w:val="130"/>
    <w:link w:val="549"/>
    <w:qFormat/>
    <w:uiPriority w:val="0"/>
    <w:rPr>
      <w:rFonts w:ascii="宋体" w:hAnsi="宋体" w:cs="宋体"/>
      <w:i/>
      <w:iCs/>
      <w:color w:val="00B050"/>
      <w:sz w:val="21"/>
      <w:szCs w:val="24"/>
      <w:shd w:val="clear" w:color="auto" w:fill="FFFFFF"/>
    </w:rPr>
  </w:style>
  <w:style w:type="paragraph" w:customStyle="1" w:styleId="551">
    <w:name w:val="0五号正文"/>
    <w:basedOn w:val="1"/>
    <w:link w:val="552"/>
    <w:qFormat/>
    <w:uiPriority w:val="0"/>
    <w:pPr>
      <w:widowControl w:val="0"/>
      <w:shd w:val="clear" w:color="auto" w:fill="auto"/>
      <w:tabs>
        <w:tab w:val="clear" w:pos="426"/>
      </w:tabs>
      <w:spacing w:line="300" w:lineRule="auto"/>
      <w:ind w:firstLine="420" w:firstLineChars="200"/>
    </w:pPr>
    <w:rPr>
      <w:rFonts w:cs="Times New Roman"/>
      <w:kern w:val="2"/>
      <w:szCs w:val="21"/>
    </w:rPr>
  </w:style>
  <w:style w:type="character" w:customStyle="1" w:styleId="552">
    <w:name w:val="0五号正文 字符"/>
    <w:basedOn w:val="130"/>
    <w:link w:val="551"/>
    <w:qFormat/>
    <w:uiPriority w:val="0"/>
    <w:rPr>
      <w:rFonts w:ascii="宋体" w:hAnsi="宋体"/>
      <w:kern w:val="2"/>
      <w:sz w:val="21"/>
      <w:szCs w:val="21"/>
    </w:rPr>
  </w:style>
  <w:style w:type="paragraph" w:customStyle="1" w:styleId="553">
    <w:name w:val="修订4"/>
    <w:hidden/>
    <w:unhideWhenUsed/>
    <w:qFormat/>
    <w:uiPriority w:val="99"/>
    <w:rPr>
      <w:rFonts w:ascii="宋体" w:hAnsi="宋体" w:eastAsia="宋体" w:cs="宋体"/>
      <w:sz w:val="21"/>
      <w:szCs w:val="24"/>
      <w:lang w:val="en-US" w:eastAsia="zh-CN" w:bidi="ar-SA"/>
    </w:rPr>
  </w:style>
  <w:style w:type="paragraph" w:customStyle="1" w:styleId="554">
    <w:name w:val="Z3级左对齐标题"/>
    <w:basedOn w:val="1"/>
    <w:qFormat/>
    <w:uiPriority w:val="0"/>
    <w:pPr>
      <w:numPr>
        <w:ilvl w:val="0"/>
        <w:numId w:val="1"/>
      </w:numPr>
      <w:spacing w:before="280" w:after="290" w:line="377" w:lineRule="auto"/>
      <w:outlineLvl w:val="2"/>
    </w:pPr>
    <w:rPr>
      <w:b/>
      <w:sz w:val="24"/>
    </w:rPr>
  </w:style>
  <w:style w:type="paragraph" w:customStyle="1" w:styleId="555">
    <w:name w:val="修订5"/>
    <w:hidden/>
    <w:unhideWhenUsed/>
    <w:qFormat/>
    <w:uiPriority w:val="99"/>
    <w:rPr>
      <w:rFonts w:ascii="宋体" w:hAnsi="宋体" w:eastAsia="宋体" w:cs="宋体"/>
      <w:sz w:val="21"/>
      <w:szCs w:val="24"/>
      <w:lang w:val="en-US" w:eastAsia="zh-CN" w:bidi="ar-SA"/>
    </w:rPr>
  </w:style>
  <w:style w:type="paragraph" w:customStyle="1" w:styleId="556">
    <w:name w:val="修订6"/>
    <w:hidden/>
    <w:unhideWhenUsed/>
    <w:qFormat/>
    <w:uiPriority w:val="99"/>
    <w:rPr>
      <w:rFonts w:ascii="宋体" w:hAnsi="宋体" w:eastAsia="宋体" w:cs="宋体"/>
      <w:sz w:val="21"/>
      <w:szCs w:val="24"/>
      <w:lang w:val="en-US" w:eastAsia="zh-CN" w:bidi="ar-SA"/>
    </w:rPr>
  </w:style>
  <w:style w:type="paragraph" w:customStyle="1" w:styleId="557">
    <w:name w:val="修订7"/>
    <w:hidden/>
    <w:unhideWhenUsed/>
    <w:qFormat/>
    <w:uiPriority w:val="99"/>
    <w:rPr>
      <w:rFonts w:ascii="宋体" w:hAnsi="宋体" w:eastAsia="宋体" w:cs="宋体"/>
      <w:sz w:val="21"/>
      <w:szCs w:val="24"/>
      <w:lang w:val="en-US" w:eastAsia="zh-CN" w:bidi="ar-SA"/>
    </w:rPr>
  </w:style>
  <w:style w:type="paragraph" w:customStyle="1" w:styleId="558">
    <w:name w:val="修订8"/>
    <w:hidden/>
    <w:unhideWhenUsed/>
    <w:qFormat/>
    <w:uiPriority w:val="99"/>
    <w:rPr>
      <w:rFonts w:ascii="宋体" w:hAnsi="宋体" w:eastAsia="宋体" w:cs="宋体"/>
      <w:sz w:val="21"/>
      <w:szCs w:val="24"/>
      <w:lang w:val="en-US" w:eastAsia="zh-CN" w:bidi="ar-SA"/>
    </w:rPr>
  </w:style>
  <w:style w:type="paragraph" w:styleId="559">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0">
    <w:name w:val="修订9"/>
    <w:hidden/>
    <w:unhideWhenUsed/>
    <w:qFormat/>
    <w:uiPriority w:val="99"/>
    <w:rPr>
      <w:rFonts w:ascii="宋体" w:hAnsi="宋体" w:eastAsia="宋体" w:cs="宋体"/>
      <w:sz w:val="21"/>
      <w:szCs w:val="24"/>
      <w:lang w:val="en-US" w:eastAsia="zh-CN" w:bidi="ar-SA"/>
    </w:rPr>
  </w:style>
  <w:style w:type="character" w:customStyle="1" w:styleId="561">
    <w:name w:val="font21"/>
    <w:basedOn w:val="130"/>
    <w:qFormat/>
    <w:uiPriority w:val="0"/>
    <w:rPr>
      <w:rFonts w:hint="eastAsia" w:ascii="宋体" w:hAnsi="宋体" w:eastAsia="宋体" w:cs="宋体"/>
      <w:b/>
      <w:bCs/>
      <w:color w:val="000000"/>
      <w:sz w:val="22"/>
      <w:szCs w:val="22"/>
      <w:u w:val="none"/>
    </w:rPr>
  </w:style>
  <w:style w:type="paragraph" w:customStyle="1" w:styleId="562">
    <w:name w:val="_Style 1"/>
    <w:basedOn w:val="1"/>
    <w:next w:val="1"/>
    <w:qFormat/>
    <w:uiPriority w:val="99"/>
    <w:pPr>
      <w:ind w:firstLine="420" w:firstLineChars="200"/>
    </w:pPr>
  </w:style>
  <w:style w:type="paragraph" w:customStyle="1" w:styleId="563">
    <w:name w:val="0表格正文"/>
    <w:basedOn w:val="1"/>
    <w:qFormat/>
    <w:uiPriority w:val="0"/>
    <w:pPr>
      <w:tabs>
        <w:tab w:val="clear" w:pos="426"/>
      </w:tabs>
      <w:spacing w:line="240" w:lineRule="auto"/>
      <w:jc w:val="left"/>
    </w:pPr>
    <w:rPr>
      <w:szCs w:val="21"/>
    </w:rPr>
  </w:style>
  <w:style w:type="paragraph" w:customStyle="1" w:styleId="564">
    <w:name w:val="修订10"/>
    <w:hidden/>
    <w:unhideWhenUsed/>
    <w:qFormat/>
    <w:uiPriority w:val="99"/>
    <w:rPr>
      <w:rFonts w:ascii="宋体" w:hAnsi="宋体" w:eastAsia="宋体" w:cs="宋体"/>
      <w:sz w:val="21"/>
      <w:szCs w:val="24"/>
      <w:lang w:val="en-US" w:eastAsia="zh-CN" w:bidi="ar-SA"/>
    </w:rPr>
  </w:style>
  <w:style w:type="paragraph" w:customStyle="1" w:styleId="565">
    <w:name w:val="修订12"/>
    <w:hidden/>
    <w:unhideWhenUsed/>
    <w:qFormat/>
    <w:uiPriority w:val="99"/>
    <w:rPr>
      <w:rFonts w:ascii="宋体" w:hAnsi="宋体" w:eastAsia="宋体" w:cs="宋体"/>
      <w:sz w:val="21"/>
      <w:szCs w:val="24"/>
      <w:lang w:val="en-US" w:eastAsia="zh-CN" w:bidi="ar-SA"/>
    </w:rPr>
  </w:style>
  <w:style w:type="paragraph" w:customStyle="1" w:styleId="566">
    <w:name w:val="样式 112 10 磅"/>
    <w:next w:val="44"/>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67">
    <w:name w:val="样式 113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68">
    <w:name w:val="样式 114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69">
    <w:name w:val="样式 115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70">
    <w:name w:val="样式 116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71">
    <w:name w:val="样式 117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72">
    <w:name w:val="样式 118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73">
    <w:name w:val="样式 119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74">
    <w:name w:val="样式 120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75">
    <w:name w:val="样式 121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6">
    <w:name w:val="样式 122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77">
    <w:name w:val="样式 123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8">
    <w:name w:val="样式 124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79">
    <w:name w:val="样式 125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80">
    <w:name w:val="样式 4 10 磅2"/>
    <w:qFormat/>
    <w:uiPriority w:val="0"/>
    <w:pPr>
      <w:widowControl w:val="0"/>
      <w:jc w:val="both"/>
    </w:pPr>
    <w:rPr>
      <w:rFonts w:ascii="等线" w:hAnsi="Times New Roman" w:eastAsia="等线" w:cs="Times New Roman"/>
      <w:kern w:val="2"/>
      <w:sz w:val="21"/>
      <w:szCs w:val="22"/>
      <w:lang w:val="en-US" w:eastAsia="zh-CN" w:bidi="ar-SA"/>
    </w:rPr>
  </w:style>
  <w:style w:type="paragraph" w:customStyle="1" w:styleId="581">
    <w:name w:val="样式 182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2">
    <w:name w:val="样式 314 10 磅"/>
    <w:qFormat/>
    <w:uiPriority w:val="0"/>
    <w:pPr>
      <w:widowControl w:val="0"/>
      <w:jc w:val="both"/>
    </w:pPr>
    <w:rPr>
      <w:rFonts w:ascii="Calibri" w:hAnsi="Calibri" w:eastAsia="宋体" w:cs="Times New Roman"/>
      <w:kern w:val="2"/>
      <w:sz w:val="21"/>
      <w:szCs w:val="22"/>
      <w:lang w:val="en-US" w:eastAsia="en-US" w:bidi="ar-SA"/>
    </w:rPr>
  </w:style>
  <w:style w:type="paragraph" w:customStyle="1" w:styleId="583">
    <w:name w:val="修订13"/>
    <w:hidden/>
    <w:unhideWhenUsed/>
    <w:qFormat/>
    <w:uiPriority w:val="99"/>
    <w:rPr>
      <w:rFonts w:ascii="宋体" w:hAnsi="宋体" w:eastAsia="宋体" w:cs="宋体"/>
      <w:sz w:val="21"/>
      <w:szCs w:val="24"/>
      <w:lang w:val="en-US" w:eastAsia="zh-CN" w:bidi="ar-SA"/>
    </w:rPr>
  </w:style>
  <w:style w:type="paragraph" w:customStyle="1" w:styleId="584">
    <w:name w:val="样式 26 10 磅"/>
    <w:basedOn w:val="1"/>
    <w:qFormat/>
    <w:uiPriority w:val="0"/>
    <w:rPr>
      <w:rFonts w:hAnsi="Times New Roman" w:cs="Times New Roman"/>
      <w:szCs w:val="21"/>
    </w:rPr>
  </w:style>
  <w:style w:type="paragraph" w:customStyle="1" w:styleId="585">
    <w:name w:val="样式 25 10 磅"/>
    <w:basedOn w:val="1"/>
    <w:qFormat/>
    <w:uiPriority w:val="0"/>
    <w:rPr>
      <w:rFonts w:hAnsi="Times New Roman" w:cs="Times New Roman"/>
      <w:szCs w:val="21"/>
    </w:rPr>
  </w:style>
  <w:style w:type="paragraph" w:customStyle="1" w:styleId="586">
    <w:name w:val="样式 24 10 磅"/>
    <w:basedOn w:val="1"/>
    <w:qFormat/>
    <w:uiPriority w:val="0"/>
    <w:rPr>
      <w:rFonts w:ascii="Calibri" w:hAnsi="Calibri" w:cs="Times New Roman"/>
      <w:szCs w:val="21"/>
    </w:rPr>
  </w:style>
  <w:style w:type="paragraph" w:customStyle="1" w:styleId="587">
    <w:name w:val="样式 23 10 磅"/>
    <w:basedOn w:val="1"/>
    <w:qFormat/>
    <w:uiPriority w:val="0"/>
    <w:rPr>
      <w:rFonts w:hAnsi="Times New Roman" w:cs="Times New Roman"/>
      <w:szCs w:val="21"/>
    </w:rPr>
  </w:style>
  <w:style w:type="paragraph" w:customStyle="1" w:styleId="588">
    <w:name w:val="样式 22 10 磅"/>
    <w:basedOn w:val="1"/>
    <w:qFormat/>
    <w:uiPriority w:val="0"/>
    <w:rPr>
      <w:rFonts w:hAnsi="Times New Roman" w:cs="Times New Roman"/>
      <w:szCs w:val="21"/>
    </w:rPr>
  </w:style>
  <w:style w:type="paragraph" w:customStyle="1" w:styleId="589">
    <w:name w:val="样式 21 10 磅"/>
    <w:basedOn w:val="1"/>
    <w:qFormat/>
    <w:uiPriority w:val="0"/>
    <w:rPr>
      <w:rFonts w:hAnsi="Times New Roman" w:cs="Times New Roman"/>
      <w:szCs w:val="21"/>
    </w:rPr>
  </w:style>
  <w:style w:type="paragraph" w:customStyle="1" w:styleId="590">
    <w:name w:val="样式 20 10 磅"/>
    <w:basedOn w:val="1"/>
    <w:qFormat/>
    <w:uiPriority w:val="0"/>
    <w:rPr>
      <w:rFonts w:hAnsi="Times New Roman" w:cs="Times New Roman"/>
      <w:szCs w:val="21"/>
    </w:rPr>
  </w:style>
  <w:style w:type="paragraph" w:customStyle="1" w:styleId="591">
    <w:name w:val="样式 19 10 磅"/>
    <w:basedOn w:val="1"/>
    <w:qFormat/>
    <w:uiPriority w:val="0"/>
    <w:rPr>
      <w:rFonts w:hAnsi="Times New Roman" w:cs="Times New Roman"/>
      <w:szCs w:val="21"/>
    </w:rPr>
  </w:style>
  <w:style w:type="paragraph" w:customStyle="1" w:styleId="592">
    <w:name w:val="样式 18 10 磅"/>
    <w:basedOn w:val="1"/>
    <w:qFormat/>
    <w:uiPriority w:val="0"/>
    <w:rPr>
      <w:rFonts w:hAnsi="Times New Roman" w:cs="Times New Roman"/>
      <w:szCs w:val="21"/>
    </w:rPr>
  </w:style>
  <w:style w:type="paragraph" w:customStyle="1" w:styleId="593">
    <w:name w:val="样式 17 10 磅"/>
    <w:basedOn w:val="1"/>
    <w:qFormat/>
    <w:uiPriority w:val="0"/>
    <w:rPr>
      <w:rFonts w:hAnsi="Times New Roman" w:cs="Times New Roman"/>
      <w:szCs w:val="21"/>
    </w:rPr>
  </w:style>
  <w:style w:type="paragraph" w:customStyle="1" w:styleId="594">
    <w:name w:val="样式 16 10 磅"/>
    <w:basedOn w:val="1"/>
    <w:qFormat/>
    <w:uiPriority w:val="0"/>
    <w:rPr>
      <w:rFonts w:hAnsi="Times New Roman" w:cs="Times New Roman"/>
      <w:szCs w:val="21"/>
    </w:rPr>
  </w:style>
  <w:style w:type="paragraph" w:customStyle="1" w:styleId="595">
    <w:name w:val="样式 15 10 磅"/>
    <w:basedOn w:val="1"/>
    <w:qFormat/>
    <w:uiPriority w:val="0"/>
    <w:rPr>
      <w:rFonts w:hAnsi="Times New Roman" w:cs="Times New Roman"/>
      <w:szCs w:val="21"/>
    </w:rPr>
  </w:style>
  <w:style w:type="paragraph" w:customStyle="1" w:styleId="596">
    <w:name w:val="样式 14 10 磅"/>
    <w:basedOn w:val="1"/>
    <w:qFormat/>
    <w:uiPriority w:val="0"/>
    <w:rPr>
      <w:rFonts w:hAnsi="Times New Roman" w:cs="Times New Roman"/>
      <w:szCs w:val="21"/>
    </w:rPr>
  </w:style>
  <w:style w:type="paragraph" w:customStyle="1" w:styleId="597">
    <w:name w:val="样式 13 10 磅"/>
    <w:basedOn w:val="1"/>
    <w:qFormat/>
    <w:uiPriority w:val="0"/>
    <w:rPr>
      <w:rFonts w:hAnsi="Times New Roman" w:cs="Times New Roman"/>
      <w:szCs w:val="21"/>
    </w:rPr>
  </w:style>
  <w:style w:type="paragraph" w:customStyle="1" w:styleId="598">
    <w:name w:val="样式 12 10 磅"/>
    <w:basedOn w:val="1"/>
    <w:qFormat/>
    <w:uiPriority w:val="0"/>
    <w:rPr>
      <w:rFonts w:hAnsi="Times New Roman" w:cs="Times New Roman"/>
      <w:szCs w:val="21"/>
    </w:rPr>
  </w:style>
  <w:style w:type="paragraph" w:customStyle="1" w:styleId="599">
    <w:name w:val="样式 11 10 磅"/>
    <w:basedOn w:val="1"/>
    <w:qFormat/>
    <w:uiPriority w:val="0"/>
    <w:rPr>
      <w:rFonts w:hAnsi="Times New Roman" w:cs="Times New Roman"/>
      <w:szCs w:val="21"/>
    </w:rPr>
  </w:style>
  <w:style w:type="paragraph" w:customStyle="1" w:styleId="600">
    <w:name w:val="样式 10 10 磅"/>
    <w:basedOn w:val="1"/>
    <w:qFormat/>
    <w:uiPriority w:val="0"/>
    <w:rPr>
      <w:rFonts w:hAnsi="Times New Roman" w:cs="Times New Roman"/>
      <w:szCs w:val="21"/>
    </w:rPr>
  </w:style>
  <w:style w:type="paragraph" w:customStyle="1" w:styleId="601">
    <w:name w:val="样式 9 10 磅"/>
    <w:basedOn w:val="1"/>
    <w:qFormat/>
    <w:uiPriority w:val="0"/>
    <w:rPr>
      <w:rFonts w:hAnsi="Times New Roman" w:cs="Times New Roman"/>
      <w:szCs w:val="21"/>
    </w:rPr>
  </w:style>
  <w:style w:type="paragraph" w:customStyle="1" w:styleId="602">
    <w:name w:val="样式 8 10 磅"/>
    <w:basedOn w:val="1"/>
    <w:qFormat/>
    <w:uiPriority w:val="0"/>
    <w:rPr>
      <w:rFonts w:hAnsi="Times New Roman" w:cs="Times New Roman"/>
      <w:szCs w:val="21"/>
    </w:rPr>
  </w:style>
  <w:style w:type="paragraph" w:customStyle="1" w:styleId="603">
    <w:name w:val="样式 47 10 磅"/>
    <w:basedOn w:val="1"/>
    <w:qFormat/>
    <w:uiPriority w:val="0"/>
    <w:rPr>
      <w:rFonts w:ascii="Times New Roman" w:hAnsi="Times New Roman" w:cs="Times New Roman"/>
      <w:szCs w:val="21"/>
    </w:rPr>
  </w:style>
  <w:style w:type="paragraph" w:customStyle="1" w:styleId="604">
    <w:name w:val="样式 40 10 磅"/>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5">
    <w:name w:val="样式 507 10 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6">
    <w:name w:val="样式 42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7">
    <w:name w:val="样式 41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8">
    <w:name w:val="样式 39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9">
    <w:name w:val="样式 44 10 磅"/>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0">
    <w:name w:val="样式 36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1">
    <w:name w:val="样式 27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2">
    <w:name w:val="样式 46 10 磅"/>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3">
    <w:name w:val="样式 37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4">
    <w:name w:val="样式 34 10 磅"/>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5">
    <w:name w:val="样式 28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6">
    <w:name w:val="样式 38 10 磅"/>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7">
    <w:name w:val="样式 35 10 磅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8">
    <w:name w:val="修订14"/>
    <w:hidden/>
    <w:unhideWhenUsed/>
    <w:qFormat/>
    <w:uiPriority w:val="99"/>
    <w:rPr>
      <w:rFonts w:ascii="宋体" w:hAnsi="宋体" w:eastAsia="宋体" w:cs="宋体"/>
      <w:sz w:val="21"/>
      <w:szCs w:val="24"/>
      <w:lang w:val="en-US" w:eastAsia="zh-CN" w:bidi="ar-SA"/>
    </w:rPr>
  </w:style>
  <w:style w:type="paragraph" w:customStyle="1" w:styleId="619">
    <w:name w:val="样式 253 三号"/>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620">
    <w:name w:val="正文_103"/>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21">
    <w:name w:val="样式 3 三号"/>
    <w:qFormat/>
    <w:uiPriority w:val="0"/>
    <w:pPr>
      <w:keepNext/>
      <w:keepLines/>
      <w:spacing w:before="340" w:line="259" w:lineRule="auto"/>
    </w:pPr>
    <w:rPr>
      <w:rFonts w:ascii="等线 Light" w:hAnsi="Times New Roman" w:eastAsia="等线 Light" w:cs="Times New Roman"/>
      <w:color w:val="2E74B5"/>
      <w:kern w:val="2"/>
      <w:sz w:val="32"/>
      <w:szCs w:val="32"/>
      <w:lang w:val="en-US" w:eastAsia="zh-CN" w:bidi="ar-SA"/>
    </w:rPr>
  </w:style>
  <w:style w:type="paragraph" w:customStyle="1" w:styleId="622">
    <w:name w:val="正文_23"/>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23">
    <w:name w:val="样式 505 10 磅"/>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4">
    <w:name w:val="正文_90"/>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25">
    <w:name w:val="正文_93"/>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26">
    <w:name w:val="正文_94"/>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27">
    <w:name w:val="正文_32"/>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28">
    <w:name w:val="正文_18"/>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29">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30">
    <w:name w:val="正文_3"/>
    <w:qFormat/>
    <w:uiPriority w:val="0"/>
    <w:pPr>
      <w:widowControl w:val="0"/>
      <w:spacing w:line="360" w:lineRule="auto"/>
      <w:jc w:val="both"/>
    </w:pPr>
    <w:rPr>
      <w:rFonts w:ascii="Times New Roman" w:hAnsi="Times New Roman" w:eastAsia="宋体" w:cs="Times New Roman"/>
      <w:kern w:val="2"/>
      <w:sz w:val="21"/>
      <w:szCs w:val="22"/>
      <w:lang w:val="en-US" w:eastAsia="zh-CN" w:bidi="ar-SA"/>
    </w:rPr>
  </w:style>
  <w:style w:type="paragraph" w:customStyle="1" w:styleId="631">
    <w:name w:val="正文_114"/>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32">
    <w:name w:val="正文_109"/>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33">
    <w:name w:val="正文_130"/>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34">
    <w:name w:val="正文_101"/>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35">
    <w:name w:val="样式 2 三号_17"/>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36">
    <w:name w:val="正文_60"/>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37">
    <w:name w:val="正文_50"/>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38">
    <w:name w:val="正文_66"/>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39">
    <w:name w:val="样式 30 10 磅"/>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40">
    <w:name w:val="修订15"/>
    <w:hidden/>
    <w:semiHidden/>
    <w:qFormat/>
    <w:uiPriority w:val="99"/>
    <w:rPr>
      <w:rFonts w:ascii="宋体" w:hAnsi="宋体" w:eastAsia="宋体" w:cs="宋体"/>
      <w:sz w:val="21"/>
      <w:szCs w:val="24"/>
      <w:lang w:val="en-US" w:eastAsia="zh-CN" w:bidi="ar-SA"/>
    </w:rPr>
  </w:style>
  <w:style w:type="character" w:customStyle="1" w:styleId="641">
    <w:name w:val="未处理的提及2"/>
    <w:basedOn w:val="130"/>
    <w:semiHidden/>
    <w:unhideWhenUsed/>
    <w:qFormat/>
    <w:uiPriority w:val="99"/>
    <w:rPr>
      <w:color w:val="605E5C"/>
      <w:shd w:val="clear" w:color="auto" w:fill="E1DFDD"/>
    </w:rPr>
  </w:style>
  <w:style w:type="paragraph" w:customStyle="1" w:styleId="642">
    <w:name w:val="修订16"/>
    <w:hidden/>
    <w:unhideWhenUsed/>
    <w:qFormat/>
    <w:uiPriority w:val="99"/>
    <w:rPr>
      <w:rFonts w:ascii="宋体" w:hAnsi="宋体" w:eastAsia="宋体" w:cs="宋体"/>
      <w:sz w:val="21"/>
      <w:szCs w:val="24"/>
      <w:lang w:val="en-US" w:eastAsia="zh-CN" w:bidi="ar-SA"/>
    </w:rPr>
  </w:style>
  <w:style w:type="paragraph" w:customStyle="1" w:styleId="643">
    <w:name w:val="修订17"/>
    <w:hidden/>
    <w:unhideWhenUsed/>
    <w:qFormat/>
    <w:uiPriority w:val="99"/>
    <w:rPr>
      <w:rFonts w:ascii="宋体" w:hAnsi="宋体" w:eastAsia="宋体" w:cs="宋体"/>
      <w:sz w:val="21"/>
      <w:szCs w:val="24"/>
      <w:lang w:val="en-US" w:eastAsia="zh-CN" w:bidi="ar-SA"/>
    </w:rPr>
  </w:style>
  <w:style w:type="paragraph" w:customStyle="1" w:styleId="644">
    <w:name w:val="Revision"/>
    <w:hidden/>
    <w:unhideWhenUsed/>
    <w:qFormat/>
    <w:uiPriority w:val="99"/>
    <w:rPr>
      <w:rFonts w:ascii="宋体" w:hAnsi="宋体" w:eastAsia="宋体" w:cs="宋体"/>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EA915-20E8-4D6F-BC75-594C55C27C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84</Pages>
  <Words>49872</Words>
  <Characters>54899</Characters>
  <Lines>436</Lines>
  <Paragraphs>122</Paragraphs>
  <TotalTime>0</TotalTime>
  <ScaleCrop>false</ScaleCrop>
  <LinksUpToDate>false</LinksUpToDate>
  <CharactersWithSpaces>55772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2024-07-19T02:48:00Z</dcterms:created>
  <dc:creator>thsware</dc:creator>
  <cp:lastModifiedBy>微信用户</cp:lastModifiedBy>
  <cp:lastPrinted>2024-10-12T06:08:00Z</cp:lastPrinted>
  <dcterms:modified xsi:type="dcterms:W3CDTF">2024-11-11T07:26:44Z</dcterms:modified>
  <dc:title>招  标　文　件</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E2F64DD161EC45D1B661DF9B90031E39_13</vt:lpwstr>
  </property>
</Properties>
</file>