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rFonts w:hint="eastAsia"/>
        </w:rPr>
      </w:pPr>
    </w:p>
    <w:p>
      <w:pPr>
        <w:tabs>
          <w:tab w:val="clear" w:pos="426"/>
        </w:tabs>
        <w:rPr>
          <w:rFonts w:hint="eastAsia"/>
        </w:rPr>
      </w:pPr>
    </w:p>
    <w:p>
      <w:pPr>
        <w:tabs>
          <w:tab w:val="clear" w:pos="426"/>
        </w:tabs>
        <w:jc w:val="right"/>
        <w:rPr>
          <w:rFonts w:hint="eastAsia"/>
          <w:b/>
          <w:u w:val="single"/>
        </w:rPr>
      </w:pPr>
      <w:r>
        <w:rPr>
          <w:rFonts w:hint="eastAsia"/>
        </w:rPr>
        <w:t xml:space="preserve">                                                     项目编号：</w:t>
      </w:r>
      <w:r>
        <w:rPr>
          <w:rFonts w:hint="eastAsia"/>
          <w:b/>
          <w:u w:val="single"/>
        </w:rPr>
        <w:t>SSZX2024-385</w:t>
      </w:r>
    </w:p>
    <w:p>
      <w:pPr>
        <w:tabs>
          <w:tab w:val="clear" w:pos="426"/>
        </w:tabs>
        <w:rPr>
          <w:rFonts w:hint="eastAsia"/>
        </w:rPr>
      </w:pPr>
    </w:p>
    <w:p>
      <w:pPr>
        <w:tabs>
          <w:tab w:val="clear" w:pos="426"/>
        </w:tabs>
        <w:rPr>
          <w:rFonts w:hint="eastAsia"/>
        </w:rPr>
      </w:pPr>
    </w:p>
    <w:p>
      <w:pPr>
        <w:tabs>
          <w:tab w:val="clear" w:pos="426"/>
        </w:tabs>
        <w:rPr>
          <w:rFonts w:hint="eastAsia"/>
        </w:rPr>
      </w:pPr>
    </w:p>
    <w:p>
      <w:pPr>
        <w:widowControl w:val="0"/>
        <w:shd w:val="clear" w:color="auto" w:fill="auto"/>
        <w:tabs>
          <w:tab w:val="clear" w:pos="426"/>
        </w:tabs>
        <w:adjustRightInd/>
        <w:snapToGrid/>
        <w:spacing w:line="300" w:lineRule="auto"/>
        <w:jc w:val="center"/>
        <w:rPr>
          <w:rFonts w:hint="eastAsia" w:cs="Times New Roman"/>
          <w:spacing w:val="26"/>
          <w:kern w:val="2"/>
          <w:sz w:val="72"/>
          <w:szCs w:val="20"/>
        </w:rPr>
      </w:pPr>
    </w:p>
    <w:p>
      <w:pPr>
        <w:widowControl w:val="0"/>
        <w:shd w:val="clear" w:color="auto" w:fill="auto"/>
        <w:tabs>
          <w:tab w:val="clear" w:pos="426"/>
        </w:tabs>
        <w:adjustRightInd/>
        <w:snapToGrid/>
        <w:spacing w:line="300" w:lineRule="auto"/>
        <w:jc w:val="center"/>
        <w:rPr>
          <w:rFonts w:hint="eastAsia" w:cs="Times New Roman"/>
          <w:spacing w:val="26"/>
          <w:kern w:val="2"/>
          <w:sz w:val="72"/>
          <w:szCs w:val="20"/>
        </w:rPr>
      </w:pPr>
      <w:r>
        <w:rPr>
          <w:rFonts w:hint="eastAsia" w:cs="Times New Roman"/>
          <w:spacing w:val="26"/>
          <w:kern w:val="2"/>
          <w:sz w:val="72"/>
          <w:szCs w:val="20"/>
        </w:rPr>
        <w:t>招标文件</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jc w:val="center"/>
        <w:rPr>
          <w:rFonts w:ascii="黑体" w:hAnsi="Arial" w:eastAsia="黑体" w:cs="Arial"/>
          <w:sz w:val="52"/>
          <w:szCs w:val="52"/>
        </w:rPr>
      </w:pPr>
      <w:r>
        <w:rPr>
          <w:rFonts w:hint="eastAsia" w:ascii="黑体" w:hAnsi="Arial" w:eastAsia="黑体" w:cs="Arial"/>
          <w:sz w:val="52"/>
          <w:szCs w:val="52"/>
        </w:rPr>
        <w:t>【货物类】</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widowControl w:val="0"/>
        <w:shd w:val="clear" w:color="auto" w:fill="auto"/>
        <w:tabs>
          <w:tab w:val="clear" w:pos="426"/>
        </w:tabs>
        <w:adjustRightInd/>
        <w:snapToGrid/>
        <w:spacing w:line="300" w:lineRule="auto"/>
        <w:ind w:left="1798" w:leftChars="142" w:hanging="1500" w:hangingChars="500"/>
        <w:rPr>
          <w:rFonts w:hint="eastAsia" w:cs="Times New Roman"/>
          <w:kern w:val="2"/>
          <w:sz w:val="30"/>
          <w:szCs w:val="20"/>
          <w:u w:val="single"/>
        </w:rPr>
      </w:pPr>
      <w:r>
        <w:rPr>
          <w:rFonts w:hint="eastAsia" w:cs="Times New Roman"/>
          <w:kern w:val="2"/>
          <w:sz w:val="30"/>
          <w:szCs w:val="20"/>
        </w:rPr>
        <w:t>项目名称：</w:t>
      </w:r>
      <w:r>
        <w:rPr>
          <w:rFonts w:hint="eastAsia" w:cs="Times New Roman"/>
          <w:kern w:val="2"/>
          <w:sz w:val="30"/>
          <w:szCs w:val="20"/>
          <w:u w:val="single"/>
        </w:rPr>
        <w:t>深圳海关动植物检验检疫技术中心“超高效液相色谱-三重四极杆质谱仪”设备采购项目</w:t>
      </w:r>
    </w:p>
    <w:p>
      <w:pPr>
        <w:widowControl w:val="0"/>
        <w:shd w:val="clear" w:color="auto" w:fill="auto"/>
        <w:tabs>
          <w:tab w:val="clear" w:pos="426"/>
        </w:tabs>
        <w:adjustRightInd/>
        <w:snapToGrid/>
        <w:spacing w:line="300" w:lineRule="auto"/>
        <w:ind w:left="1798" w:leftChars="142" w:hanging="1500" w:hangingChars="500"/>
        <w:rPr>
          <w:rFonts w:hint="eastAsia"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hint="eastAsia" w:cs="Times New Roman"/>
          <w:kern w:val="2"/>
          <w:sz w:val="30"/>
          <w:szCs w:val="20"/>
        </w:rPr>
      </w:pPr>
      <w:r>
        <w:rPr>
          <w:rFonts w:hint="eastAsia" w:cs="Times New Roman"/>
          <w:kern w:val="2"/>
          <w:sz w:val="30"/>
          <w:szCs w:val="20"/>
        </w:rPr>
        <w:t>采购人名称：</w:t>
      </w:r>
      <w:r>
        <w:rPr>
          <w:rFonts w:hint="eastAsia" w:cs="Times New Roman"/>
          <w:kern w:val="2"/>
          <w:sz w:val="30"/>
          <w:szCs w:val="20"/>
          <w:u w:val="single"/>
        </w:rPr>
        <w:t>深圳海关动植物检验检疫技术中心</w:t>
      </w:r>
    </w:p>
    <w:p>
      <w:pPr>
        <w:widowControl w:val="0"/>
        <w:shd w:val="clear" w:color="auto" w:fill="auto"/>
        <w:tabs>
          <w:tab w:val="clear" w:pos="426"/>
        </w:tabs>
        <w:adjustRightInd/>
        <w:snapToGrid/>
        <w:spacing w:line="300" w:lineRule="auto"/>
        <w:ind w:left="1500" w:hanging="1500" w:hangingChars="500"/>
        <w:rPr>
          <w:rFonts w:hint="eastAsia"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hint="eastAsia"/>
        </w:rPr>
      </w:pPr>
      <w:r>
        <w:rPr>
          <w:rFonts w:hint="eastAsia" w:cs="Times New Roman"/>
          <w:kern w:val="2"/>
          <w:sz w:val="30"/>
          <w:szCs w:val="20"/>
        </w:rPr>
        <w:t>采购代理机构名称：</w:t>
      </w:r>
      <w:r>
        <w:rPr>
          <w:rFonts w:hint="eastAsia" w:cs="Times New Roman"/>
          <w:kern w:val="2"/>
          <w:sz w:val="30"/>
          <w:szCs w:val="20"/>
          <w:u w:val="single"/>
        </w:rPr>
        <w:t>深圳市深水水务咨询有限公司</w:t>
      </w:r>
    </w:p>
    <w:p>
      <w:pPr>
        <w:tabs>
          <w:tab w:val="clear" w:pos="426"/>
        </w:tabs>
        <w:jc w:val="center"/>
        <w:rPr>
          <w:rFonts w:hint="eastAsia"/>
          <w:sz w:val="32"/>
          <w:szCs w:val="32"/>
        </w:rPr>
      </w:pPr>
      <w:r>
        <w:br w:type="page"/>
      </w:r>
      <w:r>
        <w:rPr>
          <w:rFonts w:hint="eastAsia"/>
          <w:b/>
          <w:sz w:val="32"/>
          <w:szCs w:val="32"/>
        </w:rPr>
        <w:t>目      录</w:t>
      </w:r>
    </w:p>
    <w:p>
      <w:pPr>
        <w:pStyle w:val="71"/>
        <w:tabs>
          <w:tab w:val="right" w:leader="dot" w:pos="8788"/>
          <w:tab w:val="clear" w:pos="8789"/>
        </w:tabs>
        <w:spacing w:line="240" w:lineRule="auto"/>
        <w:ind w:left="105"/>
        <w:rPr>
          <w:rFonts w:hint="eastAsia" w:ascii="黑体" w:hAnsi="黑体" w:eastAsia="黑体" w:cs="黑体"/>
          <w:b/>
          <w:bCs/>
          <w:sz w:val="20"/>
          <w:szCs w:val="20"/>
        </w:rPr>
      </w:pPr>
      <w:r>
        <w:fldChar w:fldCharType="begin"/>
      </w:r>
      <w:r>
        <w:instrText xml:space="preserve"> TOC \o "1-3" \h \z \u </w:instrText>
      </w:r>
      <w:r>
        <w:fldChar w:fldCharType="separate"/>
      </w:r>
      <w:r>
        <w:fldChar w:fldCharType="begin"/>
      </w:r>
      <w:r>
        <w:instrText xml:space="preserve"> HYPERLINK \l "_Toc1594" </w:instrText>
      </w:r>
      <w:r>
        <w:fldChar w:fldCharType="separate"/>
      </w:r>
      <w:r>
        <w:rPr>
          <w:rFonts w:hint="eastAsia" w:ascii="黑体" w:hAnsi="黑体" w:eastAsia="黑体" w:cs="黑体"/>
          <w:b/>
          <w:bCs/>
          <w:sz w:val="20"/>
          <w:szCs w:val="20"/>
        </w:rPr>
        <w:t>项目关键信息</w:t>
      </w:r>
      <w:r>
        <w:rPr>
          <w:rFonts w:hint="eastAsia" w:ascii="黑体" w:hAnsi="黑体" w:eastAsia="黑体" w:cs="黑体"/>
          <w:b/>
          <w:bCs/>
          <w:sz w:val="20"/>
          <w:szCs w:val="20"/>
        </w:rPr>
        <w:tab/>
      </w:r>
      <w:r>
        <w:rPr>
          <w:rFonts w:hint="eastAsia" w:ascii="黑体" w:hAnsi="黑体" w:eastAsia="黑体" w:cs="黑体"/>
          <w:b/>
          <w:bCs/>
          <w:sz w:val="20"/>
          <w:szCs w:val="20"/>
        </w:rPr>
        <w:fldChar w:fldCharType="begin"/>
      </w:r>
      <w:r>
        <w:rPr>
          <w:rFonts w:hint="eastAsia" w:ascii="黑体" w:hAnsi="黑体" w:eastAsia="黑体" w:cs="黑体"/>
          <w:b/>
          <w:bCs/>
          <w:sz w:val="20"/>
          <w:szCs w:val="20"/>
        </w:rPr>
        <w:instrText xml:space="preserve"> PAGEREF _Toc1594 \h </w:instrText>
      </w:r>
      <w:r>
        <w:rPr>
          <w:rFonts w:hint="eastAsia" w:ascii="黑体" w:hAnsi="黑体" w:eastAsia="黑体" w:cs="黑体"/>
          <w:b/>
          <w:bCs/>
          <w:sz w:val="20"/>
          <w:szCs w:val="20"/>
        </w:rPr>
        <w:fldChar w:fldCharType="separate"/>
      </w:r>
      <w:r>
        <w:rPr>
          <w:rFonts w:hint="eastAsia" w:ascii="黑体" w:hAnsi="黑体" w:eastAsia="黑体" w:cs="黑体"/>
          <w:b/>
          <w:bCs/>
          <w:sz w:val="20"/>
          <w:szCs w:val="20"/>
        </w:rPr>
        <w:t>1</w:t>
      </w:r>
      <w:r>
        <w:rPr>
          <w:rFonts w:hint="eastAsia" w:ascii="黑体" w:hAnsi="黑体" w:eastAsia="黑体" w:cs="黑体"/>
          <w:b/>
          <w:bCs/>
          <w:sz w:val="20"/>
          <w:szCs w:val="20"/>
        </w:rPr>
        <w:fldChar w:fldCharType="end"/>
      </w:r>
      <w:r>
        <w:rPr>
          <w:rFonts w:hint="eastAsia" w:ascii="黑体" w:hAnsi="黑体" w:eastAsia="黑体" w:cs="黑体"/>
          <w:b/>
          <w:bCs/>
          <w:sz w:val="20"/>
          <w:szCs w:val="20"/>
        </w:rPr>
        <w:fldChar w:fldCharType="end"/>
      </w:r>
    </w:p>
    <w:p>
      <w:pPr>
        <w:pStyle w:val="71"/>
        <w:tabs>
          <w:tab w:val="right" w:leader="dot" w:pos="8788"/>
          <w:tab w:val="clear" w:pos="8789"/>
        </w:tabs>
        <w:spacing w:line="240" w:lineRule="auto"/>
        <w:ind w:left="105"/>
        <w:rPr>
          <w:rFonts w:hint="eastAsia" w:ascii="黑体" w:hAnsi="黑体" w:eastAsia="黑体" w:cs="黑体"/>
          <w:b/>
          <w:bCs/>
          <w:sz w:val="20"/>
          <w:szCs w:val="20"/>
        </w:rPr>
      </w:pPr>
      <w:r>
        <w:fldChar w:fldCharType="begin"/>
      </w:r>
      <w:r>
        <w:instrText xml:space="preserve"> HYPERLINK \l "_Toc16410" </w:instrText>
      </w:r>
      <w:r>
        <w:fldChar w:fldCharType="separate"/>
      </w:r>
      <w:r>
        <w:rPr>
          <w:rFonts w:hint="eastAsia" w:ascii="黑体" w:hAnsi="黑体" w:eastAsia="黑体" w:cs="黑体"/>
          <w:b/>
          <w:bCs/>
          <w:sz w:val="20"/>
          <w:szCs w:val="20"/>
        </w:rPr>
        <w:t>招标文件第一册（专用部分）</w:t>
      </w:r>
      <w:r>
        <w:rPr>
          <w:rFonts w:hint="eastAsia" w:ascii="黑体" w:hAnsi="黑体" w:eastAsia="黑体" w:cs="黑体"/>
          <w:b/>
          <w:bCs/>
          <w:sz w:val="20"/>
          <w:szCs w:val="20"/>
        </w:rPr>
        <w:tab/>
      </w:r>
      <w:r>
        <w:rPr>
          <w:rFonts w:hint="eastAsia" w:ascii="黑体" w:hAnsi="黑体" w:eastAsia="黑体" w:cs="黑体"/>
          <w:b/>
          <w:bCs/>
          <w:sz w:val="20"/>
          <w:szCs w:val="20"/>
        </w:rPr>
        <w:fldChar w:fldCharType="begin"/>
      </w:r>
      <w:r>
        <w:rPr>
          <w:rFonts w:hint="eastAsia" w:ascii="黑体" w:hAnsi="黑体" w:eastAsia="黑体" w:cs="黑体"/>
          <w:b/>
          <w:bCs/>
          <w:sz w:val="20"/>
          <w:szCs w:val="20"/>
        </w:rPr>
        <w:instrText xml:space="preserve"> PAGEREF _Toc16410 \h </w:instrText>
      </w:r>
      <w:r>
        <w:rPr>
          <w:rFonts w:hint="eastAsia" w:ascii="黑体" w:hAnsi="黑体" w:eastAsia="黑体" w:cs="黑体"/>
          <w:b/>
          <w:bCs/>
          <w:sz w:val="20"/>
          <w:szCs w:val="20"/>
        </w:rPr>
        <w:fldChar w:fldCharType="separate"/>
      </w:r>
      <w:r>
        <w:rPr>
          <w:rFonts w:hint="eastAsia" w:ascii="黑体" w:hAnsi="黑体" w:eastAsia="黑体" w:cs="黑体"/>
          <w:b/>
          <w:bCs/>
          <w:sz w:val="20"/>
          <w:szCs w:val="20"/>
        </w:rPr>
        <w:t>3</w:t>
      </w:r>
      <w:r>
        <w:rPr>
          <w:rFonts w:hint="eastAsia" w:ascii="黑体" w:hAnsi="黑体" w:eastAsia="黑体" w:cs="黑体"/>
          <w:b/>
          <w:bCs/>
          <w:sz w:val="20"/>
          <w:szCs w:val="20"/>
        </w:rPr>
        <w:fldChar w:fldCharType="end"/>
      </w:r>
      <w:r>
        <w:rPr>
          <w:rFonts w:hint="eastAsia" w:ascii="黑体" w:hAnsi="黑体" w:eastAsia="黑体" w:cs="黑体"/>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"_Toc20258" </w:instrText>
      </w:r>
      <w:r>
        <w:fldChar w:fldCharType="separate"/>
      </w:r>
      <w:r>
        <w:rPr>
          <w:rFonts w:hint="eastAsia"/>
          <w:b/>
          <w:bCs/>
          <w:sz w:val="20"/>
          <w:szCs w:val="20"/>
        </w:rPr>
        <w:t>第一章 投标邀请</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_Toc20258 \h </w:instrText>
      </w:r>
      <w:r>
        <w:rPr>
          <w:rFonts w:hint="eastAsia"/>
          <w:b/>
          <w:bCs/>
          <w:sz w:val="20"/>
          <w:szCs w:val="20"/>
        </w:rPr>
        <w:fldChar w:fldCharType="separate"/>
      </w:r>
      <w:r>
        <w:rPr>
          <w:rFonts w:hint="eastAsia"/>
          <w:b/>
          <w:bCs/>
          <w:sz w:val="20"/>
          <w:szCs w:val="20"/>
        </w:rPr>
        <w:t>3</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"_Toc13122" </w:instrText>
      </w:r>
      <w:r>
        <w:fldChar w:fldCharType="separate"/>
      </w:r>
      <w:r>
        <w:rPr>
          <w:rFonts w:hint="eastAsia"/>
          <w:b/>
          <w:bCs/>
          <w:sz w:val="20"/>
          <w:szCs w:val="20"/>
        </w:rPr>
        <w:t>第二章 项目需求</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_Toc13122 \h </w:instrText>
      </w:r>
      <w:r>
        <w:rPr>
          <w:rFonts w:hint="eastAsia"/>
          <w:b/>
          <w:bCs/>
          <w:sz w:val="20"/>
          <w:szCs w:val="20"/>
        </w:rPr>
        <w:fldChar w:fldCharType="separate"/>
      </w:r>
      <w:r>
        <w:rPr>
          <w:rFonts w:hint="eastAsia"/>
          <w:b/>
          <w:bCs/>
          <w:sz w:val="20"/>
          <w:szCs w:val="20"/>
        </w:rPr>
        <w:t>7</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"_Toc15786" </w:instrText>
      </w:r>
      <w:r>
        <w:fldChar w:fldCharType="separate"/>
      </w:r>
      <w:r>
        <w:rPr>
          <w:rFonts w:hint="eastAsia"/>
          <w:i w:val="0"/>
          <w:iCs w:val="0"/>
          <w:sz w:val="20"/>
          <w:szCs w:val="20"/>
        </w:rPr>
        <w:t xml:space="preserve">一、 </w:t>
      </w:r>
      <w:r>
        <w:rPr>
          <w:i w:val="0"/>
          <w:iCs w:val="0"/>
          <w:sz w:val="20"/>
          <w:szCs w:val="20"/>
        </w:rPr>
        <w:t>货物清单</w:t>
      </w:r>
      <w:r>
        <w:rPr>
          <w:rFonts w:hint="eastAsia"/>
          <w:i w:val="0"/>
          <w:iCs w:val="0"/>
          <w:sz w:val="20"/>
          <w:szCs w:val="20"/>
        </w:rPr>
        <w:t>一览表</w:t>
      </w:r>
      <w:r>
        <w:rPr>
          <w:i w:val="0"/>
          <w:iCs w:val="0"/>
          <w:sz w:val="20"/>
          <w:szCs w:val="20"/>
        </w:rPr>
        <w:tab/>
      </w:r>
      <w:r>
        <w:rPr>
          <w:i w:val="0"/>
          <w:iCs w:val="0"/>
          <w:sz w:val="20"/>
          <w:szCs w:val="20"/>
        </w:rPr>
        <w:fldChar w:fldCharType="begin"/>
      </w:r>
      <w:r>
        <w:rPr>
          <w:i w:val="0"/>
          <w:iCs w:val="0"/>
          <w:sz w:val="20"/>
          <w:szCs w:val="20"/>
        </w:rPr>
        <w:instrText xml:space="preserve"> PAGEREF _Toc15786 \h </w:instrText>
      </w:r>
      <w:r>
        <w:rPr>
          <w:i w:val="0"/>
          <w:iCs w:val="0"/>
          <w:sz w:val="20"/>
          <w:szCs w:val="20"/>
        </w:rPr>
        <w:fldChar w:fldCharType="separate"/>
      </w:r>
      <w:r>
        <w:rPr>
          <w:i w:val="0"/>
          <w:iCs w:val="0"/>
          <w:sz w:val="20"/>
          <w:szCs w:val="20"/>
        </w:rPr>
        <w:t>7</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"_Toc31434" </w:instrText>
      </w:r>
      <w:r>
        <w:fldChar w:fldCharType="separate"/>
      </w:r>
      <w:r>
        <w:rPr>
          <w:rFonts w:hint="eastAsia"/>
          <w:i w:val="0"/>
          <w:iCs w:val="0"/>
          <w:sz w:val="20"/>
          <w:szCs w:val="20"/>
        </w:rPr>
        <w:t>二、 实质性响应条款</w:t>
      </w:r>
      <w:r>
        <w:rPr>
          <w:i w:val="0"/>
          <w:iCs w:val="0"/>
          <w:sz w:val="20"/>
          <w:szCs w:val="20"/>
        </w:rPr>
        <w:tab/>
      </w:r>
      <w:r>
        <w:rPr>
          <w:i w:val="0"/>
          <w:iCs w:val="0"/>
          <w:sz w:val="20"/>
          <w:szCs w:val="20"/>
        </w:rPr>
        <w:fldChar w:fldCharType="begin"/>
      </w:r>
      <w:r>
        <w:rPr>
          <w:i w:val="0"/>
          <w:iCs w:val="0"/>
          <w:sz w:val="20"/>
          <w:szCs w:val="20"/>
        </w:rPr>
        <w:instrText xml:space="preserve"> PAGEREF _Toc31434 \h </w:instrText>
      </w:r>
      <w:r>
        <w:rPr>
          <w:i w:val="0"/>
          <w:iCs w:val="0"/>
          <w:sz w:val="20"/>
          <w:szCs w:val="20"/>
        </w:rPr>
        <w:fldChar w:fldCharType="separate"/>
      </w:r>
      <w:r>
        <w:rPr>
          <w:i w:val="0"/>
          <w:iCs w:val="0"/>
          <w:sz w:val="20"/>
          <w:szCs w:val="20"/>
        </w:rPr>
        <w:t>7</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"_Toc27732" </w:instrText>
      </w:r>
      <w:r>
        <w:fldChar w:fldCharType="separate"/>
      </w:r>
      <w:r>
        <w:rPr>
          <w:rFonts w:hint="eastAsia"/>
          <w:i w:val="0"/>
          <w:iCs w:val="0"/>
          <w:sz w:val="20"/>
          <w:szCs w:val="20"/>
        </w:rPr>
        <w:t>三、 技术要求</w:t>
      </w:r>
      <w:r>
        <w:rPr>
          <w:i w:val="0"/>
          <w:iCs w:val="0"/>
          <w:sz w:val="20"/>
          <w:szCs w:val="20"/>
        </w:rPr>
        <w:tab/>
      </w:r>
      <w:r>
        <w:rPr>
          <w:i w:val="0"/>
          <w:iCs w:val="0"/>
          <w:sz w:val="20"/>
          <w:szCs w:val="20"/>
        </w:rPr>
        <w:fldChar w:fldCharType="begin"/>
      </w:r>
      <w:r>
        <w:rPr>
          <w:i w:val="0"/>
          <w:iCs w:val="0"/>
          <w:sz w:val="20"/>
          <w:szCs w:val="20"/>
        </w:rPr>
        <w:instrText xml:space="preserve"> PAGEREF _Toc27732 \h </w:instrText>
      </w:r>
      <w:r>
        <w:rPr>
          <w:i w:val="0"/>
          <w:iCs w:val="0"/>
          <w:sz w:val="20"/>
          <w:szCs w:val="20"/>
        </w:rPr>
        <w:fldChar w:fldCharType="separate"/>
      </w:r>
      <w:r>
        <w:rPr>
          <w:i w:val="0"/>
          <w:iCs w:val="0"/>
          <w:sz w:val="20"/>
          <w:szCs w:val="20"/>
        </w:rPr>
        <w:t>7</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"_Toc8996" </w:instrText>
      </w:r>
      <w:r>
        <w:fldChar w:fldCharType="separate"/>
      </w:r>
      <w:r>
        <w:rPr>
          <w:rFonts w:hint="eastAsia"/>
          <w:i w:val="0"/>
          <w:iCs w:val="0"/>
          <w:sz w:val="20"/>
          <w:szCs w:val="20"/>
        </w:rPr>
        <w:t>四、 商务要求</w:t>
      </w:r>
      <w:r>
        <w:rPr>
          <w:i w:val="0"/>
          <w:iCs w:val="0"/>
          <w:sz w:val="20"/>
          <w:szCs w:val="20"/>
        </w:rPr>
        <w:tab/>
      </w:r>
      <w:r>
        <w:rPr>
          <w:i w:val="0"/>
          <w:iCs w:val="0"/>
          <w:sz w:val="20"/>
          <w:szCs w:val="20"/>
        </w:rPr>
        <w:fldChar w:fldCharType="begin"/>
      </w:r>
      <w:r>
        <w:rPr>
          <w:i w:val="0"/>
          <w:iCs w:val="0"/>
          <w:sz w:val="20"/>
          <w:szCs w:val="20"/>
        </w:rPr>
        <w:instrText xml:space="preserve"> PAGEREF _Toc8996 \h </w:instrText>
      </w:r>
      <w:r>
        <w:rPr>
          <w:i w:val="0"/>
          <w:iCs w:val="0"/>
          <w:sz w:val="20"/>
          <w:szCs w:val="20"/>
        </w:rPr>
        <w:fldChar w:fldCharType="separate"/>
      </w:r>
      <w:r>
        <w:rPr>
          <w:i w:val="0"/>
          <w:iCs w:val="0"/>
          <w:sz w:val="20"/>
          <w:szCs w:val="20"/>
        </w:rPr>
        <w:t>11</w:t>
      </w:r>
      <w:r>
        <w:rPr>
          <w:i w:val="0"/>
          <w:iCs w:val="0"/>
          <w:sz w:val="20"/>
          <w:szCs w:val="20"/>
        </w:rPr>
        <w:fldChar w:fldCharType="end"/>
      </w:r>
      <w:r>
        <w:rPr>
          <w:i w:val="0"/>
          <w:iCs w:val="0"/>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"_Toc2525" </w:instrText>
      </w:r>
      <w:r>
        <w:fldChar w:fldCharType="separate"/>
      </w:r>
      <w:r>
        <w:rPr>
          <w:rFonts w:hint="eastAsia"/>
          <w:b/>
          <w:bCs/>
          <w:sz w:val="20"/>
          <w:szCs w:val="20"/>
        </w:rPr>
        <w:t>第三章 定价方式、合同类型和风险管理措施</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_Toc2525 \h </w:instrText>
      </w:r>
      <w:r>
        <w:rPr>
          <w:rFonts w:hint="eastAsia"/>
          <w:b/>
          <w:bCs/>
          <w:sz w:val="20"/>
          <w:szCs w:val="20"/>
        </w:rPr>
        <w:fldChar w:fldCharType="separate"/>
      </w:r>
      <w:r>
        <w:rPr>
          <w:rFonts w:hint="eastAsia"/>
          <w:b/>
          <w:bCs/>
          <w:sz w:val="20"/>
          <w:szCs w:val="20"/>
        </w:rPr>
        <w:t>14</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"_Toc27621" </w:instrText>
      </w:r>
      <w:r>
        <w:fldChar w:fldCharType="separate"/>
      </w:r>
      <w:r>
        <w:rPr>
          <w:rFonts w:hint="eastAsia"/>
          <w:i w:val="0"/>
          <w:iCs w:val="0"/>
          <w:smallCaps/>
          <w:sz w:val="20"/>
          <w:szCs w:val="20"/>
        </w:rPr>
        <w:t>一、 定价方式</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_Toc27621 \h </w:instrText>
      </w:r>
      <w:r>
        <w:rPr>
          <w:i w:val="0"/>
          <w:iCs w:val="0"/>
          <w:smallCaps/>
          <w:sz w:val="20"/>
          <w:szCs w:val="20"/>
        </w:rPr>
        <w:fldChar w:fldCharType="separate"/>
      </w:r>
      <w:r>
        <w:rPr>
          <w:i w:val="0"/>
          <w:iCs w:val="0"/>
          <w:smallCaps/>
          <w:sz w:val="20"/>
          <w:szCs w:val="20"/>
        </w:rPr>
        <w:t>14</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"_Toc7208" </w:instrText>
      </w:r>
      <w:r>
        <w:fldChar w:fldCharType="separate"/>
      </w:r>
      <w:r>
        <w:rPr>
          <w:rFonts w:hint="eastAsia"/>
          <w:i w:val="0"/>
          <w:iCs w:val="0"/>
          <w:smallCaps/>
          <w:sz w:val="20"/>
          <w:szCs w:val="20"/>
        </w:rPr>
        <w:t>二、 合同类型</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_Toc7208 \h </w:instrText>
      </w:r>
      <w:r>
        <w:rPr>
          <w:i w:val="0"/>
          <w:iCs w:val="0"/>
          <w:smallCaps/>
          <w:sz w:val="20"/>
          <w:szCs w:val="20"/>
        </w:rPr>
        <w:fldChar w:fldCharType="separate"/>
      </w:r>
      <w:r>
        <w:rPr>
          <w:i w:val="0"/>
          <w:iCs w:val="0"/>
          <w:smallCaps/>
          <w:sz w:val="20"/>
          <w:szCs w:val="20"/>
        </w:rPr>
        <w:t>14</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"_Toc32122" </w:instrText>
      </w:r>
      <w:r>
        <w:fldChar w:fldCharType="separate"/>
      </w:r>
      <w:r>
        <w:rPr>
          <w:rFonts w:hint="eastAsia"/>
          <w:i w:val="0"/>
          <w:iCs w:val="0"/>
          <w:smallCaps/>
          <w:sz w:val="20"/>
          <w:szCs w:val="20"/>
        </w:rPr>
        <w:t>三、 风险管理措施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_Toc32122 \h </w:instrText>
      </w:r>
      <w:r>
        <w:rPr>
          <w:i w:val="0"/>
          <w:iCs w:val="0"/>
          <w:smallCaps/>
          <w:sz w:val="20"/>
          <w:szCs w:val="20"/>
        </w:rPr>
        <w:fldChar w:fldCharType="separate"/>
      </w:r>
      <w:r>
        <w:rPr>
          <w:i w:val="0"/>
          <w:iCs w:val="0"/>
          <w:smallCaps/>
          <w:sz w:val="20"/>
          <w:szCs w:val="20"/>
        </w:rPr>
        <w:t>14</w:t>
      </w:r>
      <w:r>
        <w:rPr>
          <w:i w:val="0"/>
          <w:iCs w:val="0"/>
          <w:smallCaps/>
          <w:sz w:val="20"/>
          <w:szCs w:val="20"/>
        </w:rPr>
        <w:fldChar w:fldCharType="end"/>
      </w:r>
      <w:r>
        <w:rPr>
          <w:i w:val="0"/>
          <w:iCs w:val="0"/>
          <w:smallCap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"_Toc25501" </w:instrText>
      </w:r>
      <w:r>
        <w:fldChar w:fldCharType="separate"/>
      </w:r>
      <w:r>
        <w:rPr>
          <w:rFonts w:hint="eastAsia"/>
          <w:b/>
          <w:bCs/>
          <w:sz w:val="20"/>
          <w:szCs w:val="20"/>
        </w:rPr>
        <w:t>第四章 资格审查和评标方法</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_Toc25501 \h </w:instrText>
      </w:r>
      <w:r>
        <w:rPr>
          <w:rFonts w:hint="eastAsia"/>
          <w:b/>
          <w:bCs/>
          <w:sz w:val="20"/>
          <w:szCs w:val="20"/>
        </w:rPr>
        <w:fldChar w:fldCharType="separate"/>
      </w:r>
      <w:r>
        <w:rPr>
          <w:rFonts w:hint="eastAsia"/>
          <w:b/>
          <w:bCs/>
          <w:sz w:val="20"/>
          <w:szCs w:val="20"/>
        </w:rPr>
        <w:t>15</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"_Toc12702" </w:instrText>
      </w:r>
      <w:r>
        <w:fldChar w:fldCharType="separate"/>
      </w:r>
      <w:r>
        <w:rPr>
          <w:rFonts w:hint="eastAsia"/>
          <w:i w:val="0"/>
          <w:iCs w:val="0"/>
          <w:smallCaps/>
          <w:sz w:val="20"/>
          <w:szCs w:val="20"/>
        </w:rPr>
        <w:t>前附表（一）</w:t>
      </w:r>
      <w:r>
        <w:rPr>
          <w:i w:val="0"/>
          <w:iCs w:val="0"/>
          <w:smallCaps/>
          <w:sz w:val="20"/>
          <w:szCs w:val="20"/>
        </w:rPr>
        <w:t>资格审查表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_Toc12702 \h </w:instrText>
      </w:r>
      <w:r>
        <w:rPr>
          <w:i w:val="0"/>
          <w:iCs w:val="0"/>
          <w:smallCaps/>
          <w:sz w:val="20"/>
          <w:szCs w:val="20"/>
        </w:rPr>
        <w:fldChar w:fldCharType="separate"/>
      </w:r>
      <w:r>
        <w:rPr>
          <w:i w:val="0"/>
          <w:iCs w:val="0"/>
          <w:smallCaps/>
          <w:sz w:val="20"/>
          <w:szCs w:val="20"/>
        </w:rPr>
        <w:t>15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"_Toc10832" </w:instrText>
      </w:r>
      <w:r>
        <w:fldChar w:fldCharType="separate"/>
      </w:r>
      <w:r>
        <w:rPr>
          <w:rFonts w:hint="eastAsia"/>
          <w:i w:val="0"/>
          <w:iCs w:val="0"/>
          <w:smallCaps/>
          <w:sz w:val="20"/>
          <w:szCs w:val="20"/>
        </w:rPr>
        <w:t>前附表（二）符合性审查表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_Toc10832 \h </w:instrText>
      </w:r>
      <w:r>
        <w:rPr>
          <w:i w:val="0"/>
          <w:iCs w:val="0"/>
          <w:smallCaps/>
          <w:sz w:val="20"/>
          <w:szCs w:val="20"/>
        </w:rPr>
        <w:fldChar w:fldCharType="separate"/>
      </w:r>
      <w:r>
        <w:rPr>
          <w:i w:val="0"/>
          <w:iCs w:val="0"/>
          <w:smallCaps/>
          <w:sz w:val="20"/>
          <w:szCs w:val="20"/>
        </w:rPr>
        <w:t>16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"_Toc11333" </w:instrText>
      </w:r>
      <w:r>
        <w:fldChar w:fldCharType="separate"/>
      </w:r>
      <w:r>
        <w:rPr>
          <w:rFonts w:hint="eastAsia"/>
          <w:i w:val="0"/>
          <w:iCs w:val="0"/>
          <w:smallCaps/>
          <w:sz w:val="20"/>
          <w:szCs w:val="20"/>
        </w:rPr>
        <w:t>前附表（三）综合评分法评分因素和权重分值表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_Toc11333 \h </w:instrText>
      </w:r>
      <w:r>
        <w:rPr>
          <w:i w:val="0"/>
          <w:iCs w:val="0"/>
          <w:smallCaps/>
          <w:sz w:val="20"/>
          <w:szCs w:val="20"/>
        </w:rPr>
        <w:fldChar w:fldCharType="separate"/>
      </w:r>
      <w:r>
        <w:rPr>
          <w:i w:val="0"/>
          <w:iCs w:val="0"/>
          <w:smallCaps/>
          <w:sz w:val="20"/>
          <w:szCs w:val="20"/>
        </w:rPr>
        <w:t>17</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"_Toc26041" </w:instrText>
      </w:r>
      <w:r>
        <w:fldChar w:fldCharType="separate"/>
      </w:r>
      <w:r>
        <w:rPr>
          <w:rFonts w:hint="eastAsia"/>
          <w:i w:val="0"/>
          <w:iCs w:val="0"/>
          <w:smallCaps/>
          <w:sz w:val="20"/>
          <w:szCs w:val="20"/>
        </w:rPr>
        <w:t>前附表（四）</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_Toc26041 \h </w:instrText>
      </w:r>
      <w:r>
        <w:rPr>
          <w:i w:val="0"/>
          <w:iCs w:val="0"/>
          <w:smallCaps/>
          <w:sz w:val="20"/>
          <w:szCs w:val="20"/>
        </w:rPr>
        <w:fldChar w:fldCharType="separate"/>
      </w:r>
      <w:r>
        <w:rPr>
          <w:i w:val="0"/>
          <w:iCs w:val="0"/>
          <w:smallCaps/>
          <w:sz w:val="20"/>
          <w:szCs w:val="20"/>
        </w:rPr>
        <w:t>20</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"_Toc12567" </w:instrText>
      </w:r>
      <w:r>
        <w:fldChar w:fldCharType="separate"/>
      </w:r>
      <w:r>
        <w:rPr>
          <w:rFonts w:hint="eastAsia"/>
          <w:i w:val="0"/>
          <w:iCs w:val="0"/>
          <w:smallCaps/>
          <w:sz w:val="20"/>
          <w:szCs w:val="20"/>
        </w:rPr>
        <w:t>1.资格审查</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_Toc12567 \h </w:instrText>
      </w:r>
      <w:r>
        <w:rPr>
          <w:i w:val="0"/>
          <w:iCs w:val="0"/>
          <w:smallCaps/>
          <w:sz w:val="20"/>
          <w:szCs w:val="20"/>
        </w:rPr>
        <w:fldChar w:fldCharType="separate"/>
      </w:r>
      <w:r>
        <w:rPr>
          <w:i w:val="0"/>
          <w:iCs w:val="0"/>
          <w:smallCaps/>
          <w:sz w:val="20"/>
          <w:szCs w:val="20"/>
        </w:rPr>
        <w:t>20</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"_Toc1724" </w:instrText>
      </w:r>
      <w:r>
        <w:fldChar w:fldCharType="separate"/>
      </w:r>
      <w:r>
        <w:rPr>
          <w:rFonts w:hint="eastAsia"/>
          <w:i w:val="0"/>
          <w:iCs w:val="0"/>
          <w:smallCaps/>
          <w:sz w:val="20"/>
          <w:szCs w:val="20"/>
        </w:rPr>
        <w:t>2.评标方法</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_Toc1724 \h </w:instrText>
      </w:r>
      <w:r>
        <w:rPr>
          <w:i w:val="0"/>
          <w:iCs w:val="0"/>
          <w:smallCaps/>
          <w:sz w:val="20"/>
          <w:szCs w:val="20"/>
        </w:rPr>
        <w:fldChar w:fldCharType="separate"/>
      </w:r>
      <w:r>
        <w:rPr>
          <w:i w:val="0"/>
          <w:iCs w:val="0"/>
          <w:smallCaps/>
          <w:sz w:val="20"/>
          <w:szCs w:val="20"/>
        </w:rPr>
        <w:t>20</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"_Toc16831" </w:instrText>
      </w:r>
      <w:r>
        <w:fldChar w:fldCharType="separate"/>
      </w:r>
      <w:r>
        <w:rPr>
          <w:rFonts w:hint="eastAsia"/>
          <w:i w:val="0"/>
          <w:iCs w:val="0"/>
          <w:smallCaps/>
          <w:sz w:val="20"/>
          <w:szCs w:val="20"/>
        </w:rPr>
        <w:t>3.符合性审查</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_Toc16831 \h </w:instrText>
      </w:r>
      <w:r>
        <w:rPr>
          <w:i w:val="0"/>
          <w:iCs w:val="0"/>
          <w:smallCaps/>
          <w:sz w:val="20"/>
          <w:szCs w:val="20"/>
        </w:rPr>
        <w:fldChar w:fldCharType="separate"/>
      </w:r>
      <w:r>
        <w:rPr>
          <w:i w:val="0"/>
          <w:iCs w:val="0"/>
          <w:smallCaps/>
          <w:sz w:val="20"/>
          <w:szCs w:val="20"/>
        </w:rPr>
        <w:t>21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"_Toc29518" </w:instrText>
      </w:r>
      <w:r>
        <w:fldChar w:fldCharType="separate"/>
      </w:r>
      <w:r>
        <w:rPr>
          <w:rFonts w:hint="eastAsia"/>
          <w:i w:val="0"/>
          <w:iCs w:val="0"/>
          <w:smallCaps/>
          <w:sz w:val="20"/>
          <w:szCs w:val="20"/>
        </w:rPr>
        <w:t>4.比较与评价</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_Toc29518 \h </w:instrText>
      </w:r>
      <w:r>
        <w:rPr>
          <w:i w:val="0"/>
          <w:iCs w:val="0"/>
          <w:smallCaps/>
          <w:sz w:val="20"/>
          <w:szCs w:val="20"/>
        </w:rPr>
        <w:fldChar w:fldCharType="separate"/>
      </w:r>
      <w:r>
        <w:rPr>
          <w:i w:val="0"/>
          <w:iCs w:val="0"/>
          <w:smallCaps/>
          <w:sz w:val="20"/>
          <w:szCs w:val="20"/>
        </w:rPr>
        <w:t>21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"_Toc13196" </w:instrText>
      </w:r>
      <w:r>
        <w:fldChar w:fldCharType="separate"/>
      </w:r>
      <w:r>
        <w:rPr>
          <w:rFonts w:hint="eastAsia"/>
          <w:i w:val="0"/>
          <w:iCs w:val="0"/>
          <w:smallCaps/>
          <w:sz w:val="20"/>
          <w:szCs w:val="20"/>
        </w:rPr>
        <w:t>5.编写评标报告</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_Toc13196 \h </w:instrText>
      </w:r>
      <w:r>
        <w:rPr>
          <w:i w:val="0"/>
          <w:iCs w:val="0"/>
          <w:smallCaps/>
          <w:sz w:val="20"/>
          <w:szCs w:val="20"/>
        </w:rPr>
        <w:fldChar w:fldCharType="separate"/>
      </w:r>
      <w:r>
        <w:rPr>
          <w:i w:val="0"/>
          <w:iCs w:val="0"/>
          <w:smallCaps/>
          <w:sz w:val="20"/>
          <w:szCs w:val="20"/>
        </w:rPr>
        <w:t>21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"_Toc15875" </w:instrText>
      </w:r>
      <w:r>
        <w:fldChar w:fldCharType="separate"/>
      </w:r>
      <w:r>
        <w:rPr>
          <w:rFonts w:hint="eastAsia"/>
          <w:i w:val="0"/>
          <w:iCs w:val="0"/>
          <w:smallCaps/>
          <w:sz w:val="20"/>
          <w:szCs w:val="20"/>
        </w:rPr>
        <w:t>6.评标委员会对招标失败的论证意见</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_Toc15875 \h </w:instrText>
      </w:r>
      <w:r>
        <w:rPr>
          <w:i w:val="0"/>
          <w:iCs w:val="0"/>
          <w:smallCaps/>
          <w:sz w:val="20"/>
          <w:szCs w:val="20"/>
        </w:rPr>
        <w:fldChar w:fldCharType="separate"/>
      </w:r>
      <w:r>
        <w:rPr>
          <w:i w:val="0"/>
          <w:iCs w:val="0"/>
          <w:smallCaps/>
          <w:sz w:val="20"/>
          <w:szCs w:val="20"/>
        </w:rPr>
        <w:t>22</w:t>
      </w:r>
      <w:r>
        <w:rPr>
          <w:i w:val="0"/>
          <w:iCs w:val="0"/>
          <w:smallCaps/>
          <w:sz w:val="20"/>
          <w:szCs w:val="20"/>
        </w:rPr>
        <w:fldChar w:fldCharType="end"/>
      </w:r>
      <w:r>
        <w:rPr>
          <w:i w:val="0"/>
          <w:iCs w:val="0"/>
          <w:smallCap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"_Toc7991" </w:instrText>
      </w:r>
      <w:r>
        <w:fldChar w:fldCharType="separate"/>
      </w:r>
      <w:r>
        <w:rPr>
          <w:rFonts w:hint="eastAsia"/>
          <w:b/>
          <w:bCs/>
          <w:sz w:val="20"/>
          <w:szCs w:val="20"/>
        </w:rPr>
        <w:t>第五章 合同文本</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_Toc7991 \h </w:instrText>
      </w:r>
      <w:r>
        <w:rPr>
          <w:rFonts w:hint="eastAsia"/>
          <w:b/>
          <w:bCs/>
          <w:sz w:val="20"/>
          <w:szCs w:val="20"/>
        </w:rPr>
        <w:fldChar w:fldCharType="separate"/>
      </w:r>
      <w:r>
        <w:rPr>
          <w:rFonts w:hint="eastAsia"/>
          <w:b/>
          <w:bCs/>
          <w:sz w:val="20"/>
          <w:szCs w:val="20"/>
        </w:rPr>
        <w:t>23</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"_Toc4933" </w:instrText>
      </w:r>
      <w:r>
        <w:fldChar w:fldCharType="separate"/>
      </w:r>
      <w:r>
        <w:rPr>
          <w:rFonts w:hint="eastAsia"/>
          <w:b/>
          <w:bCs/>
          <w:sz w:val="20"/>
          <w:szCs w:val="20"/>
        </w:rPr>
        <w:t>第六章 投标资料表</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_Toc4933 \h </w:instrText>
      </w:r>
      <w:r>
        <w:rPr>
          <w:rFonts w:hint="eastAsia"/>
          <w:b/>
          <w:bCs/>
          <w:sz w:val="20"/>
          <w:szCs w:val="20"/>
        </w:rPr>
        <w:fldChar w:fldCharType="separate"/>
      </w:r>
      <w:r>
        <w:rPr>
          <w:rFonts w:hint="eastAsia"/>
          <w:b/>
          <w:bCs/>
          <w:sz w:val="20"/>
          <w:szCs w:val="20"/>
        </w:rPr>
        <w:t>38</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"_Toc25551" </w:instrText>
      </w:r>
      <w:r>
        <w:fldChar w:fldCharType="separate"/>
      </w:r>
      <w:r>
        <w:rPr>
          <w:rFonts w:hint="eastAsia"/>
          <w:b/>
          <w:bCs/>
          <w:sz w:val="20"/>
          <w:szCs w:val="20"/>
        </w:rPr>
        <w:t>第七章 投标文件格式</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_Toc25551 \h </w:instrText>
      </w:r>
      <w:r>
        <w:rPr>
          <w:rFonts w:hint="eastAsia"/>
          <w:b/>
          <w:bCs/>
          <w:sz w:val="20"/>
          <w:szCs w:val="20"/>
        </w:rPr>
        <w:fldChar w:fldCharType="separate"/>
      </w:r>
      <w:r>
        <w:rPr>
          <w:rFonts w:hint="eastAsia"/>
          <w:b/>
          <w:bCs/>
          <w:sz w:val="20"/>
          <w:szCs w:val="20"/>
        </w:rPr>
        <w:t>39</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"_Toc20740" </w:instrText>
      </w:r>
      <w:r>
        <w:fldChar w:fldCharType="separate"/>
      </w:r>
      <w:r>
        <w:rPr>
          <w:rFonts w:hint="eastAsia"/>
          <w:i w:val="0"/>
          <w:iCs w:val="0"/>
          <w:smallCaps/>
          <w:sz w:val="20"/>
          <w:szCs w:val="20"/>
        </w:rPr>
        <w:t>投标文件编制说明</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_Toc20740 \h </w:instrText>
      </w:r>
      <w:r>
        <w:rPr>
          <w:i w:val="0"/>
          <w:iCs w:val="0"/>
          <w:smallCaps/>
          <w:sz w:val="20"/>
          <w:szCs w:val="20"/>
        </w:rPr>
        <w:fldChar w:fldCharType="separate"/>
      </w:r>
      <w:r>
        <w:rPr>
          <w:i w:val="0"/>
          <w:iCs w:val="0"/>
          <w:smallCaps/>
          <w:sz w:val="20"/>
          <w:szCs w:val="20"/>
        </w:rPr>
        <w:t>39</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"_Toc32283" </w:instrText>
      </w:r>
      <w:r>
        <w:fldChar w:fldCharType="separate"/>
      </w:r>
      <w:r>
        <w:rPr>
          <w:rFonts w:hint="eastAsia"/>
          <w:i w:val="0"/>
          <w:iCs w:val="0"/>
          <w:smallCaps/>
          <w:sz w:val="20"/>
          <w:szCs w:val="20"/>
        </w:rPr>
        <w:t>格式1：投标函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_Toc32283 \h </w:instrText>
      </w:r>
      <w:r>
        <w:rPr>
          <w:i w:val="0"/>
          <w:iCs w:val="0"/>
          <w:smallCaps/>
          <w:sz w:val="20"/>
          <w:szCs w:val="20"/>
        </w:rPr>
        <w:fldChar w:fldCharType="separate"/>
      </w:r>
      <w:r>
        <w:rPr>
          <w:i w:val="0"/>
          <w:iCs w:val="0"/>
          <w:smallCaps/>
          <w:sz w:val="20"/>
          <w:szCs w:val="20"/>
        </w:rPr>
        <w:t>45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"_Toc9501" </w:instrText>
      </w:r>
      <w:r>
        <w:fldChar w:fldCharType="separate"/>
      </w:r>
      <w:r>
        <w:rPr>
          <w:rFonts w:hint="eastAsia"/>
          <w:i w:val="0"/>
          <w:iCs w:val="0"/>
          <w:smallCaps/>
          <w:sz w:val="20"/>
          <w:szCs w:val="20"/>
        </w:rPr>
        <w:t>格式2：法定代表人（单位负责人）证明书</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_Toc9501 \h </w:instrText>
      </w:r>
      <w:r>
        <w:rPr>
          <w:i w:val="0"/>
          <w:iCs w:val="0"/>
          <w:smallCaps/>
          <w:sz w:val="20"/>
          <w:szCs w:val="20"/>
        </w:rPr>
        <w:fldChar w:fldCharType="separate"/>
      </w:r>
      <w:r>
        <w:rPr>
          <w:i w:val="0"/>
          <w:iCs w:val="0"/>
          <w:smallCaps/>
          <w:sz w:val="20"/>
          <w:szCs w:val="20"/>
        </w:rPr>
        <w:t>46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"_Toc16372" </w:instrText>
      </w:r>
      <w:r>
        <w:fldChar w:fldCharType="separate"/>
      </w:r>
      <w:r>
        <w:rPr>
          <w:rFonts w:hint="eastAsia"/>
          <w:i w:val="0"/>
          <w:iCs w:val="0"/>
          <w:smallCaps/>
          <w:sz w:val="20"/>
          <w:szCs w:val="20"/>
        </w:rPr>
        <w:t>格式3：授权委托书</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_Toc16372 \h </w:instrText>
      </w:r>
      <w:r>
        <w:rPr>
          <w:i w:val="0"/>
          <w:iCs w:val="0"/>
          <w:smallCaps/>
          <w:sz w:val="20"/>
          <w:szCs w:val="20"/>
        </w:rPr>
        <w:fldChar w:fldCharType="separate"/>
      </w:r>
      <w:r>
        <w:rPr>
          <w:i w:val="0"/>
          <w:iCs w:val="0"/>
          <w:smallCaps/>
          <w:sz w:val="20"/>
          <w:szCs w:val="20"/>
        </w:rPr>
        <w:t>47</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"_Toc12237" </w:instrText>
      </w:r>
      <w:r>
        <w:fldChar w:fldCharType="separate"/>
      </w:r>
      <w:r>
        <w:rPr>
          <w:rFonts w:hint="eastAsia"/>
          <w:i w:val="0"/>
          <w:iCs w:val="0"/>
          <w:smallCaps/>
          <w:sz w:val="20"/>
          <w:szCs w:val="20"/>
        </w:rPr>
        <w:t>格式4：资格条款偏离表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_Toc12237 \h </w:instrText>
      </w:r>
      <w:r>
        <w:rPr>
          <w:i w:val="0"/>
          <w:iCs w:val="0"/>
          <w:smallCaps/>
          <w:sz w:val="20"/>
          <w:szCs w:val="20"/>
        </w:rPr>
        <w:fldChar w:fldCharType="separate"/>
      </w:r>
      <w:r>
        <w:rPr>
          <w:i w:val="0"/>
          <w:iCs w:val="0"/>
          <w:smallCaps/>
          <w:sz w:val="20"/>
          <w:szCs w:val="20"/>
        </w:rPr>
        <w:t>48</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"_Toc3927" </w:instrText>
      </w:r>
      <w:r>
        <w:fldChar w:fldCharType="separate"/>
      </w:r>
      <w:r>
        <w:rPr>
          <w:rFonts w:hint="eastAsia"/>
          <w:i w:val="0"/>
          <w:iCs w:val="0"/>
          <w:smallCaps/>
          <w:sz w:val="20"/>
          <w:szCs w:val="20"/>
        </w:rPr>
        <w:t>格式5：法人或者其他组织的营业执照等证明文件</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_Toc3927 \h </w:instrText>
      </w:r>
      <w:r>
        <w:rPr>
          <w:i w:val="0"/>
          <w:iCs w:val="0"/>
          <w:smallCaps/>
          <w:sz w:val="20"/>
          <w:szCs w:val="20"/>
        </w:rPr>
        <w:fldChar w:fldCharType="separate"/>
      </w:r>
      <w:r>
        <w:rPr>
          <w:i w:val="0"/>
          <w:iCs w:val="0"/>
          <w:smallCaps/>
          <w:sz w:val="20"/>
          <w:szCs w:val="20"/>
        </w:rPr>
        <w:t>50</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"_Toc21226" </w:instrText>
      </w:r>
      <w:r>
        <w:fldChar w:fldCharType="separate"/>
      </w:r>
      <w:r>
        <w:rPr>
          <w:rFonts w:hint="eastAsia"/>
          <w:i w:val="0"/>
          <w:iCs w:val="0"/>
          <w:smallCaps/>
          <w:sz w:val="20"/>
          <w:szCs w:val="20"/>
        </w:rPr>
        <w:t>格式6：投标人资格声明函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_Toc21226 \h </w:instrText>
      </w:r>
      <w:r>
        <w:rPr>
          <w:i w:val="0"/>
          <w:iCs w:val="0"/>
          <w:smallCaps/>
          <w:sz w:val="20"/>
          <w:szCs w:val="20"/>
        </w:rPr>
        <w:fldChar w:fldCharType="separate"/>
      </w:r>
      <w:r>
        <w:rPr>
          <w:i w:val="0"/>
          <w:iCs w:val="0"/>
          <w:smallCaps/>
          <w:sz w:val="20"/>
          <w:szCs w:val="20"/>
        </w:rPr>
        <w:t>51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"_Toc21325" </w:instrText>
      </w:r>
      <w:r>
        <w:fldChar w:fldCharType="separate"/>
      </w:r>
      <w:r>
        <w:rPr>
          <w:rFonts w:hint="eastAsia"/>
          <w:i w:val="0"/>
          <w:iCs w:val="0"/>
          <w:smallCaps/>
          <w:sz w:val="20"/>
          <w:szCs w:val="20"/>
        </w:rPr>
        <w:t>格式7：开标一览表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_Toc21325 \h </w:instrText>
      </w:r>
      <w:r>
        <w:rPr>
          <w:i w:val="0"/>
          <w:iCs w:val="0"/>
          <w:smallCaps/>
          <w:sz w:val="20"/>
          <w:szCs w:val="20"/>
        </w:rPr>
        <w:fldChar w:fldCharType="separate"/>
      </w:r>
      <w:r>
        <w:rPr>
          <w:i w:val="0"/>
          <w:iCs w:val="0"/>
          <w:smallCaps/>
          <w:sz w:val="20"/>
          <w:szCs w:val="20"/>
        </w:rPr>
        <w:t>53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"_Toc23484" </w:instrText>
      </w:r>
      <w:r>
        <w:fldChar w:fldCharType="separate"/>
      </w:r>
      <w:r>
        <w:rPr>
          <w:rFonts w:hint="eastAsia"/>
          <w:i w:val="0"/>
          <w:iCs w:val="0"/>
          <w:smallCaps/>
          <w:sz w:val="20"/>
          <w:szCs w:val="20"/>
        </w:rPr>
        <w:t>格式8：投标分项报价表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_Toc23484 \h </w:instrText>
      </w:r>
      <w:r>
        <w:rPr>
          <w:i w:val="0"/>
          <w:iCs w:val="0"/>
          <w:smallCaps/>
          <w:sz w:val="20"/>
          <w:szCs w:val="20"/>
        </w:rPr>
        <w:fldChar w:fldCharType="separate"/>
      </w:r>
      <w:r>
        <w:rPr>
          <w:i w:val="0"/>
          <w:iCs w:val="0"/>
          <w:smallCaps/>
          <w:sz w:val="20"/>
          <w:szCs w:val="20"/>
        </w:rPr>
        <w:t>54</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"_Toc9437" </w:instrText>
      </w:r>
      <w:r>
        <w:fldChar w:fldCharType="separate"/>
      </w:r>
      <w:r>
        <w:rPr>
          <w:rFonts w:hint="eastAsia"/>
          <w:i w:val="0"/>
          <w:iCs w:val="0"/>
          <w:smallCaps/>
          <w:sz w:val="20"/>
          <w:szCs w:val="20"/>
        </w:rPr>
        <w:t>格式9：技术规格偏离表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_Toc9437 \h </w:instrText>
      </w:r>
      <w:r>
        <w:rPr>
          <w:i w:val="0"/>
          <w:iCs w:val="0"/>
          <w:smallCaps/>
          <w:sz w:val="20"/>
          <w:szCs w:val="20"/>
        </w:rPr>
        <w:fldChar w:fldCharType="separate"/>
      </w:r>
      <w:r>
        <w:rPr>
          <w:i w:val="0"/>
          <w:iCs w:val="0"/>
          <w:smallCaps/>
          <w:sz w:val="20"/>
          <w:szCs w:val="20"/>
        </w:rPr>
        <w:t>55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"_Toc25758" </w:instrText>
      </w:r>
      <w:r>
        <w:fldChar w:fldCharType="separate"/>
      </w:r>
      <w:r>
        <w:rPr>
          <w:rFonts w:hint="eastAsia"/>
          <w:i w:val="0"/>
          <w:iCs w:val="0"/>
          <w:smallCaps/>
          <w:sz w:val="20"/>
          <w:szCs w:val="20"/>
        </w:rPr>
        <w:t>格式10：技术保障措施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_Toc25758 \h </w:instrText>
      </w:r>
      <w:r>
        <w:rPr>
          <w:i w:val="0"/>
          <w:iCs w:val="0"/>
          <w:smallCaps/>
          <w:sz w:val="20"/>
          <w:szCs w:val="20"/>
        </w:rPr>
        <w:fldChar w:fldCharType="separate"/>
      </w:r>
      <w:r>
        <w:rPr>
          <w:i w:val="0"/>
          <w:iCs w:val="0"/>
          <w:smallCaps/>
          <w:sz w:val="20"/>
          <w:szCs w:val="20"/>
        </w:rPr>
        <w:t>56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"_Toc19609" </w:instrText>
      </w:r>
      <w:r>
        <w:fldChar w:fldCharType="separate"/>
      </w:r>
      <w:r>
        <w:rPr>
          <w:rFonts w:hint="eastAsia"/>
          <w:i w:val="0"/>
          <w:iCs w:val="0"/>
          <w:smallCaps/>
          <w:sz w:val="20"/>
          <w:szCs w:val="20"/>
        </w:rPr>
        <w:t>格式11：售后服务方案</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_Toc19609 \h </w:instrText>
      </w:r>
      <w:r>
        <w:rPr>
          <w:i w:val="0"/>
          <w:iCs w:val="0"/>
          <w:smallCaps/>
          <w:sz w:val="20"/>
          <w:szCs w:val="20"/>
        </w:rPr>
        <w:fldChar w:fldCharType="separate"/>
      </w:r>
      <w:r>
        <w:rPr>
          <w:i w:val="0"/>
          <w:iCs w:val="0"/>
          <w:smallCaps/>
          <w:sz w:val="20"/>
          <w:szCs w:val="20"/>
        </w:rPr>
        <w:t>56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"_Toc29923" </w:instrText>
      </w:r>
      <w:r>
        <w:fldChar w:fldCharType="separate"/>
      </w:r>
      <w:r>
        <w:rPr>
          <w:rFonts w:hint="eastAsia"/>
          <w:i w:val="0"/>
          <w:iCs w:val="0"/>
          <w:smallCaps/>
          <w:sz w:val="20"/>
          <w:szCs w:val="20"/>
        </w:rPr>
        <w:t>格式12：商务条款偏离表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_Toc29923 \h </w:instrText>
      </w:r>
      <w:r>
        <w:rPr>
          <w:i w:val="0"/>
          <w:iCs w:val="0"/>
          <w:smallCaps/>
          <w:sz w:val="20"/>
          <w:szCs w:val="20"/>
        </w:rPr>
        <w:fldChar w:fldCharType="separate"/>
      </w:r>
      <w:r>
        <w:rPr>
          <w:i w:val="0"/>
          <w:iCs w:val="0"/>
          <w:smallCaps/>
          <w:sz w:val="20"/>
          <w:szCs w:val="20"/>
        </w:rPr>
        <w:t>57</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"_Toc6533" </w:instrText>
      </w:r>
      <w:r>
        <w:fldChar w:fldCharType="separate"/>
      </w:r>
      <w:r>
        <w:rPr>
          <w:rFonts w:hint="eastAsia"/>
          <w:i w:val="0"/>
          <w:iCs w:val="0"/>
          <w:smallCaps/>
          <w:sz w:val="20"/>
          <w:szCs w:val="20"/>
        </w:rPr>
        <w:t>格式13：投标人综合概况简表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_Toc6533 \h </w:instrText>
      </w:r>
      <w:r>
        <w:rPr>
          <w:i w:val="0"/>
          <w:iCs w:val="0"/>
          <w:smallCaps/>
          <w:sz w:val="20"/>
          <w:szCs w:val="20"/>
        </w:rPr>
        <w:fldChar w:fldCharType="separate"/>
      </w:r>
      <w:r>
        <w:rPr>
          <w:i w:val="0"/>
          <w:iCs w:val="0"/>
          <w:smallCaps/>
          <w:sz w:val="20"/>
          <w:szCs w:val="20"/>
        </w:rPr>
        <w:t>58</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"_Toc22664" </w:instrText>
      </w:r>
      <w:r>
        <w:fldChar w:fldCharType="separate"/>
      </w:r>
      <w:r>
        <w:rPr>
          <w:rFonts w:hint="eastAsia"/>
          <w:i w:val="0"/>
          <w:iCs w:val="0"/>
          <w:smallCaps/>
          <w:sz w:val="20"/>
          <w:szCs w:val="20"/>
        </w:rPr>
        <w:t>格式14：企业类型声明函（可选）</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_Toc22664 \h </w:instrText>
      </w:r>
      <w:r>
        <w:rPr>
          <w:i w:val="0"/>
          <w:iCs w:val="0"/>
          <w:smallCaps/>
          <w:sz w:val="20"/>
          <w:szCs w:val="20"/>
        </w:rPr>
        <w:fldChar w:fldCharType="separate"/>
      </w:r>
      <w:r>
        <w:rPr>
          <w:i w:val="0"/>
          <w:iCs w:val="0"/>
          <w:smallCaps/>
          <w:sz w:val="20"/>
          <w:szCs w:val="20"/>
        </w:rPr>
        <w:t>59</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"_Toc17528" </w:instrText>
      </w:r>
      <w:r>
        <w:fldChar w:fldCharType="separate"/>
      </w:r>
      <w:r>
        <w:rPr>
          <w:rFonts w:hint="eastAsia"/>
          <w:i w:val="0"/>
          <w:iCs w:val="0"/>
          <w:smallCaps/>
          <w:sz w:val="20"/>
          <w:szCs w:val="20"/>
        </w:rPr>
        <w:t>格式15：残疾人福利性单位声明函（可选）</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_Toc17528 \h </w:instrText>
      </w:r>
      <w:r>
        <w:rPr>
          <w:i w:val="0"/>
          <w:iCs w:val="0"/>
          <w:smallCaps/>
          <w:sz w:val="20"/>
          <w:szCs w:val="20"/>
        </w:rPr>
        <w:fldChar w:fldCharType="separate"/>
      </w:r>
      <w:r>
        <w:rPr>
          <w:i w:val="0"/>
          <w:iCs w:val="0"/>
          <w:smallCaps/>
          <w:sz w:val="20"/>
          <w:szCs w:val="20"/>
        </w:rPr>
        <w:t>62</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"_Toc14001" </w:instrText>
      </w:r>
      <w:r>
        <w:fldChar w:fldCharType="separate"/>
      </w:r>
      <w:r>
        <w:rPr>
          <w:rFonts w:hint="eastAsia"/>
          <w:i w:val="0"/>
          <w:iCs w:val="0"/>
          <w:smallCaps/>
          <w:sz w:val="20"/>
          <w:szCs w:val="20"/>
        </w:rPr>
        <w:t>格式16：同类项目业绩情况</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_Toc14001 \h </w:instrText>
      </w:r>
      <w:r>
        <w:rPr>
          <w:i w:val="0"/>
          <w:iCs w:val="0"/>
          <w:smallCaps/>
          <w:sz w:val="20"/>
          <w:szCs w:val="20"/>
        </w:rPr>
        <w:fldChar w:fldCharType="separate"/>
      </w:r>
      <w:r>
        <w:rPr>
          <w:i w:val="0"/>
          <w:iCs w:val="0"/>
          <w:smallCaps/>
          <w:sz w:val="20"/>
          <w:szCs w:val="20"/>
        </w:rPr>
        <w:t>63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"_Toc27416" </w:instrText>
      </w:r>
      <w:r>
        <w:fldChar w:fldCharType="separate"/>
      </w:r>
      <w:r>
        <w:rPr>
          <w:rFonts w:hint="eastAsia"/>
          <w:i w:val="0"/>
          <w:iCs w:val="0"/>
          <w:smallCaps/>
          <w:sz w:val="20"/>
          <w:szCs w:val="20"/>
        </w:rPr>
        <w:t>格式17：相关认证情况</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_Toc27416 \h </w:instrText>
      </w:r>
      <w:r>
        <w:rPr>
          <w:i w:val="0"/>
          <w:iCs w:val="0"/>
          <w:smallCaps/>
          <w:sz w:val="20"/>
          <w:szCs w:val="20"/>
        </w:rPr>
        <w:fldChar w:fldCharType="separate"/>
      </w:r>
      <w:r>
        <w:rPr>
          <w:i w:val="0"/>
          <w:iCs w:val="0"/>
          <w:smallCaps/>
          <w:sz w:val="20"/>
          <w:szCs w:val="20"/>
        </w:rPr>
        <w:t>64</w:t>
      </w:r>
      <w:r>
        <w:rPr>
          <w:i w:val="0"/>
          <w:iCs w:val="0"/>
          <w:smallCaps/>
          <w:sz w:val="20"/>
          <w:szCs w:val="20"/>
        </w:rPr>
        <w:fldChar w:fldCharType="end"/>
      </w:r>
      <w:r>
        <w:rPr>
          <w:i w:val="0"/>
          <w:iCs w:val="0"/>
          <w:smallCaps/>
          <w:sz w:val="20"/>
          <w:szCs w:val="20"/>
        </w:rPr>
        <w:fldChar w:fldCharType="end"/>
      </w:r>
    </w:p>
    <w:p>
      <w:pPr>
        <w:pStyle w:val="71"/>
        <w:tabs>
          <w:tab w:val="right" w:leader="dot" w:pos="8788"/>
          <w:tab w:val="clear" w:pos="8789"/>
        </w:tabs>
        <w:spacing w:line="240" w:lineRule="auto"/>
        <w:ind w:left="105"/>
        <w:rPr>
          <w:rFonts w:hint="eastAsia" w:ascii="黑体" w:hAnsi="黑体" w:eastAsia="黑体" w:cs="黑体"/>
          <w:b/>
          <w:bCs/>
          <w:sz w:val="20"/>
          <w:szCs w:val="20"/>
        </w:rPr>
      </w:pPr>
      <w:r>
        <w:fldChar w:fldCharType="begin"/>
      </w:r>
      <w:r>
        <w:instrText xml:space="preserve"> HYPERLINK \l "_Toc25882" </w:instrText>
      </w:r>
      <w:r>
        <w:fldChar w:fldCharType="separate"/>
      </w:r>
      <w:r>
        <w:rPr>
          <w:rFonts w:hint="eastAsia" w:ascii="黑体" w:hAnsi="黑体" w:eastAsia="黑体" w:cs="黑体"/>
          <w:b/>
          <w:bCs/>
          <w:sz w:val="20"/>
          <w:szCs w:val="20"/>
        </w:rPr>
        <w:t>招标文件第二册（通用部分）</w:t>
      </w:r>
      <w:r>
        <w:rPr>
          <w:rFonts w:hint="eastAsia" w:ascii="黑体" w:hAnsi="黑体" w:eastAsia="黑体" w:cs="黑体"/>
          <w:b/>
          <w:bCs/>
          <w:sz w:val="20"/>
          <w:szCs w:val="20"/>
        </w:rPr>
        <w:tab/>
      </w:r>
      <w:r>
        <w:rPr>
          <w:rFonts w:hint="eastAsia" w:ascii="黑体" w:hAnsi="黑体" w:eastAsia="黑体" w:cs="黑体"/>
          <w:b/>
          <w:bCs/>
          <w:sz w:val="20"/>
          <w:szCs w:val="20"/>
        </w:rPr>
        <w:fldChar w:fldCharType="begin"/>
      </w:r>
      <w:r>
        <w:rPr>
          <w:rFonts w:hint="eastAsia" w:ascii="黑体" w:hAnsi="黑体" w:eastAsia="黑体" w:cs="黑体"/>
          <w:b/>
          <w:bCs/>
          <w:sz w:val="20"/>
          <w:szCs w:val="20"/>
        </w:rPr>
        <w:instrText xml:space="preserve"> PAGEREF _Toc25882 \h </w:instrText>
      </w:r>
      <w:r>
        <w:rPr>
          <w:rFonts w:hint="eastAsia" w:ascii="黑体" w:hAnsi="黑体" w:eastAsia="黑体" w:cs="黑体"/>
          <w:b/>
          <w:bCs/>
          <w:sz w:val="20"/>
          <w:szCs w:val="20"/>
        </w:rPr>
        <w:fldChar w:fldCharType="separate"/>
      </w:r>
      <w:r>
        <w:rPr>
          <w:rFonts w:hint="eastAsia" w:ascii="黑体" w:hAnsi="黑体" w:eastAsia="黑体" w:cs="黑体"/>
          <w:b/>
          <w:bCs/>
          <w:sz w:val="20"/>
          <w:szCs w:val="20"/>
        </w:rPr>
        <w:t>65</w:t>
      </w:r>
      <w:r>
        <w:rPr>
          <w:rFonts w:hint="eastAsia" w:ascii="黑体" w:hAnsi="黑体" w:eastAsia="黑体" w:cs="黑体"/>
          <w:b/>
          <w:bCs/>
          <w:sz w:val="20"/>
          <w:szCs w:val="20"/>
        </w:rPr>
        <w:fldChar w:fldCharType="end"/>
      </w:r>
      <w:r>
        <w:rPr>
          <w:rFonts w:hint="eastAsia" w:ascii="黑体" w:hAnsi="黑体" w:eastAsia="黑体" w:cs="黑体"/>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"_Toc18466" </w:instrText>
      </w:r>
      <w:r>
        <w:fldChar w:fldCharType="separate"/>
      </w:r>
      <w:r>
        <w:rPr>
          <w:rFonts w:hint="eastAsia"/>
          <w:b/>
          <w:bCs/>
          <w:sz w:val="20"/>
          <w:szCs w:val="20"/>
        </w:rPr>
        <w:t>第一章 总则</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_Toc18466 \h </w:instrText>
      </w:r>
      <w:r>
        <w:rPr>
          <w:rFonts w:hint="eastAsia"/>
          <w:b/>
          <w:bCs/>
          <w:sz w:val="20"/>
          <w:szCs w:val="20"/>
        </w:rPr>
        <w:fldChar w:fldCharType="separate"/>
      </w:r>
      <w:r>
        <w:rPr>
          <w:rFonts w:hint="eastAsia"/>
          <w:b/>
          <w:bCs/>
          <w:sz w:val="20"/>
          <w:szCs w:val="20"/>
        </w:rPr>
        <w:t>65</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"_Toc10191" </w:instrText>
      </w:r>
      <w:r>
        <w:fldChar w:fldCharType="separate"/>
      </w:r>
      <w:r>
        <w:rPr>
          <w:rFonts w:hint="eastAsia"/>
          <w:b/>
          <w:bCs/>
          <w:sz w:val="20"/>
          <w:szCs w:val="20"/>
        </w:rPr>
        <w:t>第二章 招标文件</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_Toc10191 \h </w:instrText>
      </w:r>
      <w:r>
        <w:rPr>
          <w:rFonts w:hint="eastAsia"/>
          <w:b/>
          <w:bCs/>
          <w:sz w:val="20"/>
          <w:szCs w:val="20"/>
        </w:rPr>
        <w:fldChar w:fldCharType="separate"/>
      </w:r>
      <w:r>
        <w:rPr>
          <w:rFonts w:hint="eastAsia"/>
          <w:b/>
          <w:bCs/>
          <w:sz w:val="20"/>
          <w:szCs w:val="20"/>
        </w:rPr>
        <w:t>67</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"_Toc15015" </w:instrText>
      </w:r>
      <w:r>
        <w:fldChar w:fldCharType="separate"/>
      </w:r>
      <w:r>
        <w:rPr>
          <w:rFonts w:hint="eastAsia"/>
          <w:b/>
          <w:bCs/>
          <w:sz w:val="20"/>
          <w:szCs w:val="20"/>
        </w:rPr>
        <w:t>第三章 投标文件的编制与递交</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_Toc15015 \h </w:instrText>
      </w:r>
      <w:r>
        <w:rPr>
          <w:rFonts w:hint="eastAsia"/>
          <w:b/>
          <w:bCs/>
          <w:sz w:val="20"/>
          <w:szCs w:val="20"/>
        </w:rPr>
        <w:fldChar w:fldCharType="separate"/>
      </w:r>
      <w:r>
        <w:rPr>
          <w:rFonts w:hint="eastAsia"/>
          <w:b/>
          <w:bCs/>
          <w:sz w:val="20"/>
          <w:szCs w:val="20"/>
        </w:rPr>
        <w:t>69</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"_Toc18415" </w:instrText>
      </w:r>
      <w:r>
        <w:fldChar w:fldCharType="separate"/>
      </w:r>
      <w:r>
        <w:rPr>
          <w:rFonts w:hint="eastAsia"/>
          <w:b/>
          <w:bCs/>
          <w:sz w:val="20"/>
          <w:szCs w:val="20"/>
        </w:rPr>
        <w:t>第四章 开标</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_Toc18415 \h </w:instrText>
      </w:r>
      <w:r>
        <w:rPr>
          <w:rFonts w:hint="eastAsia"/>
          <w:b/>
          <w:bCs/>
          <w:sz w:val="20"/>
          <w:szCs w:val="20"/>
        </w:rPr>
        <w:fldChar w:fldCharType="separate"/>
      </w:r>
      <w:r>
        <w:rPr>
          <w:rFonts w:hint="eastAsia"/>
          <w:b/>
          <w:bCs/>
          <w:sz w:val="20"/>
          <w:szCs w:val="20"/>
        </w:rPr>
        <w:t>73</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"_Toc31833" </w:instrText>
      </w:r>
      <w:r>
        <w:fldChar w:fldCharType="separate"/>
      </w:r>
      <w:r>
        <w:rPr>
          <w:rFonts w:hint="eastAsia"/>
          <w:b/>
          <w:bCs/>
          <w:sz w:val="20"/>
          <w:szCs w:val="20"/>
        </w:rPr>
        <w:t>第五章 评标要求</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_Toc31833 \h </w:instrText>
      </w:r>
      <w:r>
        <w:rPr>
          <w:rFonts w:hint="eastAsia"/>
          <w:b/>
          <w:bCs/>
          <w:sz w:val="20"/>
          <w:szCs w:val="20"/>
        </w:rPr>
        <w:fldChar w:fldCharType="separate"/>
      </w:r>
      <w:r>
        <w:rPr>
          <w:rFonts w:hint="eastAsia"/>
          <w:b/>
          <w:bCs/>
          <w:sz w:val="20"/>
          <w:szCs w:val="20"/>
        </w:rPr>
        <w:t>74</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"_Toc329" </w:instrText>
      </w:r>
      <w:r>
        <w:fldChar w:fldCharType="separate"/>
      </w:r>
      <w:r>
        <w:rPr>
          <w:rFonts w:hint="eastAsia"/>
          <w:b/>
          <w:bCs/>
          <w:sz w:val="20"/>
          <w:szCs w:val="20"/>
        </w:rPr>
        <w:t>第六章 评标程序及评标方法</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_Toc329 \h </w:instrText>
      </w:r>
      <w:r>
        <w:rPr>
          <w:rFonts w:hint="eastAsia"/>
          <w:b/>
          <w:bCs/>
          <w:sz w:val="20"/>
          <w:szCs w:val="20"/>
        </w:rPr>
        <w:fldChar w:fldCharType="separate"/>
      </w:r>
      <w:r>
        <w:rPr>
          <w:rFonts w:hint="eastAsia"/>
          <w:b/>
          <w:bCs/>
          <w:sz w:val="20"/>
          <w:szCs w:val="20"/>
        </w:rPr>
        <w:t>75</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"_Toc10018" </w:instrText>
      </w:r>
      <w:r>
        <w:fldChar w:fldCharType="separate"/>
      </w:r>
      <w:r>
        <w:rPr>
          <w:rFonts w:hint="eastAsia"/>
          <w:b/>
          <w:bCs/>
          <w:sz w:val="20"/>
          <w:szCs w:val="20"/>
        </w:rPr>
        <w:t>第七章 定标及公示</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_Toc10018 \h </w:instrText>
      </w:r>
      <w:r>
        <w:rPr>
          <w:rFonts w:hint="eastAsia"/>
          <w:b/>
          <w:bCs/>
          <w:sz w:val="20"/>
          <w:szCs w:val="20"/>
        </w:rPr>
        <w:fldChar w:fldCharType="separate"/>
      </w:r>
      <w:r>
        <w:rPr>
          <w:rFonts w:hint="eastAsia"/>
          <w:b/>
          <w:bCs/>
          <w:sz w:val="20"/>
          <w:szCs w:val="20"/>
        </w:rPr>
        <w:t>78</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"_Toc1549" </w:instrText>
      </w:r>
      <w:r>
        <w:fldChar w:fldCharType="separate"/>
      </w:r>
      <w:r>
        <w:rPr>
          <w:rFonts w:hint="eastAsia"/>
          <w:b/>
          <w:bCs/>
          <w:sz w:val="20"/>
          <w:szCs w:val="20"/>
        </w:rPr>
        <w:t>第八章 公开招标失败的后续处理</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_Toc1549 \h </w:instrText>
      </w:r>
      <w:r>
        <w:rPr>
          <w:rFonts w:hint="eastAsia"/>
          <w:b/>
          <w:bCs/>
          <w:sz w:val="20"/>
          <w:szCs w:val="20"/>
        </w:rPr>
        <w:fldChar w:fldCharType="separate"/>
      </w:r>
      <w:r>
        <w:rPr>
          <w:rFonts w:hint="eastAsia"/>
          <w:b/>
          <w:bCs/>
          <w:sz w:val="20"/>
          <w:szCs w:val="20"/>
        </w:rPr>
        <w:t>79</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"_Toc27804" </w:instrText>
      </w:r>
      <w:r>
        <w:fldChar w:fldCharType="separate"/>
      </w:r>
      <w:r>
        <w:rPr>
          <w:rFonts w:hint="eastAsia"/>
          <w:b/>
          <w:bCs/>
          <w:sz w:val="20"/>
          <w:szCs w:val="20"/>
        </w:rPr>
        <w:t>第九章 合同的授予与备案</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_Toc27804 \h </w:instrText>
      </w:r>
      <w:r>
        <w:rPr>
          <w:rFonts w:hint="eastAsia"/>
          <w:b/>
          <w:bCs/>
          <w:sz w:val="20"/>
          <w:szCs w:val="20"/>
        </w:rPr>
        <w:fldChar w:fldCharType="separate"/>
      </w:r>
      <w:r>
        <w:rPr>
          <w:rFonts w:hint="eastAsia"/>
          <w:b/>
          <w:bCs/>
          <w:sz w:val="20"/>
          <w:szCs w:val="20"/>
        </w:rPr>
        <w:t>82</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"_Toc4334" </w:instrText>
      </w:r>
      <w:r>
        <w:fldChar w:fldCharType="separate"/>
      </w:r>
      <w:r>
        <w:rPr>
          <w:rFonts w:hint="eastAsia"/>
          <w:b/>
          <w:bCs/>
          <w:sz w:val="20"/>
          <w:szCs w:val="20"/>
        </w:rPr>
        <w:t>第十章 质疑受理</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_Toc4334 \h </w:instrText>
      </w:r>
      <w:r>
        <w:rPr>
          <w:rFonts w:hint="eastAsia"/>
          <w:b/>
          <w:bCs/>
          <w:sz w:val="20"/>
          <w:szCs w:val="20"/>
        </w:rPr>
        <w:fldChar w:fldCharType="separate"/>
      </w:r>
      <w:r>
        <w:rPr>
          <w:rFonts w:hint="eastAsia"/>
          <w:b/>
          <w:bCs/>
          <w:sz w:val="20"/>
          <w:szCs w:val="20"/>
        </w:rPr>
        <w:t>82</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"_Toc13862" </w:instrText>
      </w:r>
      <w:r>
        <w:fldChar w:fldCharType="separate"/>
      </w:r>
      <w:r>
        <w:rPr>
          <w:rFonts w:hint="eastAsia"/>
          <w:b/>
          <w:bCs/>
          <w:sz w:val="20"/>
          <w:szCs w:val="20"/>
        </w:rPr>
        <w:t>招标代理服务取费说明</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_Toc13862 \h </w:instrText>
      </w:r>
      <w:r>
        <w:rPr>
          <w:rFonts w:hint="eastAsia"/>
          <w:b/>
          <w:bCs/>
          <w:sz w:val="20"/>
          <w:szCs w:val="20"/>
        </w:rPr>
        <w:fldChar w:fldCharType="separate"/>
      </w:r>
      <w:r>
        <w:rPr>
          <w:rFonts w:hint="eastAsia"/>
          <w:b/>
          <w:bCs/>
          <w:sz w:val="20"/>
          <w:szCs w:val="20"/>
        </w:rPr>
        <w:t>85</w:t>
      </w:r>
      <w:r>
        <w:rPr>
          <w:rFonts w:hint="eastAsia"/>
          <w:b/>
          <w:bCs/>
          <w:sz w:val="20"/>
          <w:szCs w:val="20"/>
        </w:rPr>
        <w:fldChar w:fldCharType="end"/>
      </w:r>
      <w:r>
        <w:rPr>
          <w:rFonts w:hint="eastAsia"/>
          <w:b/>
          <w:bCs/>
          <w:sz w:val="20"/>
          <w:szCs w:val="20"/>
        </w:rPr>
        <w:fldChar w:fldCharType="end"/>
      </w:r>
    </w:p>
    <w:p>
      <w:pPr>
        <w:tabs>
          <w:tab w:val="right" w:leader="dot" w:pos="8820"/>
          <w:tab w:val="right" w:leader="dot" w:pos="9240"/>
          <w:tab w:val="clear" w:pos="426"/>
        </w:tabs>
        <w:spacing w:line="240" w:lineRule="auto"/>
        <w:rPr>
          <w:rFonts w:hint="eastAsia"/>
        </w:rPr>
      </w:pPr>
      <w:r>
        <w:rPr>
          <w:smallCaps/>
        </w:rPr>
        <w:fldChar w:fldCharType="end"/>
      </w:r>
    </w:p>
    <w:p>
      <w:pPr>
        <w:tabs>
          <w:tab w:val="clear" w:pos="426"/>
        </w:tabs>
        <w:spacing w:line="240" w:lineRule="auto"/>
        <w:rPr>
          <w:rFonts w:hint="eastAsia"/>
        </w:rPr>
        <w:sectPr>
          <w:footerReference r:id="rId5" w:type="even"/>
          <w:pgSz w:w="11906" w:h="16838"/>
          <w:pgMar w:top="1134" w:right="1700" w:bottom="1134" w:left="1418" w:header="851" w:footer="992" w:gutter="0"/>
          <w:pgNumType w:start="0"/>
          <w:cols w:space="720" w:num="1"/>
          <w:titlePg/>
          <w:docGrid w:linePitch="462" w:charSpace="0"/>
        </w:sectPr>
      </w:pPr>
    </w:p>
    <w:p>
      <w:pPr>
        <w:pStyle w:val="62"/>
      </w:pPr>
      <w:bookmarkStart w:id="0" w:name="_Toc432592808"/>
      <w:bookmarkStart w:id="1" w:name="_Toc1594"/>
      <w:r>
        <w:rPr>
          <w:rFonts w:hint="eastAsia"/>
        </w:rPr>
        <w:t>项目关键信息</w:t>
      </w:r>
      <w:bookmarkEnd w:id="0"/>
      <w:bookmarkEnd w:id="1"/>
    </w:p>
    <w:tbl>
      <w:tblPr>
        <w:tblStyle w:val="8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项目编号</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SSZX2024-385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项目名称</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深圳海关动植物检验检疫技术中心“超高效液相色谱-三重四极杆质谱仪”设备采购项目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项目类型</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采购方式</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货币类型</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预算金额</w:t>
            </w:r>
          </w:p>
        </w:tc>
        <w:tc>
          <w:tcPr>
            <w:tcW w:w="5968" w:type="dxa"/>
            <w:vAlign w:val="center"/>
          </w:tcPr>
          <w:p>
            <w:pPr>
              <w:tabs>
                <w:tab w:val="clear" w:pos="426"/>
              </w:tabs>
              <w:adjustRightInd/>
              <w:snapToGrid/>
              <w:spacing w:line="24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250.000000万元（人民币贰佰伍拾万元整）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最高限价</w:t>
            </w:r>
          </w:p>
        </w:tc>
        <w:tc>
          <w:tcPr>
            <w:tcW w:w="5968" w:type="dxa"/>
            <w:vAlign w:val="center"/>
          </w:tcPr>
          <w:p>
            <w:pPr>
              <w:tabs>
                <w:tab w:val="clear" w:pos="426"/>
              </w:tabs>
              <w:adjustRightInd/>
              <w:snapToGrid/>
              <w:spacing w:line="24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250.000000万元（人民币贰佰伍拾万元整）</w:t>
            </w:r>
          </w:p>
          <w:p>
            <w:pPr>
              <w:tabs>
                <w:tab w:val="clear" w:pos="426"/>
              </w:tabs>
              <w:adjustRightInd/>
              <w:snapToGrid/>
              <w:spacing w:line="240" w:lineRule="auto"/>
              <w:rPr>
                <w:rFonts w:hint="eastAsia" w:asciiTheme="minorEastAsia" w:hAnsiTheme="minorEastAsia" w:eastAsiaTheme="minorEastAsia"/>
                <w:bCs/>
                <w:szCs w:val="21"/>
              </w:rPr>
            </w:pPr>
            <w:r>
              <w:rPr>
                <w:rFonts w:hint="eastAsia" w:asciiTheme="minorEastAsia" w:hAnsiTheme="minorEastAsia" w:eastAsiaTheme="minorEastAsia"/>
                <w:szCs w:val="21"/>
              </w:rPr>
              <w:t>不符合报价要求的投标文件将做无效处理。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报价要求</w:t>
            </w:r>
          </w:p>
        </w:tc>
        <w:tc>
          <w:tcPr>
            <w:tcW w:w="5968" w:type="dxa"/>
            <w:vAlign w:val="center"/>
          </w:tcPr>
          <w:p>
            <w:pPr>
              <w:tabs>
                <w:tab w:val="clear" w:pos="426"/>
              </w:tabs>
              <w:adjustRightInd/>
              <w:snapToGrid/>
              <w:spacing w:line="320" w:lineRule="exact"/>
              <w:rPr>
                <w:rFonts w:hint="eastAsia"/>
              </w:rPr>
            </w:pPr>
            <w:r>
              <w:rPr>
                <w:rFonts w:hint="eastAsia"/>
              </w:rPr>
              <w:t>1.投标报价以人民币元为计算单位。</w:t>
            </w:r>
          </w:p>
          <w:p>
            <w:pPr>
              <w:tabs>
                <w:tab w:val="clear" w:pos="426"/>
              </w:tabs>
              <w:adjustRightInd/>
              <w:snapToGrid/>
              <w:spacing w:line="320" w:lineRule="exact"/>
              <w:rPr>
                <w:rFonts w:hint="eastAsia"/>
              </w:rPr>
            </w:pPr>
            <w:r>
              <w:rPr>
                <w:rFonts w:hint="eastAsia"/>
              </w:rPr>
              <w:t>2.本项目投标上限金额为本项目预算金额（包含分项预算、总预算金额）。</w:t>
            </w:r>
          </w:p>
          <w:p>
            <w:pPr>
              <w:tabs>
                <w:tab w:val="clear" w:pos="426"/>
              </w:tabs>
              <w:adjustRightInd/>
              <w:snapToGrid/>
              <w:spacing w:line="320" w:lineRule="exact"/>
              <w:rPr>
                <w:rFonts w:hint="eastAsia"/>
              </w:rPr>
            </w:pPr>
            <w:r>
              <w:rPr>
                <w:rFonts w:hint="eastAsia"/>
              </w:rPr>
              <w:t>3投标人报价应包含合同期内所有内容所产生的费用。</w:t>
            </w:r>
          </w:p>
          <w:p>
            <w:pPr>
              <w:tabs>
                <w:tab w:val="clear" w:pos="426"/>
              </w:tabs>
              <w:adjustRightInd/>
              <w:snapToGrid/>
              <w:spacing w:line="320" w:lineRule="exact"/>
              <w:rPr>
                <w:rFonts w:hint="eastAsia"/>
              </w:rPr>
            </w:pPr>
            <w:r>
              <w:rPr>
                <w:rFonts w:hint="eastAsia"/>
              </w:rPr>
              <w:t>4.投标人应充分了解任何其它足以影响投标报价的情况，任何因忽视或误解项目情况而导致的索赔或合同期限延长申请将不获批准。投标人在投标报价时，应充分考虑投标报价的风险。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评定分离</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评标方法</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定标方法</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投标供应商的替代方案</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single"/>
              </w:rPr>
            </w:pPr>
            <w:r>
              <w:rPr>
                <w:rFonts w:hint="eastAsia"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投标有效期</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90</w:t>
            </w:r>
            <w:r>
              <w:rPr>
                <w:rFonts w:asciiTheme="minorEastAsia" w:hAnsiTheme="minorEastAsia" w:eastAsiaTheme="minorEastAsia"/>
                <w:szCs w:val="21"/>
              </w:rPr>
              <w:t>日历</w:t>
            </w:r>
            <w:r>
              <w:rPr>
                <w:rFonts w:hint="eastAsia" w:asciiTheme="minorEastAsia" w:hAnsiTheme="minorEastAsia" w:eastAsiaTheme="minorEastAsia"/>
                <w:szCs w:val="21"/>
              </w:rPr>
              <w:t>天</w:t>
            </w:r>
            <w:r>
              <w:rPr>
                <w:rFonts w:asciiTheme="minorEastAsia" w:hAnsiTheme="minorEastAsia" w:eastAsiaTheme="minorEastAsia"/>
                <w:szCs w:val="21"/>
              </w:rPr>
              <w:t>（</w:t>
            </w:r>
            <w:r>
              <w:rPr>
                <w:rFonts w:hint="eastAsia" w:asciiTheme="minorEastAsia" w:hAnsiTheme="minorEastAsia" w:eastAsiaTheme="minorEastAsia"/>
                <w:szCs w:val="21"/>
              </w:rPr>
              <w:t>从投标截止之日算起</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投标保证金</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履约保证金</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■提交，履约保证金为合同金额的10%，提交形式：银行保函或银行电汇。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投标文件份数</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纸质投标文件一正、四副，开标信封一份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投标文件电子档</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电子光盘一张或</w:t>
            </w:r>
            <w:r>
              <w:rPr>
                <w:rFonts w:asciiTheme="minorEastAsia" w:hAnsiTheme="minorEastAsia" w:eastAsiaTheme="minorEastAsia"/>
                <w:szCs w:val="21"/>
              </w:rPr>
              <w:t>U盘一个</w:t>
            </w:r>
            <w:r>
              <w:rPr>
                <w:rFonts w:hint="eastAsia" w:asciiTheme="minorEastAsia" w:hAnsiTheme="minorEastAsia" w:eastAsiaTheme="minorEastAsia"/>
                <w:szCs w:val="21"/>
              </w:rPr>
              <w:t>（</w:t>
            </w:r>
            <w:r>
              <w:rPr>
                <w:rFonts w:asciiTheme="minorEastAsia" w:hAnsiTheme="minorEastAsia" w:eastAsiaTheme="minorEastAsia"/>
                <w:szCs w:val="21"/>
              </w:rPr>
              <w:t>WORD及</w:t>
            </w:r>
            <w:r>
              <w:rPr>
                <w:rFonts w:hint="eastAsia" w:asciiTheme="minorEastAsia" w:hAnsiTheme="minorEastAsia" w:eastAsiaTheme="minorEastAsia"/>
                <w:szCs w:val="21"/>
              </w:rPr>
              <w:t>投标文件正本盖章后的彩色扫描件，</w:t>
            </w:r>
            <w:r>
              <w:rPr>
                <w:rFonts w:asciiTheme="minorEastAsia" w:hAnsiTheme="minorEastAsia" w:eastAsiaTheme="minorEastAsia"/>
                <w:szCs w:val="21"/>
              </w:rPr>
              <w:t>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踏勘现场</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投标供应商提出疑问截止时间</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在获取采购文件或者采购文件公告期限届满之日起</w:t>
            </w:r>
            <w:r>
              <w:rPr>
                <w:rFonts w:asciiTheme="minorEastAsia" w:hAnsiTheme="minorEastAsia" w:eastAsiaTheme="minorEastAsia"/>
                <w:szCs w:val="21"/>
              </w:rPr>
              <w:t>7个工作日内对采购文件提出质疑</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澄清或修补、答疑的期限</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截标之日（当日不计）15</w:t>
            </w:r>
            <w:r>
              <w:rPr>
                <w:rFonts w:asciiTheme="minorEastAsia" w:hAnsiTheme="minorEastAsia" w:eastAsiaTheme="minorEastAsia"/>
                <w:szCs w:val="21"/>
              </w:rPr>
              <w:t>日</w:t>
            </w:r>
            <w:r>
              <w:rPr>
                <w:rFonts w:hint="eastAsia" w:asciiTheme="minorEastAsia" w:hAnsiTheme="minorEastAsia" w:eastAsiaTheme="minorEastAsia"/>
                <w:szCs w:val="21"/>
              </w:rPr>
              <w:t>前</w:t>
            </w:r>
            <w:r>
              <w:rPr>
                <w:rFonts w:hint="eastAsia" w:asciiTheme="minorEastAsia" w:hAnsiTheme="minorEastAsia" w:eastAsiaTheme="minorEastAsia"/>
                <w:szCs w:val="21"/>
                <w:u w:val="none"/>
              </w:rPr>
              <w:t>17：30</w:t>
            </w:r>
            <w:r>
              <w:rPr>
                <w:rFonts w:hint="eastAsia" w:asciiTheme="minorEastAsia" w:hAnsiTheme="minorEastAsia" w:eastAsiaTheme="minorEastAsia"/>
                <w:szCs w:val="21"/>
              </w:rPr>
              <w:t>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招标代理</w:t>
            </w:r>
            <w:r>
              <w:rPr>
                <w:rFonts w:asciiTheme="minorEastAsia" w:hAnsiTheme="minorEastAsia" w:eastAsiaTheme="minorEastAsia"/>
                <w:szCs w:val="21"/>
              </w:rPr>
              <w:t>服务费</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采购代理机构以中标金额为计算基数，按差额定率累进法计算，向中标供应商收取</w:t>
            </w:r>
            <w:r>
              <w:rPr>
                <w:rFonts w:asciiTheme="minorEastAsia" w:hAnsiTheme="minorEastAsia" w:eastAsiaTheme="minorEastAsia"/>
                <w:szCs w:val="21"/>
              </w:rPr>
              <w:t>。</w:t>
            </w:r>
            <w:r>
              <w:rPr>
                <w:rFonts w:hint="eastAsia" w:asciiTheme="minorEastAsia" w:hAnsiTheme="minorEastAsia" w:eastAsiaTheme="minorEastAsia"/>
                <w:szCs w:val="21"/>
              </w:rPr>
              <w:t>招标代理服务费采用转账的方式，账户信息如下：户名：深圳市深水水务咨询有限公司；账号：</w:t>
            </w:r>
            <w:r>
              <w:rPr>
                <w:rFonts w:asciiTheme="minorEastAsia" w:hAnsiTheme="minorEastAsia" w:eastAsiaTheme="minorEastAsia"/>
                <w:szCs w:val="21"/>
              </w:rPr>
              <w:t>443899991010003343618</w:t>
            </w:r>
            <w:r>
              <w:rPr>
                <w:rFonts w:hint="eastAsia" w:asciiTheme="minorEastAsia" w:hAnsiTheme="minorEastAsia" w:eastAsiaTheme="minorEastAsia"/>
                <w:szCs w:val="21"/>
              </w:rPr>
              <w:t>；开户行：交通银行深圳金叶支行。</w:t>
            </w:r>
          </w:p>
        </w:tc>
      </w:tr>
    </w:tbl>
    <w:p>
      <w:pPr>
        <w:widowControl w:val="0"/>
        <w:shd w:val="clear" w:color="auto" w:fill="auto"/>
        <w:tabs>
          <w:tab w:val="clear" w:pos="426"/>
        </w:tabs>
        <w:adjustRightInd/>
        <w:snapToGrid/>
        <w:spacing w:line="240" w:lineRule="auto"/>
        <w:ind w:left="3040" w:hanging="3040" w:hangingChars="950"/>
        <w:rPr>
          <w:rFonts w:hint="eastAsia" w:cs="Times New Roman"/>
          <w:kern w:val="2"/>
          <w:sz w:val="32"/>
          <w:szCs w:val="20"/>
        </w:rPr>
      </w:pPr>
    </w:p>
    <w:p>
      <w:pPr>
        <w:pStyle w:val="81"/>
        <w:tabs>
          <w:tab w:val="clear" w:pos="426"/>
        </w:tabs>
      </w:pPr>
      <w:r>
        <w:br w:type="page"/>
      </w:r>
      <w:bookmarkStart w:id="2" w:name="_Toc16410"/>
      <w:r>
        <w:rPr>
          <w:rFonts w:hint="eastAsia"/>
        </w:rPr>
        <w:t>招标文件第一册（专用部分）</w:t>
      </w:r>
      <w:bookmarkEnd w:id="2"/>
    </w:p>
    <w:p>
      <w:pPr>
        <w:pStyle w:val="62"/>
      </w:pPr>
      <w:bookmarkStart w:id="3" w:name="_Toc265483798"/>
      <w:bookmarkStart w:id="4" w:name="_Toc432592813"/>
      <w:bookmarkStart w:id="5" w:name="_Toc20258"/>
      <w:r>
        <w:rPr>
          <w:rFonts w:hint="eastAsia"/>
        </w:rPr>
        <w:t>第一章</w:t>
      </w:r>
      <w:bookmarkEnd w:id="3"/>
      <w:bookmarkEnd w:id="4"/>
      <w:r>
        <w:rPr>
          <w:rFonts w:hint="eastAsia"/>
        </w:rPr>
        <w:t xml:space="preserve"> 投标邀请</w:t>
      </w:r>
      <w:bookmarkEnd w:id="5"/>
    </w:p>
    <w:p>
      <w:pPr>
        <w:widowControl w:val="0"/>
        <w:pBdr>
          <w:top w:val="single" w:color="auto" w:sz="4" w:space="1"/>
          <w:left w:val="single" w:color="auto" w:sz="4" w:space="4"/>
          <w:bottom w:val="single" w:color="auto" w:sz="4" w:space="1"/>
          <w:right w:val="single" w:color="auto" w:sz="4" w:space="4"/>
        </w:pBdr>
        <w:shd w:val="clear" w:color="auto" w:fill="auto"/>
        <w:tabs>
          <w:tab w:val="clear" w:pos="426"/>
        </w:tabs>
        <w:adjustRightInd/>
        <w:snapToGrid/>
        <w:spacing w:line="240" w:lineRule="auto"/>
        <w:ind w:firstLine="420" w:firstLineChars="200"/>
        <w:rPr>
          <w:rFonts w:hint="eastAsia" w:cs="Times New Roman"/>
          <w:kern w:val="2"/>
          <w:szCs w:val="21"/>
        </w:rPr>
      </w:pPr>
      <w:bookmarkStart w:id="6" w:name="_Hlk62652657"/>
      <w:r>
        <w:rPr>
          <w:rFonts w:hint="eastAsia" w:cs="Times New Roman"/>
          <w:kern w:val="2"/>
          <w:szCs w:val="21"/>
        </w:rPr>
        <w:t>项目概况</w:t>
      </w:r>
    </w:p>
    <w:p>
      <w:pPr>
        <w:widowControl w:val="0"/>
        <w:pBdr>
          <w:top w:val="single" w:color="auto" w:sz="4" w:space="1"/>
          <w:left w:val="single" w:color="auto" w:sz="4" w:space="4"/>
          <w:bottom w:val="single" w:color="auto" w:sz="4" w:space="1"/>
          <w:right w:val="single" w:color="auto" w:sz="4" w:space="4"/>
        </w:pBdr>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深圳海关动植物检验检疫技术中心“超高效液相色谱-三重四极杆质谱仪”设备采购项目的潜在投标人应在深圳市罗湖区清水河街道清水河社区清水河一路112号罗湖投资控股大厦裙楼401获取招标文件，并于202</w:t>
      </w:r>
      <w:r>
        <w:rPr>
          <w:rFonts w:cs="Times New Roman"/>
          <w:kern w:val="2"/>
          <w:szCs w:val="21"/>
        </w:rPr>
        <w:t>4</w:t>
      </w:r>
      <w:r>
        <w:rPr>
          <w:rFonts w:hint="eastAsia" w:cs="Times New Roman"/>
          <w:kern w:val="2"/>
          <w:szCs w:val="21"/>
        </w:rPr>
        <w:t>年*月*</w:t>
      </w:r>
      <w:r>
        <w:rPr>
          <w:rFonts w:hint="eastAsia" w:cs="Times New Roman"/>
          <w:bCs/>
          <w:kern w:val="2"/>
          <w:szCs w:val="21"/>
        </w:rPr>
        <w:t>日14点30分（北京时间）前递交投标</w:t>
      </w:r>
      <w:r>
        <w:rPr>
          <w:rFonts w:cs="Times New Roman"/>
          <w:bCs/>
          <w:kern w:val="2"/>
          <w:szCs w:val="21"/>
        </w:rPr>
        <w:t>文件</w:t>
      </w:r>
      <w:r>
        <w:rPr>
          <w:rFonts w:hint="eastAsia" w:cs="Times New Roman"/>
          <w:kern w:val="2"/>
          <w:szCs w:val="21"/>
        </w:rPr>
        <w:t>。</w:t>
      </w:r>
    </w:p>
    <w:p>
      <w:pPr>
        <w:widowControl w:val="0"/>
        <w:shd w:val="clear" w:color="auto" w:fill="auto"/>
        <w:tabs>
          <w:tab w:val="clear" w:pos="426"/>
        </w:tabs>
        <w:adjustRightInd/>
        <w:snapToGrid/>
        <w:spacing w:line="240" w:lineRule="auto"/>
        <w:rPr>
          <w:rFonts w:hint="eastAsia" w:cs="Times New Roman"/>
          <w:kern w:val="2"/>
          <w:szCs w:val="21"/>
        </w:rPr>
      </w:pPr>
    </w:p>
    <w:p>
      <w:pPr>
        <w:spacing w:line="240" w:lineRule="auto"/>
        <w:rPr>
          <w:rFonts w:hint="eastAsia"/>
          <w:b/>
          <w:kern w:val="2"/>
          <w:szCs w:val="21"/>
        </w:rPr>
      </w:pPr>
      <w:bookmarkStart w:id="7" w:name="_Toc28359002"/>
      <w:bookmarkStart w:id="8" w:name="_Toc35393621"/>
      <w:bookmarkStart w:id="9" w:name="_Toc35393790"/>
      <w:bookmarkStart w:id="10" w:name="_Toc28359079"/>
      <w:bookmarkStart w:id="11" w:name="_Hlk24379207"/>
      <w:r>
        <w:rPr>
          <w:rFonts w:hint="eastAsia"/>
          <w:b/>
          <w:kern w:val="2"/>
          <w:szCs w:val="21"/>
        </w:rPr>
        <w:t>一、项目基本情况</w:t>
      </w:r>
      <w:bookmarkEnd w:id="7"/>
      <w:bookmarkEnd w:id="8"/>
      <w:bookmarkEnd w:id="9"/>
      <w:bookmarkEnd w:id="10"/>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项目编号：SSZX2024-385</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项目名称：深圳海关动植物检验检疫技术中心“超高效液相色谱-三重四极杆质谱仪”设备采购项目</w:t>
      </w:r>
    </w:p>
    <w:bookmarkEnd w:id="11"/>
    <w:p>
      <w:pPr>
        <w:widowControl w:val="0"/>
        <w:shd w:val="clear" w:color="auto" w:fill="auto"/>
        <w:tabs>
          <w:tab w:val="clear" w:pos="426"/>
        </w:tabs>
        <w:adjustRightInd/>
        <w:snapToGrid/>
        <w:spacing w:line="240" w:lineRule="auto"/>
        <w:ind w:firstLine="420" w:firstLineChars="200"/>
        <w:rPr>
          <w:rFonts w:hint="eastAsia"/>
          <w:szCs w:val="21"/>
        </w:rPr>
      </w:pPr>
      <w:r>
        <w:rPr>
          <w:rFonts w:hint="eastAsia" w:cs="Times New Roman"/>
          <w:kern w:val="2"/>
          <w:szCs w:val="21"/>
        </w:rPr>
        <w:t>预算金额：250.000000万元</w:t>
      </w:r>
      <w:r>
        <w:rPr>
          <w:rFonts w:hint="eastAsia"/>
          <w:szCs w:val="21"/>
        </w:rPr>
        <w:t>（人民币）</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最高限价：250.000000万元</w:t>
      </w:r>
      <w:r>
        <w:rPr>
          <w:rFonts w:hint="eastAsia"/>
          <w:szCs w:val="21"/>
        </w:rPr>
        <w:t>（人民币）</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采购需求：</w:t>
      </w:r>
    </w:p>
    <w:tbl>
      <w:tblPr>
        <w:tblStyle w:val="85"/>
        <w:tblW w:w="505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794"/>
        <w:gridCol w:w="849"/>
        <w:gridCol w:w="853"/>
        <w:gridCol w:w="2834"/>
        <w:gridCol w:w="13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9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标的名称</w:t>
            </w:r>
          </w:p>
        </w:tc>
        <w:tc>
          <w:tcPr>
            <w:tcW w:w="43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数量</w:t>
            </w:r>
          </w:p>
        </w:tc>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单位</w:t>
            </w:r>
          </w:p>
        </w:tc>
        <w:tc>
          <w:tcPr>
            <w:tcW w:w="146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简要技术需求</w:t>
            </w:r>
          </w:p>
        </w:tc>
        <w:tc>
          <w:tcPr>
            <w:tcW w:w="6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96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超高效液相色谱-三重四级杆质谱仪</w:t>
            </w:r>
          </w:p>
        </w:tc>
        <w:tc>
          <w:tcPr>
            <w:tcW w:w="43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1</w:t>
            </w:r>
          </w:p>
        </w:tc>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台</w:t>
            </w:r>
          </w:p>
        </w:tc>
        <w:tc>
          <w:tcPr>
            <w:tcW w:w="1466" w:type="pct"/>
            <w:tcBorders>
              <w:top w:val="single" w:color="auto" w:sz="4" w:space="0"/>
              <w:left w:val="single" w:color="auto" w:sz="4" w:space="0"/>
              <w:bottom w:val="single" w:color="auto" w:sz="4" w:space="0"/>
              <w:right w:val="single" w:color="auto" w:sz="4" w:space="0"/>
            </w:tcBorders>
            <w:vAlign w:val="center"/>
          </w:tcPr>
          <w:p>
            <w:pPr>
              <w:pStyle w:val="425"/>
            </w:pPr>
            <w:r>
              <w:rPr>
                <w:rFonts w:hint="eastAsia" w:cs="Times New Roman"/>
                <w:kern w:val="2"/>
              </w:rPr>
              <w:t>采购1台超高效液相色谱-三重四级杆质谱仪项目，用于有机化学污染物的分析，如食品中农、兽药残留，非法添加物和违禁添加药物等定性、定量分析，保障检测业务，提升动植物检验检疫能力。</w:t>
            </w:r>
            <w:r>
              <w:rPr>
                <w:rFonts w:hint="eastAsia"/>
              </w:rPr>
              <w:t>详见招标文件项目需求书。</w:t>
            </w:r>
          </w:p>
        </w:tc>
        <w:tc>
          <w:tcPr>
            <w:tcW w:w="691" w:type="pct"/>
            <w:tcBorders>
              <w:top w:val="single" w:color="auto" w:sz="4" w:space="0"/>
              <w:left w:val="single" w:color="auto" w:sz="4" w:space="0"/>
              <w:bottom w:val="single" w:color="auto" w:sz="4" w:space="0"/>
              <w:right w:val="single" w:color="auto" w:sz="4" w:space="0"/>
            </w:tcBorders>
            <w:vAlign w:val="center"/>
          </w:tcPr>
          <w:p>
            <w:pPr>
              <w:pStyle w:val="425"/>
            </w:pPr>
            <w:r>
              <w:rPr>
                <w:rFonts w:hint="eastAsia"/>
                <w:lang w:val="en-US" w:eastAsia="zh-CN"/>
              </w:rPr>
              <w:t>拒绝</w:t>
            </w:r>
            <w:r>
              <w:rPr>
                <w:rFonts w:hint="eastAsia"/>
              </w:rPr>
              <w:t>进口</w:t>
            </w:r>
          </w:p>
        </w:tc>
      </w:tr>
    </w:tbl>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合同履行期限：中标人提供的交货期不得超过正式签订合同后45个日历日的交货期时间。</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本项目（不接受）联合体投标。</w:t>
      </w:r>
      <w:bookmarkStart w:id="12" w:name="_Toc28359080"/>
      <w:bookmarkStart w:id="13" w:name="_Toc35393622"/>
      <w:bookmarkStart w:id="14" w:name="_Toc28359003"/>
      <w:bookmarkStart w:id="15" w:name="_Toc35393791"/>
    </w:p>
    <w:p>
      <w:pPr>
        <w:spacing w:line="240" w:lineRule="auto"/>
        <w:rPr>
          <w:rFonts w:hint="eastAsia"/>
          <w:b/>
          <w:kern w:val="2"/>
          <w:szCs w:val="21"/>
        </w:rPr>
      </w:pPr>
      <w:r>
        <w:rPr>
          <w:rFonts w:hint="eastAsia"/>
          <w:b/>
          <w:kern w:val="2"/>
          <w:szCs w:val="21"/>
        </w:rPr>
        <w:t>二、申请人的资格要求</w:t>
      </w:r>
      <w:bookmarkEnd w:id="12"/>
      <w:bookmarkEnd w:id="13"/>
      <w:bookmarkEnd w:id="14"/>
      <w:bookmarkEnd w:id="15"/>
      <w:r>
        <w:rPr>
          <w:rFonts w:hint="eastAsia"/>
          <w:b/>
          <w:kern w:val="2"/>
          <w:szCs w:val="21"/>
        </w:rPr>
        <w:t>：</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bookmarkStart w:id="16" w:name="_Toc35393792"/>
      <w:bookmarkStart w:id="17" w:name="_Toc35393623"/>
      <w:bookmarkStart w:id="18" w:name="_Toc28359004"/>
      <w:bookmarkStart w:id="19" w:name="_Toc28359081"/>
      <w:r>
        <w:rPr>
          <w:rFonts w:hint="eastAsia" w:hAnsi="Times New Roman" w:cs="Times New Roman"/>
          <w:kern w:val="2"/>
          <w:szCs w:val="21"/>
        </w:rPr>
        <w:t>1.满足《中华人民共和国政府采购法》第二十二条规定。</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2.落实政府采购政策需满足的资格要求：</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 xml:space="preserve">本项目不属于专门面向中小企业采购的项目。 </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3.本项目的特定资格要求：</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1）投标人应具有独立法人资格或具有独立承担民事责任的能力的其它组织（提供营业执照或事业单位法人证书等法人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（2）本项目不</w:t>
      </w:r>
      <w:r>
        <w:rPr>
          <w:rFonts w:hAnsi="Times New Roman" w:cs="Times New Roman"/>
          <w:kern w:val="2"/>
          <w:szCs w:val="21"/>
        </w:rPr>
        <w:t>接受投标人选用进口产品参与投标。</w:t>
      </w:r>
      <w:r>
        <w:rPr>
          <w:rFonts w:hint="eastAsia" w:hAnsi="Times New Roman" w:cs="Times New Roman"/>
          <w:kern w:val="2"/>
          <w:szCs w:val="21"/>
        </w:rPr>
        <w:t>（进口产品是指通过中国海关报关验收进入中国境内且产自境外的产品）。</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w:t>
      </w:r>
      <w:r>
        <w:rPr>
          <w:rFonts w:hAnsi="Times New Roman" w:cs="Times New Roman"/>
          <w:kern w:val="2"/>
          <w:szCs w:val="21"/>
        </w:rPr>
        <w:t>3</w:t>
      </w:r>
      <w:r>
        <w:rPr>
          <w:rFonts w:hint="eastAsia" w:hAnsi="Times New Roman" w:cs="Times New Roman"/>
          <w:kern w:val="2"/>
          <w:szCs w:val="21"/>
        </w:rPr>
        <w:t>）</w:t>
      </w:r>
      <w:r>
        <w:rPr>
          <w:rFonts w:hAnsi="Times New Roman" w:cs="Times New Roman"/>
          <w:kern w:val="2"/>
          <w:szCs w:val="21"/>
        </w:rPr>
        <w:t>根据财库〔2016〕125号文的有关规定，投标人需未被列入失信被执行人、重大税收违法案件当事人名单、政府采购严重违法失信行为记录名单（提供书面《</w:t>
      </w:r>
      <w:r>
        <w:rPr>
          <w:rFonts w:hint="eastAsia" w:hAnsi="Times New Roman" w:cs="Times New Roman"/>
          <w:kern w:val="2"/>
          <w:szCs w:val="21"/>
        </w:rPr>
        <w:t>投标人资格声明函</w:t>
      </w:r>
      <w:r>
        <w:rPr>
          <w:rFonts w:hAnsi="Times New Roman" w:cs="Times New Roman"/>
          <w:kern w:val="2"/>
          <w:szCs w:val="21"/>
        </w:rPr>
        <w:t>》加盖公章，采购代理机构将通过“信用中国”网站（www.creditchina.gov.cn）、中国政府采购网（www.ccgp.gov.cn）等渠道查询相关主体信用记录，并做好信用信息查询记录和证据留存，信用信息查询记录及相关证据将与其他采购文件一并保存）。</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（4）投标人参与本项目投标前三年内，在经营活动中没有重大违法记录（提供《投标人资格声明函》，并加盖投标人公章）。</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（5）投标人参与本项目投标近三年内，在经营活动中没有发生重大安全和质量事故（提供《投标人资格声明函》，并加盖投标人公章）。</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（6）投标人参与本项目政府采购活动时不存在被有关部门禁止参与政府采购活动且在有效期内的情况（提供《投标人资格声明函》，并加盖投标人公章）。</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7）单位负责人为同一人或者存在直接控股、管理关系的不同供应商，不得参加同一合同项下的政府采购活动（提供《投标人资格声明函》，并加盖投标人公章，采购代理机构将通过国家企业信用信息公示系统（https://www.gsxt.gov.cn/index.html）或机关赋码和事业单位登记管理网（http://www.gjsy.gov.cn/sydwfrxxcx/）或全国社会组织信用信息公示平台（https://xxgs.chinanpo.mca.gov.cn/gsxt/newList）网站查询投标人信息，并做好信用信息查询记录和证据留存，信用信息查询记录及相关证据将与其他采购文件一并保存，相关信息以截标当日的查询结果为准）。</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（8）为采购项目提供整体设计、规范编制或者项目管理、监理、检测等服务的供应商，不得再参加该采购项目的其他采购活动（提供《投标人资格声明函》，并加盖投标人公章）。</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（9）参与本项目政府采购活动不存在与其他采购参加人串通投标、隐瞒真实情况、提供虚假资料等违法违规情形（提供《投标人资格声明函》，并加盖投标人公章）</w:t>
      </w:r>
    </w:p>
    <w:p>
      <w:pPr>
        <w:widowControl w:val="0"/>
        <w:shd w:val="clear" w:color="auto" w:fill="auto"/>
        <w:tabs>
          <w:tab w:val="clear" w:pos="426"/>
        </w:tabs>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（10）本项目不接受联合体形式进行投标，不允许转包及分包。</w:t>
      </w:r>
    </w:p>
    <w:p>
      <w:pPr>
        <w:spacing w:line="240" w:lineRule="auto"/>
        <w:rPr>
          <w:rFonts w:hint="eastAsia"/>
          <w:b/>
          <w:kern w:val="2"/>
          <w:szCs w:val="21"/>
        </w:rPr>
      </w:pPr>
      <w:r>
        <w:rPr>
          <w:rFonts w:hint="eastAsia"/>
          <w:b/>
          <w:kern w:val="2"/>
          <w:szCs w:val="21"/>
        </w:rPr>
        <w:t>三、获取招标文件</w:t>
      </w:r>
      <w:bookmarkEnd w:id="16"/>
      <w:bookmarkEnd w:id="17"/>
      <w:bookmarkEnd w:id="18"/>
      <w:bookmarkEnd w:id="19"/>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时间：</w:t>
      </w:r>
      <w:r>
        <w:rPr>
          <w:rFonts w:hAnsi="Times New Roman" w:cs="Times New Roman"/>
          <w:kern w:val="2"/>
          <w:szCs w:val="21"/>
        </w:rPr>
        <w:t>2024年</w:t>
      </w:r>
      <w:r>
        <w:rPr>
          <w:rFonts w:hint="eastAsia" w:hAnsi="Times New Roman" w:cs="Times New Roman"/>
          <w:kern w:val="2"/>
          <w:szCs w:val="21"/>
        </w:rPr>
        <w:t>*</w:t>
      </w:r>
      <w:r>
        <w:rPr>
          <w:rFonts w:hAnsi="Times New Roman" w:cs="Times New Roman"/>
          <w:kern w:val="2"/>
          <w:szCs w:val="21"/>
        </w:rPr>
        <w:t>月</w:t>
      </w:r>
      <w:r>
        <w:rPr>
          <w:rFonts w:hint="eastAsia" w:hAnsi="Times New Roman" w:cs="Times New Roman"/>
          <w:kern w:val="2"/>
          <w:szCs w:val="21"/>
        </w:rPr>
        <w:t>*</w:t>
      </w:r>
      <w:r>
        <w:rPr>
          <w:rFonts w:hAnsi="Times New Roman" w:cs="Times New Roman"/>
          <w:kern w:val="2"/>
          <w:szCs w:val="21"/>
        </w:rPr>
        <w:t>日至2024年</w:t>
      </w:r>
      <w:r>
        <w:rPr>
          <w:rFonts w:hint="eastAsia" w:hAnsi="Times New Roman" w:cs="Times New Roman"/>
          <w:kern w:val="2"/>
          <w:szCs w:val="21"/>
        </w:rPr>
        <w:t>*</w:t>
      </w:r>
      <w:r>
        <w:rPr>
          <w:rFonts w:hAnsi="Times New Roman" w:cs="Times New Roman"/>
          <w:kern w:val="2"/>
          <w:szCs w:val="21"/>
        </w:rPr>
        <w:t>月</w:t>
      </w:r>
      <w:r>
        <w:rPr>
          <w:rFonts w:hint="eastAsia" w:hAnsi="Times New Roman" w:cs="Times New Roman"/>
          <w:kern w:val="2"/>
          <w:szCs w:val="21"/>
        </w:rPr>
        <w:t>*</w:t>
      </w:r>
      <w:r>
        <w:rPr>
          <w:rFonts w:hAnsi="Times New Roman" w:cs="Times New Roman"/>
          <w:kern w:val="2"/>
          <w:szCs w:val="21"/>
        </w:rPr>
        <w:t>日</w:t>
      </w:r>
      <w:r>
        <w:rPr>
          <w:rFonts w:hint="eastAsia" w:hAnsi="Times New Roman" w:cs="Times New Roman"/>
          <w:kern w:val="2"/>
          <w:szCs w:val="21"/>
        </w:rPr>
        <w:t>，每天上午9:00至12:00，下午14:00至18:00（北京时间，</w:t>
      </w:r>
      <w:r>
        <w:rPr>
          <w:rFonts w:hAnsi="Times New Roman" w:cs="Times New Roman"/>
          <w:kern w:val="2"/>
          <w:szCs w:val="21"/>
        </w:rPr>
        <w:t>法定节假日</w:t>
      </w:r>
      <w:r>
        <w:rPr>
          <w:rFonts w:hint="eastAsia" w:hAnsi="Times New Roman" w:cs="Times New Roman"/>
          <w:kern w:val="2"/>
          <w:szCs w:val="21"/>
        </w:rPr>
        <w:t>除外）</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地点：深圳市罗湖区清水河街道清水河社区清水河一路112号罗湖投资控股大厦裙楼401</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方式：现场购买。</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报名须提交：投标人的营业执照复印件；法定代表人（单位负责人）证明书原件、法定代表人（单位负责人）身份证复印件、授权委托书原件、被授权委托人身份证复印件、被授权委托人联系方式（电话、邮箱）。以上资料均需加盖公章，原件中标备查。</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售价：500元/份，本公告包含的招标文件售价总和</w:t>
      </w:r>
    </w:p>
    <w:p>
      <w:pPr>
        <w:spacing w:line="240" w:lineRule="auto"/>
        <w:rPr>
          <w:rFonts w:hint="eastAsia"/>
          <w:b/>
          <w:kern w:val="2"/>
          <w:szCs w:val="21"/>
        </w:rPr>
      </w:pPr>
      <w:bookmarkStart w:id="20" w:name="_Toc28359082"/>
      <w:bookmarkStart w:id="21" w:name="_Toc28359005"/>
      <w:bookmarkStart w:id="22" w:name="_Toc35393624"/>
      <w:bookmarkStart w:id="23" w:name="_Toc35393793"/>
      <w:r>
        <w:rPr>
          <w:rFonts w:hint="eastAsia"/>
          <w:b/>
          <w:kern w:val="2"/>
          <w:szCs w:val="21"/>
        </w:rPr>
        <w:t>四、提交投标文件</w:t>
      </w:r>
      <w:bookmarkEnd w:id="20"/>
      <w:bookmarkEnd w:id="21"/>
      <w:r>
        <w:rPr>
          <w:rFonts w:hint="eastAsia"/>
          <w:b/>
          <w:kern w:val="2"/>
          <w:szCs w:val="21"/>
        </w:rPr>
        <w:t>截止时间、开标时间和地点</w:t>
      </w:r>
      <w:bookmarkEnd w:id="22"/>
      <w:bookmarkEnd w:id="23"/>
    </w:p>
    <w:p>
      <w:pPr>
        <w:widowControl w:val="0"/>
        <w:shd w:val="clear" w:color="auto" w:fill="auto"/>
        <w:tabs>
          <w:tab w:val="clear" w:pos="426"/>
        </w:tabs>
        <w:adjustRightInd/>
        <w:snapToGrid/>
        <w:spacing w:line="240" w:lineRule="auto"/>
        <w:ind w:firstLine="420" w:firstLineChars="200"/>
        <w:rPr>
          <w:rFonts w:hint="eastAsia" w:cs="Times New Roman"/>
          <w:bCs/>
          <w:kern w:val="2"/>
          <w:szCs w:val="21"/>
        </w:rPr>
      </w:pPr>
      <w:r>
        <w:rPr>
          <w:rFonts w:hint="eastAsia" w:cs="Times New Roman"/>
          <w:bCs/>
          <w:kern w:val="2"/>
          <w:szCs w:val="21"/>
        </w:rPr>
        <w:t>提交投标文件截止时间：202</w:t>
      </w:r>
      <w:r>
        <w:rPr>
          <w:rFonts w:cs="Times New Roman"/>
          <w:bCs/>
          <w:kern w:val="2"/>
          <w:szCs w:val="21"/>
        </w:rPr>
        <w:t>4</w:t>
      </w:r>
      <w:r>
        <w:rPr>
          <w:rFonts w:hint="eastAsia" w:cs="Times New Roman"/>
          <w:bCs/>
          <w:kern w:val="2"/>
          <w:szCs w:val="21"/>
        </w:rPr>
        <w:t>年</w:t>
      </w:r>
      <w:r>
        <w:rPr>
          <w:rFonts w:hint="eastAsia" w:cs="Times New Roman"/>
          <w:kern w:val="2"/>
          <w:szCs w:val="21"/>
        </w:rPr>
        <w:t>*</w:t>
      </w:r>
      <w:r>
        <w:rPr>
          <w:rFonts w:hint="eastAsia" w:cs="Times New Roman"/>
          <w:bCs/>
          <w:kern w:val="2"/>
          <w:szCs w:val="21"/>
        </w:rPr>
        <w:t>月</w:t>
      </w:r>
      <w:r>
        <w:rPr>
          <w:rFonts w:hint="eastAsia" w:cs="Times New Roman"/>
          <w:kern w:val="2"/>
          <w:szCs w:val="21"/>
        </w:rPr>
        <w:t>*</w:t>
      </w:r>
      <w:r>
        <w:rPr>
          <w:rFonts w:hint="eastAsia" w:cs="Times New Roman"/>
          <w:bCs/>
          <w:kern w:val="2"/>
          <w:szCs w:val="21"/>
        </w:rPr>
        <w:t>日</w:t>
      </w:r>
      <w:r>
        <w:rPr>
          <w:rFonts w:cs="Times New Roman"/>
          <w:bCs/>
          <w:kern w:val="2"/>
          <w:szCs w:val="21"/>
        </w:rPr>
        <w:t>14</w:t>
      </w:r>
      <w:r>
        <w:rPr>
          <w:rFonts w:hint="eastAsia" w:cs="Times New Roman"/>
          <w:bCs/>
          <w:kern w:val="2"/>
          <w:szCs w:val="21"/>
        </w:rPr>
        <w:t>点</w:t>
      </w:r>
      <w:r>
        <w:rPr>
          <w:rFonts w:cs="Times New Roman"/>
          <w:bCs/>
          <w:kern w:val="2"/>
          <w:szCs w:val="21"/>
        </w:rPr>
        <w:t>30</w:t>
      </w:r>
      <w:r>
        <w:rPr>
          <w:rFonts w:hint="eastAsia" w:cs="Times New Roman"/>
          <w:bCs/>
          <w:kern w:val="2"/>
          <w:szCs w:val="21"/>
        </w:rPr>
        <w:t>分（北京时间）</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开标时间：202</w:t>
      </w:r>
      <w:r>
        <w:rPr>
          <w:rFonts w:hAnsi="Times New Roman" w:cs="Times New Roman"/>
          <w:kern w:val="2"/>
          <w:szCs w:val="21"/>
        </w:rPr>
        <w:t>4</w:t>
      </w:r>
      <w:r>
        <w:rPr>
          <w:rFonts w:hint="eastAsia" w:hAnsi="Times New Roman" w:cs="Times New Roman"/>
          <w:kern w:val="2"/>
          <w:szCs w:val="21"/>
        </w:rPr>
        <w:t>年*月*日14点30分（北京时间）</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地点：深圳市罗湖区清水河街道清水河社区清水河一路112号罗湖投资控股大厦裙楼401</w:t>
      </w:r>
    </w:p>
    <w:p>
      <w:pPr>
        <w:spacing w:line="240" w:lineRule="auto"/>
        <w:rPr>
          <w:rFonts w:hint="eastAsia"/>
          <w:b/>
          <w:kern w:val="2"/>
          <w:szCs w:val="21"/>
        </w:rPr>
      </w:pPr>
      <w:bookmarkStart w:id="24" w:name="_Toc28359007"/>
      <w:bookmarkStart w:id="25" w:name="_Toc35393794"/>
      <w:bookmarkStart w:id="26" w:name="_Toc28359084"/>
      <w:bookmarkStart w:id="27" w:name="_Toc35393625"/>
      <w:r>
        <w:rPr>
          <w:rFonts w:hint="eastAsia"/>
          <w:b/>
          <w:kern w:val="2"/>
          <w:szCs w:val="21"/>
        </w:rPr>
        <w:t>五、公告期限</w:t>
      </w:r>
      <w:bookmarkEnd w:id="24"/>
      <w:bookmarkEnd w:id="25"/>
      <w:bookmarkEnd w:id="26"/>
      <w:bookmarkEnd w:id="27"/>
    </w:p>
    <w:p>
      <w:pPr>
        <w:widowControl w:val="0"/>
        <w:shd w:val="clear" w:color="auto" w:fill="auto"/>
        <w:tabs>
          <w:tab w:val="clear" w:pos="426"/>
        </w:tabs>
        <w:adjustRightInd/>
        <w:snapToGrid/>
        <w:spacing w:line="240" w:lineRule="auto"/>
        <w:ind w:firstLine="420" w:firstLineChars="200"/>
        <w:rPr>
          <w:rFonts w:hint="eastAsia"/>
          <w:szCs w:val="21"/>
        </w:rPr>
      </w:pPr>
      <w:r>
        <w:rPr>
          <w:rFonts w:hint="eastAsia"/>
          <w:szCs w:val="21"/>
        </w:rPr>
        <w:t>自本公告发布之日起5个工作日。</w:t>
      </w:r>
      <w:bookmarkStart w:id="28" w:name="_Toc35393626"/>
      <w:bookmarkStart w:id="29" w:name="_Toc35393795"/>
    </w:p>
    <w:p>
      <w:pPr>
        <w:spacing w:line="240" w:lineRule="auto"/>
        <w:rPr>
          <w:rFonts w:hint="eastAsia"/>
          <w:b/>
          <w:kern w:val="2"/>
          <w:szCs w:val="21"/>
        </w:rPr>
      </w:pPr>
      <w:r>
        <w:rPr>
          <w:rFonts w:hint="eastAsia"/>
          <w:b/>
          <w:kern w:val="2"/>
          <w:szCs w:val="21"/>
        </w:rPr>
        <w:t>六、</w:t>
      </w:r>
      <w:bookmarkStart w:id="30" w:name="_Hlk155780018"/>
      <w:r>
        <w:rPr>
          <w:rFonts w:hint="eastAsia"/>
          <w:b/>
          <w:kern w:val="2"/>
          <w:szCs w:val="21"/>
        </w:rPr>
        <w:t>其他补充事宜</w:t>
      </w:r>
      <w:bookmarkEnd w:id="28"/>
      <w:bookmarkEnd w:id="29"/>
      <w:bookmarkEnd w:id="30"/>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1</w:t>
      </w:r>
      <w:r>
        <w:rPr>
          <w:rFonts w:cs="Times New Roman"/>
          <w:kern w:val="2"/>
          <w:szCs w:val="21"/>
        </w:rPr>
        <w:t>.</w:t>
      </w:r>
      <w:r>
        <w:rPr>
          <w:rFonts w:hint="eastAsia" w:cs="Times New Roman"/>
          <w:kern w:val="2"/>
          <w:szCs w:val="21"/>
        </w:rPr>
        <w:t>答疑事项：</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（1）本项目实行网下纸质答疑，凡对招标文件有任何疑问的（包括认为招标文件的技术指标或参数存在排他性或歧视性条款），请投标供应商在获取采购文件或者采购文件公告期限届满之日起</w:t>
      </w:r>
      <w:r>
        <w:rPr>
          <w:rFonts w:cs="Times New Roman"/>
          <w:kern w:val="2"/>
          <w:szCs w:val="21"/>
        </w:rPr>
        <w:t>7个工作日内对采购文件提出质疑，根据《中华人民共和国政府采购法》第六章、《中华人民共和国政府采购法实施条例》的有关质疑的指引及要求填写质疑函件，并将质疑函件以及相关质疑内容的证明材料原件送达深圳市深水水务咨询有限公司，逾期不受理。</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投标供应商有义务在招标活动期间浏览本公告“六、其他补充事宜”中的相关网站，采购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w:t>
      </w:r>
      <w:r>
        <w:rPr>
          <w:rFonts w:cs="Times New Roman"/>
          <w:kern w:val="2"/>
          <w:szCs w:val="21"/>
        </w:rPr>
        <w:t>.</w:t>
      </w:r>
      <w:r>
        <w:rPr>
          <w:rFonts w:hint="eastAsia" w:cs="Times New Roman"/>
          <w:kern w:val="2"/>
          <w:szCs w:val="21"/>
        </w:rPr>
        <w:t>投标文件提交方式补充说明：</w:t>
      </w:r>
    </w:p>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各投标人法定代表人或其授权代表可通过邮寄方式，按照规定的递交投标文件截止时间前向我公司邮寄投标文件，快递单上写明供应商名称、招标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hAnsi="Times New Roman" w:cs="Times New Roman"/>
          <w:kern w:val="2"/>
          <w:szCs w:val="21"/>
        </w:rPr>
        <w:t>3</w:t>
      </w:r>
      <w:r>
        <w:rPr>
          <w:rFonts w:hAnsi="Times New Roman" w:cs="Times New Roman"/>
          <w:kern w:val="2"/>
          <w:szCs w:val="21"/>
        </w:rPr>
        <w:t>.</w:t>
      </w:r>
      <w:r>
        <w:rPr>
          <w:rFonts w:hint="eastAsia" w:cs="Times New Roman"/>
          <w:kern w:val="2"/>
          <w:szCs w:val="21"/>
        </w:rPr>
        <w:t>信息发布平台：</w:t>
      </w:r>
    </w:p>
    <w:p>
      <w:pPr>
        <w:widowControl w:val="0"/>
        <w:shd w:val="clear" w:color="auto" w:fill="auto"/>
        <w:tabs>
          <w:tab w:val="clear" w:pos="426"/>
        </w:tabs>
        <w:adjustRightInd/>
        <w:snapToGrid/>
        <w:spacing w:line="240" w:lineRule="auto"/>
        <w:ind w:left="495"/>
        <w:rPr>
          <w:rFonts w:hint="eastAsia"/>
          <w:szCs w:val="21"/>
        </w:rPr>
      </w:pPr>
      <w:r>
        <w:rPr>
          <w:rFonts w:hint="eastAsia"/>
          <w:szCs w:val="21"/>
        </w:rPr>
        <w:t>深圳海关门户网（</w:t>
      </w:r>
      <w:r>
        <w:rPr>
          <w:szCs w:val="21"/>
        </w:rPr>
        <w:t>http://shenzhen.customs.gov.cn</w:t>
      </w:r>
      <w:r>
        <w:rPr>
          <w:rFonts w:hint="eastAsia"/>
          <w:szCs w:val="21"/>
        </w:rPr>
        <w:t>）；</w:t>
      </w:r>
    </w:p>
    <w:p>
      <w:pPr>
        <w:widowControl w:val="0"/>
        <w:shd w:val="clear" w:color="auto" w:fill="auto"/>
        <w:tabs>
          <w:tab w:val="clear" w:pos="426"/>
        </w:tabs>
        <w:adjustRightInd/>
        <w:snapToGrid/>
        <w:spacing w:line="240" w:lineRule="auto"/>
        <w:ind w:left="495"/>
        <w:rPr>
          <w:rFonts w:hint="eastAsia"/>
          <w:szCs w:val="21"/>
        </w:rPr>
      </w:pPr>
      <w:r>
        <w:rPr>
          <w:rFonts w:hint="eastAsia"/>
          <w:szCs w:val="21"/>
        </w:rPr>
        <w:t>中国政府采购网（</w:t>
      </w:r>
      <w:r>
        <w:rPr>
          <w:szCs w:val="21"/>
        </w:rPr>
        <w:t>http://www.ccgp.gov.cn）；</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szCs w:val="21"/>
        </w:rPr>
        <w:t>采购代理机构官网（</w:t>
      </w:r>
      <w:r>
        <w:rPr>
          <w:szCs w:val="21"/>
        </w:rPr>
        <w:t>http://www.szsszx.com/</w:t>
      </w:r>
      <w:r>
        <w:rPr>
          <w:rFonts w:hint="eastAsia"/>
          <w:szCs w:val="21"/>
        </w:rPr>
        <w:t>）。</w:t>
      </w:r>
    </w:p>
    <w:p>
      <w:pPr>
        <w:spacing w:line="240" w:lineRule="auto"/>
        <w:rPr>
          <w:rFonts w:hint="eastAsia"/>
          <w:b/>
          <w:kern w:val="2"/>
          <w:szCs w:val="21"/>
        </w:rPr>
      </w:pPr>
      <w:bookmarkStart w:id="31" w:name="_Toc35393627"/>
      <w:bookmarkStart w:id="32" w:name="_Toc35393796"/>
      <w:bookmarkStart w:id="33" w:name="_Toc28359085"/>
      <w:bookmarkStart w:id="34" w:name="_Toc28359008"/>
      <w:r>
        <w:rPr>
          <w:rFonts w:hint="eastAsia"/>
          <w:b/>
          <w:kern w:val="2"/>
          <w:szCs w:val="21"/>
        </w:rPr>
        <w:t>七、对本次招标提出询问，请按</w:t>
      </w:r>
      <w:r>
        <w:rPr>
          <w:b/>
          <w:kern w:val="2"/>
          <w:szCs w:val="21"/>
        </w:rPr>
        <w:t>以下方式</w:t>
      </w:r>
      <w:r>
        <w:rPr>
          <w:rFonts w:hint="eastAsia"/>
          <w:b/>
          <w:kern w:val="2"/>
          <w:szCs w:val="21"/>
        </w:rPr>
        <w:t>联系</w:t>
      </w:r>
      <w:bookmarkEnd w:id="31"/>
      <w:bookmarkEnd w:id="32"/>
      <w:bookmarkEnd w:id="33"/>
      <w:bookmarkEnd w:id="34"/>
      <w:r>
        <w:rPr>
          <w:rFonts w:hint="eastAsia"/>
          <w:b/>
          <w:kern w:val="2"/>
          <w:szCs w:val="21"/>
        </w:rPr>
        <w:t>。</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1.采购人信息</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名称：深圳海关动植物检验检疫技术中心</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地址：深圳市福田区福强路</w:t>
      </w:r>
      <w:r>
        <w:rPr>
          <w:rFonts w:cs="Times New Roman"/>
          <w:kern w:val="2"/>
          <w:szCs w:val="21"/>
        </w:rPr>
        <w:t>1011号</w:t>
      </w:r>
    </w:p>
    <w:p>
      <w:pPr>
        <w:widowControl w:val="0"/>
        <w:shd w:val="clear" w:color="auto" w:fill="auto"/>
        <w:tabs>
          <w:tab w:val="clear" w:pos="426"/>
        </w:tabs>
        <w:adjustRightInd/>
        <w:snapToGrid/>
        <w:spacing w:line="240" w:lineRule="auto"/>
        <w:ind w:left="495"/>
        <w:rPr>
          <w:rFonts w:hint="eastAsia" w:cs="Times New Roman"/>
          <w:kern w:val="2"/>
          <w:szCs w:val="21"/>
        </w:rPr>
      </w:pPr>
      <w:bookmarkStart w:id="35" w:name="_Toc28359009"/>
      <w:bookmarkStart w:id="36" w:name="_Toc28359086"/>
      <w:r>
        <w:rPr>
          <w:rFonts w:hint="eastAsia" w:cs="Times New Roman"/>
          <w:kern w:val="2"/>
          <w:szCs w:val="21"/>
        </w:rPr>
        <w:t>联系方式：刘先生</w:t>
      </w:r>
      <w:r>
        <w:rPr>
          <w:rFonts w:cs="Times New Roman"/>
          <w:kern w:val="2"/>
          <w:szCs w:val="21"/>
        </w:rPr>
        <w:t>0755-84394179</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采购人监督投诉电话：</w:t>
      </w:r>
      <w:r>
        <w:rPr>
          <w:rFonts w:cs="Times New Roman"/>
          <w:kern w:val="2"/>
          <w:szCs w:val="21"/>
        </w:rPr>
        <w:t>0755-84398457</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2.采购代理机构信息</w:t>
      </w:r>
      <w:bookmarkEnd w:id="35"/>
      <w:bookmarkEnd w:id="36"/>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名</w:t>
      </w:r>
      <w:r>
        <w:rPr>
          <w:rFonts w:cs="Times New Roman"/>
          <w:kern w:val="2"/>
          <w:szCs w:val="21"/>
        </w:rPr>
        <w:t>称：深圳市深水水务咨询有限公司</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地</w:t>
      </w:r>
      <w:r>
        <w:rPr>
          <w:rFonts w:cs="Times New Roman"/>
          <w:kern w:val="2"/>
          <w:szCs w:val="21"/>
        </w:rPr>
        <w:t>址：深圳市罗湖区清水河街道清水河社区清水河一路112号罗湖投资控股大厦裙楼401</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联系方式：庄晓琴</w:t>
      </w:r>
      <w:r>
        <w:rPr>
          <w:rFonts w:cs="Times New Roman"/>
          <w:kern w:val="2"/>
          <w:szCs w:val="21"/>
        </w:rPr>
        <w:t>0755-25165821/13688812350/Email：498174886@qq.com</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cs="Times New Roman"/>
          <w:kern w:val="2"/>
          <w:szCs w:val="21"/>
        </w:rPr>
        <w:t>3.项目联系方式</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项目联系人：庄晓琴、李夏冰</w:t>
      </w:r>
    </w:p>
    <w:p>
      <w:pPr>
        <w:widowControl w:val="0"/>
        <w:shd w:val="clear" w:color="auto" w:fill="auto"/>
        <w:tabs>
          <w:tab w:val="clear" w:pos="426"/>
        </w:tabs>
        <w:adjustRightInd/>
        <w:snapToGrid/>
        <w:spacing w:line="240" w:lineRule="auto"/>
        <w:ind w:left="495"/>
        <w:rPr>
          <w:rFonts w:hint="eastAsia" w:cs="Times New Roman"/>
          <w:kern w:val="2"/>
          <w:szCs w:val="21"/>
        </w:rPr>
      </w:pPr>
      <w:r>
        <w:rPr>
          <w:rFonts w:hint="eastAsia" w:cs="Times New Roman"/>
          <w:kern w:val="2"/>
          <w:szCs w:val="21"/>
        </w:rPr>
        <w:t>电</w:t>
      </w:r>
      <w:r>
        <w:rPr>
          <w:rFonts w:cs="Times New Roman"/>
          <w:kern w:val="2"/>
          <w:szCs w:val="21"/>
        </w:rPr>
        <w:t>话：0755-25165821/13688812350</w:t>
      </w:r>
    </w:p>
    <w:p>
      <w:pPr>
        <w:spacing w:line="240" w:lineRule="auto"/>
        <w:ind w:firstLine="424" w:firstLineChars="202"/>
        <w:jc w:val="right"/>
        <w:rPr>
          <w:rFonts w:hint="eastAsia"/>
          <w:szCs w:val="21"/>
        </w:rPr>
      </w:pPr>
      <w:r>
        <w:rPr>
          <w:rFonts w:hint="eastAsia"/>
          <w:szCs w:val="21"/>
        </w:rPr>
        <w:t>深圳市深水水务咨询有限公司</w:t>
      </w:r>
    </w:p>
    <w:p>
      <w:pPr>
        <w:spacing w:line="240" w:lineRule="auto"/>
        <w:ind w:firstLine="424" w:firstLineChars="202"/>
        <w:jc w:val="right"/>
        <w:rPr>
          <w:rFonts w:hint="eastAsia"/>
          <w:szCs w:val="21"/>
        </w:rPr>
      </w:pPr>
      <w:r>
        <w:rPr>
          <w:rFonts w:hint="eastAsia"/>
          <w:szCs w:val="21"/>
        </w:rPr>
        <w:t>202</w:t>
      </w:r>
      <w:r>
        <w:rPr>
          <w:szCs w:val="21"/>
        </w:rPr>
        <w:t>4</w:t>
      </w:r>
      <w:r>
        <w:rPr>
          <w:rFonts w:hint="eastAsia"/>
          <w:szCs w:val="21"/>
        </w:rPr>
        <w:t>年*月*日</w:t>
      </w:r>
    </w:p>
    <w:bookmarkEnd w:id="6"/>
    <w:p>
      <w:pPr>
        <w:rPr>
          <w:rFonts w:hint="eastAsia"/>
        </w:rPr>
      </w:pPr>
      <w:r>
        <w:rPr>
          <w:rFonts w:hint="eastAsia"/>
        </w:rPr>
        <w:br w:type="page"/>
      </w:r>
    </w:p>
    <w:p>
      <w:pPr>
        <w:pStyle w:val="62"/>
      </w:pPr>
      <w:bookmarkStart w:id="37" w:name="_Toc13122"/>
      <w:r>
        <w:rPr>
          <w:rFonts w:hint="eastAsia"/>
        </w:rPr>
        <w:t>第二章 项目需求</w:t>
      </w:r>
      <w:bookmarkEnd w:id="37"/>
    </w:p>
    <w:p>
      <w:pPr>
        <w:numPr>
          <w:ilvl w:val="0"/>
          <w:numId w:val="2"/>
        </w:numPr>
        <w:adjustRightInd/>
        <w:snapToGrid/>
        <w:spacing w:before="280" w:after="290" w:line="377" w:lineRule="auto"/>
        <w:jc w:val="left"/>
        <w:outlineLvl w:val="2"/>
        <w:rPr>
          <w:rFonts w:hint="eastAsia"/>
          <w:b/>
          <w:sz w:val="24"/>
        </w:rPr>
      </w:pPr>
      <w:bookmarkStart w:id="38" w:name="_Toc151386154"/>
      <w:bookmarkStart w:id="39" w:name="_Toc15786"/>
      <w:bookmarkStart w:id="40" w:name="_Toc150960244"/>
      <w:r>
        <w:rPr>
          <w:b/>
          <w:sz w:val="24"/>
        </w:rPr>
        <w:t>货物清单</w:t>
      </w:r>
      <w:r>
        <w:rPr>
          <w:rFonts w:hint="eastAsia"/>
          <w:b/>
          <w:sz w:val="24"/>
        </w:rPr>
        <w:t>一览表</w:t>
      </w:r>
      <w:bookmarkEnd w:id="38"/>
      <w:bookmarkEnd w:id="39"/>
      <w:bookmarkEnd w:id="40"/>
    </w:p>
    <w:tbl>
      <w:tblPr>
        <w:tblStyle w:val="85"/>
        <w:tblW w:w="44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2806"/>
        <w:gridCol w:w="744"/>
        <w:gridCol w:w="678"/>
        <w:gridCol w:w="1113"/>
        <w:gridCol w:w="1113"/>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 w:type="pct"/>
            <w:vAlign w:val="center"/>
          </w:tcPr>
          <w:p>
            <w:pPr>
              <w:widowControl w:val="0"/>
              <w:shd w:val="clear" w:color="auto" w:fill="auto"/>
              <w:tabs>
                <w:tab w:val="clear" w:pos="426"/>
              </w:tabs>
              <w:adjustRightInd/>
              <w:snapToGrid/>
              <w:spacing w:line="240" w:lineRule="auto"/>
              <w:jc w:val="center"/>
              <w:rPr>
                <w:rFonts w:hint="eastAsia" w:cs="Times New Roman"/>
                <w:b/>
                <w:bCs/>
                <w:szCs w:val="21"/>
              </w:rPr>
            </w:pPr>
            <w:r>
              <w:rPr>
                <w:rFonts w:cs="Times New Roman"/>
                <w:b/>
                <w:bCs/>
                <w:szCs w:val="21"/>
              </w:rPr>
              <w:t>序号</w:t>
            </w:r>
          </w:p>
        </w:tc>
        <w:tc>
          <w:tcPr>
            <w:tcW w:w="1659" w:type="pct"/>
            <w:vAlign w:val="center"/>
          </w:tcPr>
          <w:p>
            <w:pPr>
              <w:widowControl w:val="0"/>
              <w:shd w:val="clear" w:color="auto" w:fill="auto"/>
              <w:tabs>
                <w:tab w:val="clear" w:pos="426"/>
              </w:tabs>
              <w:adjustRightInd/>
              <w:snapToGrid/>
              <w:spacing w:line="240" w:lineRule="auto"/>
              <w:jc w:val="center"/>
              <w:rPr>
                <w:rFonts w:hint="eastAsia" w:cs="Times New Roman"/>
                <w:b/>
                <w:bCs/>
                <w:szCs w:val="21"/>
              </w:rPr>
            </w:pPr>
            <w:r>
              <w:rPr>
                <w:rFonts w:hint="eastAsia" w:cs="Times New Roman"/>
                <w:b/>
                <w:bCs/>
                <w:szCs w:val="21"/>
              </w:rPr>
              <w:t>货物（标的）</w:t>
            </w:r>
            <w:r>
              <w:rPr>
                <w:rFonts w:cs="Times New Roman"/>
                <w:b/>
                <w:bCs/>
                <w:szCs w:val="21"/>
              </w:rPr>
              <w:t>名称</w:t>
            </w:r>
          </w:p>
        </w:tc>
        <w:tc>
          <w:tcPr>
            <w:tcW w:w="440" w:type="pct"/>
            <w:vAlign w:val="center"/>
          </w:tcPr>
          <w:p>
            <w:pPr>
              <w:widowControl w:val="0"/>
              <w:shd w:val="clear" w:color="auto" w:fill="auto"/>
              <w:tabs>
                <w:tab w:val="clear" w:pos="426"/>
              </w:tabs>
              <w:adjustRightInd/>
              <w:snapToGrid/>
              <w:spacing w:line="240" w:lineRule="auto"/>
              <w:jc w:val="center"/>
              <w:rPr>
                <w:rFonts w:hint="eastAsia" w:cs="Times New Roman"/>
                <w:b/>
                <w:bCs/>
                <w:szCs w:val="21"/>
              </w:rPr>
            </w:pPr>
            <w:r>
              <w:rPr>
                <w:rFonts w:cs="Times New Roman"/>
                <w:b/>
                <w:bCs/>
                <w:szCs w:val="21"/>
              </w:rPr>
              <w:t>数量</w:t>
            </w:r>
          </w:p>
        </w:tc>
        <w:tc>
          <w:tcPr>
            <w:tcW w:w="401" w:type="pct"/>
            <w:vAlign w:val="center"/>
          </w:tcPr>
          <w:p>
            <w:pPr>
              <w:widowControl w:val="0"/>
              <w:shd w:val="clear" w:color="auto" w:fill="auto"/>
              <w:tabs>
                <w:tab w:val="clear" w:pos="426"/>
              </w:tabs>
              <w:adjustRightInd/>
              <w:snapToGrid/>
              <w:spacing w:line="240" w:lineRule="auto"/>
              <w:jc w:val="center"/>
              <w:rPr>
                <w:rFonts w:hint="eastAsia" w:cs="Times New Roman"/>
                <w:b/>
                <w:bCs/>
                <w:szCs w:val="21"/>
              </w:rPr>
            </w:pPr>
            <w:r>
              <w:rPr>
                <w:rFonts w:cs="Times New Roman"/>
                <w:b/>
                <w:bCs/>
                <w:szCs w:val="21"/>
              </w:rPr>
              <w:t>单位</w:t>
            </w:r>
          </w:p>
        </w:tc>
        <w:tc>
          <w:tcPr>
            <w:tcW w:w="658" w:type="pct"/>
            <w:vAlign w:val="center"/>
          </w:tcPr>
          <w:p>
            <w:pPr>
              <w:widowControl w:val="0"/>
              <w:shd w:val="clear" w:color="auto" w:fill="auto"/>
              <w:tabs>
                <w:tab w:val="clear" w:pos="426"/>
              </w:tabs>
              <w:adjustRightInd/>
              <w:snapToGrid/>
              <w:spacing w:line="240" w:lineRule="auto"/>
              <w:jc w:val="center"/>
              <w:rPr>
                <w:rFonts w:hint="eastAsia" w:cs="Times New Roman"/>
                <w:b/>
                <w:bCs/>
                <w:szCs w:val="21"/>
              </w:rPr>
            </w:pPr>
            <w:r>
              <w:rPr>
                <w:rFonts w:hint="eastAsia"/>
                <w:b/>
                <w:bCs/>
                <w:szCs w:val="21"/>
              </w:rPr>
              <w:t>是否进口</w:t>
            </w:r>
          </w:p>
        </w:tc>
        <w:tc>
          <w:tcPr>
            <w:tcW w:w="658" w:type="pct"/>
            <w:vAlign w:val="center"/>
          </w:tcPr>
          <w:p>
            <w:pPr>
              <w:widowControl w:val="0"/>
              <w:shd w:val="clear" w:color="auto" w:fill="auto"/>
              <w:tabs>
                <w:tab w:val="clear" w:pos="426"/>
              </w:tabs>
              <w:adjustRightInd/>
              <w:snapToGrid/>
              <w:spacing w:line="240" w:lineRule="auto"/>
              <w:jc w:val="center"/>
              <w:rPr>
                <w:rFonts w:hint="eastAsia" w:cs="Times New Roman"/>
                <w:b/>
                <w:bCs/>
                <w:szCs w:val="21"/>
              </w:rPr>
            </w:pPr>
            <w:r>
              <w:rPr>
                <w:rFonts w:hint="eastAsia"/>
                <w:b/>
                <w:bCs/>
                <w:szCs w:val="21"/>
              </w:rPr>
              <w:t>是否创新产品</w:t>
            </w:r>
          </w:p>
        </w:tc>
        <w:tc>
          <w:tcPr>
            <w:tcW w:w="879" w:type="pct"/>
            <w:vAlign w:val="center"/>
          </w:tcPr>
          <w:p>
            <w:pPr>
              <w:widowControl w:val="0"/>
              <w:shd w:val="clear" w:color="auto" w:fill="auto"/>
              <w:tabs>
                <w:tab w:val="clear" w:pos="426"/>
              </w:tabs>
              <w:adjustRightInd/>
              <w:snapToGrid/>
              <w:spacing w:line="240" w:lineRule="auto"/>
              <w:jc w:val="center"/>
              <w:rPr>
                <w:rFonts w:hint="eastAsia" w:cs="Times New Roman"/>
                <w:b/>
                <w:bCs/>
                <w:szCs w:val="21"/>
              </w:rPr>
            </w:pPr>
            <w:r>
              <w:rPr>
                <w:rFonts w:hint="eastAsia" w:cs="Times New Roman"/>
                <w:b/>
                <w:bCs/>
                <w:szCs w:val="21"/>
              </w:rPr>
              <w:t>财政</w:t>
            </w:r>
            <w:r>
              <w:rPr>
                <w:rFonts w:cs="Times New Roman"/>
                <w:b/>
                <w:bCs/>
                <w:szCs w:val="21"/>
              </w:rPr>
              <w:t>预算限额(</w:t>
            </w:r>
            <w:r>
              <w:rPr>
                <w:rFonts w:hint="eastAsia" w:cs="Times New Roman"/>
                <w:b/>
                <w:bCs/>
                <w:szCs w:val="21"/>
              </w:rPr>
              <w:t>万</w:t>
            </w:r>
            <w:r>
              <w:rPr>
                <w:rFonts w:cs="Times New Roman"/>
                <w:b/>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 w:type="pct"/>
            <w:vAlign w:val="center"/>
          </w:tcPr>
          <w:p>
            <w:pPr>
              <w:tabs>
                <w:tab w:val="clear" w:pos="426"/>
              </w:tabs>
              <w:spacing w:line="240" w:lineRule="auto"/>
              <w:jc w:val="center"/>
              <w:rPr>
                <w:rFonts w:hint="eastAsia"/>
                <w:szCs w:val="21"/>
              </w:rPr>
            </w:pPr>
            <w:r>
              <w:rPr>
                <w:rFonts w:hint="eastAsia"/>
                <w:szCs w:val="21"/>
              </w:rPr>
              <w:t>1</w:t>
            </w:r>
          </w:p>
        </w:tc>
        <w:tc>
          <w:tcPr>
            <w:tcW w:w="1659" w:type="pct"/>
            <w:vAlign w:val="center"/>
          </w:tcPr>
          <w:p>
            <w:pPr>
              <w:spacing w:line="240" w:lineRule="auto"/>
              <w:jc w:val="center"/>
              <w:rPr>
                <w:rFonts w:hint="eastAsia"/>
              </w:rPr>
            </w:pPr>
            <w:r>
              <w:rPr>
                <w:rFonts w:hint="eastAsia"/>
              </w:rPr>
              <w:t>超高效液相色谱-三重四级杆质谱仪</w:t>
            </w:r>
          </w:p>
        </w:tc>
        <w:tc>
          <w:tcPr>
            <w:tcW w:w="440" w:type="pct"/>
            <w:vAlign w:val="center"/>
          </w:tcPr>
          <w:p>
            <w:pPr>
              <w:tabs>
                <w:tab w:val="clear" w:pos="426"/>
              </w:tabs>
              <w:spacing w:line="240" w:lineRule="auto"/>
              <w:jc w:val="center"/>
              <w:rPr>
                <w:rFonts w:hint="eastAsia"/>
                <w:szCs w:val="21"/>
              </w:rPr>
            </w:pPr>
            <w:r>
              <w:rPr>
                <w:rFonts w:hint="eastAsia"/>
                <w:szCs w:val="21"/>
              </w:rPr>
              <w:t>1</w:t>
            </w:r>
          </w:p>
        </w:tc>
        <w:tc>
          <w:tcPr>
            <w:tcW w:w="401" w:type="pct"/>
            <w:vAlign w:val="center"/>
          </w:tcPr>
          <w:p>
            <w:pPr>
              <w:tabs>
                <w:tab w:val="clear" w:pos="426"/>
              </w:tabs>
              <w:spacing w:line="240" w:lineRule="auto"/>
              <w:jc w:val="center"/>
              <w:rPr>
                <w:rFonts w:hint="eastAsia"/>
                <w:szCs w:val="21"/>
              </w:rPr>
            </w:pPr>
            <w:r>
              <w:rPr>
                <w:rFonts w:hint="eastAsia"/>
                <w:szCs w:val="21"/>
              </w:rPr>
              <w:t>台</w:t>
            </w:r>
          </w:p>
        </w:tc>
        <w:tc>
          <w:tcPr>
            <w:tcW w:w="658" w:type="pct"/>
            <w:vAlign w:val="center"/>
          </w:tcPr>
          <w:p>
            <w:pPr>
              <w:tabs>
                <w:tab w:val="clear" w:pos="426"/>
              </w:tabs>
              <w:spacing w:line="240" w:lineRule="auto"/>
              <w:jc w:val="center"/>
              <w:rPr>
                <w:rFonts w:hint="eastAsia"/>
                <w:bCs/>
                <w:szCs w:val="21"/>
              </w:rPr>
            </w:pPr>
            <w:r>
              <w:rPr>
                <w:rFonts w:hint="eastAsia"/>
                <w:szCs w:val="21"/>
              </w:rPr>
              <w:t>否</w:t>
            </w:r>
          </w:p>
        </w:tc>
        <w:tc>
          <w:tcPr>
            <w:tcW w:w="658" w:type="pct"/>
            <w:vAlign w:val="center"/>
          </w:tcPr>
          <w:p>
            <w:pPr>
              <w:tabs>
                <w:tab w:val="clear" w:pos="426"/>
              </w:tabs>
              <w:spacing w:line="240" w:lineRule="auto"/>
              <w:jc w:val="center"/>
              <w:rPr>
                <w:rFonts w:hint="eastAsia"/>
                <w:bCs/>
                <w:szCs w:val="21"/>
              </w:rPr>
            </w:pPr>
            <w:r>
              <w:rPr>
                <w:rFonts w:hint="eastAsia"/>
                <w:szCs w:val="21"/>
              </w:rPr>
              <w:t>否</w:t>
            </w:r>
          </w:p>
        </w:tc>
        <w:tc>
          <w:tcPr>
            <w:tcW w:w="879" w:type="pct"/>
            <w:vAlign w:val="center"/>
          </w:tcPr>
          <w:p>
            <w:pPr>
              <w:widowControl w:val="0"/>
              <w:shd w:val="clear" w:color="auto" w:fill="auto"/>
              <w:tabs>
                <w:tab w:val="clear" w:pos="426"/>
              </w:tabs>
              <w:adjustRightInd/>
              <w:snapToGrid/>
              <w:spacing w:line="240" w:lineRule="auto"/>
              <w:jc w:val="center"/>
              <w:rPr>
                <w:rFonts w:hint="eastAsia" w:cs="Times New Roman"/>
                <w:szCs w:val="21"/>
              </w:rPr>
            </w:pPr>
            <w:r>
              <w:rPr>
                <w:rFonts w:hint="eastAsia" w:cs="Times New Roman"/>
                <w:szCs w:val="21"/>
              </w:rPr>
              <w:t xml:space="preserve">250.000000  </w:t>
            </w:r>
          </w:p>
        </w:tc>
      </w:tr>
    </w:tbl>
    <w:p>
      <w:pPr>
        <w:spacing w:line="276" w:lineRule="auto"/>
        <w:ind w:firstLine="420" w:firstLineChars="200"/>
        <w:rPr>
          <w:rFonts w:hint="eastAsia"/>
          <w:szCs w:val="21"/>
        </w:rPr>
      </w:pPr>
      <w:r>
        <w:rPr>
          <w:rFonts w:hint="eastAsia"/>
          <w:szCs w:val="21"/>
        </w:rPr>
        <w:t>备注：</w:t>
      </w:r>
    </w:p>
    <w:p>
      <w:pPr>
        <w:spacing w:line="276" w:lineRule="auto"/>
        <w:ind w:firstLine="420" w:firstLineChars="200"/>
        <w:rPr>
          <w:rFonts w:hint="eastAsia"/>
          <w:szCs w:val="21"/>
        </w:rPr>
      </w:pPr>
      <w:r>
        <w:rPr>
          <w:rFonts w:hint="eastAsia"/>
          <w:szCs w:val="21"/>
        </w:rPr>
        <w:t>1.注明“接受进口”的产品（产品名称）允许供应商选用进口产品参与投标，但不排斥国内产品。</w:t>
      </w:r>
    </w:p>
    <w:p>
      <w:pPr>
        <w:spacing w:line="276" w:lineRule="auto"/>
        <w:ind w:firstLine="420" w:firstLineChars="200"/>
        <w:rPr>
          <w:rFonts w:hint="eastAsia"/>
          <w:szCs w:val="21"/>
        </w:rPr>
      </w:pPr>
      <w:r>
        <w:rPr>
          <w:rFonts w:hint="eastAsia"/>
          <w:szCs w:val="21"/>
        </w:rPr>
        <w:t>2</w:t>
      </w:r>
      <w:r>
        <w:rPr>
          <w:szCs w:val="21"/>
        </w:rPr>
        <w:t>.</w:t>
      </w:r>
      <w:r>
        <w:rPr>
          <w:rFonts w:hint="eastAsia"/>
          <w:szCs w:val="21"/>
        </w:rPr>
        <w:t>注明“拒绝进口”的产品（产品名称）均不接受供应商选用进口产品参与投标。</w:t>
      </w:r>
    </w:p>
    <w:p>
      <w:pPr>
        <w:spacing w:line="276" w:lineRule="auto"/>
        <w:ind w:firstLine="420" w:firstLineChars="200"/>
        <w:rPr>
          <w:rFonts w:hint="eastAsia"/>
          <w:szCs w:val="21"/>
        </w:rPr>
      </w:pPr>
      <w:r>
        <w:rPr>
          <w:rFonts w:hint="eastAsia"/>
          <w:szCs w:val="21"/>
        </w:rPr>
        <w:t>3</w:t>
      </w:r>
      <w:r>
        <w:rPr>
          <w:szCs w:val="21"/>
        </w:rPr>
        <w:t>.</w:t>
      </w:r>
      <w:r>
        <w:rPr>
          <w:rFonts w:hint="eastAsia"/>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line="276" w:lineRule="auto"/>
        <w:ind w:firstLine="420" w:firstLineChars="200"/>
        <w:rPr>
          <w:rFonts w:hint="eastAsia"/>
          <w:szCs w:val="21"/>
        </w:rPr>
      </w:pPr>
      <w:r>
        <w:rPr>
          <w:rFonts w:hint="eastAsia"/>
          <w:bCs/>
          <w:szCs w:val="21"/>
        </w:rPr>
        <w:t>4</w:t>
      </w:r>
      <w:r>
        <w:rPr>
          <w:bCs/>
          <w:szCs w:val="21"/>
        </w:rPr>
        <w:t>.</w:t>
      </w:r>
      <w:r>
        <w:rPr>
          <w:rFonts w:hint="eastAsia"/>
          <w:szCs w:val="21"/>
        </w:rPr>
        <w:t>《货物清单一览表》不允许出现负偏离，否则将导致投标无效，以投标文件格式中的《货物说明一览表》为准。</w:t>
      </w:r>
    </w:p>
    <w:p>
      <w:pPr>
        <w:numPr>
          <w:ilvl w:val="0"/>
          <w:numId w:val="2"/>
        </w:numPr>
        <w:adjustRightInd/>
        <w:snapToGrid/>
        <w:spacing w:before="280" w:after="290" w:line="377" w:lineRule="auto"/>
        <w:jc w:val="left"/>
        <w:outlineLvl w:val="2"/>
        <w:rPr>
          <w:rFonts w:hint="eastAsia"/>
          <w:b/>
          <w:sz w:val="24"/>
        </w:rPr>
      </w:pPr>
      <w:bookmarkStart w:id="41" w:name="_Toc150960245"/>
      <w:bookmarkStart w:id="42" w:name="_Toc31434"/>
      <w:bookmarkStart w:id="43" w:name="_Toc151386155"/>
      <w:r>
        <w:rPr>
          <w:rFonts w:hint="eastAsia"/>
          <w:b/>
          <w:sz w:val="24"/>
        </w:rPr>
        <w:t>实质性响应条款</w:t>
      </w:r>
      <w:bookmarkEnd w:id="41"/>
      <w:bookmarkEnd w:id="42"/>
      <w:bookmarkEnd w:id="43"/>
    </w:p>
    <w:tbl>
      <w:tblPr>
        <w:tblStyle w:val="85"/>
        <w:tblW w:w="4738"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589"/>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rFonts w:hint="eastAsia"/>
                <w:b/>
                <w:szCs w:val="21"/>
              </w:rPr>
              <w:t>序号</w:t>
            </w:r>
          </w:p>
        </w:tc>
        <w:tc>
          <w:tcPr>
            <w:tcW w:w="876" w:type="pct"/>
            <w:vAlign w:val="center"/>
          </w:tcPr>
          <w:p>
            <w:pPr>
              <w:spacing w:line="240" w:lineRule="auto"/>
              <w:jc w:val="center"/>
              <w:rPr>
                <w:rFonts w:hint="eastAsia"/>
                <w:b/>
                <w:szCs w:val="21"/>
              </w:rPr>
            </w:pPr>
            <w:r>
              <w:rPr>
                <w:rFonts w:hint="eastAsia"/>
                <w:b/>
                <w:szCs w:val="21"/>
              </w:rPr>
              <w:t>目录</w:t>
            </w:r>
          </w:p>
        </w:tc>
        <w:tc>
          <w:tcPr>
            <w:tcW w:w="3704" w:type="pct"/>
            <w:vAlign w:val="center"/>
          </w:tcPr>
          <w:p>
            <w:pPr>
              <w:spacing w:line="240" w:lineRule="auto"/>
              <w:jc w:val="center"/>
              <w:rPr>
                <w:rFonts w:hint="eastAsia"/>
                <w:b/>
                <w:szCs w:val="21"/>
              </w:rPr>
            </w:pPr>
            <w:r>
              <w:rPr>
                <w:rFonts w:hint="eastAsia"/>
                <w:b/>
                <w:szCs w:val="21"/>
              </w:rPr>
              <w:t>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rFonts w:hint="eastAsia"/>
                <w:b/>
                <w:szCs w:val="21"/>
              </w:rPr>
              <w:t>1</w:t>
            </w:r>
          </w:p>
        </w:tc>
        <w:tc>
          <w:tcPr>
            <w:tcW w:w="876" w:type="pct"/>
            <w:vAlign w:val="center"/>
          </w:tcPr>
          <w:p>
            <w:pPr>
              <w:tabs>
                <w:tab w:val="clear" w:pos="426"/>
              </w:tabs>
              <w:spacing w:line="240" w:lineRule="auto"/>
              <w:jc w:val="left"/>
              <w:rPr>
                <w:rFonts w:hint="eastAsia" w:cs="Times New Roman"/>
                <w:kern w:val="2"/>
                <w:szCs w:val="21"/>
              </w:rPr>
            </w:pPr>
            <w:r>
              <w:rPr>
                <w:rFonts w:hint="eastAsia" w:cs="Times New Roman"/>
                <w:kern w:val="2"/>
                <w:szCs w:val="21"/>
              </w:rPr>
              <w:t>技术要求</w:t>
            </w:r>
          </w:p>
        </w:tc>
        <w:tc>
          <w:tcPr>
            <w:tcW w:w="3704" w:type="pct"/>
            <w:vAlign w:val="center"/>
          </w:tcPr>
          <w:p>
            <w:pPr>
              <w:spacing w:line="240" w:lineRule="auto"/>
              <w:rPr>
                <w:rFonts w:hint="eastAsia"/>
                <w:szCs w:val="21"/>
                <w:lang w:bidi="ar"/>
              </w:rPr>
            </w:pPr>
            <w:r>
              <w:rPr>
                <w:rFonts w:hint="eastAsia" w:cs="Times New Roman"/>
                <w:kern w:val="2"/>
                <w:szCs w:val="21"/>
              </w:rPr>
              <w:t>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rFonts w:hint="eastAsia"/>
                <w:b/>
                <w:szCs w:val="21"/>
              </w:rPr>
              <w:t>2</w:t>
            </w:r>
          </w:p>
        </w:tc>
        <w:tc>
          <w:tcPr>
            <w:tcW w:w="876" w:type="pct"/>
            <w:vAlign w:val="center"/>
          </w:tcPr>
          <w:p>
            <w:pPr>
              <w:tabs>
                <w:tab w:val="clear" w:pos="426"/>
              </w:tabs>
              <w:spacing w:line="240" w:lineRule="auto"/>
              <w:jc w:val="left"/>
              <w:rPr>
                <w:rFonts w:hint="eastAsia" w:cs="Times New Roman"/>
                <w:kern w:val="2"/>
                <w:szCs w:val="21"/>
              </w:rPr>
            </w:pPr>
            <w:r>
              <w:rPr>
                <w:rFonts w:hint="eastAsia" w:cs="Times New Roman"/>
                <w:kern w:val="2"/>
                <w:szCs w:val="21"/>
              </w:rPr>
              <w:t>商务要求</w:t>
            </w:r>
          </w:p>
        </w:tc>
        <w:tc>
          <w:tcPr>
            <w:tcW w:w="3704" w:type="pct"/>
            <w:vAlign w:val="center"/>
          </w:tcPr>
          <w:p>
            <w:pPr>
              <w:spacing w:line="240" w:lineRule="auto"/>
              <w:rPr>
                <w:rFonts w:hint="eastAsia"/>
                <w:szCs w:val="21"/>
                <w:lang w:bidi="ar"/>
              </w:rPr>
            </w:pPr>
            <w:r>
              <w:rPr>
                <w:rFonts w:hint="eastAsia" w:cs="Times New Roman"/>
                <w:kern w:val="2"/>
                <w:szCs w:val="21"/>
              </w:rPr>
              <w:t>带★内容。</w:t>
            </w:r>
          </w:p>
        </w:tc>
      </w:tr>
    </w:tbl>
    <w:p>
      <w:pPr>
        <w:spacing w:line="276" w:lineRule="auto"/>
        <w:ind w:firstLine="420" w:firstLineChars="200"/>
        <w:rPr>
          <w:rFonts w:hint="eastAsia"/>
          <w:bCs/>
          <w:szCs w:val="21"/>
        </w:rPr>
      </w:pPr>
      <w:r>
        <w:rPr>
          <w:rFonts w:hint="eastAsia"/>
          <w:bCs/>
          <w:szCs w:val="21"/>
        </w:rPr>
        <w:t>备注：</w:t>
      </w:r>
    </w:p>
    <w:p>
      <w:pPr>
        <w:spacing w:line="276" w:lineRule="auto"/>
        <w:ind w:firstLine="420" w:firstLineChars="200"/>
        <w:rPr>
          <w:rFonts w:hint="eastAsia"/>
          <w:bCs/>
          <w:szCs w:val="21"/>
        </w:rPr>
      </w:pPr>
      <w:r>
        <w:rPr>
          <w:bCs/>
          <w:szCs w:val="21"/>
        </w:rPr>
        <w:t>1.</w:t>
      </w:r>
      <w:r>
        <w:rPr>
          <w:rFonts w:hint="eastAsia"/>
          <w:bCs/>
          <w:szCs w:val="21"/>
        </w:rPr>
        <w:t>请各位投标人仔细核对：确保投标文件已按照招标文件要求，在招标文件规定的投标文件格式中的对应节点进行逐一响应，不允许有任何负偏离，否则将作投标无效处理</w:t>
      </w:r>
      <w:r>
        <w:rPr>
          <w:bCs/>
          <w:szCs w:val="21"/>
        </w:rPr>
        <w:t>。</w:t>
      </w:r>
    </w:p>
    <w:p>
      <w:pPr>
        <w:numPr>
          <w:ilvl w:val="0"/>
          <w:numId w:val="2"/>
        </w:numPr>
        <w:adjustRightInd/>
        <w:snapToGrid/>
        <w:spacing w:before="280" w:after="290" w:line="377" w:lineRule="auto"/>
        <w:jc w:val="left"/>
        <w:outlineLvl w:val="2"/>
        <w:rPr>
          <w:rFonts w:hint="eastAsia"/>
          <w:b/>
          <w:sz w:val="24"/>
        </w:rPr>
      </w:pPr>
      <w:bookmarkStart w:id="44" w:name="_Toc151386156"/>
      <w:bookmarkStart w:id="45" w:name="_Toc27732"/>
      <w:bookmarkStart w:id="46" w:name="_Toc150960246"/>
      <w:r>
        <w:rPr>
          <w:rFonts w:hint="eastAsia"/>
          <w:b/>
          <w:sz w:val="24"/>
        </w:rPr>
        <w:t>技术要求</w:t>
      </w:r>
      <w:bookmarkEnd w:id="44"/>
      <w:bookmarkEnd w:id="45"/>
      <w:bookmarkEnd w:id="46"/>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2"/>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622" w:type="dxa"/>
            <w:vAlign w:val="center"/>
          </w:tcPr>
          <w:p>
            <w:pPr>
              <w:widowControl w:val="0"/>
              <w:shd w:val="clear" w:color="auto" w:fill="auto"/>
              <w:tabs>
                <w:tab w:val="clear" w:pos="426"/>
              </w:tabs>
              <w:adjustRightInd/>
              <w:snapToGrid/>
              <w:spacing w:line="240" w:lineRule="auto"/>
              <w:jc w:val="center"/>
              <w:rPr>
                <w:rFonts w:hint="eastAsia" w:cs="Times New Roman"/>
                <w:b/>
                <w:kern w:val="2"/>
                <w:szCs w:val="21"/>
              </w:rPr>
            </w:pPr>
            <w:r>
              <w:rPr>
                <w:rFonts w:ascii="Times New Roman" w:hAnsi="Times New Roman" w:cs="Times New Roman"/>
                <w:b/>
              </w:rPr>
              <w:t>招标技术要求</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b/>
                <w:bCs/>
                <w:kern w:val="2"/>
                <w:szCs w:val="21"/>
              </w:rPr>
            </w:pPr>
            <w:r>
              <w:rPr>
                <w:rFonts w:hint="eastAsia" w:cs="Times New Roman"/>
                <w:b/>
                <w:bCs/>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7"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b/>
                <w:bCs/>
                <w:kern w:val="2"/>
                <w:szCs w:val="21"/>
              </w:rPr>
              <w:t>1.工作条件</w:t>
            </w:r>
          </w:p>
        </w:tc>
        <w:tc>
          <w:tcPr>
            <w:tcW w:w="943" w:type="dxa"/>
            <w:vAlign w:val="center"/>
          </w:tcPr>
          <w:p>
            <w:pPr>
              <w:widowControl w:val="0"/>
              <w:shd w:val="clear" w:color="auto" w:fill="auto"/>
              <w:tabs>
                <w:tab w:val="clear" w:pos="426"/>
              </w:tabs>
              <w:adjustRightInd/>
              <w:snapToGrid/>
              <w:spacing w:line="240" w:lineRule="auto"/>
              <w:jc w:val="center"/>
              <w:rPr>
                <w:rFonts w:hint="eastAsia" w:cs="Times New Roman"/>
                <w:b/>
                <w:bCs/>
                <w:kern w:val="2"/>
                <w:szCs w:val="21"/>
              </w:rPr>
            </w:pPr>
            <w:r>
              <w:rPr>
                <w:rFonts w:hint="eastAsia" w:cs="Times New Roman"/>
                <w:b/>
                <w:bCs/>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1.1  电源：220V，50Hz</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1.2  操作温度：15~30 ℃</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1.3  湿度： &lt; 85 %</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7" w:type="dxa"/>
            <w:vAlign w:val="center"/>
          </w:tcPr>
          <w:p>
            <w:pPr>
              <w:widowControl w:val="0"/>
              <w:shd w:val="clear" w:color="auto" w:fill="auto"/>
              <w:adjustRightInd/>
              <w:snapToGrid/>
              <w:spacing w:line="240" w:lineRule="auto"/>
              <w:jc w:val="left"/>
              <w:rPr>
                <w:rFonts w:hint="eastAsia" w:cs="Times New Roman"/>
                <w:kern w:val="2"/>
                <w:szCs w:val="21"/>
              </w:rPr>
            </w:pPr>
            <w:r>
              <w:rPr>
                <w:rFonts w:hint="eastAsia" w:cs="Times New Roman"/>
                <w:b/>
                <w:bCs/>
                <w:kern w:val="2"/>
                <w:szCs w:val="21"/>
              </w:rPr>
              <w:t>2.离子源和进样系统</w:t>
            </w:r>
          </w:p>
        </w:tc>
        <w:tc>
          <w:tcPr>
            <w:tcW w:w="943" w:type="dxa"/>
            <w:vAlign w:val="center"/>
          </w:tcPr>
          <w:p>
            <w:pPr>
              <w:widowControl w:val="0"/>
              <w:shd w:val="clear" w:color="auto" w:fill="auto"/>
              <w:adjustRightInd/>
              <w:snapToGrid/>
              <w:spacing w:line="240" w:lineRule="auto"/>
              <w:jc w:val="center"/>
              <w:rPr>
                <w:rFonts w:hint="eastAsia" w:cs="Times New Roman"/>
                <w:b/>
                <w:bCs/>
                <w:kern w:val="2"/>
                <w:szCs w:val="21"/>
              </w:rPr>
            </w:pPr>
            <w:r>
              <w:rPr>
                <w:rFonts w:hint="eastAsia" w:cs="Times New Roman"/>
                <w:b/>
                <w:bCs/>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kern w:val="2"/>
                <w:szCs w:val="21"/>
              </w:rPr>
              <w:t>▲2.1大气压离子源采用高耐污染性设计。清洗离子源时，不必放空真空系统。</w:t>
            </w:r>
            <w:r>
              <w:rPr>
                <w:rFonts w:hint="eastAsia" w:cs="Times New Roman"/>
                <w:b/>
                <w:bCs/>
                <w:kern w:val="2"/>
                <w:szCs w:val="21"/>
              </w:rPr>
              <w:t>（提供仪器结构图证明）</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2.2 配备电喷雾离子源(ESI)和大气压化学电离源(APCI)或复合离子源, 能够采集电喷雾电离(ESI)和大气压化学电离(APCI)两种模式下的数据，可出具ESI+, ESI-, APCI+, APCI-谱图</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2.3 离子传输系统：采用毛细管型设计，减少大气压与真空环境过渡对于真空泵系统的负荷</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▲2.4 内置全自动注射泵，实现质谱的自动调谐和校正。可智能开发化合物的质谱条件，每次可同时优化多个化合物。</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2.5 真空系统带有空冷的涡轮分子泵和前级机械泵，并有停电故障自动保护。</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7" w:type="dxa"/>
            <w:vAlign w:val="center"/>
          </w:tcPr>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3. 四极杆串联质谱仪性能指标</w:t>
            </w:r>
          </w:p>
        </w:tc>
        <w:tc>
          <w:tcPr>
            <w:tcW w:w="943" w:type="dxa"/>
            <w:vAlign w:val="center"/>
          </w:tcPr>
          <w:p>
            <w:pPr>
              <w:widowControl w:val="0"/>
              <w:shd w:val="clear" w:color="auto" w:fill="auto"/>
              <w:tabs>
                <w:tab w:val="clear" w:pos="426"/>
              </w:tabs>
              <w:adjustRightInd/>
              <w:snapToGrid/>
              <w:spacing w:line="240" w:lineRule="auto"/>
              <w:jc w:val="center"/>
              <w:rPr>
                <w:rFonts w:hint="eastAsia" w:cs="Times New Roman"/>
                <w:b/>
                <w:bCs/>
                <w:kern w:val="2"/>
                <w:szCs w:val="21"/>
              </w:rPr>
            </w:pPr>
            <w:r>
              <w:rPr>
                <w:rFonts w:hint="eastAsia" w:cs="Times New Roman"/>
                <w:b/>
                <w:bCs/>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★3.1 质量范围: 最小质量数≤5amu；最大质量数≥2020amu</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b/>
                <w:bCs/>
                <w:kern w:val="2"/>
                <w:szCs w:val="21"/>
              </w:rPr>
            </w:pPr>
            <w:r>
              <w:rPr>
                <w:rFonts w:hint="eastAsia"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3.2 分辨率：≥2.5M (半峰宽≤0.4Da)</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3.3 质量稳定性：平均标准偏差≤0.05Da /24小时</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8622" w:type="dxa"/>
            <w:vAlign w:val="center"/>
          </w:tcPr>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★3.4 多重反应监测灵敏度：</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a）利血平的柱上进样量为1pg时，液相色谱过柱，原始非平滑数据的色谱信噪比大于500,000:1，同时满足10针重现性RSD&lt;5%。</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b) 氯霉素的柱上进样量为1pg时，液相色谱过柱，原始非平滑数据的色谱信噪比大于350,000:1，同时满足10针重现性RSD&lt;5%。</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c) 羟基孕酮的柱上进样量为1pg时，液相色谱过柱，原始非平滑数据的色谱信噪比大于300:1，同时满足10针重现性RSD&lt;5%。</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b/>
                <w:bCs/>
                <w:kern w:val="2"/>
                <w:szCs w:val="21"/>
              </w:rPr>
            </w:pPr>
            <w:r>
              <w:rPr>
                <w:rFonts w:hint="eastAsia"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3.5 正、负离子采集切换速率 ＜25 ms，一次进样完成正、负离子的同时定量分析</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3.6 四极杆扫描速率:≥15000 amu/s</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3.7 线性范围：≥1x106</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▲3.8 质量分析器：采用100度恒温加热以及共轭双曲面设计的四极杆技术，保证最大传输效率及抗外界环境干扰能力</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7" w:type="dxa"/>
            <w:vAlign w:val="center"/>
          </w:tcPr>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kern w:val="2"/>
                <w:szCs w:val="21"/>
              </w:rPr>
              <w:t>3.9 碰撞室：</w:t>
            </w:r>
          </w:p>
        </w:tc>
        <w:tc>
          <w:tcPr>
            <w:tcW w:w="94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3.9.1 气体要求:采用高纯氮气作为雾化气和碰撞气,无需额外氩气</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3.9.2  90度弯曲六极杆高压线性加速碰撞反应池，无交叉干扰</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3.10最小驻留时间：小于等于0.5 ms</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3.11 可自动进行全扫描触发的子离子扫描、母离子扫描触发的子离子扫描、多反应监测触发的子离子扫描。</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3.12 动态阈值子离子确认扫描：在检测多重反应监测通道的同时采集目标化合物的子离子扫描信息，并可同数据库中的标准谱图实现比对、确证，且不影响定量结果，即同时实现定量及定性分析功能。</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3.13 检测器：采用光电倍增管或电子倍增管均可</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7" w:type="dxa"/>
            <w:vAlign w:val="center"/>
          </w:tcPr>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4. 软件</w:t>
            </w:r>
          </w:p>
        </w:tc>
        <w:tc>
          <w:tcPr>
            <w:tcW w:w="943" w:type="dxa"/>
            <w:vAlign w:val="center"/>
          </w:tcPr>
          <w:p>
            <w:pPr>
              <w:widowControl w:val="0"/>
              <w:shd w:val="clear" w:color="auto" w:fill="auto"/>
              <w:adjustRightInd/>
              <w:snapToGrid/>
              <w:spacing w:line="240" w:lineRule="auto"/>
              <w:jc w:val="center"/>
              <w:rPr>
                <w:rFonts w:hint="eastAsia" w:cs="Times New Roman"/>
                <w:b/>
                <w:bCs/>
                <w:kern w:val="2"/>
                <w:szCs w:val="21"/>
              </w:rPr>
            </w:pPr>
            <w:r>
              <w:rPr>
                <w:rFonts w:hint="eastAsia" w:cs="Times New Roman"/>
                <w:b/>
                <w:bCs/>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4.1 仪器参数的检测及校正功能</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4.2 系统参数的检测及其预警</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4.3 自动调谐参数（质谱分辨率及质量校正、质谱条件优化）</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4.4 检查液相色谱/质谱系统性能，确保分析结果准确</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4.5 目标化合物分析软件</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4.6 符合法规的定量软件，实现自动多重反应监测离子丰度比确认</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4.7 QC自动监测软件</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7" w:type="dxa"/>
            <w:vAlign w:val="center"/>
          </w:tcPr>
          <w:p>
            <w:pPr>
              <w:widowControl w:val="0"/>
              <w:shd w:val="clear" w:color="auto" w:fill="auto"/>
              <w:tabs>
                <w:tab w:val="clear" w:pos="426"/>
              </w:tabs>
              <w:adjustRightInd/>
              <w:snapToGrid/>
              <w:spacing w:line="240" w:lineRule="auto"/>
              <w:rPr>
                <w:rFonts w:hint="eastAsia" w:cs="Times New Roman"/>
                <w:b/>
                <w:bCs/>
                <w:kern w:val="2"/>
                <w:szCs w:val="21"/>
              </w:rPr>
            </w:pPr>
            <w:r>
              <w:rPr>
                <w:rFonts w:hint="eastAsia" w:cs="Times New Roman"/>
                <w:b/>
                <w:bCs/>
                <w:kern w:val="2"/>
                <w:szCs w:val="21"/>
              </w:rPr>
              <w:t>5. 超高效液相色谱仪</w:t>
            </w:r>
          </w:p>
        </w:tc>
        <w:tc>
          <w:tcPr>
            <w:tcW w:w="943" w:type="dxa"/>
            <w:vAlign w:val="center"/>
          </w:tcPr>
          <w:p>
            <w:pPr>
              <w:widowControl w:val="0"/>
              <w:shd w:val="clear" w:color="auto" w:fill="auto"/>
              <w:tabs>
                <w:tab w:val="clear" w:pos="426"/>
              </w:tabs>
              <w:adjustRightInd/>
              <w:snapToGrid/>
              <w:spacing w:line="240" w:lineRule="auto"/>
              <w:jc w:val="center"/>
              <w:rPr>
                <w:rFonts w:hint="eastAsia" w:cs="Times New Roman"/>
                <w:b/>
                <w:bCs/>
                <w:kern w:val="2"/>
                <w:szCs w:val="21"/>
              </w:rPr>
            </w:pPr>
            <w:r>
              <w:rPr>
                <w:rFonts w:hint="eastAsia" w:cs="Times New Roman"/>
                <w:b/>
                <w:bCs/>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 二元溶剂管理系统：连续可变冲程设计</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▲5.2 混合方式：二元高压混合，可梯度设置流动相比例，自带带溶剂流路选择阀，可从四种溶剂中选择两种溶剂混合。</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5.3 具有在线真空脱气机</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5.4 流量：0.0100~5.000mL/min，以0.001mL/min为增量</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▲5.5 最大操作压力：≥130MPa</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5.6 延迟体积：&lt; 100μL，不随反压变化</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5.7 柱塞清洗：自动，可编程</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5.8 流量精度：＜0.07%RSD</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5.9 流速准确度：±1.0%</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5.10 梯度准确度：± 0.5%，不随反压变化</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5.11 梯度精度：±0.15%RSD，不随反压变化</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5.12 自动进样器管理系统</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5.12.1 样品盘数：可容纳超过200个2mL进样瓶</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5.12.2 进样精度：&lt;0.2%RSD</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5.12.3 样品交叉污染度：&lt;0.001%</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5.12.4 进样体积：0.1~50μL，以0.1μL为增量</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5.12.5 进样线性度：&gt;0.999</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5.12.6 自动进样循环时间：&lt;30秒</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5.12.7 样品室温度范围：4℃~40℃，可编程，增量：0.1℃</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5.12.8 进样次数：每个样品1～99次进样</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5.13 色谱柱管理器（柱温箱）</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5.13.1 色谱柱容量：可容纳8根150mm色谱柱</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5.13.2 切换阀：2个9通8位阀；提供可设置的自动随机出入口开关、废液和旁路位置用于快速溶剂切换</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5.13.3 温度范围：室温以上5℃~110℃，增量：0.1℃</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2" w:type="dxa"/>
            <w:vAlign w:val="center"/>
          </w:tcPr>
          <w:p>
            <w:pPr>
              <w:widowControl w:val="0"/>
              <w:shd w:val="clear" w:color="auto" w:fill="auto"/>
              <w:tabs>
                <w:tab w:val="clear" w:pos="426"/>
              </w:tabs>
              <w:adjustRightInd/>
              <w:snapToGrid/>
              <w:spacing w:line="240" w:lineRule="auto"/>
              <w:jc w:val="left"/>
              <w:rPr>
                <w:rFonts w:hint="eastAsia" w:cs="Times New Roman"/>
                <w:kern w:val="2"/>
                <w:szCs w:val="21"/>
              </w:rPr>
            </w:pPr>
            <w:r>
              <w:rPr>
                <w:rFonts w:hint="eastAsia" w:cs="Times New Roman"/>
                <w:kern w:val="2"/>
                <w:szCs w:val="21"/>
              </w:rPr>
              <w:t>5.14 主动式溶剂预热器</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4" w:hRule="atLeast"/>
        </w:trPr>
        <w:tc>
          <w:tcPr>
            <w:tcW w:w="8622" w:type="dxa"/>
            <w:vAlign w:val="center"/>
          </w:tcPr>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★6.主要配置</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6.1 串联四极杆质谱主机1台</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6.2 超高效液相色谱二元泵1台</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6.3 二极管阵列检测器 1套</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6.4 在线脱气机1套</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6.5 自动进样器1套</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6.6 柱温箱1套</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6.7 数据处理系统1套：包括仪器控制、数据处理等软件；定量分析软件；整体控制液相色谱的软件和相应接口；目标化合物筛查软件；农、兽残数据库；毒品和药品数据库；自动定量优化软件、定量分析数据质量监测软件。</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6.8 配置流量不小于35L/min的氮气发生器，纯度要求99.9%以上。</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6.9 不间断电源1套，可在停电状态下维持仪器正常工作4小时以上。</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6.10 与质谱匹配的隔离变压器1台。</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6.11 工作站2套和高速数据处理输入输出系统1台。</w:t>
            </w:r>
          </w:p>
          <w:p>
            <w:pPr>
              <w:widowControl w:val="0"/>
              <w:shd w:val="clear" w:color="auto" w:fill="auto"/>
              <w:tabs>
                <w:tab w:val="clear" w:pos="426"/>
              </w:tabs>
              <w:adjustRightInd/>
              <w:snapToGrid/>
              <w:spacing w:line="240" w:lineRule="auto"/>
              <w:jc w:val="left"/>
              <w:rPr>
                <w:rFonts w:hint="eastAsia" w:cs="Times New Roman"/>
                <w:b/>
                <w:bCs/>
                <w:kern w:val="2"/>
                <w:szCs w:val="21"/>
              </w:rPr>
            </w:pPr>
            <w:r>
              <w:rPr>
                <w:rFonts w:hint="eastAsia" w:cs="Times New Roman"/>
                <w:b/>
                <w:bCs/>
                <w:kern w:val="2"/>
                <w:szCs w:val="21"/>
              </w:rPr>
              <w:t>6.12 备品备件：与液相匹配的C18色谱柱6根、预柱6根、常用工具包1套，毛细管三根、无尘布3包、过滤小白头20个、样品瓶含盖1000个、泵油3瓶、peek安装管线1套，2L溶剂瓶6个。</w:t>
            </w:r>
          </w:p>
        </w:tc>
        <w:tc>
          <w:tcPr>
            <w:tcW w:w="948" w:type="dxa"/>
            <w:vAlign w:val="center"/>
          </w:tcPr>
          <w:p>
            <w:pPr>
              <w:widowControl w:val="0"/>
              <w:shd w:val="clear" w:color="auto" w:fill="auto"/>
              <w:tabs>
                <w:tab w:val="clear" w:pos="426"/>
              </w:tabs>
              <w:adjustRightInd/>
              <w:snapToGrid/>
              <w:spacing w:line="240" w:lineRule="auto"/>
              <w:jc w:val="center"/>
              <w:rPr>
                <w:rFonts w:hint="eastAsia" w:cs="Times New Roman"/>
                <w:b/>
                <w:bCs/>
                <w:kern w:val="2"/>
                <w:szCs w:val="21"/>
              </w:rPr>
            </w:pPr>
            <w:r>
              <w:rPr>
                <w:rFonts w:hint="eastAsia" w:cs="Times New Roman"/>
                <w:b/>
                <w:bCs/>
                <w:kern w:val="2"/>
                <w:szCs w:val="21"/>
              </w:rPr>
              <w:t>★</w:t>
            </w:r>
          </w:p>
        </w:tc>
      </w:tr>
    </w:tbl>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备注：</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cs="Times New Roman"/>
          <w:b/>
          <w:bCs/>
          <w:kern w:val="2"/>
          <w:szCs w:val="21"/>
        </w:rPr>
        <w:t>1</w:t>
      </w:r>
      <w:r>
        <w:rPr>
          <w:rFonts w:hint="eastAsia" w:cs="Times New Roman"/>
          <w:b/>
          <w:bCs/>
          <w:kern w:val="2"/>
          <w:szCs w:val="21"/>
        </w:rPr>
        <w:t>.</w:t>
      </w:r>
      <w:r>
        <w:rPr>
          <w:rFonts w:cs="Times New Roman"/>
          <w:b/>
          <w:bCs/>
          <w:kern w:val="2"/>
          <w:szCs w:val="21"/>
        </w:rPr>
        <w:t xml:space="preserve">带“★”指标项为实质性条款，如出现负偏离，将被视为未实质性满足招标文件要求作投标无效处理。带“▲”指标项为重要参数，负偏离时依相关评分准则内容作重点扣分处理。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cs="Times New Roman"/>
          <w:b/>
          <w:bCs/>
          <w:kern w:val="2"/>
          <w:szCs w:val="21"/>
        </w:rPr>
        <w:t>2</w:t>
      </w:r>
      <w:r>
        <w:rPr>
          <w:rFonts w:hint="eastAsia" w:cs="Times New Roman"/>
          <w:b/>
          <w:bCs/>
          <w:kern w:val="2"/>
          <w:szCs w:val="21"/>
        </w:rPr>
        <w:t>.技术参数要求</w:t>
      </w:r>
      <w:r>
        <w:rPr>
          <w:rFonts w:cs="Times New Roman"/>
          <w:b/>
          <w:bCs/>
          <w:kern w:val="2"/>
          <w:szCs w:val="21"/>
        </w:rPr>
        <w:t>中，用</w:t>
      </w:r>
      <w:r>
        <w:rPr>
          <w:rFonts w:cs="Times New Roman"/>
          <w:b/>
          <w:bCs/>
          <w:color w:val="FF0000"/>
          <w:kern w:val="2"/>
          <w:szCs w:val="21"/>
        </w:rPr>
        <w:t>红色加粗</w:t>
      </w:r>
      <w:r>
        <w:rPr>
          <w:rFonts w:cs="Times New Roman"/>
          <w:b/>
          <w:bCs/>
          <w:kern w:val="2"/>
          <w:szCs w:val="21"/>
        </w:rPr>
        <w:t>字体标注</w:t>
      </w:r>
      <w:bookmarkStart w:id="203" w:name="_GoBack"/>
      <w:bookmarkEnd w:id="203"/>
      <w:r>
        <w:rPr>
          <w:rFonts w:cs="Times New Roman"/>
          <w:b/>
          <w:bCs/>
          <w:kern w:val="2"/>
          <w:szCs w:val="21"/>
        </w:rPr>
        <w:t>的技术条款为要求提供证明资料的条款，其余为未要求提供证明资料的条款，无需提供相关证明资料。</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3.备注为“标题”的技术参数内容不参与评分。</w:t>
      </w:r>
    </w:p>
    <w:p>
      <w:pPr>
        <w:numPr>
          <w:ilvl w:val="0"/>
          <w:numId w:val="2"/>
        </w:numPr>
        <w:adjustRightInd/>
        <w:snapToGrid/>
        <w:spacing w:before="280" w:after="290" w:line="377" w:lineRule="auto"/>
        <w:jc w:val="left"/>
        <w:outlineLvl w:val="2"/>
        <w:rPr>
          <w:rFonts w:hint="eastAsia"/>
          <w:b/>
          <w:sz w:val="24"/>
        </w:rPr>
      </w:pPr>
      <w:bookmarkStart w:id="47" w:name="_Toc150960247"/>
      <w:bookmarkStart w:id="48" w:name="_Toc151386157"/>
      <w:bookmarkStart w:id="49" w:name="_Toc8996"/>
      <w:r>
        <w:rPr>
          <w:rFonts w:hint="eastAsia"/>
          <w:b/>
          <w:sz w:val="24"/>
        </w:rPr>
        <w:t>商务要求</w:t>
      </w:r>
      <w:bookmarkEnd w:id="47"/>
      <w:bookmarkEnd w:id="48"/>
      <w:bookmarkEnd w:id="49"/>
    </w:p>
    <w:p>
      <w:pPr>
        <w:shd w:val="clear" w:color="auto" w:fill="auto"/>
        <w:tabs>
          <w:tab w:val="clear" w:pos="426"/>
        </w:tabs>
        <w:ind w:firstLine="420" w:firstLineChars="200"/>
        <w:rPr>
          <w:rFonts w:hint="eastAsia" w:cs="Times New Roman"/>
          <w:kern w:val="2"/>
          <w:szCs w:val="21"/>
          <w:lang w:eastAsia="zh-TW"/>
        </w:rPr>
      </w:pPr>
      <w:r>
        <w:rPr>
          <w:rFonts w:hint="eastAsia" w:cs="Times New Roman"/>
          <w:kern w:val="2"/>
          <w:szCs w:val="21"/>
          <w:lang w:eastAsia="zh-TW"/>
        </w:rPr>
        <w:t>1.签定合同日期：自中标(成交)通知书发出之日起30日内。</w:t>
      </w:r>
    </w:p>
    <w:p>
      <w:pPr>
        <w:shd w:val="clear" w:color="auto" w:fill="auto"/>
        <w:tabs>
          <w:tab w:val="clear" w:pos="426"/>
        </w:tabs>
        <w:ind w:firstLine="422" w:firstLineChars="200"/>
        <w:rPr>
          <w:rFonts w:hint="eastAsia" w:cs="Times New Roman"/>
          <w:b/>
          <w:bCs/>
          <w:kern w:val="2"/>
          <w:szCs w:val="21"/>
          <w:lang w:eastAsia="zh-TW"/>
        </w:rPr>
      </w:pPr>
      <w:r>
        <w:rPr>
          <w:rFonts w:hint="eastAsia" w:cs="Times New Roman"/>
          <w:b/>
          <w:bCs/>
          <w:kern w:val="2"/>
          <w:szCs w:val="21"/>
          <w:lang w:eastAsia="zh-TW"/>
        </w:rPr>
        <w:t>★2.交货期：中标人提供的交货期不得超过正式签订合同后45个日历日的交货期时间。中标人应予以特别注意：如出现未能到期供货的情况，采购人有权单方终止合同的执行，所有的经济损失由逾期中标人单方承担。</w:t>
      </w:r>
    </w:p>
    <w:p>
      <w:pPr>
        <w:shd w:val="clear" w:color="auto" w:fill="auto"/>
        <w:tabs>
          <w:tab w:val="clear" w:pos="426"/>
        </w:tabs>
        <w:ind w:firstLine="422" w:firstLineChars="200"/>
        <w:rPr>
          <w:rFonts w:hint="eastAsia" w:cs="Times New Roman"/>
          <w:b/>
          <w:bCs/>
          <w:kern w:val="2"/>
          <w:szCs w:val="21"/>
        </w:rPr>
      </w:pPr>
      <w:r>
        <w:rPr>
          <w:rFonts w:hint="eastAsia" w:cs="Times New Roman"/>
          <w:b/>
          <w:bCs/>
          <w:kern w:val="2"/>
          <w:szCs w:val="21"/>
          <w:lang w:eastAsia="zh-TW"/>
        </w:rPr>
        <w:t>★3.交货地点：深圳市福田区福强路1011号深圳海关福强路办公区A栋指定地点。</w:t>
      </w:r>
    </w:p>
    <w:p>
      <w:pPr>
        <w:shd w:val="clear" w:color="auto" w:fill="auto"/>
        <w:tabs>
          <w:tab w:val="clear" w:pos="426"/>
        </w:tabs>
        <w:ind w:firstLine="422" w:firstLineChars="200"/>
        <w:rPr>
          <w:rFonts w:hint="eastAsia" w:cs="Times New Roman"/>
          <w:b/>
          <w:bCs/>
          <w:kern w:val="2"/>
          <w:szCs w:val="21"/>
        </w:rPr>
      </w:pPr>
      <w:r>
        <w:rPr>
          <w:rFonts w:hint="eastAsia" w:cs="Times New Roman"/>
          <w:b/>
          <w:bCs/>
          <w:kern w:val="2"/>
          <w:szCs w:val="21"/>
          <w:lang w:eastAsia="zh-TW"/>
        </w:rPr>
        <w:t>★</w:t>
      </w:r>
      <w:r>
        <w:rPr>
          <w:rFonts w:hint="eastAsia"/>
          <w:b/>
          <w:bCs/>
        </w:rPr>
        <w:t>4.质量保证期为：自双方签署设备到货验收签收单/安装调试验收合格报告之日起计算整机三年。</w:t>
      </w:r>
    </w:p>
    <w:p>
      <w:pPr>
        <w:shd w:val="clear" w:color="auto" w:fill="auto"/>
        <w:tabs>
          <w:tab w:val="clear" w:pos="426"/>
        </w:tabs>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5</w:t>
      </w:r>
      <w:r>
        <w:rPr>
          <w:rFonts w:hint="eastAsia" w:cs="Times New Roman"/>
          <w:b/>
          <w:bCs/>
          <w:kern w:val="2"/>
          <w:szCs w:val="21"/>
          <w:lang w:eastAsia="zh-TW"/>
        </w:rPr>
        <w:t>.售后服务要求：</w:t>
      </w:r>
    </w:p>
    <w:p>
      <w:pPr>
        <w:shd w:val="clear" w:color="auto" w:fill="auto"/>
        <w:tabs>
          <w:tab w:val="clear" w:pos="426"/>
        </w:tabs>
        <w:ind w:firstLine="422" w:firstLineChars="200"/>
        <w:rPr>
          <w:rFonts w:hint="eastAsia" w:cs="Times New Roman"/>
          <w:b/>
          <w:bCs/>
          <w:kern w:val="2"/>
          <w:szCs w:val="21"/>
        </w:rPr>
      </w:pPr>
      <w:r>
        <w:rPr>
          <w:rFonts w:hint="eastAsia" w:cs="Times New Roman"/>
          <w:b/>
          <w:bCs/>
          <w:kern w:val="2"/>
          <w:szCs w:val="21"/>
        </w:rPr>
        <w:t>5.1在质量保证期内设备发生故障，中标人应供原厂商售后维修和更换零件服务</w:t>
      </w:r>
      <w:r>
        <w:rPr>
          <w:rFonts w:hint="eastAsia"/>
        </w:rPr>
        <w:t>（不额外收费）</w:t>
      </w:r>
      <w:r>
        <w:rPr>
          <w:rFonts w:hint="eastAsia" w:cs="Times New Roman"/>
          <w:b/>
          <w:bCs/>
          <w:kern w:val="2"/>
          <w:szCs w:val="21"/>
        </w:rPr>
        <w:t>。质保期后，中标人提供设备终身技术支持，包括故障排除和零配件的供应、仪器软件升级和培训</w:t>
      </w:r>
      <w:r>
        <w:rPr>
          <w:rFonts w:hint="eastAsia"/>
        </w:rPr>
        <w:t>（不额外收费）</w:t>
      </w:r>
      <w:r>
        <w:rPr>
          <w:rFonts w:hint="eastAsia" w:cs="Times New Roman"/>
          <w:b/>
          <w:bCs/>
          <w:kern w:val="2"/>
          <w:szCs w:val="21"/>
        </w:rPr>
        <w:t>；设备出现故障需更换配件时，只收取零配件费用，免收其它费用。合同签订后，在1周内中标人将仪器操作间的装修要求和水、电、气要求通知采购人。</w:t>
      </w:r>
    </w:p>
    <w:p>
      <w:pPr>
        <w:shd w:val="clear" w:color="auto" w:fill="auto"/>
        <w:tabs>
          <w:tab w:val="clear" w:pos="426"/>
        </w:tabs>
        <w:ind w:firstLine="422" w:firstLineChars="200"/>
        <w:rPr>
          <w:rFonts w:hint="eastAsia" w:cs="Times New Roman"/>
          <w:b/>
          <w:bCs/>
          <w:kern w:val="2"/>
          <w:szCs w:val="21"/>
        </w:rPr>
      </w:pPr>
      <w:r>
        <w:rPr>
          <w:rFonts w:hint="eastAsia" w:cs="Times New Roman"/>
          <w:b/>
          <w:bCs/>
          <w:kern w:val="2"/>
          <w:szCs w:val="21"/>
        </w:rPr>
        <w:t>5.2 中标人负责将设备运至采购人指定的地点，负责安装</w:t>
      </w:r>
      <w:r>
        <w:rPr>
          <w:rFonts w:hint="eastAsia"/>
        </w:rPr>
        <w:t>（不额外收费）</w:t>
      </w:r>
      <w:r>
        <w:rPr>
          <w:rFonts w:hint="eastAsia" w:cs="Times New Roman"/>
          <w:b/>
          <w:bCs/>
          <w:kern w:val="2"/>
          <w:szCs w:val="21"/>
        </w:rPr>
        <w:t>，现场培训及技术应用培训</w:t>
      </w:r>
      <w:r>
        <w:rPr>
          <w:rFonts w:hint="eastAsia"/>
        </w:rPr>
        <w:t>（不额外收费）</w:t>
      </w:r>
      <w:r>
        <w:rPr>
          <w:rFonts w:hint="eastAsia" w:cs="Times New Roman"/>
          <w:b/>
          <w:bCs/>
          <w:kern w:val="2"/>
          <w:szCs w:val="21"/>
        </w:rPr>
        <w:t>。中标价应包含产品的制造、材料费（主材及辅材）、运输、安装、验收、保修、税收、所有手续费等直至验收合格交付采购人使用的所有相关费用。中标价格在中标后的合同实施期间应保持不变，即不因市场价格或政策性价格的调整而增减（若因中标人责任而导致的需方依据合同条款对中标人的扣款处罚除外）。</w:t>
      </w:r>
    </w:p>
    <w:p>
      <w:pPr>
        <w:shd w:val="clear" w:color="auto" w:fill="auto"/>
        <w:tabs>
          <w:tab w:val="clear" w:pos="426"/>
        </w:tabs>
        <w:ind w:firstLine="422" w:firstLineChars="200"/>
        <w:rPr>
          <w:rFonts w:hint="eastAsia" w:cs="Times New Roman"/>
          <w:b/>
          <w:bCs/>
          <w:kern w:val="2"/>
          <w:szCs w:val="21"/>
        </w:rPr>
      </w:pPr>
      <w:r>
        <w:rPr>
          <w:rFonts w:hint="eastAsia" w:cs="Times New Roman"/>
          <w:b/>
          <w:bCs/>
          <w:kern w:val="2"/>
          <w:szCs w:val="21"/>
        </w:rPr>
        <w:t>5.3 货到后，中标人负责派技术人员到现场进行安装、调试，直至验收合格，带“★”的项目必须符合其性能。</w:t>
      </w:r>
    </w:p>
    <w:p>
      <w:pPr>
        <w:shd w:val="clear" w:color="auto" w:fill="auto"/>
        <w:tabs>
          <w:tab w:val="clear" w:pos="426"/>
        </w:tabs>
        <w:ind w:firstLine="422" w:firstLineChars="200"/>
        <w:rPr>
          <w:rStyle w:val="143"/>
          <w:rFonts w:hAnsi="Times New Roman" w:cs="Times New Roman"/>
          <w:b/>
          <w:bCs/>
        </w:rPr>
      </w:pPr>
      <w:r>
        <w:rPr>
          <w:rFonts w:hint="eastAsia" w:cs="Times New Roman"/>
          <w:b/>
          <w:bCs/>
          <w:kern w:val="2"/>
          <w:szCs w:val="21"/>
        </w:rPr>
        <w:t>5.4 验收：</w:t>
      </w:r>
    </w:p>
    <w:p>
      <w:pPr>
        <w:shd w:val="clear" w:color="auto" w:fill="auto"/>
        <w:tabs>
          <w:tab w:val="clear" w:pos="426"/>
        </w:tabs>
        <w:ind w:firstLine="422" w:firstLineChars="200"/>
        <w:rPr>
          <w:rStyle w:val="143"/>
          <w:rFonts w:hAnsi="Times New Roman" w:cs="Times New Roman"/>
          <w:b/>
          <w:bCs/>
        </w:rPr>
      </w:pPr>
      <w:r>
        <w:rPr>
          <w:rStyle w:val="143"/>
          <w:rFonts w:hint="eastAsia" w:hAnsi="Times New Roman" w:cs="Times New Roman"/>
          <w:b/>
          <w:bCs/>
        </w:rPr>
        <w:t>5.4.1 货物运至采购人（用户）指定地点后，由采购人中标人双方指派人员按照本合同规定对货物进行验收，中标人应提供交货清单等文件供采购人（用户）审查，中标人应向采购人提供完整的设备技术资料、货物制造商的出厂检验报告、合格证书、产品保证书、认证书、及政府许可证明、说明书等，保证产品和安装材料是新生产、未经过使用的原装原厂正品。如在交付使用前发生设备损坏和不合格，采购人有权要求退货，因此造成的一切损失由供应商承，采购人（用户）将按合同清单进行规格、数量、外观的检查。</w:t>
      </w:r>
    </w:p>
    <w:p>
      <w:pPr>
        <w:shd w:val="clear" w:color="auto" w:fill="auto"/>
        <w:tabs>
          <w:tab w:val="clear" w:pos="426"/>
        </w:tabs>
        <w:ind w:firstLine="422" w:firstLineChars="200"/>
        <w:rPr>
          <w:rStyle w:val="143"/>
          <w:rFonts w:hAnsi="Times New Roman" w:cs="Times New Roman"/>
          <w:b/>
          <w:bCs/>
        </w:rPr>
      </w:pPr>
      <w:r>
        <w:rPr>
          <w:rStyle w:val="143"/>
          <w:rFonts w:hint="eastAsia" w:hAnsi="Times New Roman" w:cs="Times New Roman"/>
          <w:b/>
          <w:bCs/>
        </w:rPr>
        <w:t>5.4.2 收货后 10 个工作日内甲乙双方进行到货验收工作。如验收合格，采购人（用户）应及时履行验收手续，双方签署设备到货验收签收单；如验收不合格，采购人（用户）应以书面形式通知中标人原因，中标人收到通知后 10  个工作日内提供解决方案。</w:t>
      </w:r>
    </w:p>
    <w:p>
      <w:pPr>
        <w:shd w:val="clear" w:color="auto" w:fill="auto"/>
        <w:tabs>
          <w:tab w:val="clear" w:pos="426"/>
        </w:tabs>
        <w:ind w:firstLine="422" w:firstLineChars="200"/>
        <w:rPr>
          <w:rStyle w:val="143"/>
          <w:rFonts w:hAnsi="Times New Roman" w:cs="Times New Roman"/>
          <w:b/>
          <w:bCs/>
        </w:rPr>
      </w:pPr>
      <w:r>
        <w:rPr>
          <w:rStyle w:val="143"/>
          <w:rFonts w:hint="eastAsia" w:hAnsi="Times New Roman" w:cs="Times New Roman"/>
          <w:b/>
          <w:bCs/>
        </w:rPr>
        <w:t>5.4.3 在验收工作中，发现数量不足或有质量、技术等问题，中标人应按照合同要求采取补足、更换或退货等处理措施，并承担由此发生的一切费用和损失。</w:t>
      </w:r>
    </w:p>
    <w:p>
      <w:pPr>
        <w:shd w:val="clear" w:color="auto" w:fill="auto"/>
        <w:tabs>
          <w:tab w:val="clear" w:pos="426"/>
        </w:tabs>
        <w:ind w:firstLine="422" w:firstLineChars="200"/>
        <w:rPr>
          <w:rStyle w:val="143"/>
          <w:rFonts w:hAnsi="Times New Roman" w:cs="Times New Roman"/>
          <w:b/>
          <w:bCs/>
        </w:rPr>
      </w:pPr>
      <w:r>
        <w:rPr>
          <w:rStyle w:val="143"/>
          <w:rFonts w:hint="eastAsia" w:hAnsi="Times New Roman" w:cs="Times New Roman"/>
          <w:b/>
          <w:bCs/>
        </w:rPr>
        <w:t>5.4.4 涉及设备安装调试的，中标人负责在采购人（用户）配合下完成所供设备安装调试并保证与用户原有设备互联互通，有关技术问题由中标人和制造商协同解决。安装调试后，双方签署设备安装调试验收报告。</w:t>
      </w:r>
    </w:p>
    <w:p>
      <w:pPr>
        <w:shd w:val="clear" w:color="auto" w:fill="auto"/>
        <w:tabs>
          <w:tab w:val="clear" w:pos="426"/>
        </w:tabs>
        <w:ind w:firstLine="422" w:firstLineChars="200"/>
        <w:rPr>
          <w:rStyle w:val="143"/>
          <w:rFonts w:hAnsi="Times New Roman" w:cs="Times New Roman"/>
          <w:b/>
          <w:bCs/>
        </w:rPr>
      </w:pPr>
      <w:r>
        <w:rPr>
          <w:rStyle w:val="143"/>
          <w:rFonts w:hint="eastAsia" w:hAnsi="Times New Roman" w:cs="Times New Roman"/>
          <w:b/>
          <w:bCs/>
        </w:rPr>
        <w:t>5.4.5 合同项下货物生产期间，采购人（用户）有权派工作人员到生产厂进行监造、现场抽样和出厂前验核。此次验核不代表采购人（用户）对货物的最终验收。期间相关费用，包括技术交流和技术材料费等由中标人负担。</w:t>
      </w:r>
    </w:p>
    <w:p>
      <w:pPr>
        <w:shd w:val="clear" w:color="auto" w:fill="auto"/>
        <w:tabs>
          <w:tab w:val="clear" w:pos="426"/>
        </w:tabs>
        <w:ind w:firstLine="422" w:firstLineChars="200"/>
        <w:rPr>
          <w:rStyle w:val="143"/>
          <w:rFonts w:hAnsi="Times New Roman" w:cs="Times New Roman"/>
          <w:b/>
          <w:bCs/>
        </w:rPr>
      </w:pPr>
      <w:r>
        <w:rPr>
          <w:rStyle w:val="143"/>
          <w:rFonts w:hint="eastAsia" w:hAnsi="Times New Roman" w:cs="Times New Roman"/>
          <w:b/>
          <w:bCs/>
        </w:rPr>
        <w:t>5.4.6 为验核货物内在功能是否完备，采购人（用户）有权组织对货物进行随机抽样，并委托有关检测单位进行检测，该检测结果将作为货物质量的评判依据，相关送检和检测费用由中标人承担。如检测指标不符合招标文件（谈判文件、询价通知书、磋商文件、单一来源）、投标（响应）文件要求的，采购人有权拒收全部此类货物，中标人应按照采购人要求无条件对拒收货物进行更换，并承担由此给采购人造成的工期延误等损失。因中标人所提供的产品未达到招标文件中技术性能指标的，一律拒收，不予付款，采购人有权因此终止合同的执行，中标人将自行承担所有经济损失；同时，采购人将保留向中标人因设备延迟到位而造成对口岸检验业务的不良影响追索相应“违约”责任的权利。对中标人可能涉嫌提供虚假材料或虚假响应的行为，采购人有权依法向监管部门反映并追究中标人法律责任。</w:t>
      </w:r>
    </w:p>
    <w:p>
      <w:pPr>
        <w:shd w:val="clear" w:color="auto" w:fill="auto"/>
        <w:tabs>
          <w:tab w:val="clear" w:pos="426"/>
        </w:tabs>
        <w:ind w:firstLine="422" w:firstLineChars="200"/>
        <w:rPr>
          <w:rStyle w:val="143"/>
          <w:rFonts w:hAnsi="Times New Roman" w:cs="Times New Roman"/>
          <w:b/>
          <w:bCs/>
        </w:rPr>
      </w:pPr>
      <w:r>
        <w:rPr>
          <w:rStyle w:val="143"/>
          <w:rFonts w:hint="eastAsia" w:hAnsi="Times New Roman" w:cs="Times New Roman"/>
          <w:b/>
          <w:bCs/>
        </w:rPr>
        <w:t>5.4.7 采购人（用户）认为必要时，对大型或者复杂的货物采购项目，可以邀请国家认可的质量检测机构参加验收工作，相关验收意见作为验收报告的参考资料，相关费用由中标人承担。如需要，中标人须提供产品的原厂技术文件以及验收要求的校准文件或计量证书。属于中华人民共和国强制检定计量器具，中标人须负责提供法定计量证书。所需费用由中标人承担。</w:t>
      </w:r>
    </w:p>
    <w:p>
      <w:pPr>
        <w:shd w:val="clear" w:color="auto" w:fill="auto"/>
        <w:tabs>
          <w:tab w:val="clear" w:pos="426"/>
        </w:tabs>
        <w:ind w:firstLine="422" w:firstLineChars="200"/>
        <w:rPr>
          <w:rStyle w:val="143"/>
          <w:rFonts w:hAnsi="Times New Roman" w:cs="Times New Roman"/>
          <w:b/>
          <w:bCs/>
        </w:rPr>
      </w:pPr>
      <w:r>
        <w:rPr>
          <w:rStyle w:val="143"/>
          <w:rFonts w:hint="eastAsia" w:hAnsi="Times New Roman" w:cs="Times New Roman"/>
          <w:b/>
          <w:bCs/>
        </w:rPr>
        <w:t>5.4.8 中标人设备供货、安装施工、调试、工程验收、货物运输、售后服务等均应符合国家相关法律、法规以及国家标准、相关行业标准。中标人提供设备的制造标准、安装标准及技术规范等有关资料必须符合国家相应的有关标准、规范要求。验收标准以双方达成的对质量和技术标准的约定、中标人承诺的质量和技术标准、国家或行业规定的相关质量和技术标准中最高者为准，且应充分满足采购人使用要求。</w:t>
      </w:r>
    </w:p>
    <w:p>
      <w:pPr>
        <w:shd w:val="clear" w:color="auto" w:fill="auto"/>
        <w:tabs>
          <w:tab w:val="clear" w:pos="426"/>
        </w:tabs>
        <w:ind w:firstLine="422" w:firstLineChars="200"/>
        <w:rPr>
          <w:rFonts w:hint="eastAsia" w:cs="Times New Roman"/>
          <w:b/>
          <w:bCs/>
          <w:kern w:val="2"/>
          <w:szCs w:val="21"/>
        </w:rPr>
      </w:pPr>
      <w:r>
        <w:rPr>
          <w:rFonts w:hint="eastAsia" w:cs="Times New Roman"/>
          <w:b/>
          <w:bCs/>
          <w:kern w:val="2"/>
          <w:szCs w:val="21"/>
        </w:rPr>
        <w:t>5.5 中标人能响应故障处理请求和电话咨询，提供7x24小时技术支持，4小时内响应和24小时内提出解决方案，一般应在48小时内派人到现场维修的售后服务。中标人应提供维保人员名单、联系电话等。</w:t>
      </w:r>
      <w:r>
        <w:rPr>
          <w:rStyle w:val="143"/>
          <w:rFonts w:hint="eastAsia" w:hAnsi="Times New Roman" w:cs="Times New Roman"/>
          <w:b/>
          <w:bCs/>
        </w:rPr>
        <w:t>采购人在质量保证期内提供上述服务</w:t>
      </w:r>
      <w:r>
        <w:rPr>
          <w:rFonts w:hint="eastAsia" w:cs="Times New Roman"/>
          <w:b/>
          <w:bCs/>
          <w:kern w:val="2"/>
          <w:szCs w:val="21"/>
        </w:rPr>
        <w:t>不再额外收费。质保期内有责任对货物进行不定期的巡查检修。5.6 现场培训：仪器在安装调试同时，中标人负责派工程师对用户就仪器原理和基本操作进行现场培训</w:t>
      </w:r>
      <w:r>
        <w:rPr>
          <w:rFonts w:hint="eastAsia"/>
        </w:rPr>
        <w:t>（不额外收费）</w:t>
      </w:r>
      <w:r>
        <w:rPr>
          <w:rFonts w:hint="eastAsia" w:cs="Times New Roman"/>
          <w:b/>
          <w:bCs/>
          <w:kern w:val="2"/>
          <w:szCs w:val="21"/>
        </w:rPr>
        <w:t>，培训人员人数不限，培训时间视采购人需要，原则上不少于2天，确保采购人用户能正常操作。</w:t>
      </w:r>
    </w:p>
    <w:p>
      <w:pPr>
        <w:shd w:val="clear" w:color="auto" w:fill="auto"/>
        <w:tabs>
          <w:tab w:val="clear" w:pos="426"/>
        </w:tabs>
        <w:ind w:firstLine="422" w:firstLineChars="200"/>
        <w:rPr>
          <w:rFonts w:hint="eastAsia" w:cs="Times New Roman"/>
          <w:b/>
          <w:bCs/>
          <w:kern w:val="2"/>
          <w:szCs w:val="21"/>
        </w:rPr>
      </w:pPr>
      <w:r>
        <w:rPr>
          <w:rFonts w:hint="eastAsia" w:cs="Times New Roman"/>
          <w:b/>
          <w:bCs/>
          <w:kern w:val="2"/>
          <w:szCs w:val="21"/>
        </w:rPr>
        <w:t>5.7 集中培训：中标人提供采购人至少2名技术人员到厂家指定地点进行相同设备专项技能培训</w:t>
      </w:r>
      <w:r>
        <w:rPr>
          <w:rFonts w:hint="eastAsia"/>
        </w:rPr>
        <w:t>（不额外收费）</w:t>
      </w:r>
      <w:r>
        <w:rPr>
          <w:rFonts w:hint="eastAsia" w:cs="Times New Roman"/>
          <w:b/>
          <w:bCs/>
          <w:kern w:val="2"/>
          <w:szCs w:val="21"/>
        </w:rPr>
        <w:t>，培训时间原则上不少于3天。</w:t>
      </w:r>
    </w:p>
    <w:p>
      <w:pPr>
        <w:shd w:val="clear" w:color="auto" w:fill="auto"/>
        <w:tabs>
          <w:tab w:val="clear" w:pos="426"/>
        </w:tabs>
        <w:ind w:firstLine="422" w:firstLineChars="200"/>
        <w:rPr>
          <w:rFonts w:hint="eastAsia" w:cs="Times New Roman"/>
          <w:b/>
          <w:bCs/>
          <w:kern w:val="2"/>
          <w:szCs w:val="21"/>
        </w:rPr>
      </w:pPr>
      <w:r>
        <w:rPr>
          <w:rFonts w:hint="eastAsia" w:cs="Times New Roman"/>
          <w:b/>
          <w:bCs/>
          <w:kern w:val="2"/>
          <w:szCs w:val="21"/>
        </w:rPr>
        <w:t>质保期内有责任对货物进行不定期的巡查检修。</w:t>
      </w:r>
    </w:p>
    <w:p>
      <w:pPr>
        <w:shd w:val="clear" w:color="auto" w:fill="auto"/>
        <w:tabs>
          <w:tab w:val="clear" w:pos="426"/>
        </w:tabs>
        <w:ind w:firstLine="422" w:firstLineChars="200"/>
        <w:rPr>
          <w:rFonts w:hint="eastAsia" w:cs="Times New Roman"/>
          <w:b/>
          <w:bCs/>
          <w:kern w:val="2"/>
          <w:szCs w:val="21"/>
        </w:rPr>
      </w:pPr>
      <w:r>
        <w:rPr>
          <w:rFonts w:hint="eastAsia" w:cs="Times New Roman"/>
          <w:b/>
          <w:bCs/>
          <w:kern w:val="2"/>
          <w:szCs w:val="21"/>
        </w:rPr>
        <w:t>5.8货物的质保期为自双方签署货物到货验收签收单并通过验收，签署验收合格报告之日起计算。质保期内所有产品维修、更换均</w:t>
      </w:r>
      <w:r>
        <w:rPr>
          <w:rFonts w:hint="eastAsia"/>
        </w:rPr>
        <w:t>（不额外收费）</w:t>
      </w:r>
      <w:r>
        <w:rPr>
          <w:rFonts w:hint="eastAsia" w:cs="Times New Roman"/>
          <w:b/>
          <w:bCs/>
          <w:kern w:val="2"/>
          <w:szCs w:val="21"/>
        </w:rPr>
        <w:t>（采购人故意造成的损坏除外）。质保期外只收取零配件成本费用，不收取维修、更换的人工费用。质保期外重复出现质保期内出现的故障属免费保修范围。</w:t>
      </w:r>
    </w:p>
    <w:p>
      <w:pPr>
        <w:shd w:val="clear" w:color="auto" w:fill="auto"/>
        <w:tabs>
          <w:tab w:val="clear" w:pos="426"/>
        </w:tabs>
        <w:ind w:firstLine="422" w:firstLineChars="200"/>
        <w:rPr>
          <w:rFonts w:hint="eastAsia" w:cs="Times New Roman"/>
          <w:b/>
          <w:bCs/>
          <w:kern w:val="2"/>
          <w:szCs w:val="21"/>
        </w:rPr>
      </w:pPr>
      <w:r>
        <w:rPr>
          <w:rFonts w:hint="eastAsia" w:cs="Times New Roman"/>
          <w:b/>
          <w:bCs/>
          <w:kern w:val="2"/>
          <w:szCs w:val="21"/>
        </w:rPr>
        <w:t>5.9本合同所包含的售后服务，包含制造商售后服务和代理商售后服务，均由中标人负责联系、跟踪。</w:t>
      </w:r>
    </w:p>
    <w:p>
      <w:pPr>
        <w:shd w:val="clear" w:color="auto" w:fill="auto"/>
        <w:tabs>
          <w:tab w:val="clear" w:pos="426"/>
        </w:tabs>
        <w:ind w:firstLine="422" w:firstLineChars="200"/>
        <w:rPr>
          <w:rFonts w:hint="eastAsia" w:cs="Times New Roman"/>
          <w:b/>
          <w:bCs/>
          <w:kern w:val="2"/>
          <w:szCs w:val="21"/>
        </w:rPr>
      </w:pPr>
      <w:r>
        <w:rPr>
          <w:rFonts w:hint="eastAsia" w:cs="Times New Roman"/>
          <w:b/>
          <w:bCs/>
          <w:kern w:val="2"/>
          <w:szCs w:val="21"/>
        </w:rPr>
        <w:t>5.10在质保期内所有货物的检定或校准费用均由中标人承担。</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rPr>
        <w:t>★6.付款</w:t>
      </w:r>
      <w:bookmarkStart w:id="50" w:name="_Hlk180281229"/>
      <w:r>
        <w:rPr>
          <w:rFonts w:hint="eastAsia" w:cs="Times New Roman"/>
          <w:b/>
          <w:bCs/>
          <w:kern w:val="2"/>
          <w:szCs w:val="21"/>
          <w:lang w:eastAsia="zh-TW"/>
        </w:rPr>
        <w:t>方式：</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1</w:t>
      </w:r>
      <w:r>
        <w:rPr>
          <w:rFonts w:hint="eastAsia" w:cs="Times New Roman"/>
          <w:b/>
          <w:bCs/>
          <w:kern w:val="2"/>
          <w:szCs w:val="21"/>
          <w:lang w:eastAsia="zh-TW"/>
        </w:rPr>
        <w:t>）中标人向采购人交付履约保函或保证金，比例等于合同金额的10%，并提交下列单据之日起10个工作日内，采购人向中标人支付合同总价50%合同款。</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中标人提交单据：合同（正文部分复印件）、中标通知书（或成交通知书复印件）、发票（原件）、履约保函或保证金单据复印件（如有）。</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2</w:t>
      </w:r>
      <w:r>
        <w:rPr>
          <w:rFonts w:hint="eastAsia" w:cs="Times New Roman"/>
          <w:b/>
          <w:bCs/>
          <w:kern w:val="2"/>
          <w:szCs w:val="21"/>
          <w:lang w:eastAsia="zh-TW"/>
        </w:rPr>
        <w:t>）设备全部到货并经采购人（用户）签收后，中标人向采购人提交下列单据之日起10个工作日内，采购人向中标人支付合同总价50%合同款。</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中标人提交单据：合同(正文部分复印件）、中标通知书（或成交通知书复印件）、发票（原件）、设备到货签收单（复印件）。</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3</w:t>
      </w:r>
      <w:r>
        <w:rPr>
          <w:rFonts w:hint="eastAsia" w:cs="Times New Roman"/>
          <w:b/>
          <w:bCs/>
          <w:kern w:val="2"/>
          <w:szCs w:val="21"/>
          <w:lang w:eastAsia="zh-TW"/>
        </w:rPr>
        <w:t>）设备全部安装调试，并经采购人（用户）验收合格后，中标人向采购人提交下列单据之日起30日内，采购人向中标人无息退还履约保函或保证金。</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中标人提交单据：退还申请（原件）、安装调试验收合格报告（复印件）。</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4</w:t>
      </w:r>
      <w:r>
        <w:rPr>
          <w:rFonts w:hint="eastAsia" w:cs="Times New Roman"/>
          <w:b/>
          <w:bCs/>
          <w:kern w:val="2"/>
          <w:szCs w:val="21"/>
          <w:lang w:eastAsia="zh-TW"/>
        </w:rPr>
        <w:t>）因财政集中支付延误时间不计算在内。中标人提交付款单据延迟、缺失及账户信息错误的，采购人有权相应顺延付款期限，且采购人不承担延误付款责任。</w:t>
      </w:r>
    </w:p>
    <w:bookmarkEnd w:id="50"/>
    <w:p>
      <w:pPr>
        <w:shd w:val="clear" w:color="auto" w:fill="auto"/>
        <w:tabs>
          <w:tab w:val="clear" w:pos="426"/>
        </w:tabs>
        <w:ind w:firstLine="422" w:firstLineChars="200"/>
        <w:rPr>
          <w:rFonts w:hint="eastAsia" w:cs="Times New Roman"/>
          <w:b/>
          <w:bCs/>
          <w:kern w:val="2"/>
          <w:szCs w:val="21"/>
        </w:rPr>
      </w:pPr>
    </w:p>
    <w:p>
      <w:pPr>
        <w:widowControl w:val="0"/>
        <w:shd w:val="clear" w:color="auto" w:fill="auto"/>
        <w:tabs>
          <w:tab w:val="clear" w:pos="426"/>
        </w:tabs>
        <w:adjustRightInd/>
        <w:snapToGrid/>
        <w:spacing w:line="240" w:lineRule="auto"/>
        <w:ind w:left="420" w:leftChars="200"/>
        <w:rPr>
          <w:rFonts w:hint="eastAsia" w:cs="Times New Roman"/>
          <w:b/>
          <w:bCs/>
          <w:kern w:val="2"/>
          <w:szCs w:val="21"/>
        </w:rPr>
      </w:pPr>
      <w:r>
        <w:rPr>
          <w:rFonts w:hint="eastAsia" w:cs="Times New Roman"/>
          <w:b/>
          <w:bCs/>
          <w:kern w:val="2"/>
          <w:szCs w:val="21"/>
        </w:rPr>
        <w:t>备注：</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1.商务</w:t>
      </w:r>
      <w:r>
        <w:rPr>
          <w:rFonts w:cs="Times New Roman"/>
          <w:b/>
          <w:bCs/>
          <w:kern w:val="2"/>
          <w:szCs w:val="21"/>
        </w:rPr>
        <w:t>要求分为一般</w:t>
      </w:r>
      <w:r>
        <w:rPr>
          <w:rFonts w:hint="eastAsia" w:cs="Times New Roman"/>
          <w:b/>
          <w:bCs/>
          <w:kern w:val="2"/>
          <w:szCs w:val="21"/>
        </w:rPr>
        <w:t>商务</w:t>
      </w:r>
      <w:r>
        <w:rPr>
          <w:rFonts w:cs="Times New Roman"/>
          <w:b/>
          <w:bCs/>
          <w:kern w:val="2"/>
          <w:szCs w:val="21"/>
        </w:rPr>
        <w:t>要求、重要</w:t>
      </w:r>
      <w:r>
        <w:rPr>
          <w:rFonts w:hint="eastAsia" w:cs="Times New Roman"/>
          <w:b/>
          <w:bCs/>
          <w:kern w:val="2"/>
          <w:szCs w:val="21"/>
        </w:rPr>
        <w:t>商务</w:t>
      </w:r>
      <w:r>
        <w:rPr>
          <w:rFonts w:cs="Times New Roman"/>
          <w:b/>
          <w:bCs/>
          <w:kern w:val="2"/>
          <w:szCs w:val="21"/>
        </w:rPr>
        <w:t>要求（以“▲”标注）和实质性</w:t>
      </w:r>
      <w:r>
        <w:rPr>
          <w:rFonts w:hint="eastAsia" w:cs="Times New Roman"/>
          <w:b/>
          <w:bCs/>
          <w:kern w:val="2"/>
          <w:szCs w:val="21"/>
        </w:rPr>
        <w:t>商务</w:t>
      </w:r>
      <w:r>
        <w:rPr>
          <w:rFonts w:cs="Times New Roman"/>
          <w:b/>
          <w:bCs/>
          <w:kern w:val="2"/>
          <w:szCs w:val="21"/>
        </w:rPr>
        <w:t>要求（以</w:t>
      </w:r>
      <w:r>
        <w:rPr>
          <w:rFonts w:hint="eastAsia" w:cs="Times New Roman"/>
          <w:b/>
          <w:bCs/>
          <w:kern w:val="2"/>
          <w:szCs w:val="21"/>
        </w:rPr>
        <w:t>“</w:t>
      </w:r>
      <w:r>
        <w:rPr>
          <w:rFonts w:cs="Times New Roman"/>
          <w:b/>
          <w:bCs/>
          <w:kern w:val="2"/>
          <w:szCs w:val="21"/>
        </w:rPr>
        <w:t>★”标注）。一般商务要求和重要商务要求若出现不响应或负偏离，其综合评分的相关分数将予以扣减，但不作为投标无效条款。实质性商务要求（以</w:t>
      </w:r>
      <w:r>
        <w:rPr>
          <w:rFonts w:hint="eastAsia" w:cs="Times New Roman"/>
          <w:b/>
          <w:bCs/>
          <w:kern w:val="2"/>
          <w:szCs w:val="21"/>
        </w:rPr>
        <w:t>“</w:t>
      </w:r>
      <w:r>
        <w:rPr>
          <w:rFonts w:cs="Times New Roman"/>
          <w:b/>
          <w:bCs/>
          <w:kern w:val="2"/>
          <w:szCs w:val="21"/>
        </w:rPr>
        <w:t>★”标注）若出现不响应或任何一项负偏离，将导致投标无效。</w:t>
      </w:r>
    </w:p>
    <w:p>
      <w:pPr>
        <w:shd w:val="clear" w:color="auto" w:fill="auto"/>
        <w:tabs>
          <w:tab w:val="clear" w:pos="426"/>
        </w:tabs>
        <w:adjustRightInd/>
        <w:snapToGrid/>
        <w:spacing w:line="240" w:lineRule="auto"/>
        <w:jc w:val="left"/>
        <w:rPr>
          <w:rFonts w:ascii="Cambria" w:hAnsi="Cambria" w:cs="Times New Roman"/>
          <w:b/>
          <w:bCs/>
          <w:kern w:val="28"/>
          <w:sz w:val="28"/>
          <w:szCs w:val="32"/>
        </w:rPr>
      </w:pPr>
      <w:r>
        <w:br w:type="page"/>
      </w:r>
    </w:p>
    <w:p>
      <w:pPr>
        <w:pStyle w:val="62"/>
      </w:pPr>
      <w:bookmarkStart w:id="51" w:name="_Toc2525"/>
      <w:r>
        <w:rPr>
          <w:rFonts w:hint="eastAsia"/>
        </w:rPr>
        <w:t>第三章 定价方式、合同类型和风险管理措施</w:t>
      </w:r>
      <w:bookmarkEnd w:id="51"/>
    </w:p>
    <w:p>
      <w:pPr>
        <w:numPr>
          <w:ilvl w:val="0"/>
          <w:numId w:val="3"/>
        </w:numPr>
        <w:adjustRightInd/>
        <w:snapToGrid/>
        <w:spacing w:before="280" w:after="290" w:line="377" w:lineRule="auto"/>
        <w:jc w:val="left"/>
        <w:outlineLvl w:val="2"/>
        <w:rPr>
          <w:rFonts w:hint="eastAsia"/>
          <w:b/>
          <w:sz w:val="24"/>
        </w:rPr>
      </w:pPr>
      <w:bookmarkStart w:id="52" w:name="_Toc21605"/>
      <w:bookmarkStart w:id="53" w:name="_Toc27621"/>
      <w:bookmarkStart w:id="54" w:name="_Toc157893754"/>
      <w:r>
        <w:rPr>
          <w:rFonts w:hint="eastAsia"/>
          <w:b/>
          <w:sz w:val="24"/>
        </w:rPr>
        <w:t>定价方式</w:t>
      </w:r>
      <w:bookmarkEnd w:id="52"/>
      <w:bookmarkEnd w:id="53"/>
      <w:bookmarkEnd w:id="54"/>
    </w:p>
    <w:p>
      <w:pPr>
        <w:widowControl w:val="0"/>
        <w:shd w:val="clear" w:color="auto" w:fill="auto"/>
        <w:tabs>
          <w:tab w:val="clear" w:pos="426"/>
        </w:tabs>
        <w:adjustRightInd/>
        <w:snapToGrid/>
        <w:spacing w:line="240" w:lineRule="auto"/>
        <w:ind w:firstLine="420" w:firstLineChars="200"/>
        <w:rPr>
          <w:rFonts w:hint="eastAsia"/>
          <w:kern w:val="2"/>
        </w:rPr>
      </w:pPr>
      <w:r>
        <w:rPr>
          <w:rFonts w:hint="eastAsia"/>
          <w:kern w:val="2"/>
        </w:rPr>
        <w:t>固定总价</w:t>
      </w:r>
      <w:r>
        <w:rPr>
          <w:rFonts w:hint="eastAsia"/>
        </w:rPr>
        <w:t>。</w:t>
      </w:r>
    </w:p>
    <w:p>
      <w:pPr>
        <w:numPr>
          <w:ilvl w:val="0"/>
          <w:numId w:val="3"/>
        </w:numPr>
        <w:adjustRightInd/>
        <w:snapToGrid/>
        <w:spacing w:before="280" w:after="290" w:line="377" w:lineRule="auto"/>
        <w:jc w:val="left"/>
        <w:outlineLvl w:val="2"/>
        <w:rPr>
          <w:rFonts w:hint="eastAsia"/>
          <w:b/>
          <w:sz w:val="24"/>
        </w:rPr>
      </w:pPr>
      <w:bookmarkStart w:id="55" w:name="_Toc157893755"/>
      <w:bookmarkStart w:id="56" w:name="_Toc7208"/>
      <w:bookmarkStart w:id="57" w:name="_Toc18675"/>
      <w:r>
        <w:rPr>
          <w:rFonts w:hint="eastAsia"/>
          <w:b/>
          <w:sz w:val="24"/>
        </w:rPr>
        <w:t>合同类型</w:t>
      </w:r>
      <w:bookmarkEnd w:id="55"/>
      <w:bookmarkEnd w:id="56"/>
      <w:bookmarkEnd w:id="57"/>
    </w:p>
    <w:p>
      <w:pPr>
        <w:widowControl w:val="0"/>
        <w:shd w:val="clear" w:color="auto" w:fill="auto"/>
        <w:tabs>
          <w:tab w:val="clear" w:pos="426"/>
        </w:tabs>
        <w:adjustRightInd/>
        <w:snapToGrid/>
        <w:spacing w:line="240" w:lineRule="auto"/>
        <w:ind w:firstLine="420" w:firstLineChars="200"/>
        <w:rPr>
          <w:rFonts w:hint="eastAsia"/>
          <w:kern w:val="2"/>
        </w:rPr>
      </w:pPr>
      <w:r>
        <w:rPr>
          <w:rFonts w:hint="eastAsia"/>
          <w:kern w:val="2"/>
        </w:rPr>
        <w:t>买卖合同</w:t>
      </w:r>
      <w:r>
        <w:rPr>
          <w:rFonts w:hint="eastAsia"/>
        </w:rPr>
        <w:t>。</w:t>
      </w:r>
    </w:p>
    <w:p>
      <w:pPr>
        <w:numPr>
          <w:ilvl w:val="0"/>
          <w:numId w:val="3"/>
        </w:numPr>
        <w:adjustRightInd/>
        <w:snapToGrid/>
        <w:spacing w:before="280" w:after="290" w:line="377" w:lineRule="auto"/>
        <w:jc w:val="left"/>
        <w:outlineLvl w:val="2"/>
        <w:rPr>
          <w:rFonts w:hint="eastAsia"/>
          <w:b/>
          <w:sz w:val="24"/>
        </w:rPr>
      </w:pPr>
      <w:bookmarkStart w:id="58" w:name="_Toc157893757"/>
      <w:bookmarkStart w:id="59" w:name="_Toc32122"/>
      <w:bookmarkStart w:id="60" w:name="_Toc24693"/>
      <w:r>
        <w:rPr>
          <w:rFonts w:hint="eastAsia"/>
          <w:b/>
          <w:sz w:val="24"/>
        </w:rPr>
        <w:t>风险管理措施</w:t>
      </w:r>
      <w:bookmarkEnd w:id="58"/>
      <w:bookmarkEnd w:id="59"/>
      <w:bookmarkEnd w:id="60"/>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spacing w:line="240" w:lineRule="auto"/>
              <w:rPr>
                <w:rFonts w:hint="eastAsia"/>
                <w:b/>
                <w:bCs/>
                <w:szCs w:val="21"/>
              </w:rPr>
            </w:pPr>
            <w:r>
              <w:rPr>
                <w:rFonts w:hint="eastAsia"/>
                <w:b/>
                <w:bCs/>
                <w:szCs w:val="21"/>
              </w:rPr>
              <w:t>阶段</w:t>
            </w:r>
          </w:p>
        </w:tc>
        <w:tc>
          <w:tcPr>
            <w:tcW w:w="1185" w:type="dxa"/>
          </w:tcPr>
          <w:p>
            <w:pPr>
              <w:spacing w:line="240" w:lineRule="auto"/>
              <w:rPr>
                <w:rFonts w:hint="eastAsia"/>
                <w:b/>
                <w:bCs/>
                <w:szCs w:val="21"/>
              </w:rPr>
            </w:pPr>
            <w:r>
              <w:rPr>
                <w:rFonts w:hint="eastAsia"/>
                <w:b/>
                <w:bCs/>
                <w:szCs w:val="21"/>
              </w:rPr>
              <w:t>风险事项</w:t>
            </w:r>
          </w:p>
        </w:tc>
        <w:tc>
          <w:tcPr>
            <w:tcW w:w="1185" w:type="dxa"/>
          </w:tcPr>
          <w:p>
            <w:pPr>
              <w:spacing w:line="240" w:lineRule="auto"/>
              <w:rPr>
                <w:rFonts w:hint="eastAsia"/>
                <w:b/>
                <w:bCs/>
                <w:szCs w:val="21"/>
              </w:rPr>
            </w:pPr>
            <w:r>
              <w:rPr>
                <w:rFonts w:hint="eastAsia"/>
                <w:b/>
                <w:bCs/>
                <w:szCs w:val="21"/>
              </w:rPr>
              <w:t>风险描述</w:t>
            </w:r>
          </w:p>
        </w:tc>
        <w:tc>
          <w:tcPr>
            <w:tcW w:w="1185" w:type="dxa"/>
          </w:tcPr>
          <w:p>
            <w:pPr>
              <w:spacing w:line="240" w:lineRule="auto"/>
              <w:rPr>
                <w:rFonts w:hint="eastAsia"/>
                <w:b/>
                <w:bCs/>
                <w:szCs w:val="21"/>
              </w:rPr>
            </w:pPr>
            <w:r>
              <w:rPr>
                <w:rFonts w:hint="eastAsia"/>
                <w:b/>
                <w:bCs/>
                <w:szCs w:val="21"/>
              </w:rPr>
              <w:t>风险等级</w:t>
            </w:r>
          </w:p>
        </w:tc>
        <w:tc>
          <w:tcPr>
            <w:tcW w:w="1185" w:type="dxa"/>
          </w:tcPr>
          <w:p>
            <w:pPr>
              <w:spacing w:line="240" w:lineRule="auto"/>
              <w:rPr>
                <w:rFonts w:hint="eastAsia"/>
                <w:b/>
                <w:bCs/>
                <w:szCs w:val="21"/>
              </w:rPr>
            </w:pPr>
            <w:r>
              <w:rPr>
                <w:rFonts w:hint="eastAsia"/>
                <w:b/>
                <w:bCs/>
                <w:szCs w:val="21"/>
              </w:rPr>
              <w:t>防控措施</w:t>
            </w:r>
          </w:p>
        </w:tc>
        <w:tc>
          <w:tcPr>
            <w:tcW w:w="1185" w:type="dxa"/>
          </w:tcPr>
          <w:p>
            <w:pPr>
              <w:spacing w:line="240" w:lineRule="auto"/>
              <w:rPr>
                <w:rFonts w:hint="eastAsia"/>
                <w:b/>
                <w:bCs/>
                <w:szCs w:val="21"/>
              </w:rPr>
            </w:pPr>
            <w:r>
              <w:rPr>
                <w:rFonts w:hint="eastAsia"/>
                <w:b/>
                <w:bCs/>
                <w:szCs w:val="21"/>
              </w:rPr>
              <w:t>责任人</w:t>
            </w:r>
          </w:p>
        </w:tc>
        <w:tc>
          <w:tcPr>
            <w:tcW w:w="1186" w:type="dxa"/>
          </w:tcPr>
          <w:p>
            <w:pPr>
              <w:spacing w:line="240" w:lineRule="auto"/>
              <w:rPr>
                <w:rFonts w:hint="eastAsia"/>
                <w:b/>
                <w:bCs/>
                <w:szCs w:val="21"/>
              </w:rPr>
            </w:pPr>
            <w:r>
              <w:rPr>
                <w:rFonts w:hint="eastAsia"/>
                <w:b/>
                <w:bCs/>
                <w:szCs w:val="21"/>
              </w:rPr>
              <w:t>采购环节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tabs>
                <w:tab w:val="left" w:pos="1330"/>
                <w:tab w:val="clear" w:pos="426"/>
              </w:tabs>
              <w:spacing w:line="240" w:lineRule="auto"/>
              <w:rPr>
                <w:rFonts w:hint="eastAsia"/>
                <w:szCs w:val="21"/>
              </w:rPr>
            </w:pPr>
            <w:r>
              <w:rPr>
                <w:rFonts w:hint="eastAsia"/>
                <w:szCs w:val="21"/>
              </w:rPr>
              <w:t>采购阶段</w:t>
            </w:r>
          </w:p>
        </w:tc>
        <w:tc>
          <w:tcPr>
            <w:tcW w:w="1185" w:type="dxa"/>
          </w:tcPr>
          <w:p>
            <w:pPr>
              <w:tabs>
                <w:tab w:val="left" w:pos="1330"/>
                <w:tab w:val="clear" w:pos="426"/>
              </w:tabs>
              <w:spacing w:line="240" w:lineRule="auto"/>
              <w:rPr>
                <w:rFonts w:hint="eastAsia"/>
                <w:szCs w:val="21"/>
              </w:rPr>
            </w:pPr>
            <w:r>
              <w:rPr>
                <w:rFonts w:hint="eastAsia"/>
                <w:szCs w:val="21"/>
              </w:rPr>
              <w:t>需求编制</w:t>
            </w:r>
          </w:p>
        </w:tc>
        <w:tc>
          <w:tcPr>
            <w:tcW w:w="1185" w:type="dxa"/>
          </w:tcPr>
          <w:p>
            <w:pPr>
              <w:tabs>
                <w:tab w:val="left" w:pos="1330"/>
                <w:tab w:val="clear" w:pos="426"/>
              </w:tabs>
              <w:spacing w:line="240" w:lineRule="auto"/>
              <w:rPr>
                <w:rFonts w:hint="eastAsia"/>
                <w:szCs w:val="21"/>
              </w:rPr>
            </w:pPr>
            <w:r>
              <w:rPr>
                <w:rFonts w:hint="eastAsia"/>
                <w:szCs w:val="21"/>
              </w:rPr>
              <w:t>需求编制与实际不符</w:t>
            </w:r>
          </w:p>
        </w:tc>
        <w:tc>
          <w:tcPr>
            <w:tcW w:w="1185" w:type="dxa"/>
          </w:tcPr>
          <w:p>
            <w:pPr>
              <w:tabs>
                <w:tab w:val="left" w:pos="1330"/>
                <w:tab w:val="clear" w:pos="426"/>
              </w:tabs>
              <w:spacing w:line="240" w:lineRule="auto"/>
              <w:rPr>
                <w:rFonts w:hint="eastAsia"/>
                <w:szCs w:val="21"/>
              </w:rPr>
            </w:pPr>
            <w:r>
              <w:rPr>
                <w:rFonts w:hint="eastAsia"/>
                <w:szCs w:val="21"/>
              </w:rPr>
              <w:t>中</w:t>
            </w:r>
          </w:p>
        </w:tc>
        <w:tc>
          <w:tcPr>
            <w:tcW w:w="1185" w:type="dxa"/>
          </w:tcPr>
          <w:p>
            <w:pPr>
              <w:tabs>
                <w:tab w:val="left" w:pos="1330"/>
                <w:tab w:val="clear" w:pos="426"/>
              </w:tabs>
              <w:spacing w:line="240" w:lineRule="auto"/>
              <w:rPr>
                <w:rFonts w:hint="eastAsia"/>
                <w:szCs w:val="21"/>
              </w:rPr>
            </w:pPr>
            <w:r>
              <w:rPr>
                <w:rFonts w:hint="eastAsia"/>
                <w:szCs w:val="21"/>
              </w:rPr>
              <w:t>仔细与需求部门确认需求表填写是否与实际需求一致</w:t>
            </w:r>
          </w:p>
        </w:tc>
        <w:tc>
          <w:tcPr>
            <w:tcW w:w="1185" w:type="dxa"/>
          </w:tcPr>
          <w:p>
            <w:pPr>
              <w:tabs>
                <w:tab w:val="left" w:pos="1330"/>
                <w:tab w:val="clear" w:pos="426"/>
              </w:tabs>
              <w:spacing w:line="240" w:lineRule="auto"/>
              <w:rPr>
                <w:rFonts w:hint="eastAsia"/>
                <w:szCs w:val="21"/>
              </w:rPr>
            </w:pPr>
            <w:r>
              <w:rPr>
                <w:rFonts w:hint="eastAsia"/>
                <w:szCs w:val="21"/>
              </w:rPr>
              <w:t>采购人</w:t>
            </w:r>
          </w:p>
        </w:tc>
        <w:tc>
          <w:tcPr>
            <w:tcW w:w="1186" w:type="dxa"/>
          </w:tcPr>
          <w:p>
            <w:pPr>
              <w:tabs>
                <w:tab w:val="left" w:pos="1330"/>
                <w:tab w:val="clear" w:pos="426"/>
              </w:tabs>
              <w:spacing w:line="240" w:lineRule="auto"/>
              <w:rPr>
                <w:rFonts w:hint="eastAsia"/>
                <w:szCs w:val="21"/>
              </w:rPr>
            </w:pPr>
            <w:r>
              <w:rPr>
                <w:rFonts w:hint="eastAsia"/>
                <w:szCs w:val="21"/>
              </w:rPr>
              <w:t>采购环节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tabs>
                <w:tab w:val="left" w:pos="1330"/>
                <w:tab w:val="clear" w:pos="426"/>
              </w:tabs>
              <w:spacing w:line="240" w:lineRule="auto"/>
              <w:rPr>
                <w:rFonts w:hint="eastAsia"/>
                <w:szCs w:val="21"/>
              </w:rPr>
            </w:pPr>
            <w:r>
              <w:rPr>
                <w:rFonts w:hint="eastAsia"/>
                <w:szCs w:val="21"/>
              </w:rPr>
              <w:t>采购阶段</w:t>
            </w:r>
          </w:p>
        </w:tc>
        <w:tc>
          <w:tcPr>
            <w:tcW w:w="1185" w:type="dxa"/>
          </w:tcPr>
          <w:p>
            <w:pPr>
              <w:tabs>
                <w:tab w:val="left" w:pos="1330"/>
                <w:tab w:val="clear" w:pos="426"/>
              </w:tabs>
              <w:spacing w:line="240" w:lineRule="auto"/>
              <w:rPr>
                <w:rFonts w:hint="eastAsia"/>
                <w:szCs w:val="21"/>
              </w:rPr>
            </w:pPr>
            <w:r>
              <w:rPr>
                <w:rFonts w:hint="eastAsia"/>
                <w:szCs w:val="21"/>
              </w:rPr>
              <w:t>采购活动</w:t>
            </w:r>
          </w:p>
        </w:tc>
        <w:tc>
          <w:tcPr>
            <w:tcW w:w="1185" w:type="dxa"/>
          </w:tcPr>
          <w:p>
            <w:pPr>
              <w:tabs>
                <w:tab w:val="left" w:pos="1330"/>
                <w:tab w:val="clear" w:pos="426"/>
              </w:tabs>
              <w:spacing w:line="240" w:lineRule="auto"/>
              <w:rPr>
                <w:rFonts w:hint="eastAsia"/>
                <w:szCs w:val="21"/>
              </w:rPr>
            </w:pPr>
            <w:r>
              <w:rPr>
                <w:rFonts w:hint="eastAsia"/>
                <w:szCs w:val="21"/>
              </w:rPr>
              <w:t>标书的填写符合性及与需求的符合性</w:t>
            </w:r>
          </w:p>
        </w:tc>
        <w:tc>
          <w:tcPr>
            <w:tcW w:w="1185" w:type="dxa"/>
          </w:tcPr>
          <w:p>
            <w:pPr>
              <w:tabs>
                <w:tab w:val="left" w:pos="1330"/>
                <w:tab w:val="clear" w:pos="426"/>
              </w:tabs>
              <w:spacing w:line="240" w:lineRule="auto"/>
              <w:rPr>
                <w:rFonts w:hint="eastAsia"/>
                <w:szCs w:val="21"/>
              </w:rPr>
            </w:pPr>
            <w:r>
              <w:rPr>
                <w:rFonts w:hint="eastAsia"/>
                <w:szCs w:val="21"/>
              </w:rPr>
              <w:t>中</w:t>
            </w:r>
          </w:p>
        </w:tc>
        <w:tc>
          <w:tcPr>
            <w:tcW w:w="1185" w:type="dxa"/>
          </w:tcPr>
          <w:p>
            <w:pPr>
              <w:tabs>
                <w:tab w:val="left" w:pos="1330"/>
                <w:tab w:val="clear" w:pos="426"/>
              </w:tabs>
              <w:spacing w:line="240" w:lineRule="auto"/>
              <w:rPr>
                <w:rFonts w:hint="eastAsia"/>
                <w:szCs w:val="21"/>
              </w:rPr>
            </w:pPr>
            <w:r>
              <w:rPr>
                <w:rFonts w:hint="eastAsia"/>
                <w:szCs w:val="21"/>
              </w:rPr>
              <w:t>仔细与采购人员确认填写是否与实际需求一致</w:t>
            </w:r>
          </w:p>
        </w:tc>
        <w:tc>
          <w:tcPr>
            <w:tcW w:w="1185" w:type="dxa"/>
          </w:tcPr>
          <w:p>
            <w:pPr>
              <w:tabs>
                <w:tab w:val="left" w:pos="1330"/>
                <w:tab w:val="clear" w:pos="426"/>
              </w:tabs>
              <w:spacing w:line="240" w:lineRule="auto"/>
              <w:rPr>
                <w:rFonts w:hint="eastAsia"/>
                <w:szCs w:val="21"/>
              </w:rPr>
            </w:pPr>
            <w:r>
              <w:rPr>
                <w:rFonts w:hint="eastAsia"/>
                <w:szCs w:val="21"/>
              </w:rPr>
              <w:t>代理机构</w:t>
            </w:r>
          </w:p>
        </w:tc>
        <w:tc>
          <w:tcPr>
            <w:tcW w:w="1186" w:type="dxa"/>
          </w:tcPr>
          <w:p>
            <w:pPr>
              <w:tabs>
                <w:tab w:val="left" w:pos="1330"/>
                <w:tab w:val="clear" w:pos="426"/>
              </w:tabs>
              <w:spacing w:line="240" w:lineRule="auto"/>
              <w:rPr>
                <w:rFonts w:hint="eastAsia"/>
                <w:szCs w:val="21"/>
              </w:rPr>
            </w:pPr>
            <w:r>
              <w:rPr>
                <w:rFonts w:hint="eastAsia"/>
                <w:szCs w:val="21"/>
              </w:rPr>
              <w:t>采购环节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tabs>
                <w:tab w:val="left" w:pos="1330"/>
                <w:tab w:val="clear" w:pos="426"/>
              </w:tabs>
              <w:spacing w:line="240" w:lineRule="auto"/>
              <w:rPr>
                <w:rFonts w:hint="eastAsia"/>
                <w:szCs w:val="21"/>
              </w:rPr>
            </w:pPr>
            <w:r>
              <w:rPr>
                <w:rFonts w:hint="eastAsia"/>
                <w:szCs w:val="21"/>
              </w:rPr>
              <w:t>合同履约阶段</w:t>
            </w:r>
          </w:p>
        </w:tc>
        <w:tc>
          <w:tcPr>
            <w:tcW w:w="1185" w:type="dxa"/>
          </w:tcPr>
          <w:p>
            <w:pPr>
              <w:tabs>
                <w:tab w:val="left" w:pos="1330"/>
                <w:tab w:val="clear" w:pos="426"/>
              </w:tabs>
              <w:spacing w:line="240" w:lineRule="auto"/>
              <w:rPr>
                <w:rFonts w:hint="eastAsia"/>
                <w:szCs w:val="21"/>
              </w:rPr>
            </w:pPr>
            <w:r>
              <w:rPr>
                <w:rFonts w:hint="eastAsia"/>
                <w:szCs w:val="21"/>
              </w:rPr>
              <w:t>合同履约</w:t>
            </w:r>
          </w:p>
        </w:tc>
        <w:tc>
          <w:tcPr>
            <w:tcW w:w="1185" w:type="dxa"/>
          </w:tcPr>
          <w:p>
            <w:pPr>
              <w:tabs>
                <w:tab w:val="left" w:pos="1330"/>
                <w:tab w:val="clear" w:pos="426"/>
              </w:tabs>
              <w:spacing w:line="240" w:lineRule="auto"/>
              <w:rPr>
                <w:rFonts w:hint="eastAsia"/>
                <w:szCs w:val="21"/>
              </w:rPr>
            </w:pPr>
            <w:r>
              <w:rPr>
                <w:rFonts w:hint="eastAsia"/>
                <w:szCs w:val="21"/>
              </w:rPr>
              <w:t>供应商不能按照合同准时履约</w:t>
            </w:r>
          </w:p>
        </w:tc>
        <w:tc>
          <w:tcPr>
            <w:tcW w:w="1185" w:type="dxa"/>
          </w:tcPr>
          <w:p>
            <w:pPr>
              <w:tabs>
                <w:tab w:val="left" w:pos="1330"/>
                <w:tab w:val="clear" w:pos="426"/>
              </w:tabs>
              <w:spacing w:line="240" w:lineRule="auto"/>
              <w:rPr>
                <w:rFonts w:hint="eastAsia"/>
                <w:szCs w:val="21"/>
              </w:rPr>
            </w:pPr>
            <w:r>
              <w:rPr>
                <w:rFonts w:hint="eastAsia"/>
                <w:szCs w:val="21"/>
              </w:rPr>
              <w:t>中</w:t>
            </w:r>
          </w:p>
        </w:tc>
        <w:tc>
          <w:tcPr>
            <w:tcW w:w="1185" w:type="dxa"/>
          </w:tcPr>
          <w:p>
            <w:pPr>
              <w:tabs>
                <w:tab w:val="left" w:pos="1330"/>
                <w:tab w:val="clear" w:pos="426"/>
              </w:tabs>
              <w:spacing w:line="240" w:lineRule="auto"/>
              <w:rPr>
                <w:rFonts w:hint="eastAsia"/>
                <w:szCs w:val="21"/>
              </w:rPr>
            </w:pPr>
            <w:r>
              <w:rPr>
                <w:rFonts w:hint="eastAsia"/>
                <w:szCs w:val="21"/>
              </w:rPr>
              <w:t>在合同中详细写明无法按时履约应该承担的法律责任</w:t>
            </w:r>
          </w:p>
        </w:tc>
        <w:tc>
          <w:tcPr>
            <w:tcW w:w="1185" w:type="dxa"/>
          </w:tcPr>
          <w:p>
            <w:pPr>
              <w:tabs>
                <w:tab w:val="left" w:pos="1330"/>
                <w:tab w:val="clear" w:pos="426"/>
              </w:tabs>
              <w:spacing w:line="240" w:lineRule="auto"/>
              <w:rPr>
                <w:rFonts w:hint="eastAsia"/>
                <w:szCs w:val="21"/>
              </w:rPr>
            </w:pPr>
            <w:r>
              <w:rPr>
                <w:rFonts w:hint="eastAsia"/>
                <w:szCs w:val="21"/>
              </w:rPr>
              <w:t>供应商</w:t>
            </w:r>
          </w:p>
        </w:tc>
        <w:tc>
          <w:tcPr>
            <w:tcW w:w="1186" w:type="dxa"/>
          </w:tcPr>
          <w:p>
            <w:pPr>
              <w:tabs>
                <w:tab w:val="left" w:pos="1330"/>
                <w:tab w:val="clear" w:pos="426"/>
              </w:tabs>
              <w:spacing w:line="240" w:lineRule="auto"/>
              <w:rPr>
                <w:rFonts w:hint="eastAsia"/>
                <w:szCs w:val="21"/>
              </w:rPr>
            </w:pPr>
            <w:r>
              <w:rPr>
                <w:rFonts w:hint="eastAsia"/>
                <w:szCs w:val="21"/>
              </w:rPr>
              <w:t>合同履约环节</w:t>
            </w:r>
          </w:p>
        </w:tc>
      </w:tr>
    </w:tbl>
    <w:p>
      <w:pPr>
        <w:rPr>
          <w:rFonts w:hint="eastAsia"/>
        </w:rPr>
      </w:pPr>
    </w:p>
    <w:p>
      <w:pPr>
        <w:rPr>
          <w:rFonts w:hint="eastAsia"/>
        </w:rPr>
      </w:pPr>
      <w:r>
        <w:rPr>
          <w:rFonts w:hint="eastAsia"/>
        </w:rPr>
        <w:br w:type="page"/>
      </w:r>
    </w:p>
    <w:p>
      <w:pPr>
        <w:pStyle w:val="62"/>
      </w:pPr>
      <w:bookmarkStart w:id="61" w:name="_Toc25501"/>
      <w:r>
        <w:rPr>
          <w:rFonts w:hint="eastAsia"/>
        </w:rPr>
        <w:t>第四章 资格审查和评标方法</w:t>
      </w:r>
      <w:bookmarkEnd w:id="61"/>
    </w:p>
    <w:p>
      <w:pPr>
        <w:pStyle w:val="62"/>
      </w:pPr>
      <w:bookmarkStart w:id="62" w:name="_Toc12702"/>
      <w:r>
        <w:rPr>
          <w:rFonts w:hint="eastAsia"/>
        </w:rPr>
        <w:t>前附表（一）</w:t>
      </w:r>
      <w:r>
        <w:t>资格审查表</w:t>
      </w:r>
      <w:bookmarkEnd w:id="62"/>
    </w:p>
    <w:p>
      <w:pPr>
        <w:tabs>
          <w:tab w:val="clear" w:pos="426"/>
        </w:tabs>
        <w:spacing w:before="231" w:beforeLines="50" w:after="231" w:afterLines="50"/>
        <w:jc w:val="center"/>
        <w:rPr>
          <w:rFonts w:hint="eastAsia" w:ascii="黑体" w:eastAsia="黑体"/>
          <w:sz w:val="28"/>
          <w:szCs w:val="28"/>
        </w:rPr>
      </w:pPr>
      <w:r>
        <w:rPr>
          <w:rFonts w:hint="eastAsia"/>
          <w:b/>
        </w:rPr>
        <w:t>（凡有下列情形之一的，投标文件无效，投标作无效标处理</w:t>
      </w:r>
      <w:r>
        <w:rPr>
          <w:rFonts w:hint="eastAsia" w:ascii="黑体" w:eastAsia="黑体"/>
          <w:szCs w:val="21"/>
        </w:rPr>
        <w:t>）</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tabs>
                <w:tab w:val="clear" w:pos="426"/>
              </w:tabs>
              <w:adjustRightInd/>
              <w:snapToGrid/>
              <w:spacing w:line="240" w:lineRule="auto"/>
              <w:jc w:val="center"/>
              <w:rPr>
                <w:rFonts w:hint="eastAsia"/>
                <w:b/>
              </w:rPr>
            </w:pPr>
            <w:r>
              <w:rPr>
                <w:rFonts w:hint="eastAsia"/>
                <w:b/>
              </w:rPr>
              <w:t>序号</w:t>
            </w:r>
          </w:p>
        </w:tc>
        <w:tc>
          <w:tcPr>
            <w:tcW w:w="8806" w:type="dxa"/>
            <w:vAlign w:val="center"/>
          </w:tcPr>
          <w:p>
            <w:pPr>
              <w:tabs>
                <w:tab w:val="clear" w:pos="426"/>
              </w:tabs>
              <w:adjustRightInd/>
              <w:snapToGrid/>
              <w:spacing w:line="240" w:lineRule="auto"/>
              <w:jc w:val="center"/>
              <w:rPr>
                <w:rFonts w:hint="eastAsia"/>
                <w:b/>
              </w:rPr>
            </w:pPr>
            <w:r>
              <w:rPr>
                <w:rFonts w:hint="eastAsia"/>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numPr>
                <w:ilvl w:val="0"/>
                <w:numId w:val="4"/>
              </w:numPr>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投标供应商具备招标资质要求，且提交相应资质证明材料；(详见招标公告“申请人的资格要求”，其中未列示的资质要求不得导致废标。)</w:t>
            </w:r>
          </w:p>
        </w:tc>
      </w:tr>
    </w:tbl>
    <w:p>
      <w:pPr>
        <w:pStyle w:val="62"/>
      </w:pPr>
      <w:r>
        <w:rPr>
          <w:sz w:val="24"/>
        </w:rPr>
        <w:br w:type="page"/>
      </w:r>
      <w:bookmarkStart w:id="63" w:name="_Toc10832"/>
      <w:bookmarkStart w:id="64" w:name="_Toc435514846"/>
      <w:r>
        <w:rPr>
          <w:rFonts w:hint="eastAsia"/>
          <w:sz w:val="24"/>
        </w:rPr>
        <w:t>前附表（二）符合性审查表</w:t>
      </w:r>
      <w:bookmarkEnd w:id="63"/>
    </w:p>
    <w:p>
      <w:pPr>
        <w:tabs>
          <w:tab w:val="clear" w:pos="426"/>
        </w:tabs>
        <w:spacing w:before="231" w:beforeLines="50" w:after="231" w:afterLines="50"/>
        <w:jc w:val="center"/>
        <w:rPr>
          <w:rFonts w:hint="eastAsia" w:ascii="黑体" w:eastAsia="黑体"/>
          <w:sz w:val="28"/>
          <w:szCs w:val="28"/>
        </w:rPr>
      </w:pPr>
      <w:r>
        <w:rPr>
          <w:rFonts w:hint="eastAsia"/>
          <w:b/>
        </w:rPr>
        <w:t>（凡有下列情形之一的，投标文件无效，投标作无效标处理</w:t>
      </w:r>
      <w:r>
        <w:rPr>
          <w:rFonts w:hint="eastAsia" w:ascii="黑体" w:eastAsia="黑体"/>
          <w:szCs w:val="21"/>
        </w:rPr>
        <w:t>）</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tabs>
                <w:tab w:val="clear" w:pos="426"/>
              </w:tabs>
              <w:adjustRightInd/>
              <w:snapToGrid/>
              <w:spacing w:line="240" w:lineRule="auto"/>
              <w:jc w:val="center"/>
              <w:rPr>
                <w:rFonts w:hint="eastAsia"/>
                <w:b/>
              </w:rPr>
            </w:pPr>
            <w:r>
              <w:rPr>
                <w:rFonts w:hint="eastAsia"/>
                <w:b/>
              </w:rPr>
              <w:t>序号</w:t>
            </w:r>
          </w:p>
        </w:tc>
        <w:tc>
          <w:tcPr>
            <w:tcW w:w="8806" w:type="dxa"/>
            <w:vAlign w:val="center"/>
          </w:tcPr>
          <w:p>
            <w:pPr>
              <w:tabs>
                <w:tab w:val="clear" w:pos="426"/>
              </w:tabs>
              <w:adjustRightInd/>
              <w:snapToGrid/>
              <w:spacing w:line="240" w:lineRule="auto"/>
              <w:jc w:val="center"/>
              <w:rPr>
                <w:rFonts w:hint="eastAsia"/>
                <w:b/>
              </w:rPr>
            </w:pPr>
            <w:r>
              <w:rPr>
                <w:rFonts w:hint="eastAsia"/>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未按招标文件所提供的样式填写</w:t>
            </w:r>
            <w:r>
              <w:t>《</w:t>
            </w:r>
            <w:r>
              <w:rPr>
                <w:rFonts w:hint="eastAsia"/>
              </w:rPr>
              <w:t>投标函》；未按招标文件所提供的《投标人资格声明函》进行承诺；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投标总价或分项报价高于预算限额（最高投标限价）；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投标文件载明的质量保证期低于招标文件规定的期限；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所投产品、工程、服务在商务、技术等方面没有实质性满足招标文件要求的（是否实质性满足招标文件要求，由评标委员会根据《实质性响应条款偏离表》做出评判；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ascii="Times New Roman" w:hAnsi="Times New Roman" w:cs="Times New Roman"/>
              </w:rPr>
              <w:t>投标报价有严重缺漏项目或对招标文件规定的</w:t>
            </w:r>
            <w:r>
              <w:rPr>
                <w:rFonts w:hint="eastAsia" w:ascii="Times New Roman" w:hAnsi="Times New Roman" w:cs="Times New Roman"/>
              </w:rPr>
              <w:t>货物</w:t>
            </w:r>
            <w:r>
              <w:rPr>
                <w:rFonts w:ascii="Times New Roman" w:hAnsi="Times New Roman" w:cs="Times New Roman"/>
              </w:rPr>
              <w:t>清单项目及数量进行修改</w:t>
            </w:r>
            <w:r>
              <w:rPr>
                <w:rFonts w:hint="eastAsia"/>
              </w:rPr>
              <w:t>或采购标的响应不全；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《技术规格偏离表》或《商务条款偏离表》填写不全、不明或不实；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法律、法规规定的属于投标无效的其他情形。</w:t>
            </w:r>
          </w:p>
        </w:tc>
      </w:tr>
    </w:tbl>
    <w:p>
      <w:pPr>
        <w:rPr>
          <w:rFonts w:hint="eastAsia"/>
        </w:rPr>
      </w:pPr>
      <w:r>
        <w:br w:type="page"/>
      </w:r>
    </w:p>
    <w:p>
      <w:pPr>
        <w:pStyle w:val="62"/>
      </w:pPr>
      <w:bookmarkStart w:id="65" w:name="_Toc11333"/>
      <w:r>
        <w:rPr>
          <w:rFonts w:hint="eastAsia"/>
        </w:rPr>
        <w:t>前附表（三）综合评分法评分因素和权重分值表</w:t>
      </w:r>
      <w:bookmarkEnd w:id="65"/>
    </w:p>
    <w:tbl>
      <w:tblPr>
        <w:tblStyle w:val="8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评分项及评分规则</w:t>
            </w:r>
          </w:p>
        </w:tc>
        <w:tc>
          <w:tcPr>
            <w:tcW w:w="1187" w:type="dxa"/>
            <w:vAlign w:val="center"/>
          </w:tcPr>
          <w:p>
            <w:pPr>
              <w:autoSpaceDE w:val="0"/>
              <w:autoSpaceDN w:val="0"/>
              <w:jc w:val="center"/>
              <w:rPr>
                <w:rFonts w:hint="eastAsia"/>
                <w:b/>
                <w:szCs w:val="21"/>
                <w:lang w:val="zh-CN"/>
              </w:rPr>
            </w:pPr>
            <w:r>
              <w:rPr>
                <w:rFonts w:hint="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一、价格部分</w:t>
            </w:r>
          </w:p>
        </w:tc>
        <w:tc>
          <w:tcPr>
            <w:tcW w:w="1187" w:type="dxa"/>
            <w:vAlign w:val="center"/>
          </w:tcPr>
          <w:p>
            <w:pPr>
              <w:autoSpaceDE w:val="0"/>
              <w:autoSpaceDN w:val="0"/>
              <w:jc w:val="center"/>
              <w:rPr>
                <w:rFonts w:hint="eastAsia"/>
                <w:b/>
                <w:szCs w:val="21"/>
              </w:rPr>
            </w:pPr>
            <w:r>
              <w:rPr>
                <w:rFonts w:hint="eastAsia"/>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jc w:val="left"/>
              <w:rPr>
                <w:rFonts w:hint="eastAsia"/>
                <w:szCs w:val="21"/>
              </w:rPr>
            </w:pPr>
            <w:r>
              <w:rPr>
                <w:rFonts w:hint="eastAsia"/>
                <w:szCs w:val="21"/>
              </w:rPr>
              <w:t>价格分采用低价优先法计算，即满足招标文件要求且投标价格最低的投标报价为评标基准价，其价格分为满分。其他投标人的价格分统一按照下列公式计算：</w:t>
            </w:r>
          </w:p>
          <w:p>
            <w:pPr>
              <w:jc w:val="left"/>
              <w:rPr>
                <w:rFonts w:hint="eastAsia"/>
                <w:szCs w:val="21"/>
              </w:rPr>
            </w:pPr>
            <w:r>
              <w:rPr>
                <w:rFonts w:hint="eastAsia"/>
                <w:szCs w:val="21"/>
              </w:rPr>
              <w:t>投标报价得分=(评标基准价／投标报价)×30</w:t>
            </w:r>
          </w:p>
          <w:p>
            <w:pPr>
              <w:rPr>
                <w:rFonts w:hint="eastAsia"/>
                <w:szCs w:val="21"/>
              </w:rPr>
            </w:pPr>
            <w:r>
              <w:rPr>
                <w:rFonts w:hint="eastAsia"/>
                <w:snapToGrid w:val="0"/>
                <w:szCs w:val="21"/>
              </w:rPr>
              <w:t>备注：1、因落实政府采购政策进行价格调整的，以调整后的价格计算评标基准价和投标报价</w:t>
            </w:r>
            <w:r>
              <w:rPr>
                <w:rFonts w:hint="eastAsia"/>
                <w:bCs/>
                <w:snapToGrid w:val="0"/>
                <w:szCs w:val="21"/>
              </w:rPr>
              <w:t>；</w:t>
            </w:r>
            <w:r>
              <w:rPr>
                <w:rFonts w:hint="eastAsia"/>
                <w:snapToGrid w:val="0"/>
                <w:szCs w:val="21"/>
              </w:rPr>
              <w:t>2、投标报价得分四舍五入后，小数点后保留两位有效数</w:t>
            </w:r>
            <w:r>
              <w:rPr>
                <w:rFonts w:hint="eastAsia"/>
                <w:szCs w:val="21"/>
              </w:rPr>
              <w:t>。</w:t>
            </w:r>
          </w:p>
        </w:tc>
        <w:tc>
          <w:tcPr>
            <w:tcW w:w="1187" w:type="dxa"/>
            <w:vAlign w:val="center"/>
          </w:tcPr>
          <w:p>
            <w:pPr>
              <w:autoSpaceDE w:val="0"/>
              <w:autoSpaceDN w:val="0"/>
              <w:jc w:val="center"/>
              <w:rPr>
                <w:rFonts w:hint="eastAsia"/>
                <w:szCs w:val="21"/>
              </w:rPr>
            </w:pPr>
            <w:r>
              <w:rPr>
                <w:rFonts w:hint="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jc w:val="center"/>
              <w:rPr>
                <w:rFonts w:hint="eastAsia"/>
                <w:b/>
                <w:szCs w:val="21"/>
              </w:rPr>
            </w:pPr>
            <w:r>
              <w:rPr>
                <w:rFonts w:hint="eastAsia"/>
                <w:b/>
                <w:szCs w:val="21"/>
              </w:rPr>
              <w:t>二、技术部分</w:t>
            </w:r>
          </w:p>
        </w:tc>
        <w:tc>
          <w:tcPr>
            <w:tcW w:w="1187" w:type="dxa"/>
            <w:vAlign w:val="center"/>
          </w:tcPr>
          <w:p>
            <w:pPr>
              <w:autoSpaceDE w:val="0"/>
              <w:autoSpaceDN w:val="0"/>
              <w:jc w:val="center"/>
              <w:rPr>
                <w:rFonts w:hint="eastAsia"/>
                <w:b/>
                <w:szCs w:val="21"/>
              </w:rPr>
            </w:pPr>
            <w:r>
              <w:rPr>
                <w:rFonts w:hint="eastAsia"/>
                <w:b/>
                <w:szCs w:val="21"/>
              </w:rPr>
              <w:t>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技术规格偏离情况</w:t>
            </w:r>
          </w:p>
        </w:tc>
        <w:tc>
          <w:tcPr>
            <w:tcW w:w="709" w:type="dxa"/>
            <w:vAlign w:val="center"/>
          </w:tcPr>
          <w:p>
            <w:pPr>
              <w:jc w:val="center"/>
              <w:rPr>
                <w:rFonts w:hint="eastAsia"/>
                <w:szCs w:val="21"/>
              </w:rPr>
            </w:pPr>
            <w:r>
              <w:rPr>
                <w:rFonts w:hint="eastAsia"/>
                <w:szCs w:val="21"/>
              </w:rPr>
              <w:t>48</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完全满足招标文件技术指标、参数要求，应答完整的得48分；“★”为不可偏离参数；以此为基础，投标人的技术响应低于招标文件中规定的“▲”技术要求每有一项减3.5分；投标人一般技术响应低于招标文件规定的，每有一项减0.7分。本项最低得0分。</w:t>
            </w:r>
          </w:p>
          <w:p>
            <w:pPr>
              <w:jc w:val="left"/>
              <w:rPr>
                <w:rFonts w:hint="eastAsia"/>
                <w:szCs w:val="21"/>
              </w:rPr>
            </w:pPr>
            <w:r>
              <w:rPr>
                <w:rFonts w:hint="eastAsia"/>
                <w:szCs w:val="21"/>
              </w:rPr>
              <w:t>（二）评分依据：</w:t>
            </w:r>
          </w:p>
          <w:p>
            <w:pPr>
              <w:jc w:val="left"/>
              <w:rPr>
                <w:rFonts w:hint="eastAsia"/>
                <w:szCs w:val="21"/>
              </w:rPr>
            </w:pPr>
            <w:r>
              <w:rPr>
                <w:rFonts w:hint="eastAsia"/>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技术保障措施</w:t>
            </w:r>
          </w:p>
        </w:tc>
        <w:tc>
          <w:tcPr>
            <w:tcW w:w="709" w:type="dxa"/>
            <w:vAlign w:val="center"/>
          </w:tcPr>
          <w:p>
            <w:pPr>
              <w:jc w:val="center"/>
              <w:rPr>
                <w:rFonts w:hint="eastAsia"/>
                <w:szCs w:val="21"/>
              </w:rPr>
            </w:pPr>
            <w:r>
              <w:rPr>
                <w:rFonts w:hint="eastAsia"/>
                <w:szCs w:val="21"/>
              </w:rPr>
              <w:t>4</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投标人在投标文件中详细说明技术保障措施，包含以下内容：</w:t>
            </w:r>
          </w:p>
          <w:p>
            <w:pPr>
              <w:jc w:val="left"/>
              <w:rPr>
                <w:rFonts w:hint="eastAsia"/>
                <w:szCs w:val="21"/>
              </w:rPr>
            </w:pPr>
            <w:r>
              <w:rPr>
                <w:rFonts w:hint="eastAsia"/>
                <w:szCs w:val="21"/>
              </w:rPr>
              <w:t>（1）供货方案；</w:t>
            </w:r>
          </w:p>
          <w:p>
            <w:pPr>
              <w:jc w:val="left"/>
              <w:rPr>
                <w:rFonts w:hint="eastAsia"/>
                <w:szCs w:val="21"/>
              </w:rPr>
            </w:pPr>
            <w:r>
              <w:rPr>
                <w:rFonts w:hint="eastAsia"/>
                <w:szCs w:val="21"/>
              </w:rPr>
              <w:t>（2）安装调试方案；</w:t>
            </w:r>
          </w:p>
          <w:p>
            <w:pPr>
              <w:jc w:val="left"/>
              <w:rPr>
                <w:rFonts w:hint="eastAsia"/>
                <w:szCs w:val="21"/>
              </w:rPr>
            </w:pPr>
            <w:r>
              <w:rPr>
                <w:rFonts w:hint="eastAsia"/>
                <w:szCs w:val="21"/>
              </w:rPr>
              <w:t>（3）质量管理措施。</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1.供货方案全面、有针对性的得2分；方案内容简单、笼统，存在较多的不足的得1分；未提供的0分。</w:t>
            </w:r>
          </w:p>
          <w:p>
            <w:pPr>
              <w:jc w:val="left"/>
              <w:rPr>
                <w:rFonts w:hint="eastAsia"/>
                <w:szCs w:val="21"/>
              </w:rPr>
            </w:pPr>
            <w:r>
              <w:rPr>
                <w:rFonts w:hint="eastAsia"/>
                <w:szCs w:val="21"/>
              </w:rPr>
              <w:t>2.安装调试方案全面、有针对性的得1分；方案内容简单、笼统，存在较多的不足的得0.5分；未提供的0分。</w:t>
            </w:r>
          </w:p>
          <w:p>
            <w:pPr>
              <w:jc w:val="left"/>
              <w:rPr>
                <w:rFonts w:hint="eastAsia"/>
                <w:szCs w:val="21"/>
              </w:rPr>
            </w:pPr>
            <w:r>
              <w:rPr>
                <w:rFonts w:hint="eastAsia"/>
                <w:szCs w:val="21"/>
              </w:rPr>
              <w:t>3.质量管理措施切实、有效的得1分；质量管理措施简单、笼统，存在较多的不足的得0.5分；未提供的0分。</w:t>
            </w:r>
          </w:p>
          <w:p>
            <w:pPr>
              <w:jc w:val="left"/>
              <w:rPr>
                <w:rFonts w:hint="eastAsia"/>
                <w:szCs w:val="21"/>
              </w:rPr>
            </w:pPr>
            <w:r>
              <w:rPr>
                <w:rFonts w:hint="eastAsia"/>
                <w:szCs w:val="21"/>
              </w:rPr>
              <w:t>以上3项合计最高4分。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售后服务方案</w:t>
            </w:r>
          </w:p>
        </w:tc>
        <w:tc>
          <w:tcPr>
            <w:tcW w:w="709" w:type="dxa"/>
            <w:vAlign w:val="center"/>
          </w:tcPr>
          <w:p>
            <w:pPr>
              <w:jc w:val="center"/>
              <w:rPr>
                <w:rFonts w:hint="eastAsia"/>
                <w:szCs w:val="21"/>
              </w:rPr>
            </w:pPr>
            <w:r>
              <w:rPr>
                <w:rFonts w:hint="eastAsia"/>
                <w:szCs w:val="21"/>
              </w:rPr>
              <w:t>6</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投标人提供售后服务方案，包含以下内容：</w:t>
            </w:r>
          </w:p>
          <w:p>
            <w:pPr>
              <w:jc w:val="left"/>
              <w:rPr>
                <w:rFonts w:hint="eastAsia"/>
                <w:szCs w:val="21"/>
              </w:rPr>
            </w:pPr>
            <w:r>
              <w:rPr>
                <w:rFonts w:hint="eastAsia"/>
                <w:szCs w:val="21"/>
              </w:rPr>
              <w:t>（1）售后服务机构及维护人员配置；</w:t>
            </w:r>
          </w:p>
          <w:p>
            <w:pPr>
              <w:jc w:val="left"/>
              <w:rPr>
                <w:rFonts w:hint="eastAsia"/>
                <w:szCs w:val="21"/>
              </w:rPr>
            </w:pPr>
            <w:r>
              <w:rPr>
                <w:rFonts w:hint="eastAsia"/>
                <w:szCs w:val="21"/>
              </w:rPr>
              <w:t>（2）维修维护方案；</w:t>
            </w:r>
          </w:p>
          <w:p>
            <w:pPr>
              <w:jc w:val="left"/>
              <w:rPr>
                <w:rFonts w:hint="eastAsia"/>
                <w:szCs w:val="21"/>
              </w:rPr>
            </w:pPr>
            <w:r>
              <w:rPr>
                <w:rFonts w:hint="eastAsia"/>
                <w:szCs w:val="21"/>
              </w:rPr>
              <w:t>（3）技术培训方案；</w:t>
            </w:r>
          </w:p>
          <w:p>
            <w:pPr>
              <w:jc w:val="left"/>
              <w:rPr>
                <w:rFonts w:hint="eastAsia"/>
                <w:szCs w:val="21"/>
              </w:rPr>
            </w:pPr>
            <w:r>
              <w:rPr>
                <w:rFonts w:hint="eastAsia"/>
                <w:szCs w:val="21"/>
              </w:rPr>
              <w:t>（4）备品备件支持计划。</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售后服务机构便捷，售后维护人员配置完整、经验丰富的得1.5分；售后服务机构较便捷，售后维护人员配置较完整、经验较丰富的得1分；售后服务机构不便捷，售后维护人员配置不完整、经验欠缺的得0.5分；未提供的0分；</w:t>
            </w:r>
          </w:p>
          <w:p>
            <w:pPr>
              <w:jc w:val="left"/>
              <w:rPr>
                <w:rFonts w:hint="eastAsia"/>
                <w:szCs w:val="21"/>
              </w:rPr>
            </w:pPr>
            <w:r>
              <w:rPr>
                <w:rFonts w:hint="eastAsia"/>
                <w:szCs w:val="21"/>
              </w:rPr>
              <w:t xml:space="preserve">2.维修维护方案完善、操作性强、符合项目实际的得1.5分；维修维护方案较完善、操作性较强、较符合项目实际的得1分；维修维护方案笼统、存在不足的得0.5分；未提供维修保养方案的得0分； </w:t>
            </w:r>
          </w:p>
          <w:p>
            <w:pPr>
              <w:jc w:val="left"/>
              <w:rPr>
                <w:rFonts w:hint="eastAsia"/>
                <w:szCs w:val="21"/>
              </w:rPr>
            </w:pPr>
            <w:r>
              <w:rPr>
                <w:rFonts w:hint="eastAsia"/>
                <w:szCs w:val="21"/>
              </w:rPr>
              <w:t>3.培训内容完善、培训计划周全、安排合理的得1.5分；培训内容较完善、培训计划笼统的得1分：培训方案笼统、与本项目内容有偏差的得0.5分；未提供培训计划的得0分；</w:t>
            </w:r>
          </w:p>
          <w:p>
            <w:pPr>
              <w:jc w:val="left"/>
              <w:rPr>
                <w:rFonts w:hint="eastAsia"/>
                <w:szCs w:val="21"/>
              </w:rPr>
            </w:pPr>
            <w:r>
              <w:rPr>
                <w:rFonts w:hint="eastAsia"/>
                <w:szCs w:val="21"/>
              </w:rPr>
              <w:t>4.响应速度快、备品备件齐全的得1.5分；响应速度较快、备品备件较齐全的得1分；响应速度慢、备品备件不够齐全的得 0.5分：未提供的不得分。</w:t>
            </w:r>
          </w:p>
          <w:p>
            <w:pPr>
              <w:jc w:val="left"/>
              <w:rPr>
                <w:rFonts w:hint="eastAsia"/>
                <w:szCs w:val="21"/>
              </w:rPr>
            </w:pPr>
            <w:r>
              <w:rPr>
                <w:rFonts w:hint="eastAsia"/>
                <w:szCs w:val="21"/>
              </w:rPr>
              <w:t>以上4项合计最高6分。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jc w:val="center"/>
              <w:rPr>
                <w:rFonts w:hint="eastAsia"/>
                <w:b/>
                <w:bCs/>
                <w:szCs w:val="21"/>
              </w:rPr>
            </w:pPr>
            <w:r>
              <w:rPr>
                <w:rFonts w:hint="eastAsia"/>
                <w:b/>
                <w:bCs/>
                <w:szCs w:val="21"/>
              </w:rPr>
              <w:t>三、商务部分</w:t>
            </w:r>
          </w:p>
        </w:tc>
        <w:tc>
          <w:tcPr>
            <w:tcW w:w="1187" w:type="dxa"/>
            <w:vAlign w:val="center"/>
          </w:tcPr>
          <w:p>
            <w:pPr>
              <w:autoSpaceDE w:val="0"/>
              <w:autoSpaceDN w:val="0"/>
              <w:jc w:val="center"/>
              <w:rPr>
                <w:rFonts w:hint="eastAsia"/>
                <w:b/>
                <w:bCs/>
                <w:szCs w:val="21"/>
              </w:rPr>
            </w:pPr>
            <w:r>
              <w:rPr>
                <w:rFonts w:hint="eastAsia"/>
                <w:b/>
                <w:bCs/>
                <w:szCs w:val="21"/>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商务需求条款偏离情况</w:t>
            </w:r>
          </w:p>
        </w:tc>
        <w:tc>
          <w:tcPr>
            <w:tcW w:w="709" w:type="dxa"/>
            <w:vAlign w:val="center"/>
          </w:tcPr>
          <w:p>
            <w:pPr>
              <w:jc w:val="center"/>
              <w:rPr>
                <w:rFonts w:hint="eastAsia"/>
                <w:szCs w:val="21"/>
              </w:rPr>
            </w:pPr>
            <w:r>
              <w:rPr>
                <w:rFonts w:hint="eastAsia"/>
                <w:szCs w:val="21"/>
              </w:rPr>
              <w:t>4</w:t>
            </w:r>
          </w:p>
        </w:tc>
        <w:tc>
          <w:tcPr>
            <w:tcW w:w="5953" w:type="dxa"/>
            <w:vAlign w:val="center"/>
          </w:tcPr>
          <w:p>
            <w:pPr>
              <w:autoSpaceDE w:val="0"/>
              <w:autoSpaceDN w:val="0"/>
              <w:jc w:val="left"/>
              <w:rPr>
                <w:rFonts w:hint="eastAsia"/>
                <w:szCs w:val="21"/>
              </w:rPr>
            </w:pPr>
            <w:r>
              <w:rPr>
                <w:rFonts w:hint="eastAsia"/>
                <w:szCs w:val="21"/>
              </w:rPr>
              <w:t>投标人应如实填写《商务条款偏离表》，评审委员会根据服务条款响应情况进行评审：</w:t>
            </w:r>
          </w:p>
          <w:p>
            <w:pPr>
              <w:jc w:val="left"/>
              <w:rPr>
                <w:rFonts w:hint="eastAsia"/>
                <w:szCs w:val="21"/>
              </w:rPr>
            </w:pPr>
            <w:r>
              <w:rPr>
                <w:rFonts w:hint="eastAsia"/>
                <w:szCs w:val="21"/>
              </w:rPr>
              <w:t>完全满足招标文件商务要求，应答完整的得4分；“★”为不可偏离条款；以此为基础，投标人一般商务响应低于招标文件规定的，每有一项减4分。本项最低得0分。</w:t>
            </w:r>
          </w:p>
          <w:p>
            <w:pPr>
              <w:autoSpaceDE w:val="0"/>
              <w:autoSpaceDN w:val="0"/>
              <w:jc w:val="left"/>
              <w:rPr>
                <w:rFonts w:hint="eastAsia"/>
                <w:szCs w:val="21"/>
              </w:rPr>
            </w:pPr>
            <w:r>
              <w:rPr>
                <w:rFonts w:hint="eastAsia"/>
                <w:szCs w:val="21"/>
              </w:rPr>
              <w:t>商务要求中包含子项条款的，按子项条款响应情况逐项评分。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同类项目业绩情况</w:t>
            </w:r>
          </w:p>
        </w:tc>
        <w:tc>
          <w:tcPr>
            <w:tcW w:w="709" w:type="dxa"/>
            <w:vAlign w:val="center"/>
          </w:tcPr>
          <w:p>
            <w:pPr>
              <w:jc w:val="center"/>
              <w:rPr>
                <w:rFonts w:hint="eastAsia"/>
                <w:szCs w:val="21"/>
              </w:rPr>
            </w:pPr>
            <w:r>
              <w:rPr>
                <w:rFonts w:hint="eastAsia"/>
                <w:szCs w:val="21"/>
              </w:rPr>
              <w:t>5</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rPr>
                <w:rFonts w:hint="eastAsia"/>
                <w:szCs w:val="21"/>
              </w:rPr>
            </w:pPr>
            <w:r>
              <w:rPr>
                <w:rFonts w:hint="eastAsia"/>
                <w:szCs w:val="21"/>
              </w:rPr>
              <w:t>自2021年10月1日至本项目投标截止日，（以合同签订日期为准）投标人具有</w:t>
            </w:r>
            <w:r>
              <w:rPr>
                <w:rFonts w:hint="eastAsia"/>
              </w:rPr>
              <w:t>超高效液相色谱-三重四级杆质谱仪</w:t>
            </w:r>
            <w:r>
              <w:rPr>
                <w:rFonts w:hint="eastAsia"/>
                <w:szCs w:val="21"/>
              </w:rPr>
              <w:t>产品销售业绩的，每提供1个项目得1分，最高得5分。</w:t>
            </w:r>
          </w:p>
          <w:p>
            <w:pPr>
              <w:autoSpaceDE w:val="0"/>
              <w:autoSpaceDN w:val="0"/>
              <w:jc w:val="left"/>
              <w:rPr>
                <w:rFonts w:hint="eastAsia"/>
                <w:szCs w:val="21"/>
              </w:rPr>
            </w:pPr>
            <w:r>
              <w:rPr>
                <w:rFonts w:hint="eastAsia"/>
                <w:szCs w:val="21"/>
              </w:rPr>
              <w:t>（二）评分依据：</w:t>
            </w:r>
          </w:p>
          <w:p>
            <w:pPr>
              <w:rPr>
                <w:rFonts w:hint="eastAsia"/>
                <w:szCs w:val="21"/>
              </w:rPr>
            </w:pPr>
            <w:r>
              <w:rPr>
                <w:rFonts w:hint="eastAsia"/>
                <w:szCs w:val="21"/>
              </w:rPr>
              <w:t>1. 提供合同关键页且各项信息不得有任何遮挡；</w:t>
            </w:r>
          </w:p>
          <w:p>
            <w:pPr>
              <w:rPr>
                <w:rFonts w:hint="eastAsia"/>
                <w:szCs w:val="21"/>
              </w:rPr>
            </w:pPr>
            <w:r>
              <w:rPr>
                <w:rFonts w:hint="eastAsia"/>
                <w:szCs w:val="21"/>
              </w:rPr>
              <w:t>2. 以上证明文件均提供复印件或扫描件加盖投标人公章，原件备查。未按要求提供有效证明材料或提供不清晰导致评委无法识别的不计得分。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相关认证情况</w:t>
            </w:r>
          </w:p>
        </w:tc>
        <w:tc>
          <w:tcPr>
            <w:tcW w:w="709" w:type="dxa"/>
            <w:vAlign w:val="center"/>
          </w:tcPr>
          <w:p>
            <w:pPr>
              <w:jc w:val="center"/>
              <w:rPr>
                <w:rFonts w:hint="eastAsia"/>
                <w:szCs w:val="21"/>
              </w:rPr>
            </w:pPr>
            <w:r>
              <w:rPr>
                <w:rFonts w:hint="eastAsia"/>
                <w:szCs w:val="21"/>
              </w:rPr>
              <w:t>3</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autoSpaceDE w:val="0"/>
              <w:autoSpaceDN w:val="0"/>
              <w:jc w:val="left"/>
              <w:rPr>
                <w:rFonts w:hint="eastAsia"/>
                <w:szCs w:val="21"/>
              </w:rPr>
            </w:pPr>
            <w:r>
              <w:rPr>
                <w:rFonts w:hint="eastAsia"/>
                <w:szCs w:val="21"/>
              </w:rPr>
              <w:t>所投产品生产厂家具有质量管理体系认证证书、环境管理体系认证证书、职业健康安全管理体系认证证书，每提供1个有效认证证书得1分，最高得3分。</w:t>
            </w:r>
          </w:p>
          <w:p>
            <w:pPr>
              <w:autoSpaceDE w:val="0"/>
              <w:autoSpaceDN w:val="0"/>
              <w:jc w:val="left"/>
              <w:rPr>
                <w:rFonts w:hint="eastAsia"/>
                <w:szCs w:val="21"/>
              </w:rPr>
            </w:pPr>
            <w:r>
              <w:rPr>
                <w:rFonts w:hint="eastAsia"/>
                <w:szCs w:val="21"/>
              </w:rPr>
              <w:t>（二）评分依据：</w:t>
            </w:r>
          </w:p>
          <w:p>
            <w:pPr>
              <w:autoSpaceDE w:val="0"/>
              <w:autoSpaceDN w:val="0"/>
              <w:jc w:val="left"/>
              <w:rPr>
                <w:rFonts w:hint="eastAsia"/>
                <w:szCs w:val="21"/>
              </w:rPr>
            </w:pPr>
            <w:r>
              <w:rPr>
                <w:rFonts w:hint="eastAsia"/>
                <w:szCs w:val="21"/>
              </w:rPr>
              <w:t>1. 提供有效认证证书（如认证证书注明年审要求的，必须按规定年审且证书在有效期内的方为有效；如未注明年审要求的，证书必须在有效期内的方为有效）；</w:t>
            </w:r>
          </w:p>
          <w:p>
            <w:pPr>
              <w:autoSpaceDE w:val="0"/>
              <w:autoSpaceDN w:val="0"/>
              <w:jc w:val="left"/>
              <w:rPr>
                <w:rFonts w:hint="eastAsia"/>
                <w:szCs w:val="21"/>
              </w:rPr>
            </w:pPr>
            <w:r>
              <w:rPr>
                <w:rFonts w:hint="eastAsia"/>
                <w:szCs w:val="21"/>
              </w:rPr>
              <w:t>2. 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pPr>
              <w:rPr>
                <w:rFonts w:hint="eastAsia"/>
                <w:szCs w:val="21"/>
              </w:rPr>
            </w:pPr>
            <w:r>
              <w:rPr>
                <w:rFonts w:hint="eastAsia"/>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bl>
    <w:p>
      <w:pPr>
        <w:tabs>
          <w:tab w:val="clear" w:pos="426"/>
        </w:tabs>
        <w:spacing w:line="240" w:lineRule="auto"/>
        <w:rPr>
          <w:rFonts w:hint="eastAsia"/>
        </w:rPr>
      </w:pPr>
      <w:r>
        <w:rPr>
          <w:rFonts w:hint="eastAsia"/>
        </w:rPr>
        <w:t>备注：</w:t>
      </w:r>
    </w:p>
    <w:p>
      <w:pPr>
        <w:tabs>
          <w:tab w:val="clear" w:pos="426"/>
        </w:tabs>
        <w:spacing w:line="240" w:lineRule="auto"/>
        <w:ind w:firstLine="420" w:firstLineChars="200"/>
        <w:rPr>
          <w:rFonts w:hint="eastAsia"/>
        </w:rPr>
      </w:pPr>
      <w:r>
        <w:rPr>
          <w:rFonts w:hint="eastAsia"/>
        </w:rPr>
        <w:t>1. 缺项则该项为0分或不合格为0分。</w:t>
      </w:r>
    </w:p>
    <w:p>
      <w:pPr>
        <w:tabs>
          <w:tab w:val="clear" w:pos="426"/>
        </w:tabs>
        <w:spacing w:line="240" w:lineRule="auto"/>
        <w:ind w:firstLine="420" w:firstLineChars="200"/>
        <w:rPr>
          <w:rFonts w:hint="eastAsia"/>
        </w:rPr>
      </w:pPr>
      <w:r>
        <w:rPr>
          <w:rFonts w:hint="eastAsia"/>
        </w:rPr>
        <w:t>2.</w:t>
      </w:r>
      <w:r>
        <w:t xml:space="preserve"> 价格、技术、商务部分为针对项目具体情况设置项目，累加满分为100分，固定额外加分部分为固定设置项，对涉及政策导向优先采购产品进行额外加分</w:t>
      </w:r>
      <w:r>
        <w:rPr>
          <w:rFonts w:hint="eastAsia"/>
        </w:rPr>
        <w:t>。</w:t>
      </w:r>
    </w:p>
    <w:p>
      <w:pPr>
        <w:tabs>
          <w:tab w:val="clear" w:pos="426"/>
        </w:tabs>
        <w:spacing w:line="240" w:lineRule="auto"/>
        <w:ind w:firstLine="420" w:firstLineChars="200"/>
        <w:rPr>
          <w:rFonts w:hint="eastAsia"/>
        </w:rPr>
      </w:pPr>
      <w:r>
        <w:rPr>
          <w:rFonts w:hint="eastAsia"/>
        </w:rPr>
        <w:t>3. 综合以上分析比较，评委会将对各投标文件进行书面的量化评定，得分</w:t>
      </w:r>
      <w:r>
        <w:t>精确到小数点后两位</w:t>
      </w:r>
      <w:r>
        <w:rPr>
          <w:rFonts w:hint="eastAsia"/>
        </w:rPr>
        <w:t>。</w:t>
      </w:r>
    </w:p>
    <w:p>
      <w:pPr>
        <w:tabs>
          <w:tab w:val="clear" w:pos="426"/>
        </w:tabs>
        <w:spacing w:line="240" w:lineRule="auto"/>
        <w:ind w:firstLine="420" w:firstLineChars="200"/>
        <w:rPr>
          <w:rFonts w:hint="eastAsia"/>
        </w:rPr>
      </w:pPr>
      <w:r>
        <w:rPr>
          <w:rFonts w:hint="eastAsia"/>
        </w:rPr>
        <w:t>4. 客观评分项，所有评审专家应当统一打分分值；主观评分项，评审专家应当按照打分标准独立打分。</w:t>
      </w:r>
    </w:p>
    <w:p>
      <w:pPr>
        <w:rPr>
          <w:rFonts w:hint="eastAsia"/>
        </w:rPr>
      </w:pPr>
    </w:p>
    <w:p>
      <w:pPr>
        <w:rPr>
          <w:rFonts w:hint="eastAsia"/>
        </w:rPr>
      </w:pPr>
    </w:p>
    <w:p>
      <w:pPr>
        <w:rPr>
          <w:rFonts w:hint="eastAsia"/>
        </w:rPr>
      </w:pPr>
      <w:r>
        <w:rPr>
          <w:rFonts w:hint="eastAsia"/>
        </w:rPr>
        <w:br w:type="page"/>
      </w:r>
    </w:p>
    <w:p>
      <w:pPr>
        <w:pStyle w:val="62"/>
      </w:pPr>
      <w:bookmarkStart w:id="66" w:name="_Toc26041"/>
      <w:r>
        <w:rPr>
          <w:rFonts w:hint="eastAsia"/>
        </w:rPr>
        <w:t>前附表（四）</w:t>
      </w:r>
      <w:bookmarkEnd w:id="66"/>
    </w:p>
    <w:p>
      <w:pPr>
        <w:adjustRightInd/>
        <w:snapToGrid/>
        <w:spacing w:before="280" w:after="290" w:line="377" w:lineRule="auto"/>
        <w:jc w:val="left"/>
        <w:outlineLvl w:val="2"/>
        <w:rPr>
          <w:rFonts w:hint="eastAsia"/>
          <w:b/>
          <w:sz w:val="24"/>
        </w:rPr>
      </w:pPr>
      <w:bookmarkStart w:id="67" w:name="_Toc12567"/>
      <w:r>
        <w:rPr>
          <w:rFonts w:hint="eastAsia"/>
          <w:b/>
          <w:sz w:val="24"/>
        </w:rPr>
        <w:t>1.资格审查</w:t>
      </w:r>
      <w:bookmarkEnd w:id="67"/>
    </w:p>
    <w:p>
      <w:pPr>
        <w:tabs>
          <w:tab w:val="clear" w:pos="426"/>
        </w:tabs>
        <w:spacing w:line="300" w:lineRule="auto"/>
        <w:ind w:firstLine="420" w:firstLineChars="200"/>
        <w:rPr>
          <w:rFonts w:hint="eastAsia"/>
        </w:rPr>
      </w:pPr>
      <w:r>
        <w:rPr>
          <w:rFonts w:hint="eastAsia"/>
        </w:rPr>
        <w:t>依据法律法规和招标文件的规定，对投标文件中的资格证明等进行审查，以确定投标供应商是否具备投标资格。审查内容请详见“前附表（一）资格审查表”。投标供应商若有一条审查不通过则按无效标处理。评标委员会对投标单位打√为通过审查，打×为未通过审查。</w:t>
      </w:r>
    </w:p>
    <w:p>
      <w:pPr>
        <w:adjustRightInd/>
        <w:snapToGrid/>
        <w:spacing w:before="280" w:after="290" w:line="377" w:lineRule="auto"/>
        <w:jc w:val="left"/>
        <w:outlineLvl w:val="2"/>
        <w:rPr>
          <w:rFonts w:hint="eastAsia"/>
          <w:b/>
          <w:sz w:val="24"/>
        </w:rPr>
      </w:pPr>
      <w:bookmarkStart w:id="68" w:name="_Toc1724"/>
      <w:r>
        <w:rPr>
          <w:rFonts w:hint="eastAsia"/>
          <w:b/>
          <w:sz w:val="24"/>
        </w:rPr>
        <w:t>2.评标方法</w:t>
      </w:r>
      <w:bookmarkEnd w:id="68"/>
    </w:p>
    <w:p>
      <w:pPr>
        <w:tabs>
          <w:tab w:val="clear" w:pos="426"/>
        </w:tabs>
        <w:spacing w:line="300" w:lineRule="auto"/>
        <w:ind w:firstLine="420" w:firstLineChars="200"/>
        <w:rPr>
          <w:rFonts w:hint="eastAsia"/>
        </w:rPr>
      </w:pPr>
      <w:r>
        <w:rPr>
          <w:rFonts w:hint="eastAsia"/>
        </w:rPr>
        <w:t>2.1本项目评标方法为：综合评分法</w:t>
      </w:r>
    </w:p>
    <w:p>
      <w:pPr>
        <w:tabs>
          <w:tab w:val="clear" w:pos="426"/>
        </w:tabs>
        <w:spacing w:line="300" w:lineRule="auto"/>
        <w:ind w:firstLine="420" w:firstLineChars="200"/>
        <w:rPr>
          <w:rFonts w:hint="eastAsia"/>
        </w:rPr>
      </w:pPr>
      <w:r>
        <w:rPr>
          <w:rFonts w:hint="eastAsia"/>
        </w:rPr>
        <w:t>中标人数量为：1家；中标候选人数量为：3家。</w:t>
      </w:r>
    </w:p>
    <w:p>
      <w:pPr>
        <w:tabs>
          <w:tab w:val="clear" w:pos="426"/>
        </w:tabs>
        <w:spacing w:line="300" w:lineRule="auto"/>
        <w:ind w:firstLine="420" w:firstLineChars="200"/>
        <w:rPr>
          <w:rFonts w:hint="eastAsia"/>
        </w:rPr>
      </w:pPr>
      <w:r>
        <w:rPr>
          <w:rFonts w:hint="eastAsia"/>
        </w:rPr>
        <w:t>综合评分法，是指投标文件满足招标文件全部实质性要求，且按照评审因素的量化指标评审得分最高的投标人为候选中标人的评标方法。</w:t>
      </w:r>
    </w:p>
    <w:p>
      <w:pPr>
        <w:tabs>
          <w:tab w:val="clear" w:pos="426"/>
        </w:tabs>
        <w:spacing w:line="300" w:lineRule="auto"/>
        <w:ind w:firstLine="420" w:firstLineChars="200"/>
        <w:rPr>
          <w:rFonts w:hint="eastAsia"/>
        </w:rPr>
      </w:pPr>
      <w:r>
        <w:rPr>
          <w:rFonts w:hint="eastAsia"/>
        </w:rPr>
        <w:t>2.2中标人放弃中标资格或者中标人的中标资格被依法确认无效的，将重新组织采购。因情况紧急，重新组织采购不能满足采购人要求的，采购人可以确定备选中标人为替补中标人。采购人确定备选中标人为替补中标人的，代理机构将替补中标人的情况予以公示，公示无异议的，确定新的中标人；公示有异议且异议成立的将重新组织采购。替补中标人放弃中标资格或者中标资格被依法确认无效的，将重新组织采购。</w:t>
      </w:r>
    </w:p>
    <w:p>
      <w:pPr>
        <w:tabs>
          <w:tab w:val="clear" w:pos="426"/>
        </w:tabs>
        <w:spacing w:line="300" w:lineRule="auto"/>
        <w:ind w:firstLine="420" w:firstLineChars="200"/>
        <w:rPr>
          <w:rFonts w:hint="eastAsia"/>
        </w:rPr>
      </w:pPr>
      <w:r>
        <w:rPr>
          <w:rFonts w:hint="eastAsia"/>
        </w:rPr>
        <w:t>2.3价格分计算方法</w:t>
      </w:r>
    </w:p>
    <w:p>
      <w:pPr>
        <w:tabs>
          <w:tab w:val="clear" w:pos="426"/>
        </w:tabs>
        <w:spacing w:line="300" w:lineRule="auto"/>
        <w:ind w:firstLine="420" w:firstLineChars="200"/>
        <w:rPr>
          <w:rFonts w:hint="eastAsia"/>
        </w:rPr>
      </w:pPr>
      <w:r>
        <w:rPr>
          <w:rFonts w:hint="eastAsia"/>
        </w:rPr>
        <w:t>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rFonts w:hint="eastAsia"/>
        </w:rPr>
      </w:pPr>
      <w:r>
        <w:rPr>
          <w:rFonts w:hint="eastAsia"/>
        </w:rPr>
        <w:t>投标报价得分=(评标基准价／投标报价)×30</w:t>
      </w:r>
    </w:p>
    <w:p>
      <w:pPr>
        <w:tabs>
          <w:tab w:val="clear" w:pos="426"/>
        </w:tabs>
        <w:spacing w:line="300" w:lineRule="auto"/>
        <w:ind w:firstLine="420" w:firstLineChars="200"/>
        <w:rPr>
          <w:rFonts w:hint="eastAsia"/>
        </w:rPr>
      </w:pPr>
      <w:r>
        <w:rPr>
          <w:rFonts w:hint="eastAsia"/>
        </w:rPr>
        <w:t>2.4评标优惠政策</w:t>
      </w:r>
    </w:p>
    <w:p>
      <w:pPr>
        <w:tabs>
          <w:tab w:val="clear" w:pos="426"/>
        </w:tabs>
        <w:spacing w:line="300" w:lineRule="auto"/>
        <w:ind w:firstLine="422" w:firstLineChars="200"/>
        <w:rPr>
          <w:rFonts w:hint="eastAsia"/>
          <w:b/>
          <w:bCs/>
          <w:szCs w:val="21"/>
        </w:rPr>
      </w:pPr>
      <w:r>
        <w:rPr>
          <w:rFonts w:hint="eastAsia"/>
          <w:b/>
          <w:bCs/>
        </w:rPr>
        <w:t>本项目采购标的对应</w:t>
      </w:r>
      <w:r>
        <w:rPr>
          <w:rFonts w:hint="eastAsia"/>
          <w:b/>
          <w:bCs/>
          <w:szCs w:val="21"/>
        </w:rPr>
        <w:t>的中小企业划分标准所属行业为</w:t>
      </w:r>
      <w:r>
        <w:rPr>
          <w:rFonts w:hint="eastAsia"/>
          <w:b/>
          <w:bCs/>
          <w:szCs w:val="21"/>
          <w:u w:val="single"/>
        </w:rPr>
        <w:t>工业</w:t>
      </w:r>
      <w:r>
        <w:rPr>
          <w:rFonts w:hint="eastAsia"/>
          <w:b/>
          <w:bCs/>
          <w:szCs w:val="21"/>
        </w:rPr>
        <w:t>。</w:t>
      </w:r>
    </w:p>
    <w:p>
      <w:pPr>
        <w:tabs>
          <w:tab w:val="clear" w:pos="426"/>
        </w:tabs>
        <w:spacing w:line="300" w:lineRule="auto"/>
        <w:ind w:firstLine="420" w:firstLineChars="200"/>
        <w:rPr>
          <w:rFonts w:hint="eastAsia"/>
          <w:szCs w:val="21"/>
        </w:rPr>
      </w:pPr>
      <w:r>
        <w:t>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w:t>
      </w:r>
      <w:r>
        <w:rPr>
          <w:b/>
          <w:bCs/>
        </w:rPr>
        <w:t>扣除</w:t>
      </w:r>
      <w:r>
        <w:rPr>
          <w:rFonts w:hint="eastAsia"/>
          <w:b/>
          <w:bCs/>
          <w:u w:val="single"/>
        </w:rPr>
        <w:t>10</w:t>
      </w:r>
      <w:r>
        <w:rPr>
          <w:b/>
          <w:bCs/>
          <w:u w:val="single"/>
        </w:rPr>
        <w:t>%</w:t>
      </w:r>
      <w:r>
        <w:t>后参与评审。对于同时属于小微企业、监狱</w:t>
      </w:r>
      <w:r>
        <w:rPr>
          <w:szCs w:val="21"/>
        </w:rPr>
        <w:t>企业或残疾人福利性</w:t>
      </w:r>
      <w:r>
        <w:rPr>
          <w:rFonts w:hint="eastAsia"/>
          <w:szCs w:val="21"/>
        </w:rPr>
        <w:t>单位的，不重复进行投标报价扣除。如有其它政策支持因素（如鼓励创新等）需一并列出。</w:t>
      </w:r>
    </w:p>
    <w:p>
      <w:pPr>
        <w:tabs>
          <w:tab w:val="clear" w:pos="426"/>
        </w:tabs>
        <w:spacing w:line="300" w:lineRule="auto"/>
        <w:ind w:firstLine="420" w:firstLineChars="200"/>
        <w:rPr>
          <w:rFonts w:hint="eastAsia"/>
          <w:szCs w:val="21"/>
        </w:rPr>
      </w:pPr>
      <w:r>
        <w:rPr>
          <w:rFonts w:hint="eastAsia"/>
          <w:szCs w:val="21"/>
        </w:rPr>
        <w:t>2.5</w:t>
      </w:r>
      <w:r>
        <w:rPr>
          <w:szCs w:val="21"/>
        </w:rPr>
        <w:t>其他需要落实的政府采购政策</w:t>
      </w:r>
    </w:p>
    <w:p>
      <w:pPr>
        <w:tabs>
          <w:tab w:val="clear" w:pos="426"/>
        </w:tabs>
        <w:spacing w:line="300" w:lineRule="auto"/>
        <w:ind w:firstLine="420" w:firstLineChars="200"/>
        <w:rPr>
          <w:rFonts w:hint="eastAsia"/>
          <w:szCs w:val="21"/>
        </w:rPr>
      </w:pPr>
      <w:r>
        <w:rPr>
          <w:szCs w:val="21"/>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tabs>
          <w:tab w:val="clear" w:pos="426"/>
        </w:tabs>
        <w:spacing w:line="300" w:lineRule="auto"/>
        <w:ind w:firstLine="420" w:firstLineChars="200"/>
        <w:rPr>
          <w:rFonts w:hint="eastAsia"/>
          <w:szCs w:val="21"/>
        </w:rPr>
      </w:pPr>
      <w:r>
        <w:rPr>
          <w:szCs w:val="21"/>
        </w:rPr>
        <w:t>根据财政部《关于在政府采购活动中查询及使用信用记录有关问题的通知》（财库〔2016〕125号），供应商信用信息的查询渠道为“信用中国（https：//www.creditchina.gov.cn/）”中的“信用服务”栏的“重大税收违法案件当事人名单”“失信被执行人”、“中国政府采购网（http：//www.ccgp.gov.cn/）” 中的“政府采购严重违法失信行为记录名单”，相关信息以开标当日的查询结果为准。</w:t>
      </w:r>
    </w:p>
    <w:p>
      <w:pPr>
        <w:tabs>
          <w:tab w:val="clear" w:pos="426"/>
        </w:tabs>
        <w:spacing w:line="300" w:lineRule="auto"/>
        <w:ind w:firstLine="420" w:firstLineChars="200"/>
        <w:rPr>
          <w:rFonts w:hint="eastAsia"/>
          <w:szCs w:val="21"/>
        </w:rPr>
      </w:pPr>
      <w:r>
        <w:rPr>
          <w:rFonts w:hint="eastAsia"/>
          <w:szCs w:val="21"/>
        </w:rPr>
        <w:t>2.6</w:t>
      </w:r>
      <w:r>
        <w:rPr>
          <w:szCs w:val="21"/>
        </w:rPr>
        <w:t>评标专家应对通过投标文件初审进入评标程序的投标文件先评技术标、再评商务标；</w:t>
      </w:r>
    </w:p>
    <w:p>
      <w:pPr>
        <w:tabs>
          <w:tab w:val="clear" w:pos="426"/>
        </w:tabs>
        <w:spacing w:line="300" w:lineRule="auto"/>
        <w:ind w:firstLine="420" w:firstLineChars="200"/>
        <w:rPr>
          <w:rFonts w:hint="eastAsia"/>
          <w:szCs w:val="21"/>
        </w:rPr>
      </w:pPr>
      <w:r>
        <w:rPr>
          <w:rFonts w:hint="eastAsia"/>
          <w:szCs w:val="21"/>
        </w:rPr>
        <w:t>2.7</w:t>
      </w:r>
      <w:r>
        <w:rPr>
          <w:szCs w:val="21"/>
        </w:rPr>
        <w:t>评标专家需按招标文件规定的评审标准对投标</w:t>
      </w:r>
      <w:r>
        <w:rPr>
          <w:rFonts w:hint="eastAsia"/>
          <w:szCs w:val="21"/>
        </w:rPr>
        <w:t>供应商</w:t>
      </w:r>
      <w:r>
        <w:rPr>
          <w:szCs w:val="21"/>
        </w:rPr>
        <w:t>提交的投标文件进行评审，投标文件中与评审标准无关的内容不作为评审内容</w:t>
      </w:r>
      <w:r>
        <w:rPr>
          <w:rFonts w:hint="eastAsia"/>
          <w:szCs w:val="21"/>
        </w:rPr>
        <w:t>。</w:t>
      </w:r>
    </w:p>
    <w:p>
      <w:pPr>
        <w:tabs>
          <w:tab w:val="clear" w:pos="426"/>
        </w:tabs>
        <w:spacing w:line="300" w:lineRule="auto"/>
        <w:ind w:firstLine="420" w:firstLineChars="200"/>
        <w:rPr>
          <w:rFonts w:hint="eastAsia"/>
        </w:rPr>
      </w:pPr>
      <w:r>
        <w:rPr>
          <w:rFonts w:hint="eastAsia"/>
          <w:szCs w:val="21"/>
        </w:rPr>
        <w:t>2.8评标委员会在评标时，应按照“前附表（三）综合评分法评分因素和权重分值表”量化的评审因素，对各投标文件进行分析和比较。</w:t>
      </w:r>
    </w:p>
    <w:p>
      <w:pPr>
        <w:adjustRightInd/>
        <w:snapToGrid/>
        <w:spacing w:before="280" w:after="290" w:line="377" w:lineRule="auto"/>
        <w:jc w:val="left"/>
        <w:outlineLvl w:val="2"/>
        <w:rPr>
          <w:rFonts w:hint="eastAsia"/>
          <w:b/>
          <w:sz w:val="24"/>
        </w:rPr>
      </w:pPr>
      <w:bookmarkStart w:id="69" w:name="_Toc16831"/>
      <w:r>
        <w:rPr>
          <w:rFonts w:hint="eastAsia"/>
          <w:b/>
          <w:sz w:val="24"/>
        </w:rPr>
        <w:t>3.符合性审查</w:t>
      </w:r>
      <w:bookmarkEnd w:id="69"/>
    </w:p>
    <w:p>
      <w:pPr>
        <w:tabs>
          <w:tab w:val="clear" w:pos="426"/>
        </w:tabs>
        <w:spacing w:line="300" w:lineRule="auto"/>
        <w:ind w:firstLine="420" w:firstLineChars="200"/>
        <w:rPr>
          <w:rFonts w:hint="eastAsia"/>
        </w:rPr>
      </w:pPr>
      <w:r>
        <w:rPr>
          <w:rFonts w:hint="eastAsia"/>
        </w:rPr>
        <w:t>依据招标文件的规定，从投标文件的有效性、完整性和对招标文件的响应程度等进行审查，以确定是否对招标文件的实质性要求作出响应。审查内容请详见“前附表（二）符合性审查表”。投标供应商若有一条审查不通过则按无效标处理。评标委员会对投标单位打√为通过审查，打×为未通过审查。</w:t>
      </w:r>
    </w:p>
    <w:p>
      <w:pPr>
        <w:adjustRightInd/>
        <w:snapToGrid/>
        <w:spacing w:before="280" w:after="290" w:line="377" w:lineRule="auto"/>
        <w:jc w:val="left"/>
        <w:outlineLvl w:val="2"/>
        <w:rPr>
          <w:rFonts w:hint="eastAsia"/>
          <w:b/>
          <w:sz w:val="24"/>
        </w:rPr>
      </w:pPr>
      <w:bookmarkStart w:id="70" w:name="_Toc29518"/>
      <w:r>
        <w:rPr>
          <w:rFonts w:hint="eastAsia"/>
          <w:b/>
          <w:sz w:val="24"/>
        </w:rPr>
        <w:t>4.比较与评价</w:t>
      </w:r>
      <w:bookmarkEnd w:id="70"/>
    </w:p>
    <w:p>
      <w:pPr>
        <w:tabs>
          <w:tab w:val="clear" w:pos="426"/>
        </w:tabs>
        <w:spacing w:line="300" w:lineRule="auto"/>
        <w:ind w:firstLine="420" w:firstLineChars="200"/>
        <w:rPr>
          <w:rFonts w:hint="eastAsia"/>
        </w:rPr>
      </w:pPr>
      <w:r>
        <w:rPr>
          <w:rFonts w:hint="eastAsia"/>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前三名投标人将被推荐为中标候选人，并作出评审结论。经采购人同意后，确定排名第一的中标候选人为中标人。</w:t>
      </w:r>
    </w:p>
    <w:p>
      <w:pPr>
        <w:tabs>
          <w:tab w:val="clear" w:pos="426"/>
        </w:tabs>
        <w:spacing w:line="300" w:lineRule="auto"/>
        <w:ind w:firstLine="420" w:firstLineChars="200"/>
        <w:rPr>
          <w:rFonts w:hint="eastAsia"/>
        </w:rPr>
      </w:pPr>
      <w:r>
        <w:rPr>
          <w:rFonts w:hint="eastAsia"/>
        </w:rPr>
        <w:t>候选中标人按评审后得分由高到低顺序排列；得分相同的，按投标报价由低到高顺序排列；得分且投标报价相同的，按技术指标或服务方案优劣顺序排列。得分且投标报价相同的且技术指标或服务方案优劣相同的，采取随机抽取方式确定候选中标人推荐资格。</w:t>
      </w:r>
    </w:p>
    <w:p>
      <w:pPr>
        <w:tabs>
          <w:tab w:val="clear" w:pos="426"/>
        </w:tabs>
        <w:spacing w:line="300" w:lineRule="auto"/>
        <w:ind w:firstLine="420" w:firstLineChars="200"/>
        <w:rPr>
          <w:rFonts w:hint="eastAsia"/>
        </w:rPr>
      </w:pPr>
      <w:r>
        <w:rPr>
          <w:rFonts w:hint="eastAsia"/>
        </w:rPr>
        <w:t>评标委员会认为投标人的报价明显低于其他通过资格性检查和符合性检查的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pPr>
        <w:adjustRightInd/>
        <w:snapToGrid/>
        <w:spacing w:before="280" w:after="290" w:line="377" w:lineRule="auto"/>
        <w:jc w:val="left"/>
        <w:outlineLvl w:val="2"/>
        <w:rPr>
          <w:rFonts w:hint="eastAsia"/>
          <w:b/>
          <w:sz w:val="24"/>
        </w:rPr>
      </w:pPr>
      <w:bookmarkStart w:id="71" w:name="_Toc13196"/>
      <w:r>
        <w:rPr>
          <w:rFonts w:hint="eastAsia"/>
          <w:b/>
          <w:sz w:val="24"/>
        </w:rPr>
        <w:t>5.编写评标报告</w:t>
      </w:r>
      <w:bookmarkEnd w:id="71"/>
    </w:p>
    <w:p>
      <w:pPr>
        <w:tabs>
          <w:tab w:val="clear" w:pos="426"/>
        </w:tabs>
        <w:spacing w:line="300" w:lineRule="auto"/>
        <w:ind w:firstLine="420" w:firstLineChars="200"/>
        <w:rPr>
          <w:rFonts w:hint="eastAsia"/>
        </w:rPr>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rPr>
          <w:rFonts w:hint="eastAsia"/>
        </w:rPr>
      </w:pPr>
    </w:p>
    <w:p>
      <w:pPr>
        <w:adjustRightInd/>
        <w:snapToGrid/>
        <w:spacing w:before="280" w:after="290" w:line="377" w:lineRule="auto"/>
        <w:jc w:val="left"/>
        <w:outlineLvl w:val="2"/>
        <w:rPr>
          <w:rFonts w:hint="eastAsia"/>
          <w:b/>
          <w:sz w:val="24"/>
        </w:rPr>
      </w:pPr>
      <w:bookmarkStart w:id="72" w:name="_Toc15875"/>
      <w:r>
        <w:rPr>
          <w:rFonts w:hint="eastAsia"/>
          <w:b/>
          <w:sz w:val="24"/>
        </w:rPr>
        <w:t>6.评标委员会对招标失败的论证意见</w:t>
      </w:r>
      <w:bookmarkEnd w:id="72"/>
    </w:p>
    <w:p>
      <w:pPr>
        <w:tabs>
          <w:tab w:val="clear" w:pos="426"/>
        </w:tabs>
        <w:spacing w:line="300" w:lineRule="auto"/>
        <w:ind w:firstLine="422" w:firstLineChars="200"/>
        <w:rPr>
          <w:rFonts w:hint="eastAsia"/>
          <w:b/>
          <w:bCs/>
        </w:rPr>
      </w:pPr>
      <w:r>
        <w:rPr>
          <w:rFonts w:hint="eastAsia"/>
          <w:b/>
          <w:bCs/>
        </w:rPr>
        <w:t>根据《财库〔2012〕69号财政部关于进一步规范政府采购评审工作有关问题的通知》的规定，评审委员会要在采购项目招标失败时，出具招标文件是否存在不合理条款的论证意见，论证意见写进评审报告中。</w:t>
      </w:r>
      <w:bookmarkEnd w:id="64"/>
      <w:bookmarkStart w:id="73" w:name="_Toc432592812"/>
    </w:p>
    <w:bookmarkEnd w:id="73"/>
    <w:p>
      <w:pPr>
        <w:rPr>
          <w:rFonts w:hint="eastAsia"/>
        </w:rPr>
      </w:pPr>
      <w:bookmarkStart w:id="74" w:name="_Toc432592814"/>
      <w:r>
        <w:br w:type="page"/>
      </w:r>
      <w:bookmarkEnd w:id="74"/>
      <w:bookmarkStart w:id="75" w:name="_Toc530152519"/>
      <w:bookmarkStart w:id="76" w:name="_Toc432592816"/>
      <w:bookmarkStart w:id="77" w:name="_Toc398220525"/>
    </w:p>
    <w:bookmarkEnd w:id="75"/>
    <w:p>
      <w:pPr>
        <w:pStyle w:val="62"/>
      </w:pPr>
      <w:bookmarkStart w:id="78" w:name="_Toc7991"/>
      <w:r>
        <w:rPr>
          <w:rFonts w:hint="eastAsia"/>
        </w:rPr>
        <w:t>第五章 合同文本</w:t>
      </w:r>
      <w:bookmarkEnd w:id="78"/>
    </w:p>
    <w:bookmarkEnd w:id="76"/>
    <w:bookmarkEnd w:id="77"/>
    <w:p>
      <w:pPr>
        <w:pStyle w:val="425"/>
        <w:rPr>
          <w:rFonts w:hint="eastAsia" w:hAnsi="宋体"/>
          <w:b/>
          <w:bCs/>
          <w:sz w:val="28"/>
          <w:szCs w:val="28"/>
        </w:rPr>
      </w:pPr>
      <w:bookmarkStart w:id="79" w:name="_Toc432592818"/>
      <w:bookmarkStart w:id="80" w:name="_Toc398220526"/>
      <w:r>
        <w:rPr>
          <w:rFonts w:hint="eastAsia" w:hAnsi="宋体"/>
          <w:b/>
          <w:bCs/>
          <w:sz w:val="28"/>
          <w:szCs w:val="28"/>
        </w:rPr>
        <w:t>本合同实际签订将根据供应商响应情况对合同进行删减调整</w:t>
      </w:r>
    </w:p>
    <w:p>
      <w:pPr>
        <w:pStyle w:val="425"/>
        <w:rPr>
          <w:rFonts w:eastAsia="方正小标宋_GBK"/>
          <w:sz w:val="36"/>
          <w:szCs w:val="36"/>
        </w:rPr>
      </w:pPr>
      <w:r>
        <w:rPr>
          <w:rFonts w:hint="eastAsia" w:eastAsia="方正小标宋_GBK"/>
          <w:sz w:val="36"/>
          <w:szCs w:val="36"/>
        </w:rPr>
        <w:t>深圳海关动植物检验检疫技术中心“超高效液相色谱-三重四极杆质谱仪”设备采购项目</w:t>
      </w:r>
      <w:r>
        <w:rPr>
          <w:rFonts w:eastAsia="方正小标宋_GBK"/>
          <w:sz w:val="36"/>
          <w:szCs w:val="36"/>
        </w:rPr>
        <w:t>合同书</w:t>
      </w:r>
    </w:p>
    <w:p>
      <w:pPr>
        <w:rPr>
          <w:rFonts w:hint="eastAsia"/>
          <w:sz w:val="24"/>
        </w:rPr>
      </w:pPr>
    </w:p>
    <w:p>
      <w:pPr>
        <w:rPr>
          <w:rFonts w:hint="eastAsia"/>
          <w:sz w:val="24"/>
        </w:rPr>
      </w:pPr>
      <w:r>
        <w:rPr>
          <w:sz w:val="24"/>
        </w:rPr>
        <w:t>甲方（采购人）:</w:t>
      </w:r>
      <w:r>
        <w:rPr>
          <w:rFonts w:hint="eastAsia"/>
          <w:sz w:val="24"/>
        </w:rPr>
        <w:t>深圳海关动植物检验检疫技术中心</w:t>
      </w:r>
    </w:p>
    <w:p>
      <w:pPr>
        <w:rPr>
          <w:rFonts w:hint="eastAsia"/>
          <w:sz w:val="24"/>
        </w:rPr>
      </w:pPr>
      <w:r>
        <w:rPr>
          <w:sz w:val="24"/>
        </w:rPr>
        <w:t xml:space="preserve">乙方（供应商）:                                  </w:t>
      </w:r>
    </w:p>
    <w:p>
      <w:pPr>
        <w:widowControl w:val="0"/>
        <w:shd w:val="clear" w:color="auto" w:fill="auto"/>
        <w:tabs>
          <w:tab w:val="clear" w:pos="426"/>
        </w:tabs>
        <w:adjustRightInd/>
        <w:snapToGrid/>
        <w:spacing w:line="240" w:lineRule="auto"/>
        <w:ind w:firstLine="480" w:firstLineChars="200"/>
        <w:rPr>
          <w:rFonts w:hint="eastAsia"/>
          <w:sz w:val="24"/>
        </w:rPr>
      </w:pPr>
      <w:r>
        <w:rPr>
          <w:sz w:val="24"/>
        </w:rPr>
        <w:t>根据</w:t>
      </w:r>
      <w:r>
        <w:rPr>
          <w:snapToGrid w:val="0"/>
          <w:sz w:val="24"/>
        </w:rPr>
        <w:t>《中华人民共和国民法典（合同编）》、</w:t>
      </w:r>
      <w:r>
        <w:rPr>
          <w:sz w:val="24"/>
        </w:rPr>
        <w:t>《中华人民共和国政府采购法》等相关法律规定，甲方对</w:t>
      </w:r>
      <w:r>
        <w:rPr>
          <w:rFonts w:hint="eastAsia"/>
          <w:sz w:val="24"/>
          <w:u w:val="single"/>
        </w:rPr>
        <w:t>深圳海关动植物检验检疫技术中心“超高效液相色谱-三重四极杆质谱仪”设备采购项目</w:t>
      </w:r>
      <w:r>
        <w:rPr>
          <w:sz w:val="24"/>
        </w:rPr>
        <w:t>以</w:t>
      </w:r>
      <w:r>
        <w:rPr>
          <w:rFonts w:hint="eastAsia"/>
          <w:sz w:val="24"/>
          <w:u w:val="single"/>
        </w:rPr>
        <w:t>公开招标</w:t>
      </w:r>
      <w:r>
        <w:rPr>
          <w:sz w:val="24"/>
        </w:rPr>
        <w:t>方式进行采购</w:t>
      </w:r>
      <w:r>
        <w:rPr>
          <w:rFonts w:hint="eastAsia"/>
          <w:sz w:val="24"/>
        </w:rPr>
        <w:t>，</w:t>
      </w:r>
      <w:r>
        <w:rPr>
          <w:sz w:val="24"/>
        </w:rPr>
        <w:t>确定乙方</w:t>
      </w:r>
      <w:r>
        <w:rPr>
          <w:rFonts w:hint="eastAsia"/>
          <w:sz w:val="24"/>
        </w:rPr>
        <w:t>_________________________</w:t>
      </w:r>
      <w:r>
        <w:rPr>
          <w:sz w:val="24"/>
        </w:rPr>
        <w:t>为中标人（成交商），现依照招标文件、投标文件等相关文件的内容，双方达成如下协议：</w:t>
      </w:r>
    </w:p>
    <w:p>
      <w:pPr>
        <w:ind w:firstLine="482" w:firstLineChars="200"/>
        <w:rPr>
          <w:rFonts w:hint="eastAsia"/>
          <w:b/>
          <w:bCs/>
          <w:sz w:val="24"/>
        </w:rPr>
      </w:pPr>
      <w:r>
        <w:rPr>
          <w:b/>
          <w:bCs/>
          <w:sz w:val="24"/>
        </w:rPr>
        <w:t>第一条 采购货物清单</w:t>
      </w:r>
    </w:p>
    <w:tbl>
      <w:tblPr>
        <w:tblStyle w:val="85"/>
        <w:tblW w:w="9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1144"/>
        <w:gridCol w:w="1219"/>
        <w:gridCol w:w="1013"/>
        <w:gridCol w:w="900"/>
        <w:gridCol w:w="1481"/>
        <w:gridCol w:w="1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93" w:type="dxa"/>
            <w:tcBorders>
              <w:top w:val="single" w:color="auto" w:sz="4" w:space="0"/>
              <w:left w:val="single" w:color="auto" w:sz="4" w:space="0"/>
              <w:bottom w:val="single" w:color="auto" w:sz="4" w:space="0"/>
              <w:right w:val="single" w:color="auto" w:sz="4" w:space="0"/>
            </w:tcBorders>
            <w:vAlign w:val="center"/>
          </w:tcPr>
          <w:p>
            <w:pPr>
              <w:pStyle w:val="584"/>
              <w:autoSpaceDN w:val="0"/>
              <w:jc w:val="center"/>
              <w:rPr>
                <w:rFonts w:ascii="Times New Roman"/>
                <w:b/>
                <w:bCs/>
                <w:sz w:val="24"/>
                <w:szCs w:val="24"/>
              </w:rPr>
            </w:pPr>
            <w:r>
              <w:rPr>
                <w:rFonts w:ascii="Times New Roman"/>
                <w:b/>
                <w:bCs/>
                <w:sz w:val="24"/>
                <w:szCs w:val="24"/>
              </w:rPr>
              <w:t>货物名称</w:t>
            </w:r>
          </w:p>
        </w:tc>
        <w:tc>
          <w:tcPr>
            <w:tcW w:w="1144" w:type="dxa"/>
            <w:tcBorders>
              <w:top w:val="single" w:color="auto" w:sz="4" w:space="0"/>
              <w:left w:val="single" w:color="auto" w:sz="4" w:space="0"/>
              <w:bottom w:val="single" w:color="auto" w:sz="4" w:space="0"/>
              <w:right w:val="single" w:color="auto" w:sz="4" w:space="0"/>
            </w:tcBorders>
            <w:vAlign w:val="center"/>
          </w:tcPr>
          <w:p>
            <w:pPr>
              <w:pStyle w:val="585"/>
              <w:autoSpaceDN w:val="0"/>
              <w:jc w:val="center"/>
              <w:rPr>
                <w:rFonts w:ascii="Times New Roman"/>
                <w:b/>
                <w:bCs/>
                <w:sz w:val="24"/>
                <w:szCs w:val="24"/>
              </w:rPr>
            </w:pPr>
            <w:r>
              <w:rPr>
                <w:rFonts w:ascii="Times New Roman"/>
                <w:b/>
                <w:bCs/>
                <w:sz w:val="24"/>
                <w:szCs w:val="24"/>
              </w:rPr>
              <w:t>品牌</w:t>
            </w:r>
          </w:p>
        </w:tc>
        <w:tc>
          <w:tcPr>
            <w:tcW w:w="1219" w:type="dxa"/>
            <w:tcBorders>
              <w:top w:val="single" w:color="auto" w:sz="4" w:space="0"/>
              <w:left w:val="single" w:color="auto" w:sz="4" w:space="0"/>
              <w:bottom w:val="single" w:color="auto" w:sz="4" w:space="0"/>
              <w:right w:val="single" w:color="auto" w:sz="4" w:space="0"/>
            </w:tcBorders>
            <w:vAlign w:val="center"/>
          </w:tcPr>
          <w:p>
            <w:pPr>
              <w:pStyle w:val="586"/>
              <w:autoSpaceDN w:val="0"/>
              <w:jc w:val="center"/>
              <w:rPr>
                <w:rFonts w:ascii="Times New Roman" w:hAnsi="Times New Roman"/>
                <w:b/>
                <w:bCs/>
                <w:sz w:val="24"/>
                <w:szCs w:val="24"/>
              </w:rPr>
            </w:pPr>
            <w:r>
              <w:rPr>
                <w:rFonts w:ascii="Times New Roman" w:hAnsi="Times New Roman"/>
                <w:b/>
                <w:bCs/>
                <w:sz w:val="24"/>
                <w:szCs w:val="24"/>
              </w:rPr>
              <w:t>规格型号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587"/>
              <w:autoSpaceDN w:val="0"/>
              <w:jc w:val="center"/>
              <w:rPr>
                <w:rFonts w:ascii="Times New Roman"/>
                <w:b/>
                <w:bCs/>
                <w:sz w:val="24"/>
                <w:szCs w:val="24"/>
              </w:rPr>
            </w:pPr>
            <w:r>
              <w:rPr>
                <w:rFonts w:ascii="Times New Roman"/>
                <w:b/>
                <w:bCs/>
                <w:sz w:val="24"/>
                <w:szCs w:val="24"/>
              </w:rPr>
              <w:t>产地</w:t>
            </w:r>
          </w:p>
        </w:tc>
        <w:tc>
          <w:tcPr>
            <w:tcW w:w="900" w:type="dxa"/>
            <w:tcBorders>
              <w:top w:val="single" w:color="auto" w:sz="4" w:space="0"/>
              <w:left w:val="single" w:color="auto" w:sz="4" w:space="0"/>
              <w:bottom w:val="single" w:color="auto" w:sz="4" w:space="0"/>
              <w:right w:val="single" w:color="auto" w:sz="4" w:space="0"/>
            </w:tcBorders>
            <w:vAlign w:val="center"/>
          </w:tcPr>
          <w:p>
            <w:pPr>
              <w:pStyle w:val="587"/>
              <w:autoSpaceDN w:val="0"/>
              <w:jc w:val="center"/>
              <w:rPr>
                <w:rFonts w:ascii="Times New Roman"/>
                <w:b/>
                <w:bCs/>
                <w:sz w:val="24"/>
                <w:szCs w:val="24"/>
              </w:rPr>
            </w:pPr>
            <w:r>
              <w:rPr>
                <w:rFonts w:ascii="Times New Roman"/>
                <w:b/>
                <w:bCs/>
                <w:sz w:val="24"/>
                <w:szCs w:val="24"/>
              </w:rPr>
              <w:t>数量</w:t>
            </w:r>
          </w:p>
        </w:tc>
        <w:tc>
          <w:tcPr>
            <w:tcW w:w="1481" w:type="dxa"/>
            <w:tcBorders>
              <w:top w:val="single" w:color="auto" w:sz="4" w:space="0"/>
              <w:left w:val="single" w:color="auto" w:sz="4" w:space="0"/>
              <w:bottom w:val="single" w:color="auto" w:sz="4" w:space="0"/>
              <w:right w:val="single" w:color="auto" w:sz="4" w:space="0"/>
            </w:tcBorders>
            <w:vAlign w:val="center"/>
          </w:tcPr>
          <w:p>
            <w:pPr>
              <w:pStyle w:val="588"/>
              <w:autoSpaceDN w:val="0"/>
              <w:jc w:val="center"/>
              <w:rPr>
                <w:rFonts w:ascii="Times New Roman"/>
                <w:b/>
                <w:bCs/>
                <w:sz w:val="24"/>
                <w:szCs w:val="24"/>
              </w:rPr>
            </w:pPr>
            <w:r>
              <w:rPr>
                <w:rFonts w:ascii="Times New Roman"/>
                <w:b/>
                <w:bCs/>
                <w:sz w:val="24"/>
                <w:szCs w:val="24"/>
              </w:rPr>
              <w:t>单价（元）</w:t>
            </w:r>
          </w:p>
        </w:tc>
        <w:tc>
          <w:tcPr>
            <w:tcW w:w="1509" w:type="dxa"/>
            <w:tcBorders>
              <w:top w:val="single" w:color="auto" w:sz="4" w:space="0"/>
              <w:left w:val="single" w:color="auto" w:sz="4" w:space="0"/>
              <w:bottom w:val="single" w:color="auto" w:sz="4" w:space="0"/>
              <w:right w:val="single" w:color="auto" w:sz="4" w:space="0"/>
            </w:tcBorders>
            <w:vAlign w:val="center"/>
          </w:tcPr>
          <w:p>
            <w:pPr>
              <w:pStyle w:val="589"/>
              <w:autoSpaceDN w:val="0"/>
              <w:jc w:val="center"/>
              <w:rPr>
                <w:rFonts w:ascii="Times New Roman"/>
                <w:b/>
                <w:bCs/>
                <w:sz w:val="24"/>
                <w:szCs w:val="24"/>
              </w:rPr>
            </w:pPr>
            <w:r>
              <w:rPr>
                <w:rFonts w:ascii="Times New Roman"/>
                <w:b/>
                <w:bCs/>
                <w:sz w:val="24"/>
                <w:szCs w:val="24"/>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left w:val="single" w:color="auto" w:sz="4" w:space="0"/>
              <w:bottom w:val="single" w:color="auto" w:sz="4" w:space="0"/>
              <w:right w:val="single" w:color="auto" w:sz="4" w:space="0"/>
            </w:tcBorders>
            <w:vAlign w:val="center"/>
          </w:tcPr>
          <w:p>
            <w:pPr>
              <w:pStyle w:val="590"/>
              <w:autoSpaceDN w:val="0"/>
              <w:jc w:val="center"/>
              <w:rPr>
                <w:rFonts w:ascii="Times New Roman"/>
                <w:b/>
                <w:bCs/>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591"/>
              <w:autoSpaceDN w:val="0"/>
              <w:jc w:val="center"/>
              <w:rPr>
                <w:rFonts w:ascii="Times New Roman"/>
                <w:b/>
                <w:bCs/>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pStyle w:val="592"/>
              <w:autoSpaceDN w:val="0"/>
              <w:jc w:val="center"/>
              <w:rPr>
                <w:rFonts w:ascii="Times New Roman"/>
                <w:b/>
                <w:bCs/>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93"/>
              <w:autoSpaceDN w:val="0"/>
              <w:jc w:val="center"/>
              <w:rPr>
                <w:rFonts w:ascii="Times New Roman"/>
                <w:b/>
                <w:bCs/>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593"/>
              <w:autoSpaceDN w:val="0"/>
              <w:jc w:val="center"/>
              <w:rPr>
                <w:rFonts w:ascii="Times New Roman"/>
                <w:b/>
                <w:bCs/>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pPr>
              <w:pStyle w:val="594"/>
              <w:autoSpaceDN w:val="0"/>
              <w:jc w:val="center"/>
              <w:rPr>
                <w:rFonts w:ascii="Times New Roman"/>
                <w:b/>
                <w:bCs/>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595"/>
              <w:autoSpaceDN w:val="0"/>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left w:val="single" w:color="auto" w:sz="4" w:space="0"/>
              <w:bottom w:val="single" w:color="auto" w:sz="4" w:space="0"/>
              <w:right w:val="single" w:color="auto" w:sz="4" w:space="0"/>
            </w:tcBorders>
            <w:vAlign w:val="center"/>
          </w:tcPr>
          <w:p>
            <w:pPr>
              <w:pStyle w:val="596"/>
              <w:autoSpaceDN w:val="0"/>
              <w:jc w:val="center"/>
              <w:rPr>
                <w:rFonts w:ascii="Times New Roman"/>
                <w:b/>
                <w:bCs/>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597"/>
              <w:autoSpaceDN w:val="0"/>
              <w:jc w:val="center"/>
              <w:rPr>
                <w:rFonts w:ascii="Times New Roman"/>
                <w:b/>
                <w:bCs/>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pStyle w:val="598"/>
              <w:autoSpaceDN w:val="0"/>
              <w:jc w:val="center"/>
              <w:rPr>
                <w:rFonts w:ascii="Times New Roman"/>
                <w:b/>
                <w:bCs/>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99"/>
              <w:autoSpaceDN w:val="0"/>
              <w:jc w:val="center"/>
              <w:rPr>
                <w:rFonts w:ascii="Times New Roman"/>
                <w:b/>
                <w:bCs/>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599"/>
              <w:autoSpaceDN w:val="0"/>
              <w:jc w:val="center"/>
              <w:rPr>
                <w:rFonts w:ascii="Times New Roman"/>
                <w:b/>
                <w:bCs/>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pPr>
              <w:pStyle w:val="600"/>
              <w:autoSpaceDN w:val="0"/>
              <w:jc w:val="center"/>
              <w:rPr>
                <w:rFonts w:ascii="Times New Roman"/>
                <w:b/>
                <w:bCs/>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601"/>
              <w:autoSpaceDN w:val="0"/>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550" w:type="dxa"/>
            <w:gridSpan w:val="6"/>
            <w:tcBorders>
              <w:top w:val="single" w:color="auto" w:sz="4" w:space="0"/>
              <w:left w:val="single" w:color="auto" w:sz="4" w:space="0"/>
              <w:bottom w:val="single" w:color="auto" w:sz="4" w:space="0"/>
              <w:right w:val="single" w:color="auto" w:sz="4" w:space="0"/>
            </w:tcBorders>
            <w:vAlign w:val="center"/>
          </w:tcPr>
          <w:p>
            <w:pPr>
              <w:pStyle w:val="602"/>
              <w:autoSpaceDN w:val="0"/>
              <w:jc w:val="center"/>
              <w:rPr>
                <w:rFonts w:ascii="Times New Roman"/>
                <w:b/>
                <w:bCs/>
                <w:sz w:val="24"/>
                <w:szCs w:val="24"/>
              </w:rPr>
            </w:pPr>
            <w:r>
              <w:rPr>
                <w:rFonts w:ascii="Times New Roman"/>
                <w:b/>
                <w:bCs/>
                <w:sz w:val="24"/>
                <w:szCs w:val="24"/>
              </w:rPr>
              <w:t xml:space="preserve">                                                    合同总价                                                    </w:t>
            </w:r>
          </w:p>
        </w:tc>
        <w:tc>
          <w:tcPr>
            <w:tcW w:w="1509" w:type="dxa"/>
            <w:tcBorders>
              <w:top w:val="single" w:color="auto" w:sz="4" w:space="0"/>
              <w:left w:val="single" w:color="auto" w:sz="4" w:space="0"/>
              <w:bottom w:val="single" w:color="auto" w:sz="4" w:space="0"/>
              <w:right w:val="single" w:color="auto" w:sz="4" w:space="0"/>
            </w:tcBorders>
            <w:vAlign w:val="center"/>
          </w:tcPr>
          <w:p>
            <w:pPr>
              <w:pStyle w:val="536"/>
              <w:autoSpaceDN w:val="0"/>
              <w:adjustRightInd w:val="0"/>
              <w:snapToGrid w:val="0"/>
              <w:spacing w:line="360" w:lineRule="auto"/>
              <w:jc w:val="center"/>
              <w:rPr>
                <w:b/>
                <w:bCs/>
                <w:sz w:val="24"/>
              </w:rPr>
            </w:pPr>
          </w:p>
        </w:tc>
      </w:tr>
    </w:tbl>
    <w:p>
      <w:pPr>
        <w:ind w:firstLine="482" w:firstLineChars="200"/>
        <w:rPr>
          <w:rFonts w:hint="eastAsia"/>
          <w:b/>
          <w:bCs/>
          <w:sz w:val="24"/>
        </w:rPr>
      </w:pPr>
      <w:r>
        <w:rPr>
          <w:b/>
          <w:bCs/>
          <w:sz w:val="24"/>
        </w:rPr>
        <w:t>第二条 合同总价款</w:t>
      </w:r>
    </w:p>
    <w:p>
      <w:pPr>
        <w:pStyle w:val="620"/>
        <w:spacing w:line="360" w:lineRule="auto"/>
        <w:ind w:firstLine="480" w:firstLineChars="200"/>
        <w:rPr>
          <w:rFonts w:eastAsia="宋体"/>
          <w:sz w:val="24"/>
          <w:szCs w:val="24"/>
        </w:rPr>
      </w:pPr>
      <w:r>
        <w:rPr>
          <w:rFonts w:eastAsia="宋体"/>
          <w:sz w:val="24"/>
          <w:szCs w:val="24"/>
        </w:rPr>
        <w:t>甲方以支付总价款__________元，（人民币大写</w:t>
      </w:r>
      <w:r>
        <w:rPr>
          <w:rFonts w:hint="eastAsia" w:eastAsia="宋体"/>
          <w:sz w:val="24"/>
          <w:szCs w:val="24"/>
        </w:rPr>
        <w:t xml:space="preserve">：         </w:t>
      </w:r>
      <w:r>
        <w:rPr>
          <w:rFonts w:eastAsia="宋体"/>
          <w:sz w:val="24"/>
          <w:szCs w:val="24"/>
        </w:rPr>
        <w:t>）接受乙方对上述货物的供货和</w:t>
      </w:r>
      <w:r>
        <w:rPr>
          <w:rFonts w:hint="eastAsia" w:eastAsia="宋体"/>
          <w:sz w:val="24"/>
          <w:szCs w:val="24"/>
        </w:rPr>
        <w:t>伴随</w:t>
      </w:r>
      <w:r>
        <w:rPr>
          <w:rFonts w:eastAsia="宋体"/>
          <w:sz w:val="24"/>
          <w:szCs w:val="24"/>
        </w:rPr>
        <w:t>服务。包括乙方提供货物、包装、运输、货物的保险和储存、检测、验收、安装调试、保修服务、培训、资料及提供的伴随服务等所有成本、费用及税费，甲方（用户）无需再向乙方支付其他任何费用。详见附件分项报价表、设备配置清单和技术偏离表。</w:t>
      </w:r>
      <w:r>
        <w:rPr>
          <w:rFonts w:hint="eastAsia" w:eastAsia="宋体"/>
          <w:sz w:val="24"/>
          <w:szCs w:val="24"/>
        </w:rPr>
        <w:t>（根据采购实际可自行调整。）</w:t>
      </w:r>
    </w:p>
    <w:p>
      <w:pPr>
        <w:pStyle w:val="621"/>
        <w:spacing w:line="360" w:lineRule="auto"/>
        <w:ind w:firstLine="482" w:firstLineChars="200"/>
        <w:rPr>
          <w:rFonts w:ascii="Times New Roman" w:eastAsia="宋体"/>
          <w:color w:val="auto"/>
          <w:sz w:val="24"/>
          <w:szCs w:val="24"/>
        </w:rPr>
      </w:pPr>
      <w:bookmarkStart w:id="81" w:name="_Hlk180280581"/>
      <w:r>
        <w:rPr>
          <w:rFonts w:ascii="Times New Roman" w:eastAsia="宋体"/>
          <w:b/>
          <w:bCs/>
          <w:color w:val="auto"/>
          <w:sz w:val="24"/>
          <w:szCs w:val="24"/>
        </w:rPr>
        <w:t>第三条 付款条件</w:t>
      </w:r>
    </w:p>
    <w:p>
      <w:pPr>
        <w:ind w:firstLine="480" w:firstLineChars="200"/>
        <w:rPr>
          <w:rFonts w:hint="eastAsia"/>
          <w:sz w:val="24"/>
        </w:rPr>
      </w:pPr>
      <w:bookmarkStart w:id="82" w:name="_Hlk180281527"/>
      <w:r>
        <w:rPr>
          <w:sz w:val="24"/>
        </w:rPr>
        <w:t>（一）本合同以人民币付款。</w:t>
      </w:r>
    </w:p>
    <w:p>
      <w:pPr>
        <w:ind w:firstLine="480" w:firstLineChars="200"/>
        <w:rPr>
          <w:rFonts w:hint="eastAsia"/>
          <w:sz w:val="24"/>
        </w:rPr>
      </w:pPr>
      <w:r>
        <w:rPr>
          <w:sz w:val="24"/>
        </w:rPr>
        <w:t>（二）付款办法：</w:t>
      </w:r>
    </w:p>
    <w:p>
      <w:pPr>
        <w:ind w:firstLine="480" w:firstLineChars="200"/>
        <w:rPr>
          <w:rFonts w:hint="eastAsia"/>
          <w:sz w:val="24"/>
        </w:rPr>
      </w:pPr>
      <w:r>
        <w:rPr>
          <w:sz w:val="24"/>
        </w:rPr>
        <w:t>1.乙方向甲方交付履约保</w:t>
      </w:r>
      <w:r>
        <w:rPr>
          <w:rFonts w:hint="eastAsia"/>
          <w:sz w:val="24"/>
        </w:rPr>
        <w:t>函或保证金，比例等于合同金额的10%，</w:t>
      </w:r>
      <w:r>
        <w:rPr>
          <w:sz w:val="24"/>
        </w:rPr>
        <w:t>并提交下列单据之日起10个工作日内，甲方向乙方支付合同总价</w:t>
      </w:r>
      <w:r>
        <w:rPr>
          <w:rFonts w:hint="eastAsia"/>
          <w:sz w:val="24"/>
          <w:u w:val="single"/>
        </w:rPr>
        <w:t>50</w:t>
      </w:r>
      <w:r>
        <w:rPr>
          <w:sz w:val="24"/>
        </w:rPr>
        <w:t>%合同款（金额</w:t>
      </w:r>
      <w:r>
        <w:rPr>
          <w:rFonts w:hint="eastAsia"/>
          <w:sz w:val="24"/>
        </w:rPr>
        <w:t xml:space="preserve">大写：         </w:t>
      </w:r>
      <w:r>
        <w:rPr>
          <w:sz w:val="24"/>
        </w:rPr>
        <w:t>）。</w:t>
      </w:r>
    </w:p>
    <w:p>
      <w:pPr>
        <w:ind w:firstLine="480" w:firstLineChars="200"/>
        <w:rPr>
          <w:rFonts w:hint="eastAsia"/>
          <w:sz w:val="24"/>
        </w:rPr>
      </w:pPr>
      <w:r>
        <w:rPr>
          <w:sz w:val="24"/>
        </w:rPr>
        <w:t>乙方提交单据：合同（正文部分复印件）、中标通知书（或成交通知书复印件）、发票（原件）、履约保</w:t>
      </w:r>
      <w:r>
        <w:rPr>
          <w:rFonts w:hint="eastAsia"/>
          <w:sz w:val="24"/>
        </w:rPr>
        <w:t>函或保证金</w:t>
      </w:r>
      <w:r>
        <w:rPr>
          <w:sz w:val="24"/>
        </w:rPr>
        <w:t>单据复印件。</w:t>
      </w:r>
    </w:p>
    <w:p>
      <w:pPr>
        <w:ind w:firstLine="480" w:firstLineChars="200"/>
        <w:rPr>
          <w:rFonts w:hint="eastAsia"/>
          <w:sz w:val="24"/>
        </w:rPr>
      </w:pPr>
      <w:r>
        <w:rPr>
          <w:sz w:val="24"/>
        </w:rPr>
        <w:t>2.设备全部到货并经甲方（用户）签收后，乙方向甲方提交下列单据之日起10个工作日内，甲方向乙方支付合同总价</w:t>
      </w:r>
      <w:r>
        <w:rPr>
          <w:rFonts w:hint="eastAsia"/>
          <w:sz w:val="24"/>
          <w:u w:val="single"/>
        </w:rPr>
        <w:t>50</w:t>
      </w:r>
      <w:r>
        <w:rPr>
          <w:sz w:val="24"/>
        </w:rPr>
        <w:t>%合同款（金额</w:t>
      </w:r>
      <w:r>
        <w:rPr>
          <w:rFonts w:hint="eastAsia"/>
          <w:sz w:val="24"/>
        </w:rPr>
        <w:t xml:space="preserve">大写：            </w:t>
      </w:r>
      <w:r>
        <w:rPr>
          <w:sz w:val="24"/>
        </w:rPr>
        <w:t>）。</w:t>
      </w:r>
    </w:p>
    <w:p>
      <w:pPr>
        <w:ind w:firstLine="480" w:firstLineChars="200"/>
        <w:rPr>
          <w:rFonts w:hint="eastAsia"/>
          <w:sz w:val="24"/>
        </w:rPr>
      </w:pPr>
      <w:r>
        <w:rPr>
          <w:sz w:val="24"/>
        </w:rPr>
        <w:t>乙方提交单据：合同(正文部分复印件）、中标通知书（或成交通知书复印件）、发票（原件）、设备到</w:t>
      </w:r>
      <w:r>
        <w:rPr>
          <w:rFonts w:hint="eastAsia"/>
          <w:sz w:val="24"/>
        </w:rPr>
        <w:t>货</w:t>
      </w:r>
      <w:r>
        <w:rPr>
          <w:sz w:val="24"/>
        </w:rPr>
        <w:t>签收单（复印件）。</w:t>
      </w:r>
    </w:p>
    <w:p>
      <w:pPr>
        <w:ind w:firstLine="480" w:firstLineChars="200"/>
        <w:rPr>
          <w:rFonts w:hint="eastAsia"/>
          <w:sz w:val="24"/>
        </w:rPr>
      </w:pPr>
      <w:r>
        <w:rPr>
          <w:sz w:val="24"/>
        </w:rPr>
        <w:t>3.设备全部安装调试，并经甲方（用户）验收合格后，乙方向甲方提交下列单据之日起</w:t>
      </w:r>
      <w:r>
        <w:rPr>
          <w:rFonts w:hint="eastAsia"/>
          <w:sz w:val="24"/>
        </w:rPr>
        <w:t>30</w:t>
      </w:r>
      <w:r>
        <w:rPr>
          <w:sz w:val="24"/>
        </w:rPr>
        <w:t>日内，甲方向乙方</w:t>
      </w:r>
      <w:bookmarkStart w:id="83" w:name="_Hlk180274859"/>
      <w:r>
        <w:rPr>
          <w:rFonts w:hint="eastAsia"/>
          <w:sz w:val="24"/>
        </w:rPr>
        <w:t>无息退还履约保函或保证金</w:t>
      </w:r>
      <w:bookmarkEnd w:id="83"/>
      <w:r>
        <w:rPr>
          <w:sz w:val="24"/>
        </w:rPr>
        <w:t>。</w:t>
      </w:r>
    </w:p>
    <w:p>
      <w:pPr>
        <w:ind w:firstLine="480" w:firstLineChars="200"/>
        <w:rPr>
          <w:rFonts w:hint="eastAsia"/>
          <w:sz w:val="24"/>
        </w:rPr>
      </w:pPr>
      <w:r>
        <w:rPr>
          <w:rFonts w:hint="eastAsia"/>
          <w:sz w:val="24"/>
        </w:rPr>
        <w:t>乙方提交单据：</w:t>
      </w:r>
      <w:bookmarkStart w:id="84" w:name="_Hlk180274877"/>
      <w:r>
        <w:rPr>
          <w:rFonts w:hint="eastAsia"/>
          <w:sz w:val="24"/>
        </w:rPr>
        <w:t>退还申请（原件）、</w:t>
      </w:r>
      <w:bookmarkEnd w:id="84"/>
      <w:r>
        <w:rPr>
          <w:rFonts w:hint="eastAsia"/>
          <w:sz w:val="24"/>
        </w:rPr>
        <w:t>安装调试验收合格报告（复印件）</w:t>
      </w:r>
      <w:r>
        <w:rPr>
          <w:sz w:val="24"/>
        </w:rPr>
        <w:t>。</w:t>
      </w:r>
    </w:p>
    <w:p>
      <w:pPr>
        <w:ind w:firstLine="480" w:firstLineChars="200"/>
        <w:rPr>
          <w:rFonts w:hint="eastAsia"/>
          <w:sz w:val="24"/>
        </w:rPr>
      </w:pPr>
      <w:r>
        <w:rPr>
          <w:sz w:val="24"/>
        </w:rPr>
        <w:t>4.因财政集中支付延误时间不计算在内</w:t>
      </w:r>
      <w:r>
        <w:rPr>
          <w:rFonts w:hint="eastAsia"/>
          <w:sz w:val="24"/>
        </w:rPr>
        <w:t>。</w:t>
      </w:r>
      <w:r>
        <w:rPr>
          <w:sz w:val="24"/>
        </w:rPr>
        <w:t>乙方提交付款单据延迟、缺失及账户信息错误的，甲方有权相应顺延付款期限，且甲方不承担延误付款责任。</w:t>
      </w:r>
    </w:p>
    <w:p>
      <w:pPr>
        <w:pStyle w:val="603"/>
        <w:autoSpaceDN w:val="0"/>
        <w:ind w:firstLine="480" w:firstLineChars="200"/>
        <w:jc w:val="left"/>
        <w:rPr>
          <w:snapToGrid w:val="0"/>
          <w:sz w:val="24"/>
          <w:szCs w:val="24"/>
        </w:rPr>
      </w:pPr>
      <w:r>
        <w:rPr>
          <w:snapToGrid w:val="0"/>
          <w:sz w:val="24"/>
          <w:szCs w:val="24"/>
        </w:rPr>
        <w:t>乙方收取货款账户为：</w:t>
      </w:r>
    </w:p>
    <w:bookmarkEnd w:id="81"/>
    <w:bookmarkEnd w:id="82"/>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4" w:type="dxa"/>
            <w:vAlign w:val="center"/>
          </w:tcPr>
          <w:p>
            <w:pPr>
              <w:pStyle w:val="603"/>
              <w:autoSpaceDN w:val="0"/>
              <w:spacing w:line="240" w:lineRule="auto"/>
              <w:jc w:val="left"/>
              <w:rPr>
                <w:snapToGrid w:val="0"/>
                <w:sz w:val="24"/>
                <w:szCs w:val="24"/>
              </w:rPr>
            </w:pPr>
            <w:r>
              <w:rPr>
                <w:snapToGrid w:val="0"/>
                <w:sz w:val="24"/>
                <w:szCs w:val="24"/>
              </w:rPr>
              <w:t>乙方全称</w:t>
            </w:r>
          </w:p>
        </w:tc>
        <w:tc>
          <w:tcPr>
            <w:tcW w:w="6051" w:type="dxa"/>
            <w:vAlign w:val="center"/>
          </w:tcPr>
          <w:p>
            <w:pPr>
              <w:pStyle w:val="603"/>
              <w:autoSpaceDN w:val="0"/>
              <w:spacing w:line="240" w:lineRule="auto"/>
              <w:ind w:firstLine="480" w:firstLineChars="200"/>
              <w:jc w:val="left"/>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04" w:type="dxa"/>
            <w:vAlign w:val="center"/>
          </w:tcPr>
          <w:p>
            <w:pPr>
              <w:pStyle w:val="603"/>
              <w:autoSpaceDN w:val="0"/>
              <w:spacing w:line="240" w:lineRule="auto"/>
              <w:jc w:val="left"/>
              <w:rPr>
                <w:snapToGrid w:val="0"/>
                <w:sz w:val="24"/>
                <w:szCs w:val="24"/>
              </w:rPr>
            </w:pPr>
            <w:r>
              <w:rPr>
                <w:snapToGrid w:val="0"/>
                <w:sz w:val="24"/>
                <w:szCs w:val="24"/>
              </w:rPr>
              <w:t>开户银行</w:t>
            </w:r>
          </w:p>
        </w:tc>
        <w:tc>
          <w:tcPr>
            <w:tcW w:w="6051" w:type="dxa"/>
            <w:vAlign w:val="center"/>
          </w:tcPr>
          <w:p>
            <w:pPr>
              <w:pStyle w:val="603"/>
              <w:autoSpaceDN w:val="0"/>
              <w:spacing w:line="240" w:lineRule="auto"/>
              <w:ind w:firstLine="480" w:firstLineChars="200"/>
              <w:jc w:val="left"/>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804" w:type="dxa"/>
            <w:vAlign w:val="center"/>
          </w:tcPr>
          <w:p>
            <w:pPr>
              <w:pStyle w:val="603"/>
              <w:autoSpaceDN w:val="0"/>
              <w:spacing w:line="240" w:lineRule="auto"/>
              <w:jc w:val="left"/>
              <w:rPr>
                <w:snapToGrid w:val="0"/>
                <w:sz w:val="24"/>
                <w:szCs w:val="24"/>
              </w:rPr>
            </w:pPr>
            <w:r>
              <w:rPr>
                <w:snapToGrid w:val="0"/>
                <w:sz w:val="24"/>
                <w:szCs w:val="24"/>
              </w:rPr>
              <w:t>账号</w:t>
            </w:r>
          </w:p>
        </w:tc>
        <w:tc>
          <w:tcPr>
            <w:tcW w:w="6051" w:type="dxa"/>
            <w:vAlign w:val="center"/>
          </w:tcPr>
          <w:p>
            <w:pPr>
              <w:pStyle w:val="603"/>
              <w:autoSpaceDN w:val="0"/>
              <w:spacing w:line="240" w:lineRule="auto"/>
              <w:ind w:firstLine="480" w:firstLineChars="200"/>
              <w:jc w:val="left"/>
              <w:rPr>
                <w:snapToGrid w:val="0"/>
                <w:sz w:val="24"/>
                <w:szCs w:val="24"/>
              </w:rPr>
            </w:pPr>
          </w:p>
        </w:tc>
      </w:tr>
    </w:tbl>
    <w:p>
      <w:pPr>
        <w:ind w:firstLine="482" w:firstLineChars="200"/>
        <w:rPr>
          <w:rFonts w:hint="eastAsia"/>
          <w:b/>
          <w:bCs/>
          <w:sz w:val="24"/>
        </w:rPr>
      </w:pPr>
      <w:bookmarkStart w:id="85" w:name="_Hlk180280608"/>
      <w:r>
        <w:rPr>
          <w:b/>
          <w:bCs/>
          <w:sz w:val="24"/>
        </w:rPr>
        <w:t>第四条 履约保证金</w:t>
      </w:r>
    </w:p>
    <w:bookmarkEnd w:id="85"/>
    <w:p>
      <w:pPr>
        <w:pStyle w:val="622"/>
        <w:spacing w:line="360" w:lineRule="auto"/>
        <w:ind w:firstLine="480" w:firstLineChars="200"/>
        <w:rPr>
          <w:rFonts w:eastAsia="宋体"/>
          <w:sz w:val="24"/>
          <w:szCs w:val="24"/>
        </w:rPr>
      </w:pPr>
      <w:r>
        <w:rPr>
          <w:rFonts w:eastAsia="宋体"/>
          <w:sz w:val="24"/>
          <w:szCs w:val="24"/>
        </w:rPr>
        <w:t>（一）合同签订之日起</w:t>
      </w:r>
      <w:r>
        <w:rPr>
          <w:rFonts w:hint="eastAsia" w:eastAsia="宋体"/>
          <w:sz w:val="24"/>
          <w:szCs w:val="24"/>
          <w:u w:val="single"/>
        </w:rPr>
        <w:t xml:space="preserve"> 20 </w:t>
      </w:r>
      <w:r>
        <w:rPr>
          <w:rFonts w:eastAsia="宋体"/>
          <w:sz w:val="24"/>
          <w:szCs w:val="24"/>
        </w:rPr>
        <w:t>个工作日内，乙方须按合同金额的</w:t>
      </w:r>
      <w:r>
        <w:rPr>
          <w:rFonts w:hint="eastAsia" w:eastAsia="宋体"/>
          <w:sz w:val="24"/>
          <w:szCs w:val="24"/>
          <w:u w:val="single"/>
        </w:rPr>
        <w:t xml:space="preserve"> 10  </w:t>
      </w:r>
      <w:r>
        <w:rPr>
          <w:rFonts w:eastAsia="宋体"/>
          <w:sz w:val="24"/>
          <w:szCs w:val="24"/>
        </w:rPr>
        <w:t>%向甲方交纳履约保证金</w:t>
      </w:r>
      <w:r>
        <w:rPr>
          <w:rFonts w:hint="eastAsia" w:eastAsia="宋体"/>
          <w:sz w:val="24"/>
          <w:szCs w:val="24"/>
        </w:rPr>
        <w:t>或保函</w:t>
      </w:r>
      <w:r>
        <w:rPr>
          <w:rFonts w:eastAsia="宋体"/>
          <w:sz w:val="24"/>
          <w:szCs w:val="24"/>
        </w:rPr>
        <w:t>。如果乙方未按照约定时间交付履约保证金的，甲方有权单方面解除合同。</w:t>
      </w:r>
    </w:p>
    <w:p>
      <w:pPr>
        <w:pStyle w:val="623"/>
        <w:autoSpaceDN w:val="0"/>
        <w:spacing w:line="360" w:lineRule="auto"/>
        <w:ind w:firstLine="480" w:firstLineChars="200"/>
        <w:jc w:val="left"/>
        <w:rPr>
          <w:snapToGrid w:val="0"/>
          <w:kern w:val="0"/>
          <w:sz w:val="24"/>
          <w:szCs w:val="24"/>
        </w:rPr>
      </w:pPr>
      <w:r>
        <w:rPr>
          <w:snapToGrid w:val="0"/>
          <w:kern w:val="0"/>
          <w:sz w:val="24"/>
          <w:szCs w:val="24"/>
        </w:rPr>
        <w:t>甲方指定履约保证金收款账户为：</w:t>
      </w:r>
      <w:r>
        <w:rPr>
          <w:rFonts w:hint="eastAsia"/>
          <w:snapToGrid w:val="0"/>
          <w:kern w:val="0"/>
          <w:sz w:val="24"/>
          <w:szCs w:val="24"/>
        </w:rPr>
        <w:t>（如为保函，则无需填甲方收款账户）</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pPr>
              <w:pStyle w:val="623"/>
              <w:autoSpaceDN w:val="0"/>
              <w:jc w:val="left"/>
              <w:rPr>
                <w:snapToGrid w:val="0"/>
                <w:kern w:val="0"/>
                <w:sz w:val="24"/>
                <w:szCs w:val="24"/>
              </w:rPr>
            </w:pPr>
            <w:r>
              <w:rPr>
                <w:snapToGrid w:val="0"/>
                <w:kern w:val="0"/>
                <w:sz w:val="24"/>
                <w:szCs w:val="24"/>
              </w:rPr>
              <w:t>收款单位全称</w:t>
            </w:r>
          </w:p>
        </w:tc>
        <w:tc>
          <w:tcPr>
            <w:tcW w:w="5469" w:type="dxa"/>
            <w:vAlign w:val="center"/>
          </w:tcPr>
          <w:p>
            <w:pPr>
              <w:pStyle w:val="623"/>
              <w:autoSpaceDN w:val="0"/>
              <w:ind w:firstLine="480" w:firstLineChars="200"/>
              <w:jc w:val="left"/>
              <w:rPr>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86" w:type="dxa"/>
            <w:vAlign w:val="center"/>
          </w:tcPr>
          <w:p>
            <w:pPr>
              <w:pStyle w:val="623"/>
              <w:autoSpaceDN w:val="0"/>
              <w:jc w:val="left"/>
              <w:rPr>
                <w:snapToGrid w:val="0"/>
                <w:kern w:val="0"/>
                <w:sz w:val="24"/>
                <w:szCs w:val="24"/>
              </w:rPr>
            </w:pPr>
            <w:r>
              <w:rPr>
                <w:snapToGrid w:val="0"/>
                <w:kern w:val="0"/>
                <w:sz w:val="24"/>
                <w:szCs w:val="24"/>
              </w:rPr>
              <w:t>开户银行</w:t>
            </w:r>
          </w:p>
        </w:tc>
        <w:tc>
          <w:tcPr>
            <w:tcW w:w="5469" w:type="dxa"/>
            <w:vAlign w:val="center"/>
          </w:tcPr>
          <w:p>
            <w:pPr>
              <w:pStyle w:val="623"/>
              <w:autoSpaceDN w:val="0"/>
              <w:ind w:firstLine="480" w:firstLineChars="200"/>
              <w:jc w:val="left"/>
              <w:rPr>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386" w:type="dxa"/>
            <w:vAlign w:val="center"/>
          </w:tcPr>
          <w:p>
            <w:pPr>
              <w:pStyle w:val="623"/>
              <w:autoSpaceDN w:val="0"/>
              <w:jc w:val="left"/>
              <w:rPr>
                <w:snapToGrid w:val="0"/>
                <w:kern w:val="0"/>
                <w:sz w:val="24"/>
                <w:szCs w:val="24"/>
              </w:rPr>
            </w:pPr>
            <w:r>
              <w:rPr>
                <w:snapToGrid w:val="0"/>
                <w:kern w:val="0"/>
                <w:sz w:val="24"/>
                <w:szCs w:val="24"/>
              </w:rPr>
              <w:t>账号</w:t>
            </w:r>
          </w:p>
        </w:tc>
        <w:tc>
          <w:tcPr>
            <w:tcW w:w="5469" w:type="dxa"/>
            <w:vAlign w:val="center"/>
          </w:tcPr>
          <w:p>
            <w:pPr>
              <w:pStyle w:val="623"/>
              <w:autoSpaceDN w:val="0"/>
              <w:ind w:firstLine="480" w:firstLineChars="200"/>
              <w:jc w:val="left"/>
              <w:rPr>
                <w:snapToGrid w:val="0"/>
                <w:kern w:val="0"/>
                <w:sz w:val="24"/>
                <w:szCs w:val="24"/>
              </w:rPr>
            </w:pPr>
          </w:p>
        </w:tc>
      </w:tr>
    </w:tbl>
    <w:p>
      <w:pPr>
        <w:pStyle w:val="622"/>
        <w:spacing w:line="360" w:lineRule="auto"/>
        <w:ind w:firstLine="480" w:firstLineChars="200"/>
        <w:rPr>
          <w:rFonts w:eastAsia="宋体"/>
          <w:sz w:val="24"/>
          <w:szCs w:val="24"/>
        </w:rPr>
      </w:pPr>
      <w:bookmarkStart w:id="86" w:name="_Hlk180280621"/>
      <w:r>
        <w:rPr>
          <w:rFonts w:eastAsia="宋体"/>
          <w:sz w:val="24"/>
          <w:szCs w:val="24"/>
        </w:rPr>
        <w:t>（</w:t>
      </w:r>
      <w:bookmarkStart w:id="87" w:name="_Hlk180281552"/>
      <w:r>
        <w:rPr>
          <w:rFonts w:eastAsia="宋体"/>
          <w:sz w:val="24"/>
          <w:szCs w:val="24"/>
        </w:rPr>
        <w:t>二）履约保证金以银行保函、银行电汇向甲方提供。</w:t>
      </w:r>
    </w:p>
    <w:p>
      <w:pPr>
        <w:ind w:firstLine="480" w:firstLineChars="200"/>
        <w:rPr>
          <w:rFonts w:hint="eastAsia"/>
          <w:sz w:val="24"/>
        </w:rPr>
      </w:pPr>
      <w:r>
        <w:rPr>
          <w:sz w:val="24"/>
        </w:rPr>
        <w:t>（三）如乙方未能履行合同规定的义务，甲方有权按照本合同的约定从履约保证金中进行相应扣除。乙方应在甲方扣除履约保证金之日起10个工作日内，及时补充扣除部分金额。</w:t>
      </w:r>
    </w:p>
    <w:p>
      <w:pPr>
        <w:ind w:firstLine="480" w:firstLineChars="200"/>
        <w:rPr>
          <w:rFonts w:hint="eastAsia"/>
          <w:sz w:val="24"/>
        </w:rPr>
      </w:pPr>
      <w:r>
        <w:rPr>
          <w:sz w:val="24"/>
        </w:rPr>
        <w:t>（</w:t>
      </w:r>
      <w:r>
        <w:rPr>
          <w:rFonts w:hint="eastAsia"/>
          <w:sz w:val="24"/>
        </w:rPr>
        <w:t>四</w:t>
      </w:r>
      <w:r>
        <w:rPr>
          <w:sz w:val="24"/>
        </w:rPr>
        <w:t>）如乙方不履行合同，或履行合同义务不符合约定使得合同目的不能实现，履约保证金不予退还。</w:t>
      </w:r>
      <w:bookmarkEnd w:id="86"/>
      <w:bookmarkEnd w:id="87"/>
    </w:p>
    <w:p>
      <w:pPr>
        <w:ind w:firstLine="482" w:firstLineChars="200"/>
        <w:rPr>
          <w:rFonts w:hint="eastAsia"/>
          <w:b/>
          <w:bCs/>
          <w:sz w:val="24"/>
        </w:rPr>
      </w:pPr>
      <w:r>
        <w:rPr>
          <w:b/>
          <w:bCs/>
          <w:sz w:val="24"/>
        </w:rPr>
        <w:t>第五条 包装</w:t>
      </w:r>
    </w:p>
    <w:p>
      <w:pPr>
        <w:pStyle w:val="624"/>
        <w:spacing w:line="360" w:lineRule="auto"/>
        <w:ind w:firstLine="480" w:firstLineChars="200"/>
        <w:rPr>
          <w:rFonts w:eastAsia="宋体"/>
          <w:sz w:val="24"/>
          <w:szCs w:val="24"/>
        </w:rPr>
      </w:pPr>
      <w:r>
        <w:rPr>
          <w:rFonts w:eastAsia="宋体"/>
          <w:sz w:val="24"/>
          <w:szCs w:val="24"/>
        </w:rPr>
        <w:t>（一）除合同另有规定外，乙方提供的全部货物均应按标准</w:t>
      </w:r>
      <w:r>
        <w:rPr>
          <w:rFonts w:eastAsia="宋体"/>
          <w:snapToGrid w:val="0"/>
          <w:kern w:val="0"/>
          <w:sz w:val="24"/>
          <w:szCs w:val="24"/>
        </w:rPr>
        <w:t>保护措施进行包装，这类包装应适应于远距离运输、防潮、防震、</w:t>
      </w:r>
      <w:r>
        <w:rPr>
          <w:rFonts w:eastAsia="宋体"/>
          <w:sz w:val="24"/>
          <w:szCs w:val="24"/>
        </w:rPr>
        <w:t>防锈和防野蛮装卸，以确保货物安全无损运抵指定交货地点。</w:t>
      </w:r>
    </w:p>
    <w:p>
      <w:pPr>
        <w:pStyle w:val="624"/>
        <w:spacing w:line="360" w:lineRule="auto"/>
        <w:ind w:firstLine="480" w:firstLineChars="200"/>
        <w:rPr>
          <w:rFonts w:eastAsia="宋体"/>
          <w:sz w:val="24"/>
          <w:szCs w:val="24"/>
        </w:rPr>
      </w:pPr>
      <w:r>
        <w:rPr>
          <w:rFonts w:eastAsia="宋体"/>
          <w:sz w:val="24"/>
          <w:szCs w:val="24"/>
        </w:rPr>
        <w:t>（二）乙方应在包装箱外标明产品名称、型号，包装箱内随附一份详细装箱单和质量证书。</w:t>
      </w:r>
    </w:p>
    <w:p>
      <w:pPr>
        <w:ind w:firstLine="480" w:firstLineChars="200"/>
        <w:rPr>
          <w:rFonts w:hint="eastAsia"/>
          <w:sz w:val="24"/>
        </w:rPr>
      </w:pPr>
      <w:r>
        <w:rPr>
          <w:sz w:val="24"/>
        </w:rPr>
        <w:t>（三）乙方应承担由于其包装或防护措施不当而引起的货物损坏和丢失的任何损失责任和费用。</w:t>
      </w:r>
    </w:p>
    <w:p>
      <w:pPr>
        <w:ind w:firstLine="482" w:firstLineChars="200"/>
        <w:rPr>
          <w:rFonts w:hint="eastAsia"/>
          <w:b/>
          <w:bCs/>
          <w:sz w:val="24"/>
        </w:rPr>
      </w:pPr>
      <w:r>
        <w:rPr>
          <w:b/>
          <w:bCs/>
          <w:sz w:val="24"/>
        </w:rPr>
        <w:t>第六条 交货时间、地点、交货方法（运输方式）</w:t>
      </w:r>
    </w:p>
    <w:p>
      <w:pPr>
        <w:pStyle w:val="625"/>
        <w:spacing w:line="360" w:lineRule="auto"/>
        <w:ind w:firstLine="480" w:firstLineChars="200"/>
        <w:rPr>
          <w:rFonts w:eastAsia="宋体"/>
          <w:sz w:val="24"/>
          <w:szCs w:val="24"/>
        </w:rPr>
      </w:pPr>
      <w:r>
        <w:rPr>
          <w:rFonts w:eastAsia="宋体"/>
          <w:sz w:val="24"/>
          <w:szCs w:val="24"/>
        </w:rPr>
        <w:t>（一</w:t>
      </w:r>
      <w:r>
        <w:rPr>
          <w:rFonts w:eastAsia="宋体"/>
          <w:snapToGrid w:val="0"/>
          <w:kern w:val="0"/>
          <w:sz w:val="24"/>
          <w:szCs w:val="24"/>
        </w:rPr>
        <w:t>）交</w:t>
      </w:r>
      <w:r>
        <w:rPr>
          <w:rFonts w:eastAsia="宋体"/>
          <w:sz w:val="24"/>
          <w:szCs w:val="24"/>
        </w:rPr>
        <w:t>货时间：</w:t>
      </w:r>
      <w:r>
        <w:rPr>
          <w:rFonts w:hint="eastAsia" w:eastAsia="宋体"/>
          <w:sz w:val="24"/>
          <w:szCs w:val="24"/>
        </w:rPr>
        <w:t>乙方提供的交货期不得超过正式签订合同后45个日历日的交货期时间。乙方应予以特别注意：如出现未能到期供货的情况，甲方有权单方终止合同的执行，所有的经济损失由逾期乙方单方承担</w:t>
      </w:r>
      <w:r>
        <w:rPr>
          <w:rFonts w:eastAsia="宋体"/>
          <w:sz w:val="24"/>
          <w:szCs w:val="24"/>
        </w:rPr>
        <w:t>。</w:t>
      </w:r>
    </w:p>
    <w:p>
      <w:pPr>
        <w:pStyle w:val="626"/>
        <w:spacing w:line="360" w:lineRule="auto"/>
        <w:ind w:firstLine="480" w:firstLineChars="200"/>
        <w:rPr>
          <w:rFonts w:eastAsia="宋体"/>
          <w:sz w:val="24"/>
          <w:szCs w:val="24"/>
        </w:rPr>
      </w:pPr>
      <w:r>
        <w:rPr>
          <w:rFonts w:eastAsia="宋体"/>
          <w:sz w:val="24"/>
          <w:szCs w:val="24"/>
        </w:rPr>
        <w:t>（二）交货地点：</w:t>
      </w:r>
      <w:r>
        <w:rPr>
          <w:rFonts w:hint="eastAsia" w:eastAsia="宋体"/>
          <w:sz w:val="24"/>
          <w:szCs w:val="24"/>
        </w:rPr>
        <w:t>深圳市福田区福强路1011号深圳海关福强路办公区A栋指定地点</w:t>
      </w:r>
      <w:r>
        <w:rPr>
          <w:rFonts w:eastAsia="宋体"/>
          <w:sz w:val="24"/>
          <w:szCs w:val="24"/>
        </w:rPr>
        <w:t>。</w:t>
      </w:r>
    </w:p>
    <w:p>
      <w:pPr>
        <w:pStyle w:val="627"/>
        <w:spacing w:line="360" w:lineRule="auto"/>
        <w:ind w:firstLine="480" w:firstLineChars="200"/>
        <w:rPr>
          <w:rFonts w:eastAsia="宋体"/>
          <w:sz w:val="24"/>
          <w:szCs w:val="24"/>
        </w:rPr>
      </w:pPr>
      <w:r>
        <w:rPr>
          <w:rFonts w:eastAsia="宋体"/>
          <w:sz w:val="24"/>
          <w:szCs w:val="24"/>
        </w:rPr>
        <w:t>（三）交货方法：由乙方负责采用适合的交通工具将采购货物及其附件运至交货现场并按甲方要求完成卸货，以双方签署设备到货验收签收单为准，交货时应一并交付货物的有关单证。货物从生产厂运至海关指定地点的运输、劳务及相关保险的办理由乙方负责并承担相应费用。</w:t>
      </w:r>
    </w:p>
    <w:p>
      <w:pPr>
        <w:pStyle w:val="628"/>
        <w:spacing w:line="360" w:lineRule="auto"/>
        <w:ind w:firstLine="480" w:firstLineChars="200"/>
        <w:rPr>
          <w:rFonts w:eastAsia="宋体"/>
          <w:sz w:val="24"/>
          <w:szCs w:val="24"/>
        </w:rPr>
      </w:pPr>
      <w:r>
        <w:rPr>
          <w:rFonts w:eastAsia="宋体"/>
          <w:sz w:val="24"/>
          <w:szCs w:val="24"/>
        </w:rPr>
        <w:t>（四）风险责任承担：货物的风险责任和所有权在双方签署设备到货验收签收单/安装调试验收合格报告后由甲方承担和享有，此前的风险责任由乙方承担。</w:t>
      </w:r>
    </w:p>
    <w:p>
      <w:pPr>
        <w:pStyle w:val="629"/>
        <w:spacing w:line="360" w:lineRule="auto"/>
        <w:ind w:firstLine="482" w:firstLineChars="200"/>
        <w:rPr>
          <w:sz w:val="24"/>
          <w:szCs w:val="24"/>
        </w:rPr>
      </w:pPr>
      <w:bookmarkStart w:id="88" w:name="_Hlk180280668"/>
      <w:bookmarkStart w:id="89" w:name="_Hlk180275011"/>
      <w:r>
        <w:rPr>
          <w:b/>
          <w:bCs/>
          <w:sz w:val="24"/>
          <w:szCs w:val="24"/>
        </w:rPr>
        <w:t>第七条 货物验收</w:t>
      </w:r>
      <w:bookmarkEnd w:id="88"/>
    </w:p>
    <w:p>
      <w:pPr>
        <w:pStyle w:val="630"/>
        <w:ind w:firstLine="480" w:firstLineChars="200"/>
        <w:rPr>
          <w:sz w:val="24"/>
          <w:szCs w:val="24"/>
        </w:rPr>
      </w:pPr>
      <w:r>
        <w:rPr>
          <w:sz w:val="24"/>
          <w:szCs w:val="24"/>
        </w:rPr>
        <w:t>（一）货物运至甲方（用户）指定地点后，由甲乙双方指派人员按照本合同规定对货物进行验收，乙方应提供交货清单等文件供甲方（用户）审查，</w:t>
      </w:r>
      <w:r>
        <w:rPr>
          <w:rFonts w:hint="eastAsia"/>
          <w:sz w:val="24"/>
          <w:szCs w:val="24"/>
        </w:rPr>
        <w:t>乙方</w:t>
      </w:r>
      <w:r>
        <w:rPr>
          <w:sz w:val="24"/>
          <w:szCs w:val="24"/>
        </w:rPr>
        <w:t>应向</w:t>
      </w:r>
      <w:r>
        <w:rPr>
          <w:rFonts w:hint="eastAsia"/>
          <w:sz w:val="24"/>
          <w:szCs w:val="24"/>
        </w:rPr>
        <w:t>甲方</w:t>
      </w:r>
      <w:r>
        <w:rPr>
          <w:sz w:val="24"/>
          <w:szCs w:val="24"/>
        </w:rPr>
        <w:t>提供完整的设备技术资料、货物制造商的出厂检验报告、合格证书、产品保证书、认证书、及政府许可证明、说明书等，保证产品和安装材料是新生产、未经过使用的原装原厂正品。如在交付使用前发生设备损坏和不合格，</w:t>
      </w:r>
      <w:r>
        <w:rPr>
          <w:rFonts w:hint="eastAsia"/>
          <w:sz w:val="24"/>
          <w:szCs w:val="24"/>
        </w:rPr>
        <w:t>甲方</w:t>
      </w:r>
      <w:r>
        <w:rPr>
          <w:sz w:val="24"/>
          <w:szCs w:val="24"/>
        </w:rPr>
        <w:t>有权要求退货，因此造成的一切损失由供应商承</w:t>
      </w:r>
      <w:r>
        <w:rPr>
          <w:rFonts w:hint="eastAsia"/>
          <w:sz w:val="24"/>
          <w:szCs w:val="24"/>
        </w:rPr>
        <w:t>，</w:t>
      </w:r>
      <w:r>
        <w:rPr>
          <w:sz w:val="24"/>
          <w:szCs w:val="24"/>
        </w:rPr>
        <w:t>甲方（用户）将按合同清单进行规格、数量、外观的检查。</w:t>
      </w:r>
    </w:p>
    <w:p>
      <w:pPr>
        <w:pStyle w:val="631"/>
        <w:spacing w:line="360" w:lineRule="auto"/>
        <w:ind w:firstLine="480" w:firstLineChars="200"/>
        <w:rPr>
          <w:rFonts w:eastAsia="宋体"/>
          <w:sz w:val="24"/>
          <w:szCs w:val="24"/>
        </w:rPr>
      </w:pPr>
      <w:r>
        <w:rPr>
          <w:rFonts w:eastAsia="宋体"/>
          <w:sz w:val="24"/>
          <w:szCs w:val="24"/>
        </w:rPr>
        <w:t>（二）收货后</w:t>
      </w:r>
      <w:r>
        <w:rPr>
          <w:rFonts w:hint="eastAsia" w:eastAsia="宋体"/>
          <w:sz w:val="24"/>
          <w:szCs w:val="24"/>
          <w:u w:val="single"/>
        </w:rPr>
        <w:t xml:space="preserve"> 10 </w:t>
      </w:r>
      <w:r>
        <w:rPr>
          <w:rFonts w:eastAsia="宋体"/>
          <w:sz w:val="24"/>
          <w:szCs w:val="24"/>
        </w:rPr>
        <w:t>个工作日内甲乙双方进行到货验收工作。如验收合格，甲方（用户）应及时履行验收手续，双方签署设备到货验收签收单；如验收不合格，甲方（用户）应以书面形式通知乙方原因，乙方收到通知后</w:t>
      </w:r>
      <w:r>
        <w:rPr>
          <w:rFonts w:hint="eastAsia" w:eastAsia="宋体"/>
          <w:sz w:val="24"/>
          <w:szCs w:val="24"/>
          <w:u w:val="single"/>
        </w:rPr>
        <w:t xml:space="preserve"> 10  </w:t>
      </w:r>
      <w:r>
        <w:rPr>
          <w:rFonts w:eastAsia="宋体"/>
          <w:sz w:val="24"/>
          <w:szCs w:val="24"/>
        </w:rPr>
        <w:t>个工作日内提供解决方案。</w:t>
      </w:r>
    </w:p>
    <w:bookmarkEnd w:id="89"/>
    <w:p>
      <w:pPr>
        <w:pStyle w:val="630"/>
        <w:ind w:firstLine="480" w:firstLineChars="200"/>
        <w:rPr>
          <w:sz w:val="24"/>
          <w:szCs w:val="24"/>
        </w:rPr>
      </w:pPr>
      <w:r>
        <w:rPr>
          <w:sz w:val="24"/>
          <w:szCs w:val="24"/>
        </w:rPr>
        <w:t>（三）在验收工作中，发现数量不足或有质量、技术等问题，乙方应按照合同要求采取补足、更换或退货等处理措施，并承担由此发生的一切费用和损失。</w:t>
      </w:r>
    </w:p>
    <w:p>
      <w:pPr>
        <w:pStyle w:val="630"/>
        <w:ind w:firstLine="480" w:firstLineChars="200"/>
        <w:rPr>
          <w:sz w:val="24"/>
          <w:szCs w:val="24"/>
        </w:rPr>
      </w:pPr>
      <w:r>
        <w:rPr>
          <w:sz w:val="24"/>
          <w:szCs w:val="24"/>
        </w:rPr>
        <w:t>（四）涉及设备安装调试的，乙方负责在甲方（用户）配合下完成所供设备安装调试并保证与用户原有设备互联互通，有关技术问题由乙方和制造商协同解决。安装调试后，双方签署设备安装调试验收报告。</w:t>
      </w:r>
    </w:p>
    <w:p>
      <w:pPr>
        <w:pStyle w:val="630"/>
        <w:ind w:firstLine="480" w:firstLineChars="200"/>
        <w:rPr>
          <w:sz w:val="24"/>
          <w:szCs w:val="24"/>
        </w:rPr>
      </w:pPr>
      <w:r>
        <w:rPr>
          <w:sz w:val="24"/>
          <w:szCs w:val="24"/>
        </w:rPr>
        <w:t>（五）合同项下货物生产期间，甲方（用户）有权派工作人员到生产厂进行监造、现场抽样和出厂前验核。此次验核不代表甲方（用户）对货物的最终验收。期间相关费用，包括技术交流和技术材料费等由乙方负担。</w:t>
      </w:r>
    </w:p>
    <w:p>
      <w:pPr>
        <w:pStyle w:val="630"/>
        <w:ind w:firstLine="480" w:firstLineChars="200"/>
        <w:rPr>
          <w:sz w:val="24"/>
          <w:szCs w:val="24"/>
        </w:rPr>
      </w:pPr>
      <w:r>
        <w:rPr>
          <w:sz w:val="24"/>
          <w:szCs w:val="24"/>
        </w:rPr>
        <w:t>（六）为验核货物内在功能是否完备，甲方（用户）有权组织对货物进行随机抽样，并委托有关检测单位进行检测，该检测结果将作为货物质量的评判依据，相关送检和检测费用由乙方承担。如检测指标不符合招标文件（谈判文件、询价通知书、磋商文件、单一来源）、投标（响应）文件要求的，甲方有权拒收全部此类货物，乙方应按照甲方要求无条件对拒收货物进行更换，并承担由此给甲方造成的工期延误等损失</w:t>
      </w:r>
      <w:r>
        <w:rPr>
          <w:rFonts w:hint="eastAsia"/>
          <w:sz w:val="24"/>
          <w:szCs w:val="24"/>
        </w:rPr>
        <w:t>。</w:t>
      </w:r>
      <w:r>
        <w:rPr>
          <w:sz w:val="24"/>
          <w:szCs w:val="24"/>
        </w:rPr>
        <w:t>因</w:t>
      </w:r>
      <w:r>
        <w:rPr>
          <w:rFonts w:hint="eastAsia"/>
          <w:sz w:val="24"/>
          <w:szCs w:val="24"/>
        </w:rPr>
        <w:t>乙方</w:t>
      </w:r>
      <w:r>
        <w:rPr>
          <w:sz w:val="24"/>
          <w:szCs w:val="24"/>
        </w:rPr>
        <w:t>所提供的产品未达到招标文件中技术性能指标的，一律拒收，不予付款，</w:t>
      </w:r>
      <w:r>
        <w:rPr>
          <w:rFonts w:hint="eastAsia"/>
          <w:sz w:val="24"/>
          <w:szCs w:val="24"/>
        </w:rPr>
        <w:t>甲方</w:t>
      </w:r>
      <w:r>
        <w:rPr>
          <w:sz w:val="24"/>
          <w:szCs w:val="24"/>
        </w:rPr>
        <w:t>有权因此终止合同的执行，</w:t>
      </w:r>
      <w:r>
        <w:rPr>
          <w:rFonts w:hint="eastAsia"/>
          <w:sz w:val="24"/>
          <w:szCs w:val="24"/>
        </w:rPr>
        <w:t>乙方</w:t>
      </w:r>
      <w:r>
        <w:rPr>
          <w:sz w:val="24"/>
          <w:szCs w:val="24"/>
        </w:rPr>
        <w:t>将自行承担所有经济损失；同时，</w:t>
      </w:r>
      <w:r>
        <w:rPr>
          <w:rFonts w:hint="eastAsia"/>
          <w:sz w:val="24"/>
          <w:szCs w:val="24"/>
        </w:rPr>
        <w:t>甲方</w:t>
      </w:r>
      <w:r>
        <w:rPr>
          <w:sz w:val="24"/>
          <w:szCs w:val="24"/>
        </w:rPr>
        <w:t>将保留向</w:t>
      </w:r>
      <w:r>
        <w:rPr>
          <w:rFonts w:hint="eastAsia"/>
          <w:sz w:val="24"/>
          <w:szCs w:val="24"/>
        </w:rPr>
        <w:t>乙方</w:t>
      </w:r>
      <w:r>
        <w:rPr>
          <w:sz w:val="24"/>
          <w:szCs w:val="24"/>
        </w:rPr>
        <w:t>因设备延迟到位而造成对口岸检验业务的不良影响追索相应“违约”责任的权利。对乙方可能涉嫌提供虚假材料或虚假响应的行为，甲方有权依法向监管部门反映并追究乙方法律责任。</w:t>
      </w:r>
    </w:p>
    <w:p>
      <w:pPr>
        <w:pStyle w:val="632"/>
        <w:spacing w:line="360" w:lineRule="auto"/>
        <w:ind w:firstLine="480" w:firstLineChars="200"/>
        <w:rPr>
          <w:rFonts w:eastAsia="宋体"/>
          <w:sz w:val="24"/>
          <w:szCs w:val="24"/>
        </w:rPr>
      </w:pPr>
      <w:r>
        <w:rPr>
          <w:rFonts w:eastAsia="宋体"/>
          <w:sz w:val="24"/>
          <w:szCs w:val="24"/>
        </w:rPr>
        <w:t>（七）甲方（用户）认为必要时，对大型或者复杂的货物采购项目，可以邀请国家认可的质量检测机构参加验收工作，相关验收意见作为验收报告的参考资料，相关费用由乙方承担。</w:t>
      </w:r>
      <w:r>
        <w:rPr>
          <w:rFonts w:hint="eastAsia" w:eastAsia="宋体"/>
          <w:sz w:val="24"/>
          <w:szCs w:val="24"/>
        </w:rPr>
        <w:t>如需要，乙方须提供产品的原厂技术文件以及验收要求的校准文件或计量证书。属于中华人民共和国强制检定计量器具，乙方须负责提供法定计量证书。所需费用由乙方承担。</w:t>
      </w:r>
    </w:p>
    <w:p>
      <w:pPr>
        <w:pStyle w:val="632"/>
        <w:spacing w:line="360" w:lineRule="auto"/>
        <w:ind w:firstLine="480" w:firstLineChars="200"/>
        <w:rPr>
          <w:rFonts w:eastAsia="宋体"/>
          <w:sz w:val="24"/>
          <w:szCs w:val="24"/>
        </w:rPr>
      </w:pPr>
      <w:r>
        <w:rPr>
          <w:rFonts w:eastAsia="宋体"/>
          <w:sz w:val="24"/>
          <w:szCs w:val="24"/>
        </w:rPr>
        <w:t>（八）</w:t>
      </w:r>
      <w:r>
        <w:rPr>
          <w:rFonts w:hint="eastAsia" w:eastAsia="宋体"/>
          <w:sz w:val="24"/>
          <w:szCs w:val="24"/>
        </w:rPr>
        <w:t>乙方设备供货、安装施工、调试、工程验收、货物运输、售后服务等均应符合国家相关法律、法规以及国家标准、相关行业标准。乙方提供设备的制造标准、安装标准及技术规范等有关资料必须符合国家相应的有关标准、规范要求。</w:t>
      </w:r>
      <w:r>
        <w:rPr>
          <w:rFonts w:eastAsia="宋体"/>
          <w:sz w:val="24"/>
          <w:szCs w:val="24"/>
        </w:rPr>
        <w:t>验收标准以双方达成的对质量和技术标准的约定、乙方承诺的质量和技术标准、国家或行业规定的相关质量和技术标准中最高者为准，且应充分满足甲方使用要求。</w:t>
      </w:r>
    </w:p>
    <w:p>
      <w:pPr>
        <w:pStyle w:val="630"/>
        <w:ind w:firstLine="482" w:firstLineChars="200"/>
        <w:rPr>
          <w:sz w:val="24"/>
          <w:szCs w:val="24"/>
        </w:rPr>
      </w:pPr>
      <w:r>
        <w:rPr>
          <w:b/>
          <w:bCs/>
          <w:sz w:val="24"/>
          <w:szCs w:val="24"/>
        </w:rPr>
        <w:t>第八条 质量保证</w:t>
      </w:r>
    </w:p>
    <w:p>
      <w:pPr>
        <w:ind w:firstLine="480" w:firstLineChars="200"/>
        <w:rPr>
          <w:rFonts w:hint="eastAsia"/>
          <w:sz w:val="24"/>
        </w:rPr>
      </w:pPr>
      <w:r>
        <w:rPr>
          <w:sz w:val="24"/>
        </w:rPr>
        <w:t>（一）乙方应保证所供货物为</w:t>
      </w:r>
      <w:r>
        <w:rPr>
          <w:rFonts w:hint="eastAsia"/>
          <w:sz w:val="24"/>
          <w:u w:val="single"/>
        </w:rPr>
        <w:t xml:space="preserve">              </w:t>
      </w:r>
      <w:r>
        <w:rPr>
          <w:sz w:val="24"/>
        </w:rPr>
        <w:t>公司制造生产、原包装、全新未使用过的产品，与投标文件/应答文件承诺一致，并完全符合或高于合同要求的质量、规格和技术性能。</w:t>
      </w:r>
    </w:p>
    <w:p>
      <w:pPr>
        <w:ind w:firstLine="480" w:firstLineChars="200"/>
        <w:rPr>
          <w:rFonts w:hint="eastAsia"/>
          <w:sz w:val="24"/>
        </w:rPr>
      </w:pPr>
      <w:r>
        <w:rPr>
          <w:sz w:val="24"/>
        </w:rPr>
        <w:t>（二）乙方应保证所供货物没有因乙方的行为或疏忽而产生材料或工艺上的缺陷，并保证其货物在正确安装、正常使用和保养条件下，在其使用寿命期内具有满意的性能。在货物最终交付验收后不少于合同规定或乙方承诺（两者以较长的为准）的质量保证期内，本保证保持有效。</w:t>
      </w:r>
    </w:p>
    <w:p>
      <w:pPr>
        <w:ind w:firstLine="480" w:firstLineChars="200"/>
        <w:rPr>
          <w:rFonts w:hint="eastAsia"/>
          <w:sz w:val="24"/>
        </w:rPr>
      </w:pPr>
      <w:r>
        <w:rPr>
          <w:sz w:val="24"/>
        </w:rPr>
        <w:t>（三）如果乙方所供货物质量与合同不符，或证实所供货物是有缺陷的，包括潜在的缺陷或使用不符合要求的材料等，由此引起的全部损失及费用由乙方承担。若以上原因导致或引起甲方（用户）损失及导致或引起第三方受到损害的，全部赔偿责任均应由乙方承担。</w:t>
      </w:r>
    </w:p>
    <w:p>
      <w:pPr>
        <w:ind w:firstLine="480" w:firstLineChars="200"/>
        <w:rPr>
          <w:rFonts w:hint="eastAsia"/>
          <w:sz w:val="24"/>
        </w:rPr>
      </w:pPr>
      <w:r>
        <w:rPr>
          <w:sz w:val="24"/>
        </w:rPr>
        <w:t>（四）在质量保证期内所发现的缺陷，甲方（用户）应尽快以书面形式通知乙方。乙方收到通知后应10日内免费维修或更换有缺陷的货物或部件。</w:t>
      </w:r>
    </w:p>
    <w:p>
      <w:pPr>
        <w:ind w:firstLine="480" w:firstLineChars="200"/>
        <w:rPr>
          <w:rFonts w:hint="eastAsia"/>
          <w:sz w:val="24"/>
        </w:rPr>
      </w:pPr>
      <w:r>
        <w:rPr>
          <w:sz w:val="24"/>
        </w:rPr>
        <w:t>（五）乙方在约定的时间内未能弥补缺陷，甲方（用户）可采取必要的补救措施，但其风险和费用将由乙方承担，甲方（用户）根据合同规定对乙方行使的其他权利不受影响。</w:t>
      </w:r>
    </w:p>
    <w:p>
      <w:pPr>
        <w:ind w:firstLine="480" w:firstLineChars="200"/>
        <w:rPr>
          <w:rFonts w:hint="eastAsia"/>
          <w:sz w:val="24"/>
        </w:rPr>
      </w:pPr>
      <w:r>
        <w:rPr>
          <w:sz w:val="24"/>
        </w:rPr>
        <w:t>（六）本合同项目所有货物</w:t>
      </w:r>
      <w:bookmarkStart w:id="90" w:name="_Hlk180323155"/>
      <w:r>
        <w:rPr>
          <w:sz w:val="24"/>
        </w:rPr>
        <w:t>质量保证期为：自双方签署设备到货验收签收单/安装调试验收合格报告之日起计算</w:t>
      </w:r>
      <w:r>
        <w:rPr>
          <w:rFonts w:hint="eastAsia"/>
          <w:sz w:val="24"/>
          <w:u w:val="single"/>
        </w:rPr>
        <w:t>整机三</w:t>
      </w:r>
      <w:r>
        <w:rPr>
          <w:sz w:val="24"/>
        </w:rPr>
        <w:t>年</w:t>
      </w:r>
      <w:bookmarkEnd w:id="90"/>
      <w:r>
        <w:rPr>
          <w:sz w:val="24"/>
        </w:rPr>
        <w:t>。</w:t>
      </w:r>
    </w:p>
    <w:p>
      <w:pPr>
        <w:ind w:firstLine="482" w:firstLineChars="200"/>
        <w:rPr>
          <w:rFonts w:hint="eastAsia"/>
          <w:b/>
          <w:bCs/>
          <w:sz w:val="24"/>
        </w:rPr>
      </w:pPr>
      <w:r>
        <w:rPr>
          <w:b/>
          <w:bCs/>
          <w:sz w:val="24"/>
        </w:rPr>
        <w:t>第九条 培训</w:t>
      </w:r>
    </w:p>
    <w:p>
      <w:pPr>
        <w:ind w:firstLine="480" w:firstLineChars="200"/>
        <w:rPr>
          <w:rFonts w:hint="eastAsia"/>
          <w:b/>
          <w:bCs/>
          <w:sz w:val="24"/>
        </w:rPr>
      </w:pPr>
      <w:r>
        <w:rPr>
          <w:bCs/>
          <w:sz w:val="24"/>
        </w:rPr>
        <w:t>本合同所包括的培训详见附件培训方案。</w:t>
      </w:r>
    </w:p>
    <w:p>
      <w:pPr>
        <w:ind w:firstLine="482" w:firstLineChars="200"/>
        <w:rPr>
          <w:rFonts w:hint="eastAsia"/>
          <w:b/>
          <w:bCs/>
          <w:sz w:val="24"/>
        </w:rPr>
      </w:pPr>
      <w:bookmarkStart w:id="91" w:name="_Hlk180281689"/>
      <w:r>
        <w:rPr>
          <w:b/>
          <w:bCs/>
          <w:sz w:val="24"/>
        </w:rPr>
        <w:t>第十条 售后服务</w:t>
      </w:r>
    </w:p>
    <w:bookmarkEnd w:id="91"/>
    <w:p>
      <w:pPr>
        <w:ind w:firstLine="480" w:firstLineChars="200"/>
        <w:rPr>
          <w:rStyle w:val="143"/>
          <w:rFonts w:hAnsi="Times New Roman" w:cs="Times New Roman"/>
        </w:rPr>
      </w:pPr>
      <w:r>
        <w:rPr>
          <w:sz w:val="24"/>
        </w:rPr>
        <w:t>（一）</w:t>
      </w:r>
      <w:r>
        <w:rPr>
          <w:rFonts w:hint="eastAsia"/>
          <w:sz w:val="24"/>
        </w:rPr>
        <w:t>乙方能响应故障处理请求和电话咨询，提供7x24小时技术支持，4小时内响应和24小时内提出解决方案，一般应在48小时内派人到现场维修的售后服务。乙方应提供维保人员名单、联系电话等。乙方在质量保证期内提供上述服务不再额外收费。质保期内有责任对货物进行不定期的巡查检修。</w:t>
      </w:r>
    </w:p>
    <w:p>
      <w:pPr>
        <w:ind w:firstLine="480" w:firstLineChars="200"/>
        <w:rPr>
          <w:rFonts w:hint="eastAsia"/>
          <w:sz w:val="24"/>
        </w:rPr>
      </w:pPr>
      <w:r>
        <w:rPr>
          <w:sz w:val="24"/>
        </w:rPr>
        <w:t>（二）本合同所包含的售后服务，包含制造商售后服务和代理商售后服务，具体见附件技术支持及售后服务方案。</w:t>
      </w:r>
    </w:p>
    <w:p>
      <w:pPr>
        <w:ind w:firstLine="482" w:firstLineChars="200"/>
        <w:rPr>
          <w:rFonts w:hint="eastAsia"/>
          <w:b/>
          <w:bCs/>
          <w:sz w:val="24"/>
        </w:rPr>
      </w:pPr>
      <w:r>
        <w:rPr>
          <w:b/>
          <w:bCs/>
          <w:sz w:val="24"/>
        </w:rPr>
        <w:t>第十一条 违约责任</w:t>
      </w:r>
    </w:p>
    <w:p>
      <w:pPr>
        <w:ind w:firstLine="480" w:firstLineChars="200"/>
        <w:rPr>
          <w:rFonts w:hint="eastAsia"/>
          <w:sz w:val="24"/>
        </w:rPr>
      </w:pPr>
      <w:r>
        <w:rPr>
          <w:sz w:val="24"/>
        </w:rPr>
        <w:t>（一）因乙方原因未能按照本合同要求交付合格的货物或提供相关服务的违约责任。</w:t>
      </w:r>
    </w:p>
    <w:p>
      <w:pPr>
        <w:ind w:firstLine="480" w:firstLineChars="200"/>
        <w:rPr>
          <w:rFonts w:hint="eastAsia"/>
          <w:sz w:val="24"/>
        </w:rPr>
      </w:pPr>
      <w:r>
        <w:rPr>
          <w:sz w:val="24"/>
        </w:rPr>
        <w:t>1.对于货物被证实存在缺陷（包括潜在的缺陷）或者不符合合同要求的，或原材料、技术标准、尺寸、颜色等存在质量问题，在合同条款规定的检验、安装、调试、验收和质量保证期内，甲方有权要求退货、退货重新制作、新货替换。乙方应按照甲方意见，用以下一种或几种方式结合解决：</w:t>
      </w:r>
    </w:p>
    <w:p>
      <w:pPr>
        <w:ind w:firstLine="480" w:firstLineChars="200"/>
        <w:rPr>
          <w:rFonts w:hint="eastAsia"/>
          <w:sz w:val="24"/>
        </w:rPr>
      </w:pPr>
      <w:r>
        <w:rPr>
          <w:sz w:val="24"/>
        </w:rPr>
        <w:t>（1）退货：甲方将货物退回乙方，乙方将合同货款退还给甲方，并承担由此发生的一切损失和费用。</w:t>
      </w:r>
    </w:p>
    <w:p>
      <w:pPr>
        <w:ind w:firstLine="480" w:firstLineChars="200"/>
        <w:rPr>
          <w:rFonts w:hint="eastAsia"/>
          <w:sz w:val="24"/>
        </w:rPr>
      </w:pPr>
      <w:r>
        <w:rPr>
          <w:sz w:val="24"/>
        </w:rPr>
        <w:t>（2）退货重新制作：甲方将货物退回乙方，乙方按照技术标准要求重新制作，并承担由此发生的一切损失和费用。</w:t>
      </w:r>
    </w:p>
    <w:p>
      <w:pPr>
        <w:ind w:firstLine="480" w:firstLineChars="200"/>
        <w:rPr>
          <w:rFonts w:hint="eastAsia"/>
          <w:sz w:val="24"/>
        </w:rPr>
      </w:pPr>
      <w:r>
        <w:rPr>
          <w:sz w:val="24"/>
        </w:rPr>
        <w:t>（3）新货替换：乙方用满足技术标准要求的货物替换存在缺陷的产品，承担甲方蒙受的全部损失和费用，并承担由此引发的一切风险，且相应延长所换货物的质量保证期。</w:t>
      </w:r>
    </w:p>
    <w:p>
      <w:pPr>
        <w:ind w:firstLine="480" w:firstLineChars="200"/>
        <w:rPr>
          <w:rFonts w:hint="eastAsia"/>
          <w:sz w:val="24"/>
        </w:rPr>
      </w:pPr>
      <w:r>
        <w:rPr>
          <w:sz w:val="24"/>
        </w:rPr>
        <w:t>2.</w:t>
      </w:r>
      <w:r>
        <w:rPr>
          <w:bCs/>
          <w:sz w:val="24"/>
        </w:rPr>
        <w:t>如果乙方</w:t>
      </w:r>
      <w:r>
        <w:rPr>
          <w:sz w:val="24"/>
        </w:rPr>
        <w:t>未在甲方要求的10日内或甲方同意的期限内，按照上述任何一种方式采取补救措施，甲方有权解除合同，扣除全部履约保证金并要求乙方退回甲方已支付的货款，并视损失情况根据《中华人民共和国民法典（合同编）》有关规定追究其相关责任，赔偿甲方（用户）的全部损失。</w:t>
      </w:r>
    </w:p>
    <w:p>
      <w:pPr>
        <w:pStyle w:val="633"/>
        <w:spacing w:line="360" w:lineRule="auto"/>
        <w:ind w:firstLine="480" w:firstLineChars="200"/>
        <w:rPr>
          <w:rFonts w:eastAsia="宋体"/>
          <w:sz w:val="24"/>
          <w:szCs w:val="24"/>
        </w:rPr>
      </w:pPr>
      <w:r>
        <w:rPr>
          <w:rFonts w:eastAsia="宋体"/>
          <w:sz w:val="24"/>
          <w:szCs w:val="24"/>
        </w:rPr>
        <w:t>3.对于未能按合同要求提供服务或被证实未提供应当承担的服务的，甲方有权要求限期整改。无合理理由不进行整改的视为根本违约。</w:t>
      </w:r>
    </w:p>
    <w:p>
      <w:pPr>
        <w:ind w:firstLine="480" w:firstLineChars="200"/>
        <w:rPr>
          <w:rFonts w:hint="eastAsia"/>
          <w:sz w:val="24"/>
        </w:rPr>
      </w:pPr>
      <w:r>
        <w:rPr>
          <w:sz w:val="24"/>
        </w:rPr>
        <w:t>（二）乙方未按照本合同规定的时间交货和提供服务的违约责任。</w:t>
      </w:r>
    </w:p>
    <w:p>
      <w:pPr>
        <w:pStyle w:val="634"/>
        <w:spacing w:line="360" w:lineRule="auto"/>
        <w:ind w:firstLine="480" w:firstLineChars="200"/>
        <w:rPr>
          <w:rFonts w:eastAsia="宋体"/>
          <w:sz w:val="24"/>
          <w:szCs w:val="24"/>
        </w:rPr>
      </w:pPr>
      <w:r>
        <w:rPr>
          <w:rFonts w:eastAsia="宋体"/>
          <w:sz w:val="24"/>
          <w:szCs w:val="24"/>
        </w:rPr>
        <w:t>1.在履行合同过程中，如果乙方遇到可能妨碍按时交货和提供服务的情形时，应及时以书面形式将延迟的事实、可能延迟的期限和理由通知甲方（用户）。甲方（用户）在收到乙方通知后，应尽快对情况进行评价，并确定是否同意延迟交货时间或延期提供服务，如甲方（用户）不同意延期，乙方仍应当按照约定的时间完成交货义务，如甲方（用户）同意延期，必须以双方签订的补充协议为准。</w:t>
      </w:r>
    </w:p>
    <w:p>
      <w:pPr>
        <w:pStyle w:val="634"/>
        <w:spacing w:line="360" w:lineRule="auto"/>
        <w:ind w:firstLine="480" w:firstLineChars="200"/>
        <w:rPr>
          <w:rFonts w:eastAsia="宋体"/>
          <w:sz w:val="24"/>
          <w:szCs w:val="24"/>
        </w:rPr>
      </w:pPr>
      <w:r>
        <w:rPr>
          <w:rFonts w:eastAsia="宋体"/>
          <w:sz w:val="24"/>
          <w:szCs w:val="24"/>
        </w:rPr>
        <w:t>2.除甲乙双方另有约定外，如果乙方没有按照合同规定的时间交货和提供服务，甲方有权在不影响合同项下其他补救措施的情况下，要求乙方支付误期赔偿费，或从合同货款、履约保证金中扣除误期赔偿费。赔偿费按每周迟交货物价格或未提供服务费用的百分之零点五（0.5%）计收，直到交货或提供服务为止。但误期赔偿费的最高限额不超过误期货物或服务合同价格的百分之十（10%）。一周按七（7）天计算，不足七（7）天按一周计算。</w:t>
      </w:r>
    </w:p>
    <w:p>
      <w:pPr>
        <w:pStyle w:val="634"/>
        <w:spacing w:line="360" w:lineRule="auto"/>
        <w:ind w:firstLine="480" w:firstLineChars="200"/>
        <w:rPr>
          <w:rFonts w:eastAsia="宋体"/>
          <w:sz w:val="24"/>
          <w:szCs w:val="24"/>
        </w:rPr>
      </w:pPr>
      <w:r>
        <w:rPr>
          <w:rFonts w:eastAsia="宋体"/>
          <w:sz w:val="24"/>
          <w:szCs w:val="24"/>
        </w:rPr>
        <w:t>3.出现上述没有按照合同规定的时间交货和提供服务的情形时，甲方也可以选择解除合同，要求乙方退回甲方已支付货款、扣除履约保证金并追究乙方相应违约责任、赔偿甲方（用户）的全部损失。</w:t>
      </w:r>
    </w:p>
    <w:p>
      <w:pPr>
        <w:pStyle w:val="634"/>
        <w:spacing w:line="360" w:lineRule="auto"/>
        <w:ind w:firstLine="480" w:firstLineChars="200"/>
        <w:rPr>
          <w:rFonts w:eastAsia="宋体"/>
          <w:sz w:val="24"/>
          <w:szCs w:val="24"/>
        </w:rPr>
      </w:pPr>
      <w:r>
        <w:rPr>
          <w:rFonts w:eastAsia="宋体"/>
          <w:sz w:val="24"/>
          <w:szCs w:val="24"/>
        </w:rPr>
        <w:t>4.如合同被全部或部分解除，甲方可依其认为适当的条款和方法购买与未交货类似的货物，乙方应对购买类似货物所超出的那部分费用负责。同时，乙方应继续执行合同中未解除的部分。如乙方违约并经同意延期仍不能履行合同时，甲方有权解除合同，扣除履约保证金，且乙方应赔偿由此给甲方造成的损失。</w:t>
      </w:r>
    </w:p>
    <w:p>
      <w:pPr>
        <w:pStyle w:val="634"/>
        <w:spacing w:line="360" w:lineRule="auto"/>
        <w:ind w:firstLine="480" w:firstLineChars="200"/>
        <w:rPr>
          <w:rFonts w:eastAsia="宋体"/>
          <w:sz w:val="24"/>
          <w:szCs w:val="24"/>
        </w:rPr>
      </w:pPr>
      <w:r>
        <w:rPr>
          <w:rFonts w:eastAsia="宋体"/>
          <w:sz w:val="24"/>
          <w:szCs w:val="24"/>
        </w:rPr>
        <w:t>（三）因乙方或乙方工作人员或乙方相关方的作为或不作为行为致使甲方或第三方遭受人员人身伤害或财产损失的，乙方应承担全部赔偿责任，赔偿全部损失，且甲方有权以全部履约保证金作为违约金，解除本合同。</w:t>
      </w:r>
    </w:p>
    <w:p>
      <w:pPr>
        <w:pStyle w:val="635"/>
        <w:spacing w:line="360" w:lineRule="auto"/>
        <w:ind w:firstLine="480" w:firstLineChars="200"/>
        <w:rPr>
          <w:rFonts w:eastAsia="宋体"/>
          <w:sz w:val="24"/>
          <w:szCs w:val="24"/>
        </w:rPr>
      </w:pPr>
      <w:r>
        <w:rPr>
          <w:rFonts w:eastAsia="宋体"/>
          <w:sz w:val="24"/>
          <w:szCs w:val="24"/>
        </w:rPr>
        <w:t>（四）在本合同履行过程中，如果有证据证明乙方根本无法履行合同的，甲方可以行使不安抗辩权，有权解除合同，并扣除履约保证金，如因乙方不能履行给甲方造成其他损失的，乙方应继续承担赔偿责任。</w:t>
      </w:r>
    </w:p>
    <w:p>
      <w:pPr>
        <w:pStyle w:val="636"/>
        <w:spacing w:line="360" w:lineRule="auto"/>
        <w:ind w:firstLine="482" w:firstLineChars="200"/>
        <w:rPr>
          <w:rFonts w:eastAsia="宋体"/>
          <w:b/>
          <w:bCs/>
          <w:sz w:val="24"/>
          <w:szCs w:val="24"/>
        </w:rPr>
      </w:pPr>
      <w:r>
        <w:rPr>
          <w:rFonts w:eastAsia="宋体"/>
          <w:b/>
          <w:bCs/>
          <w:sz w:val="24"/>
          <w:szCs w:val="24"/>
        </w:rPr>
        <w:t>第十二条 异议的期限和方法</w:t>
      </w:r>
    </w:p>
    <w:p>
      <w:pPr>
        <w:pStyle w:val="636"/>
        <w:spacing w:line="360" w:lineRule="auto"/>
        <w:ind w:firstLine="480" w:firstLineChars="200"/>
        <w:rPr>
          <w:rFonts w:eastAsia="宋体"/>
          <w:sz w:val="24"/>
          <w:szCs w:val="24"/>
        </w:rPr>
      </w:pPr>
      <w:r>
        <w:rPr>
          <w:rFonts w:eastAsia="宋体"/>
          <w:sz w:val="24"/>
          <w:szCs w:val="24"/>
        </w:rPr>
        <w:t>（一）异议期限自质量保证期开始之日起3个月内。如果属于产品设计、材料、工艺或其他潜在的质量缺陷，甲方（用户）以书面形式提出异议及其处理意见。</w:t>
      </w:r>
    </w:p>
    <w:p>
      <w:pPr>
        <w:pStyle w:val="636"/>
        <w:spacing w:line="360" w:lineRule="auto"/>
        <w:ind w:firstLine="480" w:firstLineChars="200"/>
        <w:rPr>
          <w:rFonts w:eastAsia="宋体"/>
          <w:sz w:val="24"/>
          <w:szCs w:val="24"/>
        </w:rPr>
      </w:pPr>
      <w:r>
        <w:rPr>
          <w:rFonts w:eastAsia="宋体"/>
          <w:sz w:val="24"/>
          <w:szCs w:val="24"/>
        </w:rPr>
        <w:t>（二）乙方接到甲方（用户）书面异议及其处理意见后，应在10日内到甲方（用户）项目现场处理，否则即视为默认甲方（用户）提出的异议和处理意见。</w:t>
      </w:r>
    </w:p>
    <w:p>
      <w:pPr>
        <w:pStyle w:val="636"/>
        <w:spacing w:line="360" w:lineRule="auto"/>
        <w:ind w:firstLine="482" w:firstLineChars="200"/>
        <w:rPr>
          <w:rFonts w:eastAsia="宋体"/>
          <w:b/>
          <w:bCs/>
          <w:sz w:val="24"/>
          <w:szCs w:val="24"/>
        </w:rPr>
      </w:pPr>
      <w:r>
        <w:rPr>
          <w:rFonts w:eastAsia="宋体"/>
          <w:b/>
          <w:bCs/>
          <w:sz w:val="24"/>
          <w:szCs w:val="24"/>
        </w:rPr>
        <w:t>第十三条 使用合同文件和资料</w:t>
      </w:r>
    </w:p>
    <w:p>
      <w:pPr>
        <w:pStyle w:val="636"/>
        <w:spacing w:line="360" w:lineRule="auto"/>
        <w:ind w:firstLine="480" w:firstLineChars="200"/>
        <w:rPr>
          <w:rFonts w:eastAsia="宋体"/>
          <w:sz w:val="24"/>
          <w:szCs w:val="24"/>
        </w:rPr>
      </w:pPr>
      <w:r>
        <w:rPr>
          <w:rFonts w:eastAsia="宋体"/>
          <w:sz w:val="24"/>
          <w:szCs w:val="24"/>
        </w:rPr>
        <w:t>（一）没有甲方（用户）事先书面同意，乙方不得将由甲方或代表甲方提供的有关合同或任何合同条文、规格或资料等提供给乙方雇佣于履行本合同以外的任何其他人。即使向本合同的雇员提供，也应注意保密并限于履行本合同必须的范围。</w:t>
      </w:r>
    </w:p>
    <w:p>
      <w:pPr>
        <w:pStyle w:val="636"/>
        <w:spacing w:line="360" w:lineRule="auto"/>
        <w:ind w:firstLine="480" w:firstLineChars="200"/>
        <w:rPr>
          <w:rFonts w:eastAsia="宋体"/>
          <w:sz w:val="24"/>
          <w:szCs w:val="24"/>
        </w:rPr>
      </w:pPr>
      <w:r>
        <w:rPr>
          <w:rFonts w:eastAsia="宋体"/>
          <w:sz w:val="24"/>
          <w:szCs w:val="24"/>
        </w:rPr>
        <w:t>（二）没有甲方（用户）事先书面同意，除了履行本合同之外，乙方不应使用、传播与本合同相关的任何文件、资料。</w:t>
      </w:r>
    </w:p>
    <w:p>
      <w:pPr>
        <w:ind w:firstLine="482" w:firstLineChars="200"/>
        <w:rPr>
          <w:rFonts w:hint="eastAsia"/>
          <w:b/>
          <w:bCs/>
          <w:sz w:val="24"/>
        </w:rPr>
      </w:pPr>
      <w:r>
        <w:rPr>
          <w:b/>
          <w:bCs/>
          <w:sz w:val="24"/>
        </w:rPr>
        <w:t>第十四条 知识产权</w:t>
      </w:r>
    </w:p>
    <w:p>
      <w:pPr>
        <w:ind w:firstLine="480" w:firstLineChars="200"/>
        <w:rPr>
          <w:rFonts w:hint="eastAsia"/>
          <w:sz w:val="24"/>
        </w:rPr>
      </w:pPr>
      <w:r>
        <w:rPr>
          <w:sz w:val="24"/>
        </w:rPr>
        <w:t>（一）乙方应保证所提供的货物及服务不侵犯任何第三方的知识产权(专利权、商标权、版权等)及其他任何合法权益。如果甲方（用户）在使用乙方货物或服务的任何一部分过程中，遭致第三方索赔或主张权利的，乙方应当修正以避免侵权。</w:t>
      </w:r>
    </w:p>
    <w:p>
      <w:pPr>
        <w:ind w:firstLine="480" w:firstLineChars="200"/>
        <w:rPr>
          <w:rFonts w:hint="eastAsia"/>
          <w:sz w:val="24"/>
        </w:rPr>
      </w:pPr>
      <w:r>
        <w:rPr>
          <w:sz w:val="24"/>
        </w:rPr>
        <w:t>（二）如果甲方（用户）在使用乙方货物或货物的任何一部分过程中，因侵犯第三方合法权益（包括但不限于知识产权）而遭致第三方索赔或主张权利的，乙方将自费为甲方（用户）应诉，并支付法院最终判决的甲方（用户）应支付第三方的一切费用、并赔偿甲方（用户）由此遭受的全部损失及支出的合理费用。</w:t>
      </w:r>
    </w:p>
    <w:p>
      <w:pPr>
        <w:ind w:firstLine="480" w:firstLineChars="200"/>
        <w:rPr>
          <w:rFonts w:hint="eastAsia"/>
          <w:sz w:val="24"/>
        </w:rPr>
      </w:pPr>
      <w:r>
        <w:rPr>
          <w:sz w:val="24"/>
        </w:rPr>
        <w:t>（三）如乙方提供的货物或服务确实侵犯了第三方合法权益（包括但不限于知识产权）的，甲方有权解除合同，没收履约保证金，要求乙方退回已支付的全部货款，并赔偿甲方的全部损失及支出的合理费用。</w:t>
      </w:r>
    </w:p>
    <w:p>
      <w:pPr>
        <w:ind w:firstLine="482" w:firstLineChars="200"/>
        <w:rPr>
          <w:rFonts w:hint="eastAsia"/>
          <w:b/>
          <w:bCs/>
          <w:sz w:val="24"/>
        </w:rPr>
      </w:pPr>
      <w:r>
        <w:rPr>
          <w:b/>
          <w:bCs/>
          <w:sz w:val="24"/>
        </w:rPr>
        <w:t>第十五条 权利瑕疵担保</w:t>
      </w:r>
    </w:p>
    <w:p>
      <w:pPr>
        <w:ind w:firstLine="480" w:firstLineChars="200"/>
        <w:rPr>
          <w:rFonts w:hint="eastAsia"/>
          <w:sz w:val="24"/>
        </w:rPr>
      </w:pPr>
      <w:r>
        <w:rPr>
          <w:sz w:val="24"/>
        </w:rPr>
        <w:t>（一）乙方保证对其所提供的货物享有完全的所有权等合法权利，不存在任何未曾向甲方（用户）透露的担保物权（如抵押权、质押权、留置权等）或其他任何权利负担或争议。</w:t>
      </w:r>
    </w:p>
    <w:p>
      <w:pPr>
        <w:pStyle w:val="637"/>
        <w:spacing w:line="360" w:lineRule="auto"/>
        <w:ind w:firstLine="480" w:firstLineChars="200"/>
        <w:rPr>
          <w:rFonts w:eastAsia="宋体"/>
          <w:sz w:val="24"/>
          <w:szCs w:val="24"/>
        </w:rPr>
      </w:pPr>
      <w:r>
        <w:rPr>
          <w:rFonts w:eastAsia="宋体"/>
          <w:sz w:val="24"/>
          <w:szCs w:val="24"/>
        </w:rPr>
        <w:t>（二）乙方应保证所提供的货物免受第三方提出的任何权利主张，如因第三方提出权利主张给甲方（用户）造成损失的，乙方应予以赔偿。</w:t>
      </w:r>
    </w:p>
    <w:p>
      <w:pPr>
        <w:ind w:firstLine="480" w:firstLineChars="200"/>
        <w:rPr>
          <w:rFonts w:hint="eastAsia"/>
          <w:sz w:val="24"/>
        </w:rPr>
      </w:pPr>
      <w:r>
        <w:rPr>
          <w:sz w:val="24"/>
        </w:rPr>
        <w:t>（三）如乙方所提供的货物存在前述担保货物或权利负担，甲方（用户）有权解除合同、没收履约保证金，并要求乙方退还已支付的全部货款，赔偿甲方（用户）的全部损失及支出的合理费用。</w:t>
      </w:r>
    </w:p>
    <w:p>
      <w:pPr>
        <w:ind w:firstLine="482" w:firstLineChars="200"/>
        <w:rPr>
          <w:rFonts w:hint="eastAsia"/>
          <w:b/>
          <w:bCs/>
          <w:sz w:val="24"/>
        </w:rPr>
      </w:pPr>
      <w:r>
        <w:rPr>
          <w:b/>
          <w:bCs/>
          <w:sz w:val="24"/>
        </w:rPr>
        <w:t>第十六条 不可抗力及其免责</w:t>
      </w:r>
    </w:p>
    <w:p>
      <w:pPr>
        <w:ind w:firstLine="480" w:firstLineChars="200"/>
        <w:rPr>
          <w:rFonts w:hint="eastAsia"/>
          <w:sz w:val="24"/>
        </w:rPr>
      </w:pPr>
      <w:r>
        <w:rPr>
          <w:sz w:val="24"/>
        </w:rPr>
        <w:t>（一）如果乙方因不可抗力而导致合同实施延误或不能履行合同义务时，在不可抗力影响的范围内不应该被没收履约保证金，也不承担误期赔偿或终止合同的责任。</w:t>
      </w:r>
    </w:p>
    <w:p>
      <w:pPr>
        <w:ind w:firstLine="480" w:firstLineChars="200"/>
        <w:rPr>
          <w:rFonts w:hint="eastAsia"/>
          <w:sz w:val="24"/>
        </w:rPr>
      </w:pPr>
      <w:r>
        <w:rPr>
          <w:sz w:val="24"/>
        </w:rPr>
        <w:t>（二）在不可抗力事件发生后，乙方应尽快以书面形式将不可抗力的情况和原因通知甲方，除甲方（用户）书面另行要求外，乙方应尽实际可能继续履行合同义务，以及寻求采取合理的方案履行不受不可抗力影响的其他事项。如果不可抗力事件影响延续超过一百二十天，双方应通过友好协商在合理的时间内就进一步实施合同达成协议。</w:t>
      </w:r>
    </w:p>
    <w:p>
      <w:pPr>
        <w:ind w:firstLine="480" w:firstLineChars="200"/>
        <w:rPr>
          <w:rFonts w:hint="eastAsia"/>
          <w:sz w:val="24"/>
        </w:rPr>
      </w:pPr>
      <w:r>
        <w:rPr>
          <w:sz w:val="24"/>
        </w:rPr>
        <w:t>（三）乙方在延迟履行合同期间由于不可抗力而不能履行合同的，不能被免除责任。</w:t>
      </w:r>
    </w:p>
    <w:p>
      <w:pPr>
        <w:ind w:firstLine="480" w:firstLineChars="200"/>
        <w:rPr>
          <w:rFonts w:hint="eastAsia"/>
          <w:sz w:val="24"/>
        </w:rPr>
      </w:pPr>
      <w:r>
        <w:rPr>
          <w:sz w:val="24"/>
        </w:rPr>
        <w:t>（四）甲方（用户）如遇不可抗力，应尽快以书面形式通知乙方，并尽实际可能履行不受不可抗力影响的其他事项。甲方（用户）不承担因不可抗力不能履行合同所造成的损失。</w:t>
      </w:r>
    </w:p>
    <w:p>
      <w:pPr>
        <w:ind w:firstLine="480" w:firstLineChars="200"/>
        <w:rPr>
          <w:rFonts w:hint="eastAsia"/>
          <w:sz w:val="24"/>
        </w:rPr>
      </w:pPr>
      <w:r>
        <w:rPr>
          <w:sz w:val="24"/>
        </w:rPr>
        <w:t>（五）本条所述的“不可抗力”指那些不能预见、不能避免并不能克服的客观情况，包括但不限于战争、动乱、严重火灾、洪水、台风、地震等及其他双方同意的情况，但不包括违约或疏忽。</w:t>
      </w:r>
    </w:p>
    <w:p>
      <w:pPr>
        <w:ind w:firstLine="482" w:firstLineChars="200"/>
        <w:rPr>
          <w:rFonts w:hint="eastAsia"/>
          <w:b/>
          <w:bCs/>
          <w:sz w:val="24"/>
        </w:rPr>
      </w:pPr>
      <w:r>
        <w:rPr>
          <w:b/>
          <w:bCs/>
          <w:sz w:val="24"/>
        </w:rPr>
        <w:t>第十七条 争议的解决</w:t>
      </w:r>
    </w:p>
    <w:p>
      <w:pPr>
        <w:ind w:firstLine="480" w:firstLineChars="200"/>
        <w:rPr>
          <w:rFonts w:hint="eastAsia"/>
          <w:sz w:val="24"/>
        </w:rPr>
      </w:pPr>
      <w:r>
        <w:rPr>
          <w:sz w:val="24"/>
        </w:rPr>
        <w:t>合同实施或与合同有关的一切争议应通过双方友好协商解决。如果友好协商还不能解决，</w:t>
      </w:r>
      <w:r>
        <w:rPr>
          <w:rFonts w:hint="eastAsia"/>
          <w:sz w:val="24"/>
        </w:rPr>
        <w:t>合同双方均可向甲方所在地人民法院提起诉讼。</w:t>
      </w:r>
      <w:r>
        <w:rPr>
          <w:sz w:val="24"/>
        </w:rPr>
        <w:t>在</w:t>
      </w:r>
      <w:r>
        <w:rPr>
          <w:rFonts w:hint="eastAsia"/>
          <w:sz w:val="24"/>
        </w:rPr>
        <w:t>诉讼</w:t>
      </w:r>
      <w:r>
        <w:rPr>
          <w:sz w:val="24"/>
        </w:rPr>
        <w:t>期间，除正在进行</w:t>
      </w:r>
      <w:r>
        <w:rPr>
          <w:rFonts w:hint="eastAsia"/>
          <w:sz w:val="24"/>
        </w:rPr>
        <w:t>诉讼</w:t>
      </w:r>
      <w:r>
        <w:rPr>
          <w:sz w:val="24"/>
        </w:rPr>
        <w:t>的部分外，本合同其他部分应继续履行。</w:t>
      </w:r>
    </w:p>
    <w:p>
      <w:pPr>
        <w:ind w:firstLine="482" w:firstLineChars="200"/>
        <w:rPr>
          <w:rFonts w:hint="eastAsia"/>
          <w:b/>
          <w:bCs/>
          <w:sz w:val="24"/>
        </w:rPr>
      </w:pPr>
      <w:r>
        <w:rPr>
          <w:b/>
          <w:bCs/>
          <w:sz w:val="24"/>
        </w:rPr>
        <w:t>第十八条 合同修改或变更</w:t>
      </w:r>
    </w:p>
    <w:p>
      <w:pPr>
        <w:ind w:firstLine="480" w:firstLineChars="200"/>
        <w:rPr>
          <w:rFonts w:hint="eastAsia"/>
          <w:sz w:val="24"/>
        </w:rPr>
      </w:pPr>
      <w:r>
        <w:rPr>
          <w:sz w:val="24"/>
        </w:rPr>
        <w:t>（一）如无重大变故，甲乙双方不得擅自变更合同。</w:t>
      </w:r>
    </w:p>
    <w:p>
      <w:pPr>
        <w:ind w:firstLine="480" w:firstLineChars="200"/>
        <w:rPr>
          <w:rFonts w:hint="eastAsia"/>
          <w:sz w:val="24"/>
        </w:rPr>
      </w:pPr>
      <w:r>
        <w:rPr>
          <w:sz w:val="24"/>
        </w:rPr>
        <w:t>（二）如确需变更合同，甲乙双方应签署书面变更协议。变更协议为本合同不可分割的一部分。</w:t>
      </w:r>
    </w:p>
    <w:p>
      <w:pPr>
        <w:ind w:firstLine="480" w:firstLineChars="200"/>
        <w:rPr>
          <w:rFonts w:hint="eastAsia"/>
          <w:sz w:val="24"/>
        </w:rPr>
      </w:pPr>
      <w:r>
        <w:rPr>
          <w:sz w:val="24"/>
        </w:rPr>
        <w:t>（三）在不改变合同其他条款的前提下，甲方（用户）有权在合同价款10%的范围内追加与合同标的相同的货物或服务，并就此与乙方签订补充合同，乙方不得拒绝。</w:t>
      </w:r>
    </w:p>
    <w:p>
      <w:pPr>
        <w:ind w:firstLine="482" w:firstLineChars="200"/>
        <w:rPr>
          <w:rFonts w:hint="eastAsia"/>
          <w:b/>
          <w:bCs/>
          <w:sz w:val="24"/>
        </w:rPr>
      </w:pPr>
      <w:r>
        <w:rPr>
          <w:b/>
          <w:bCs/>
          <w:sz w:val="24"/>
        </w:rPr>
        <w:t>第十九条 合同中止</w:t>
      </w:r>
    </w:p>
    <w:p>
      <w:pPr>
        <w:ind w:firstLine="480" w:firstLineChars="200"/>
        <w:rPr>
          <w:rFonts w:hint="eastAsia"/>
          <w:sz w:val="24"/>
        </w:rPr>
      </w:pPr>
      <w:r>
        <w:rPr>
          <w:sz w:val="24"/>
        </w:rPr>
        <w:t>（一）合同在履行过程中，因采购计划调整，甲方（用户）可以要求中止履行，待计划确定后继续履行。</w:t>
      </w:r>
    </w:p>
    <w:p>
      <w:pPr>
        <w:ind w:firstLine="480" w:firstLineChars="200"/>
        <w:rPr>
          <w:rFonts w:hint="eastAsia"/>
          <w:sz w:val="24"/>
        </w:rPr>
      </w:pPr>
      <w:r>
        <w:rPr>
          <w:sz w:val="24"/>
        </w:rPr>
        <w:t>（二）合同签订或履行过程中因其他供应商就采购过程或结果提起质疑、投诉、行政复议、行政诉讼的，甲方（用户）认为有必要或财政部责令中止的，应当中止合同的履行。</w:t>
      </w:r>
    </w:p>
    <w:p>
      <w:pPr>
        <w:ind w:firstLine="482" w:firstLineChars="200"/>
        <w:rPr>
          <w:rFonts w:hint="eastAsia"/>
          <w:b/>
          <w:bCs/>
          <w:sz w:val="24"/>
        </w:rPr>
      </w:pPr>
      <w:r>
        <w:rPr>
          <w:b/>
          <w:bCs/>
          <w:sz w:val="24"/>
        </w:rPr>
        <w:t>第二十条 合同解除</w:t>
      </w:r>
    </w:p>
    <w:p>
      <w:pPr>
        <w:ind w:firstLine="480" w:firstLineChars="200"/>
        <w:rPr>
          <w:rFonts w:hint="eastAsia"/>
          <w:sz w:val="24"/>
        </w:rPr>
      </w:pPr>
      <w:r>
        <w:rPr>
          <w:sz w:val="24"/>
        </w:rPr>
        <w:t>由于合同一方不履行合同或严重违反合同，造成合同部分或全部无法履行时，对方除有权向违约方索赔外，并有权部分或全部解除合同。对于部分解除的合同，违约方除应承担规定的责任外，还应继续履行合同的剩余部分。</w:t>
      </w:r>
    </w:p>
    <w:p>
      <w:pPr>
        <w:ind w:firstLine="480" w:firstLineChars="200"/>
        <w:rPr>
          <w:rFonts w:hint="eastAsia"/>
          <w:sz w:val="24"/>
        </w:rPr>
      </w:pPr>
      <w:r>
        <w:rPr>
          <w:sz w:val="24"/>
        </w:rPr>
        <w:t>（一）因违约解除合同</w:t>
      </w:r>
    </w:p>
    <w:p>
      <w:pPr>
        <w:ind w:firstLine="480" w:firstLineChars="200"/>
        <w:rPr>
          <w:rFonts w:hint="eastAsia"/>
          <w:sz w:val="24"/>
        </w:rPr>
      </w:pPr>
      <w:r>
        <w:rPr>
          <w:sz w:val="24"/>
        </w:rPr>
        <w:t>1.在甲方（用户）对乙方违约而采取的任何补救措施不受影响的情况下，甲方（用户）可向乙方发出书面违约通知书，提出解除部分或全部合同：</w:t>
      </w:r>
    </w:p>
    <w:p>
      <w:pPr>
        <w:ind w:firstLine="480" w:firstLineChars="200"/>
        <w:rPr>
          <w:rFonts w:hint="eastAsia"/>
          <w:sz w:val="24"/>
        </w:rPr>
      </w:pPr>
      <w:r>
        <w:rPr>
          <w:sz w:val="24"/>
        </w:rPr>
        <w:t>（1）如果乙方未能在合同规定的期限或甲方（用户）根据合同条款的规定同意延长的限期内提供部分或全部的货物或服务，达到合同所规定的要求；</w:t>
      </w:r>
    </w:p>
    <w:p>
      <w:pPr>
        <w:pStyle w:val="638"/>
        <w:spacing w:line="360" w:lineRule="auto"/>
        <w:ind w:firstLine="480" w:firstLineChars="200"/>
        <w:rPr>
          <w:rFonts w:eastAsia="宋体"/>
          <w:sz w:val="24"/>
          <w:szCs w:val="24"/>
        </w:rPr>
      </w:pPr>
      <w:r>
        <w:rPr>
          <w:rFonts w:eastAsia="宋体"/>
          <w:sz w:val="24"/>
          <w:szCs w:val="24"/>
        </w:rPr>
        <w:t>（2）如果甲方（用户）发现乙方在本合同的竞争或实施中有欺诈行为。</w:t>
      </w:r>
    </w:p>
    <w:p>
      <w:pPr>
        <w:ind w:firstLine="480" w:firstLineChars="200"/>
        <w:rPr>
          <w:rFonts w:hint="eastAsia"/>
          <w:sz w:val="24"/>
        </w:rPr>
      </w:pPr>
      <w:r>
        <w:rPr>
          <w:sz w:val="24"/>
        </w:rPr>
        <w:t>（3）如果乙方未能履行合同规定的其他任何义务。</w:t>
      </w:r>
    </w:p>
    <w:p>
      <w:pPr>
        <w:ind w:firstLine="480" w:firstLineChars="200"/>
        <w:rPr>
          <w:rFonts w:hint="eastAsia"/>
          <w:sz w:val="24"/>
        </w:rPr>
      </w:pPr>
      <w:r>
        <w:rPr>
          <w:sz w:val="24"/>
        </w:rPr>
        <w:t>2.如果甲方（用户）根据上述规定与乙方全部或部分解除合同，</w:t>
      </w:r>
      <w:r>
        <w:rPr>
          <w:bCs/>
          <w:sz w:val="24"/>
        </w:rPr>
        <w:t>甲方（用户）可以依其认为适当的条件和方法购买乙方未能提供的货物或服务，乙方应对甲方购买类似货物或服务所超出的费用负责</w:t>
      </w:r>
      <w:r>
        <w:rPr>
          <w:sz w:val="24"/>
        </w:rPr>
        <w:t>。</w:t>
      </w:r>
      <w:r>
        <w:rPr>
          <w:bCs/>
          <w:sz w:val="24"/>
        </w:rPr>
        <w:t>同时，乙方应继续执行合同中未解除的部分。</w:t>
      </w:r>
    </w:p>
    <w:p>
      <w:pPr>
        <w:ind w:firstLine="480" w:firstLineChars="200"/>
        <w:rPr>
          <w:rFonts w:hint="eastAsia"/>
          <w:sz w:val="24"/>
        </w:rPr>
      </w:pPr>
      <w:r>
        <w:rPr>
          <w:sz w:val="24"/>
        </w:rPr>
        <w:t>（二）因破产而解除合同</w:t>
      </w:r>
    </w:p>
    <w:p>
      <w:pPr>
        <w:ind w:firstLine="480" w:firstLineChars="200"/>
        <w:rPr>
          <w:rFonts w:hint="eastAsia"/>
          <w:sz w:val="24"/>
        </w:rPr>
      </w:pPr>
      <w:r>
        <w:rPr>
          <w:sz w:val="24"/>
        </w:rPr>
        <w:t>1.如果乙方破产或无清偿能力，甲方（用户）可在任何时候以书面形式通知乙方，提出解除合同而不给乙方补偿，并有权要求乙方退回甲方（用户）已支付的合同货款。</w:t>
      </w:r>
    </w:p>
    <w:p>
      <w:pPr>
        <w:ind w:firstLine="480" w:firstLineChars="200"/>
        <w:rPr>
          <w:rFonts w:hint="eastAsia"/>
          <w:sz w:val="24"/>
        </w:rPr>
      </w:pPr>
      <w:r>
        <w:rPr>
          <w:sz w:val="24"/>
        </w:rPr>
        <w:t>2.该解除合同将不损害或影响甲方已经采取或将要采取的任何行动或补救措施的权利。</w:t>
      </w:r>
    </w:p>
    <w:p>
      <w:pPr>
        <w:ind w:firstLine="480" w:firstLineChars="200"/>
        <w:rPr>
          <w:rFonts w:hint="eastAsia"/>
          <w:sz w:val="24"/>
        </w:rPr>
      </w:pPr>
      <w:r>
        <w:rPr>
          <w:sz w:val="24"/>
        </w:rPr>
        <w:t>（三）其他解除合同情况</w:t>
      </w:r>
    </w:p>
    <w:p>
      <w:pPr>
        <w:ind w:firstLine="480" w:firstLineChars="200"/>
        <w:rPr>
          <w:rFonts w:hint="eastAsia"/>
          <w:sz w:val="24"/>
        </w:rPr>
      </w:pPr>
      <w:r>
        <w:rPr>
          <w:sz w:val="24"/>
        </w:rPr>
        <w:t>1.若合同继续履行将给甲方造成重大损失的，甲方（用户）可以解除合同而不给予乙方任何补偿。</w:t>
      </w:r>
    </w:p>
    <w:p>
      <w:pPr>
        <w:ind w:firstLine="480" w:firstLineChars="200"/>
        <w:rPr>
          <w:rFonts w:hint="eastAsia"/>
          <w:sz w:val="24"/>
        </w:rPr>
      </w:pPr>
      <w:r>
        <w:rPr>
          <w:sz w:val="24"/>
        </w:rPr>
        <w:t>2.乙方在执行合同的过程中发生重大变故，对履行合同有影响的，甲方（用户）可以解除合同而不给予乙方任何补偿。</w:t>
      </w:r>
    </w:p>
    <w:p>
      <w:pPr>
        <w:ind w:firstLine="480" w:firstLineChars="200"/>
        <w:rPr>
          <w:rFonts w:hint="eastAsia"/>
          <w:sz w:val="24"/>
        </w:rPr>
      </w:pPr>
      <w:r>
        <w:rPr>
          <w:sz w:val="24"/>
        </w:rPr>
        <w:t>3.甲方（用户）因重大变故取消或部分取消原来的采购任务，导致合同全部或部分内容无需继续履行的，可以解除合同而不给予乙方任何补偿。</w:t>
      </w:r>
    </w:p>
    <w:p>
      <w:pPr>
        <w:ind w:firstLine="482" w:firstLineChars="200"/>
        <w:rPr>
          <w:rFonts w:hint="eastAsia"/>
          <w:b/>
          <w:bCs/>
          <w:sz w:val="24"/>
        </w:rPr>
      </w:pPr>
      <w:r>
        <w:rPr>
          <w:b/>
          <w:bCs/>
          <w:sz w:val="24"/>
        </w:rPr>
        <w:t>第二十一条 合同终止</w:t>
      </w:r>
    </w:p>
    <w:p>
      <w:pPr>
        <w:pStyle w:val="639"/>
        <w:autoSpaceDN w:val="0"/>
        <w:spacing w:line="360" w:lineRule="auto"/>
        <w:ind w:firstLine="480" w:firstLineChars="200"/>
        <w:jc w:val="left"/>
        <w:rPr>
          <w:snapToGrid w:val="0"/>
          <w:kern w:val="0"/>
          <w:sz w:val="24"/>
          <w:szCs w:val="24"/>
        </w:rPr>
      </w:pPr>
      <w:r>
        <w:rPr>
          <w:snapToGrid w:val="0"/>
          <w:kern w:val="0"/>
          <w:sz w:val="24"/>
          <w:szCs w:val="24"/>
        </w:rPr>
        <w:t>（一）本合同因下列原因而终止：</w:t>
      </w:r>
    </w:p>
    <w:p>
      <w:pPr>
        <w:pStyle w:val="639"/>
        <w:autoSpaceDN w:val="0"/>
        <w:spacing w:line="360" w:lineRule="auto"/>
        <w:ind w:firstLine="480" w:firstLineChars="200"/>
        <w:jc w:val="left"/>
        <w:rPr>
          <w:snapToGrid w:val="0"/>
          <w:kern w:val="0"/>
          <w:sz w:val="24"/>
          <w:szCs w:val="24"/>
        </w:rPr>
      </w:pPr>
      <w:r>
        <w:rPr>
          <w:snapToGrid w:val="0"/>
          <w:kern w:val="0"/>
          <w:sz w:val="24"/>
          <w:szCs w:val="24"/>
        </w:rPr>
        <w:t>1.本合同正常履行完毕；</w:t>
      </w:r>
    </w:p>
    <w:p>
      <w:pPr>
        <w:pStyle w:val="639"/>
        <w:autoSpaceDN w:val="0"/>
        <w:spacing w:line="360" w:lineRule="auto"/>
        <w:ind w:firstLine="480" w:firstLineChars="200"/>
        <w:jc w:val="left"/>
        <w:rPr>
          <w:snapToGrid w:val="0"/>
          <w:kern w:val="0"/>
          <w:sz w:val="24"/>
          <w:szCs w:val="24"/>
        </w:rPr>
      </w:pPr>
      <w:r>
        <w:rPr>
          <w:snapToGrid w:val="0"/>
          <w:kern w:val="0"/>
          <w:sz w:val="24"/>
          <w:szCs w:val="24"/>
        </w:rPr>
        <w:t>2.合同双方协议终止本合同的履行；</w:t>
      </w:r>
    </w:p>
    <w:p>
      <w:pPr>
        <w:pStyle w:val="639"/>
        <w:autoSpaceDN w:val="0"/>
        <w:spacing w:line="360" w:lineRule="auto"/>
        <w:ind w:firstLine="480" w:firstLineChars="200"/>
        <w:jc w:val="left"/>
        <w:rPr>
          <w:snapToGrid w:val="0"/>
          <w:kern w:val="0"/>
          <w:sz w:val="24"/>
          <w:szCs w:val="24"/>
        </w:rPr>
      </w:pPr>
      <w:r>
        <w:rPr>
          <w:snapToGrid w:val="0"/>
          <w:kern w:val="0"/>
          <w:sz w:val="24"/>
          <w:szCs w:val="24"/>
        </w:rPr>
        <w:t>3.不可抗力事件导致本合同无法履行或履行不必要；</w:t>
      </w:r>
    </w:p>
    <w:p>
      <w:pPr>
        <w:pStyle w:val="639"/>
        <w:autoSpaceDN w:val="0"/>
        <w:spacing w:line="360" w:lineRule="auto"/>
        <w:ind w:firstLine="480" w:firstLineChars="200"/>
        <w:jc w:val="left"/>
        <w:rPr>
          <w:snapToGrid w:val="0"/>
          <w:kern w:val="0"/>
          <w:sz w:val="24"/>
          <w:szCs w:val="24"/>
        </w:rPr>
      </w:pPr>
      <w:r>
        <w:rPr>
          <w:snapToGrid w:val="0"/>
          <w:kern w:val="0"/>
          <w:sz w:val="24"/>
          <w:szCs w:val="24"/>
        </w:rPr>
        <w:t>4.任何一方行使解除权，解除本合同；</w:t>
      </w:r>
    </w:p>
    <w:p>
      <w:pPr>
        <w:pStyle w:val="639"/>
        <w:autoSpaceDN w:val="0"/>
        <w:spacing w:line="360" w:lineRule="auto"/>
        <w:ind w:firstLine="480" w:firstLineChars="200"/>
        <w:jc w:val="left"/>
        <w:rPr>
          <w:snapToGrid w:val="0"/>
          <w:kern w:val="0"/>
          <w:sz w:val="24"/>
          <w:szCs w:val="24"/>
        </w:rPr>
      </w:pPr>
      <w:bookmarkStart w:id="92" w:name="孔子"/>
      <w:bookmarkEnd w:id="92"/>
      <w:r>
        <w:rPr>
          <w:snapToGrid w:val="0"/>
          <w:kern w:val="0"/>
          <w:sz w:val="24"/>
          <w:szCs w:val="24"/>
        </w:rPr>
        <w:t>（二）对本合同终止有过错的一方应赔偿另一方因合同终止而受到的损失。</w:t>
      </w:r>
    </w:p>
    <w:p>
      <w:pPr>
        <w:ind w:firstLine="482" w:firstLineChars="200"/>
        <w:rPr>
          <w:rFonts w:hint="eastAsia"/>
          <w:b/>
          <w:bCs/>
          <w:sz w:val="24"/>
        </w:rPr>
      </w:pPr>
      <w:r>
        <w:rPr>
          <w:b/>
          <w:bCs/>
          <w:sz w:val="24"/>
        </w:rPr>
        <w:t>第二十二条 其他</w:t>
      </w:r>
    </w:p>
    <w:p>
      <w:pPr>
        <w:ind w:firstLine="480" w:firstLineChars="200"/>
        <w:rPr>
          <w:rFonts w:hint="eastAsia"/>
          <w:sz w:val="24"/>
        </w:rPr>
      </w:pPr>
      <w:r>
        <w:rPr>
          <w:sz w:val="24"/>
        </w:rPr>
        <w:t>中标通知书（成交通知书）、中标人的投标文件/应答文件、招标文件/谈判文件/询价通知书/磋商文件/单一来源、合同条款、合同附件（协商、变更的，明确双方权利义务的，以书面形式而表现出来的协议或书面通知或确认书等）是本合同不可分割的部分，与本合同具有同等法律效力。</w:t>
      </w:r>
    </w:p>
    <w:p>
      <w:pPr>
        <w:ind w:firstLine="482" w:firstLineChars="200"/>
        <w:rPr>
          <w:rFonts w:hint="eastAsia"/>
          <w:b/>
          <w:bCs/>
          <w:sz w:val="24"/>
        </w:rPr>
      </w:pPr>
      <w:r>
        <w:rPr>
          <w:b/>
          <w:bCs/>
          <w:sz w:val="24"/>
        </w:rPr>
        <w:t>第二十四条 合同生效</w:t>
      </w:r>
    </w:p>
    <w:p>
      <w:pPr>
        <w:ind w:firstLine="480" w:firstLineChars="200"/>
        <w:rPr>
          <w:rFonts w:hint="eastAsia"/>
          <w:sz w:val="24"/>
        </w:rPr>
      </w:pPr>
      <w:r>
        <w:rPr>
          <w:sz w:val="24"/>
        </w:rPr>
        <w:t>本合同一式___份，甲方执___份，乙方执___份；自甲乙双方签字盖章之日起生效。对本合同的任何更改及补充，均需双方共同协商，并以书面形式盖章确认。</w:t>
      </w:r>
    </w:p>
    <w:p>
      <w:pPr>
        <w:rPr>
          <w:rFonts w:hint="eastAsia"/>
          <w:sz w:val="24"/>
        </w:rPr>
      </w:pPr>
    </w:p>
    <w:p>
      <w:pPr>
        <w:rPr>
          <w:rFonts w:hint="eastAsia"/>
          <w:sz w:val="24"/>
        </w:rPr>
      </w:pPr>
      <w:r>
        <w:rPr>
          <w:sz w:val="24"/>
        </w:rPr>
        <w:t>甲方（公章</w:t>
      </w:r>
      <w:r>
        <w:rPr>
          <w:snapToGrid w:val="0"/>
          <w:sz w:val="24"/>
        </w:rPr>
        <w:t>或合同章</w:t>
      </w:r>
      <w:r>
        <w:rPr>
          <w:sz w:val="24"/>
        </w:rPr>
        <w:t>）：            乙方（公章</w:t>
      </w:r>
      <w:r>
        <w:rPr>
          <w:snapToGrid w:val="0"/>
          <w:sz w:val="24"/>
        </w:rPr>
        <w:t>或合同章</w:t>
      </w:r>
      <w:r>
        <w:rPr>
          <w:sz w:val="24"/>
        </w:rPr>
        <w:t>）：</w:t>
      </w:r>
    </w:p>
    <w:p>
      <w:pPr>
        <w:rPr>
          <w:rFonts w:hint="eastAsia"/>
          <w:sz w:val="24"/>
        </w:rPr>
      </w:pPr>
      <w:r>
        <w:rPr>
          <w:rFonts w:hint="eastAsia"/>
          <w:sz w:val="24"/>
        </w:rPr>
        <w:t>甲方代表</w:t>
      </w:r>
      <w:r>
        <w:rPr>
          <w:sz w:val="24"/>
        </w:rPr>
        <w:t xml:space="preserve">或授权人签字：            </w:t>
      </w:r>
      <w:r>
        <w:rPr>
          <w:rFonts w:hint="eastAsia"/>
          <w:sz w:val="24"/>
        </w:rPr>
        <w:t>乙方代表</w:t>
      </w:r>
      <w:r>
        <w:rPr>
          <w:sz w:val="24"/>
        </w:rPr>
        <w:t>或授权人签字：</w:t>
      </w:r>
    </w:p>
    <w:p>
      <w:pPr>
        <w:rPr>
          <w:rFonts w:hint="eastAsia"/>
          <w:sz w:val="24"/>
        </w:rPr>
      </w:pPr>
      <w:r>
        <w:rPr>
          <w:sz w:val="24"/>
        </w:rPr>
        <w:t xml:space="preserve">日期： 年  月  日                 日期：   年   月   日    </w:t>
      </w:r>
    </w:p>
    <w:p>
      <w:pPr>
        <w:rPr>
          <w:rFonts w:hint="eastAsia"/>
          <w:sz w:val="24"/>
        </w:rPr>
      </w:pPr>
      <w:r>
        <w:rPr>
          <w:sz w:val="24"/>
        </w:rPr>
        <w:t>联系人:                           联系人：</w:t>
      </w:r>
    </w:p>
    <w:p>
      <w:pPr>
        <w:rPr>
          <w:rFonts w:hint="eastAsia"/>
          <w:sz w:val="24"/>
        </w:rPr>
      </w:pPr>
      <w:r>
        <w:rPr>
          <w:sz w:val="24"/>
        </w:rPr>
        <w:t>电话:                             电话：</w:t>
      </w:r>
    </w:p>
    <w:p>
      <w:pPr>
        <w:rPr>
          <w:rFonts w:hint="eastAsia"/>
          <w:sz w:val="24"/>
        </w:rPr>
      </w:pPr>
      <w:r>
        <w:rPr>
          <w:sz w:val="24"/>
        </w:rPr>
        <w:t>地址：                            地址：</w:t>
      </w:r>
    </w:p>
    <w:p>
      <w:pPr>
        <w:widowControl w:val="0"/>
        <w:shd w:val="clear" w:color="auto" w:fill="auto"/>
        <w:tabs>
          <w:tab w:val="clear" w:pos="426"/>
        </w:tabs>
        <w:adjustRightInd/>
        <w:snapToGrid/>
        <w:spacing w:line="240" w:lineRule="auto"/>
        <w:rPr>
          <w:rFonts w:ascii="Calibri" w:hAnsi="Calibri" w:cs="Times New Roman"/>
          <w:kern w:val="2"/>
        </w:rPr>
      </w:pPr>
    </w:p>
    <w:p>
      <w:pPr>
        <w:shd w:val="clear" w:color="auto" w:fill="auto"/>
        <w:tabs>
          <w:tab w:val="clear" w:pos="426"/>
        </w:tabs>
        <w:adjustRightInd/>
        <w:snapToGrid/>
        <w:spacing w:line="240" w:lineRule="auto"/>
        <w:jc w:val="left"/>
        <w:rPr>
          <w:rFonts w:ascii="Calibri" w:hAnsi="Calibri" w:cs="Times New Roman"/>
          <w:kern w:val="2"/>
        </w:rPr>
      </w:pPr>
      <w:r>
        <w:rPr>
          <w:rFonts w:ascii="Calibri" w:hAnsi="Calibri" w:cs="Times New Roman"/>
          <w:kern w:val="2"/>
        </w:rPr>
        <w:br w:type="page"/>
      </w:r>
    </w:p>
    <w:p>
      <w:pPr>
        <w:rPr>
          <w:rFonts w:hint="eastAsia"/>
          <w:color w:val="000000"/>
          <w:sz w:val="24"/>
        </w:rPr>
      </w:pPr>
      <w:r>
        <w:rPr>
          <w:rFonts w:hint="eastAsia"/>
          <w:color w:val="000000"/>
          <w:sz w:val="24"/>
        </w:rPr>
        <w:t>附件1：</w:t>
      </w:r>
      <w:r>
        <w:rPr>
          <w:rFonts w:hint="eastAsia"/>
          <w:bCs/>
          <w:color w:val="000000"/>
          <w:sz w:val="24"/>
        </w:rPr>
        <w:t>分项报价表、设备配置清单和技术偏离表</w:t>
      </w:r>
    </w:p>
    <w:p>
      <w:pPr>
        <w:shd w:val="clear" w:color="auto" w:fill="auto"/>
        <w:tabs>
          <w:tab w:val="clear" w:pos="426"/>
        </w:tabs>
        <w:adjustRightInd/>
        <w:snapToGrid/>
        <w:spacing w:line="240" w:lineRule="auto"/>
        <w:jc w:val="left"/>
        <w:rPr>
          <w:rFonts w:hint="eastAsia"/>
          <w:bCs/>
          <w:color w:val="000000"/>
          <w:sz w:val="24"/>
        </w:rPr>
      </w:pPr>
      <w:r>
        <w:rPr>
          <w:rFonts w:hint="eastAsia"/>
          <w:bCs/>
          <w:color w:val="000000"/>
          <w:sz w:val="24"/>
        </w:rPr>
        <w:br w:type="page"/>
      </w:r>
    </w:p>
    <w:p>
      <w:pPr>
        <w:rPr>
          <w:rFonts w:hint="eastAsia"/>
          <w:bCs/>
          <w:color w:val="000000"/>
          <w:sz w:val="24"/>
        </w:rPr>
      </w:pPr>
      <w:r>
        <w:rPr>
          <w:bCs/>
          <w:color w:val="000000"/>
          <w:sz w:val="24"/>
        </w:rPr>
        <w:t>附件</w:t>
      </w:r>
      <w:r>
        <w:rPr>
          <w:rFonts w:hint="eastAsia"/>
          <w:bCs/>
          <w:color w:val="000000"/>
          <w:sz w:val="24"/>
        </w:rPr>
        <w:t>2：</w:t>
      </w:r>
      <w:r>
        <w:rPr>
          <w:bCs/>
          <w:color w:val="000000"/>
          <w:sz w:val="24"/>
        </w:rPr>
        <w:t>培训方案</w:t>
      </w:r>
    </w:p>
    <w:p>
      <w:pPr>
        <w:shd w:val="clear" w:color="auto" w:fill="auto"/>
        <w:tabs>
          <w:tab w:val="clear" w:pos="426"/>
        </w:tabs>
        <w:adjustRightInd/>
        <w:snapToGrid/>
        <w:spacing w:line="240" w:lineRule="auto"/>
        <w:jc w:val="left"/>
        <w:rPr>
          <w:rFonts w:hint="eastAsia"/>
          <w:bCs/>
          <w:color w:val="000000"/>
          <w:sz w:val="24"/>
        </w:rPr>
      </w:pPr>
      <w:r>
        <w:rPr>
          <w:rFonts w:hint="eastAsia"/>
          <w:bCs/>
          <w:color w:val="000000"/>
          <w:sz w:val="24"/>
        </w:rPr>
        <w:br w:type="page"/>
      </w:r>
    </w:p>
    <w:p>
      <w:pPr>
        <w:rPr>
          <w:rFonts w:hint="eastAsia"/>
          <w:bCs/>
          <w:color w:val="000000"/>
          <w:sz w:val="24"/>
        </w:rPr>
      </w:pPr>
      <w:r>
        <w:rPr>
          <w:rFonts w:hint="eastAsia"/>
          <w:bCs/>
          <w:color w:val="000000"/>
          <w:sz w:val="24"/>
        </w:rPr>
        <w:t>附件3：技术支持及售后服务方案</w:t>
      </w:r>
    </w:p>
    <w:p>
      <w:pPr>
        <w:widowControl w:val="0"/>
        <w:shd w:val="clear" w:color="auto" w:fill="auto"/>
        <w:tabs>
          <w:tab w:val="clear" w:pos="426"/>
        </w:tabs>
        <w:adjustRightInd/>
        <w:snapToGrid/>
        <w:spacing w:line="240" w:lineRule="auto"/>
        <w:rPr>
          <w:rFonts w:ascii="Calibri" w:hAnsi="Calibri" w:cs="Times New Roman"/>
          <w:kern w:val="2"/>
        </w:rPr>
      </w:pPr>
    </w:p>
    <w:p>
      <w:pPr>
        <w:pStyle w:val="62"/>
      </w:pPr>
      <w:r>
        <w:br w:type="page"/>
      </w:r>
      <w:bookmarkEnd w:id="79"/>
      <w:bookmarkEnd w:id="80"/>
      <w:bookmarkStart w:id="93" w:name="_Toc4933"/>
      <w:r>
        <w:rPr>
          <w:rFonts w:hint="eastAsia"/>
        </w:rPr>
        <w:t>第六章 投标资料表</w:t>
      </w:r>
      <w:bookmarkEnd w:id="93"/>
    </w:p>
    <w:p>
      <w:pPr>
        <w:tabs>
          <w:tab w:val="clear" w:pos="426"/>
        </w:tabs>
        <w:spacing w:line="276" w:lineRule="auto"/>
        <w:rPr>
          <w:rFonts w:hint="eastAsia" w:asciiTheme="minorEastAsia" w:hAnsiTheme="minorEastAsia" w:eastAsiaTheme="minorEastAsia"/>
        </w:rPr>
      </w:pPr>
    </w:p>
    <w:p>
      <w:pPr>
        <w:tabs>
          <w:tab w:val="clear" w:pos="426"/>
        </w:tabs>
        <w:spacing w:line="276" w:lineRule="auto"/>
        <w:rPr>
          <w:rFonts w:hint="eastAsia" w:asciiTheme="minorEastAsia" w:hAnsiTheme="minorEastAsia" w:eastAsiaTheme="minorEastAsia"/>
        </w:rPr>
      </w:pP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投标文件组成：</w:t>
      </w:r>
    </w:p>
    <w:p>
      <w:pPr>
        <w:tabs>
          <w:tab w:val="clear" w:pos="426"/>
        </w:tabs>
        <w:spacing w:line="276" w:lineRule="auto"/>
        <w:rPr>
          <w:rFonts w:hint="eastAsia" w:asciiTheme="minorEastAsia" w:hAnsiTheme="minorEastAsia" w:eastAsiaTheme="minorEastAsia"/>
        </w:rPr>
      </w:pP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密封袋封条格式</w:t>
      </w: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投标文件封面格式</w:t>
      </w: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目录（目录格式自定）</w:t>
      </w: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评标指引表</w:t>
      </w:r>
    </w:p>
    <w:p>
      <w:pPr>
        <w:pStyle w:val="315"/>
        <w:numPr>
          <w:ilvl w:val="255"/>
          <w:numId w:val="0"/>
        </w:numPr>
        <w:spacing w:line="240" w:lineRule="auto"/>
        <w:ind w:left="567" w:leftChars="270"/>
        <w:rPr>
          <w:rFonts w:hint="eastAsia" w:asciiTheme="minorEastAsia" w:hAnsiTheme="minorEastAsia" w:eastAsiaTheme="minorEastAsia"/>
          <w:bCs/>
          <w:sz w:val="21"/>
          <w:szCs w:val="21"/>
        </w:rPr>
      </w:pPr>
      <w:r>
        <w:rPr>
          <w:rFonts w:hint="eastAsia" w:asciiTheme="minorEastAsia" w:hAnsiTheme="minorEastAsia" w:eastAsiaTheme="minorEastAsia"/>
          <w:sz w:val="21"/>
          <w:szCs w:val="21"/>
        </w:rPr>
        <w:t>格式1：投标函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格式2：法定代表人（单位负责人）证明书</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格式3：授权委托书</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格式4：资格条款偏离表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格式5：法人或者其他组织的营业执照等证明文件</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格式6：投标人资格声明函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格式7：开标一览表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格式8：投标分项报价表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格式9：技术规格偏离表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格式10：技术保障措施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格式11：售后服务方案</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格式12：商务条款偏离表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格式13：投标人综合概况简表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格式14：企业类型声明函（可选）</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格式15：残疾人福利性单位声明函（可选）</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格式16：同类项目业绩情况</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格式17：相关认证情况</w:t>
      </w:r>
      <w:r>
        <w:rPr>
          <w:rFonts w:hint="eastAsia" w:asciiTheme="minorEastAsia" w:hAnsiTheme="minorEastAsia" w:eastAsiaTheme="minorEastAsia"/>
          <w:sz w:val="21"/>
          <w:szCs w:val="21"/>
        </w:rPr>
        <w:cr/>
      </w:r>
    </w:p>
    <w:p>
      <w:pPr>
        <w:adjustRightInd/>
        <w:snapToGrid/>
        <w:spacing w:before="280" w:after="290" w:line="377" w:lineRule="auto"/>
        <w:jc w:val="center"/>
        <w:rPr>
          <w:rFonts w:hint="eastAsia"/>
        </w:rPr>
      </w:pPr>
      <w:r>
        <w:br w:type="page"/>
      </w:r>
      <w:bookmarkStart w:id="94" w:name="_Toc528170806"/>
      <w:bookmarkStart w:id="95" w:name="_Toc518464366"/>
      <w:bookmarkStart w:id="96" w:name="_Toc528675178"/>
    </w:p>
    <w:p>
      <w:pPr>
        <w:pStyle w:val="62"/>
      </w:pPr>
      <w:bookmarkStart w:id="97" w:name="_Toc25551"/>
      <w:r>
        <w:rPr>
          <w:rFonts w:hint="eastAsia"/>
        </w:rPr>
        <w:t>第七章 投标文件格式</w:t>
      </w:r>
      <w:bookmarkEnd w:id="97"/>
    </w:p>
    <w:p>
      <w:pPr>
        <w:adjustRightInd/>
        <w:snapToGrid/>
        <w:spacing w:before="280" w:after="290" w:line="377" w:lineRule="auto"/>
        <w:jc w:val="center"/>
        <w:outlineLvl w:val="2"/>
        <w:rPr>
          <w:rFonts w:hint="eastAsia"/>
          <w:b/>
          <w:sz w:val="24"/>
        </w:rPr>
      </w:pPr>
      <w:bookmarkStart w:id="98" w:name="_Toc20740"/>
      <w:r>
        <w:rPr>
          <w:rFonts w:hint="eastAsia"/>
          <w:b/>
          <w:sz w:val="24"/>
        </w:rPr>
        <w:t>投标文件编制说明</w:t>
      </w:r>
      <w:bookmarkEnd w:id="98"/>
    </w:p>
    <w:p>
      <w:pPr>
        <w:tabs>
          <w:tab w:val="clear" w:pos="426"/>
        </w:tabs>
        <w:spacing w:line="276" w:lineRule="auto"/>
        <w:ind w:firstLine="420" w:firstLineChars="200"/>
        <w:rPr>
          <w:rFonts w:hint="eastAsia"/>
        </w:rPr>
      </w:pPr>
      <w:r>
        <w:rPr>
          <w:rFonts w:hint="eastAsia"/>
        </w:rPr>
        <w:t>投标供应商在编辑投标文件时，应严格按照招标文件提供的格式进行编写，因未按要求编写导致投标文件不予受理、无效标或废标的，一切后果由供应商自行承担。</w:t>
      </w:r>
    </w:p>
    <w:p>
      <w:pPr>
        <w:adjustRightInd/>
        <w:snapToGrid/>
        <w:spacing w:before="280" w:after="290" w:line="377" w:lineRule="auto"/>
        <w:jc w:val="center"/>
        <w:rPr>
          <w:rFonts w:hint="eastAsia"/>
          <w:b/>
          <w:sz w:val="24"/>
        </w:rPr>
      </w:pPr>
    </w:p>
    <w:p>
      <w:pPr>
        <w:rPr>
          <w:rFonts w:hint="eastAsia"/>
          <w:b/>
          <w:sz w:val="24"/>
        </w:rPr>
      </w:pPr>
      <w:r>
        <w:rPr>
          <w:rFonts w:hint="eastAsia"/>
          <w:b/>
          <w:sz w:val="24"/>
        </w:rPr>
        <w:br w:type="page"/>
      </w:r>
    </w:p>
    <w:p>
      <w:pPr>
        <w:adjustRightInd/>
        <w:snapToGrid/>
        <w:spacing w:before="280" w:after="290" w:line="377" w:lineRule="auto"/>
        <w:jc w:val="center"/>
        <w:rPr>
          <w:rFonts w:hint="eastAsia"/>
          <w:b/>
          <w:sz w:val="24"/>
        </w:rPr>
      </w:pPr>
      <w:r>
        <w:rPr>
          <w:rFonts w:hint="eastAsia"/>
          <w:b/>
          <w:sz w:val="24"/>
        </w:rPr>
        <w:t>密封袋封条格式</w:t>
      </w:r>
      <w:bookmarkEnd w:id="94"/>
      <w:bookmarkEnd w:id="95"/>
      <w:bookmarkEnd w:id="96"/>
    </w:p>
    <w:p>
      <w:pPr>
        <w:tabs>
          <w:tab w:val="clear" w:pos="426"/>
        </w:tabs>
        <w:jc w:val="center"/>
        <w:rPr>
          <w:rFonts w:hint="eastAsia"/>
          <w:sz w:val="44"/>
          <w:szCs w:val="44"/>
          <w:u w:val="single"/>
        </w:rPr>
      </w:pPr>
    </w:p>
    <w:p>
      <w:pPr>
        <w:tabs>
          <w:tab w:val="clear" w:pos="426"/>
        </w:tabs>
        <w:jc w:val="center"/>
        <w:rPr>
          <w:rFonts w:hint="eastAsia"/>
          <w:sz w:val="44"/>
          <w:szCs w:val="44"/>
        </w:rPr>
      </w:pPr>
      <w:r>
        <w:rPr>
          <w:rFonts w:hint="eastAsia"/>
          <w:sz w:val="44"/>
          <w:szCs w:val="44"/>
          <w:u w:val="single"/>
        </w:rPr>
        <w:t>深圳海关动植物检验检疫技术中心“超高效液相色谱-三重四极杆质谱仪”设备采购项目</w:t>
      </w:r>
    </w:p>
    <w:p>
      <w:pPr>
        <w:tabs>
          <w:tab w:val="clear" w:pos="426"/>
        </w:tabs>
        <w:jc w:val="center"/>
        <w:rPr>
          <w:rFonts w:hint="eastAsia"/>
        </w:rPr>
      </w:pPr>
    </w:p>
    <w:p>
      <w:pPr>
        <w:tabs>
          <w:tab w:val="clear" w:pos="426"/>
        </w:tabs>
        <w:jc w:val="center"/>
        <w:rPr>
          <w:rFonts w:hint="eastAsia"/>
        </w:rPr>
      </w:pPr>
    </w:p>
    <w:p>
      <w:pPr>
        <w:tabs>
          <w:tab w:val="clear" w:pos="426"/>
        </w:tabs>
        <w:jc w:val="center"/>
        <w:rPr>
          <w:rFonts w:hint="eastAsia"/>
          <w:sz w:val="52"/>
          <w:szCs w:val="52"/>
        </w:rPr>
      </w:pPr>
      <w:r>
        <w:rPr>
          <w:rFonts w:hint="eastAsia"/>
          <w:sz w:val="52"/>
          <w:szCs w:val="52"/>
        </w:rPr>
        <w:t>□投标文件</w:t>
      </w:r>
    </w:p>
    <w:p>
      <w:pPr>
        <w:tabs>
          <w:tab w:val="clear" w:pos="426"/>
        </w:tabs>
        <w:jc w:val="center"/>
        <w:rPr>
          <w:rFonts w:hint="eastAsia"/>
          <w:sz w:val="52"/>
          <w:szCs w:val="52"/>
        </w:rPr>
      </w:pPr>
      <w:r>
        <w:rPr>
          <w:rFonts w:hint="eastAsia"/>
          <w:sz w:val="52"/>
          <w:szCs w:val="52"/>
        </w:rPr>
        <w:t>□开标信封</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ind w:left="708" w:leftChars="337" w:right="706" w:rightChars="336"/>
        <w:rPr>
          <w:rFonts w:hint="eastAsia"/>
          <w:sz w:val="28"/>
          <w:szCs w:val="28"/>
        </w:rPr>
      </w:pPr>
      <w:r>
        <w:rPr>
          <w:rFonts w:hint="eastAsia"/>
          <w:sz w:val="28"/>
          <w:szCs w:val="28"/>
        </w:rPr>
        <w:t>项目编号：</w:t>
      </w:r>
    </w:p>
    <w:p>
      <w:pPr>
        <w:tabs>
          <w:tab w:val="clear" w:pos="426"/>
        </w:tabs>
        <w:ind w:left="708" w:leftChars="337"/>
        <w:rPr>
          <w:rFonts w:hint="eastAsia"/>
          <w:sz w:val="28"/>
          <w:szCs w:val="28"/>
        </w:rPr>
      </w:pPr>
      <w:r>
        <w:rPr>
          <w:rFonts w:hint="eastAsia"/>
          <w:sz w:val="28"/>
          <w:szCs w:val="28"/>
        </w:rPr>
        <w:t>投标供应商名称（公章)：</w:t>
      </w:r>
    </w:p>
    <w:p>
      <w:pPr>
        <w:tabs>
          <w:tab w:val="clear" w:pos="426"/>
        </w:tabs>
        <w:ind w:left="708" w:leftChars="337"/>
        <w:rPr>
          <w:rFonts w:hint="eastAsia"/>
          <w:sz w:val="28"/>
          <w:szCs w:val="28"/>
        </w:rPr>
      </w:pPr>
      <w:r>
        <w:rPr>
          <w:rFonts w:hint="eastAsia"/>
          <w:sz w:val="28"/>
          <w:szCs w:val="28"/>
        </w:rPr>
        <w:t>投标供应商代表（签字或盖章）：</w:t>
      </w:r>
    </w:p>
    <w:p>
      <w:pPr>
        <w:tabs>
          <w:tab w:val="clear" w:pos="426"/>
        </w:tabs>
        <w:ind w:left="708" w:leftChars="337"/>
        <w:rPr>
          <w:rFonts w:hint="eastAsia"/>
          <w:sz w:val="28"/>
          <w:szCs w:val="28"/>
        </w:rPr>
      </w:pPr>
      <w:r>
        <w:rPr>
          <w:rFonts w:hint="eastAsia"/>
          <w:sz w:val="28"/>
          <w:szCs w:val="28"/>
        </w:rPr>
        <w:t>投标截止日期：_</w:t>
      </w:r>
      <w:r>
        <w:rPr>
          <w:sz w:val="28"/>
          <w:szCs w:val="28"/>
        </w:rPr>
        <w:t>___</w:t>
      </w:r>
      <w:r>
        <w:rPr>
          <w:rFonts w:hint="eastAsia"/>
          <w:sz w:val="28"/>
          <w:szCs w:val="28"/>
        </w:rPr>
        <w:t>______年____月____日____时____分（</w:t>
      </w:r>
      <w:r>
        <w:rPr>
          <w:sz w:val="28"/>
          <w:szCs w:val="28"/>
        </w:rPr>
        <w:t>前不得开封</w:t>
      </w:r>
      <w:r>
        <w:rPr>
          <w:rFonts w:hint="eastAsia"/>
          <w:sz w:val="28"/>
          <w:szCs w:val="28"/>
        </w:rPr>
        <w:t>）</w:t>
      </w:r>
    </w:p>
    <w:p>
      <w:pPr>
        <w:adjustRightInd/>
        <w:snapToGrid/>
        <w:spacing w:before="280" w:after="290" w:line="377" w:lineRule="auto"/>
        <w:jc w:val="center"/>
        <w:rPr>
          <w:rFonts w:hint="eastAsia"/>
          <w:b/>
          <w:sz w:val="24"/>
        </w:rPr>
      </w:pPr>
      <w:r>
        <w:br w:type="page"/>
      </w:r>
      <w:bookmarkStart w:id="99" w:name="_Toc528675179"/>
      <w:bookmarkStart w:id="100" w:name="_Toc528170807"/>
      <w:bookmarkStart w:id="101" w:name="_Toc518464367"/>
      <w:r>
        <w:rPr>
          <w:rFonts w:hint="eastAsia"/>
          <w:b/>
          <w:sz w:val="24"/>
        </w:rPr>
        <w:t>投标文件封面格式</w:t>
      </w:r>
      <w:bookmarkEnd w:id="99"/>
      <w:bookmarkEnd w:id="100"/>
      <w:bookmarkEnd w:id="101"/>
    </w:p>
    <w:p>
      <w:pPr>
        <w:tabs>
          <w:tab w:val="clear" w:pos="426"/>
        </w:tabs>
        <w:jc w:val="right"/>
        <w:rPr>
          <w:rFonts w:hint="eastAsia"/>
          <w:sz w:val="44"/>
          <w:szCs w:val="44"/>
          <w:u w:val="single"/>
        </w:rPr>
      </w:pPr>
      <w:r>
        <w:rPr>
          <w:rFonts w:hint="eastAsia"/>
          <w:sz w:val="44"/>
          <w:szCs w:val="44"/>
          <w:u w:val="single"/>
        </w:rPr>
        <w:t>正/副本</w:t>
      </w:r>
    </w:p>
    <w:p>
      <w:pPr>
        <w:tabs>
          <w:tab w:val="clear" w:pos="426"/>
        </w:tabs>
        <w:jc w:val="center"/>
        <w:rPr>
          <w:rFonts w:hint="eastAsia"/>
          <w:sz w:val="44"/>
          <w:szCs w:val="44"/>
          <w:u w:val="single"/>
        </w:rPr>
      </w:pPr>
    </w:p>
    <w:p>
      <w:pPr>
        <w:tabs>
          <w:tab w:val="clear" w:pos="426"/>
        </w:tabs>
        <w:jc w:val="center"/>
        <w:rPr>
          <w:rFonts w:hint="eastAsia"/>
          <w:sz w:val="44"/>
          <w:szCs w:val="44"/>
        </w:rPr>
      </w:pPr>
      <w:r>
        <w:rPr>
          <w:rFonts w:hint="eastAsia"/>
          <w:sz w:val="44"/>
          <w:szCs w:val="44"/>
          <w:u w:val="single"/>
        </w:rPr>
        <w:t>深圳海关动植物检验检疫技术中心“超高效液相色谱-三重四极杆质谱仪”设备采购项目</w:t>
      </w:r>
    </w:p>
    <w:p>
      <w:pPr>
        <w:tabs>
          <w:tab w:val="clear" w:pos="426"/>
        </w:tabs>
        <w:jc w:val="center"/>
        <w:rPr>
          <w:rFonts w:hint="eastAsia"/>
        </w:rPr>
      </w:pPr>
    </w:p>
    <w:p>
      <w:pPr>
        <w:tabs>
          <w:tab w:val="clear" w:pos="426"/>
        </w:tabs>
        <w:jc w:val="center"/>
        <w:rPr>
          <w:rFonts w:hint="eastAsia"/>
        </w:rPr>
      </w:pPr>
    </w:p>
    <w:p>
      <w:pPr>
        <w:tabs>
          <w:tab w:val="clear" w:pos="426"/>
        </w:tabs>
        <w:jc w:val="center"/>
        <w:rPr>
          <w:rFonts w:hint="eastAsia"/>
          <w:sz w:val="52"/>
          <w:szCs w:val="52"/>
        </w:rPr>
      </w:pPr>
      <w:r>
        <w:rPr>
          <w:rFonts w:hint="eastAsia"/>
          <w:sz w:val="52"/>
          <w:szCs w:val="52"/>
        </w:rPr>
        <w:t>投标文件</w:t>
      </w:r>
    </w:p>
    <w:p>
      <w:pPr>
        <w:tabs>
          <w:tab w:val="clear" w:pos="426"/>
        </w:tabs>
        <w:jc w:val="center"/>
        <w:rPr>
          <w:rFonts w:hint="eastAsia"/>
        </w:rPr>
      </w:pPr>
    </w:p>
    <w:p>
      <w:pPr>
        <w:tabs>
          <w:tab w:val="clear" w:pos="426"/>
        </w:tabs>
        <w:jc w:val="center"/>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ind w:left="1275" w:leftChars="607"/>
        <w:rPr>
          <w:rFonts w:hint="eastAsia"/>
          <w:sz w:val="28"/>
          <w:szCs w:val="28"/>
        </w:rPr>
      </w:pPr>
      <w:r>
        <w:rPr>
          <w:rFonts w:hint="eastAsia"/>
          <w:sz w:val="28"/>
          <w:szCs w:val="28"/>
        </w:rPr>
        <w:t>项目编号：</w:t>
      </w:r>
    </w:p>
    <w:p>
      <w:pPr>
        <w:tabs>
          <w:tab w:val="clear" w:pos="426"/>
        </w:tabs>
        <w:ind w:left="1275" w:leftChars="607"/>
        <w:rPr>
          <w:rFonts w:hint="eastAsia"/>
          <w:sz w:val="28"/>
          <w:szCs w:val="28"/>
        </w:rPr>
      </w:pPr>
      <w:r>
        <w:rPr>
          <w:rFonts w:hint="eastAsia"/>
          <w:sz w:val="28"/>
          <w:szCs w:val="28"/>
        </w:rPr>
        <w:t>投标供应商名称（公章)：</w:t>
      </w:r>
    </w:p>
    <w:p>
      <w:pPr>
        <w:tabs>
          <w:tab w:val="clear" w:pos="426"/>
        </w:tabs>
        <w:ind w:left="1275" w:leftChars="607"/>
        <w:rPr>
          <w:rFonts w:hint="eastAsia"/>
          <w:sz w:val="28"/>
          <w:szCs w:val="28"/>
        </w:rPr>
      </w:pPr>
      <w:r>
        <w:rPr>
          <w:rFonts w:hint="eastAsia"/>
          <w:sz w:val="28"/>
          <w:szCs w:val="28"/>
        </w:rPr>
        <w:t>投标供应商代表（签字或盖章）：</w:t>
      </w:r>
    </w:p>
    <w:p>
      <w:pPr>
        <w:tabs>
          <w:tab w:val="clear" w:pos="426"/>
        </w:tabs>
        <w:ind w:left="1275" w:leftChars="607"/>
        <w:rPr>
          <w:rFonts w:hint="eastAsia"/>
          <w:sz w:val="28"/>
          <w:szCs w:val="28"/>
        </w:rPr>
      </w:pPr>
      <w:r>
        <w:rPr>
          <w:rFonts w:hint="eastAsia"/>
          <w:sz w:val="28"/>
          <w:szCs w:val="28"/>
        </w:rPr>
        <w:t>投标日期：_</w:t>
      </w:r>
      <w:r>
        <w:rPr>
          <w:sz w:val="28"/>
          <w:szCs w:val="28"/>
        </w:rPr>
        <w:t>___</w:t>
      </w:r>
      <w:r>
        <w:rPr>
          <w:rFonts w:hint="eastAsia"/>
          <w:sz w:val="28"/>
          <w:szCs w:val="28"/>
        </w:rPr>
        <w:t>______年____月____日</w:t>
      </w:r>
    </w:p>
    <w:p>
      <w:pPr>
        <w:tabs>
          <w:tab w:val="clear" w:pos="426"/>
        </w:tabs>
        <w:rPr>
          <w:rFonts w:hint="eastAsia"/>
        </w:rPr>
      </w:pPr>
    </w:p>
    <w:p>
      <w:pPr>
        <w:adjustRightInd/>
        <w:snapToGrid/>
        <w:spacing w:before="280" w:after="290" w:line="377" w:lineRule="auto"/>
        <w:jc w:val="center"/>
        <w:rPr>
          <w:rFonts w:hint="eastAsia"/>
          <w:b/>
          <w:sz w:val="24"/>
        </w:rPr>
      </w:pPr>
      <w:r>
        <w:br w:type="page"/>
      </w:r>
      <w:bookmarkStart w:id="102" w:name="_Toc528170808"/>
      <w:bookmarkStart w:id="103" w:name="_Toc518464368"/>
      <w:bookmarkStart w:id="104" w:name="_Toc528675180"/>
      <w:r>
        <w:rPr>
          <w:rFonts w:hint="eastAsia"/>
          <w:b/>
          <w:sz w:val="24"/>
        </w:rPr>
        <w:t>投标文件目录（目录格式自定）</w:t>
      </w:r>
      <w:bookmarkEnd w:id="102"/>
      <w:bookmarkEnd w:id="103"/>
      <w:bookmarkEnd w:id="104"/>
    </w:p>
    <w:p>
      <w:pPr>
        <w:tabs>
          <w:tab w:val="clear" w:pos="426"/>
        </w:tabs>
        <w:rPr>
          <w:rFonts w:hint="eastAsia"/>
        </w:rPr>
      </w:pPr>
      <w:r>
        <w:rPr>
          <w:rFonts w:hint="eastAsia"/>
        </w:rPr>
        <w:t>按照招标文件的要求编制投标文件相应内容，请标明各部分内容的页码。</w:t>
      </w:r>
    </w:p>
    <w:p>
      <w:pPr>
        <w:tabs>
          <w:tab w:val="clear" w:pos="426"/>
        </w:tabs>
        <w:rPr>
          <w:rFonts w:hint="eastAsia"/>
        </w:rPr>
      </w:pPr>
    </w:p>
    <w:p>
      <w:pPr>
        <w:tabs>
          <w:tab w:val="clear" w:pos="426"/>
        </w:tabs>
        <w:rPr>
          <w:rFonts w:hint="eastAsia"/>
        </w:rPr>
      </w:pPr>
    </w:p>
    <w:p>
      <w:pPr>
        <w:adjustRightInd/>
        <w:snapToGrid/>
        <w:spacing w:before="280" w:after="290" w:line="377" w:lineRule="auto"/>
        <w:jc w:val="center"/>
        <w:rPr>
          <w:rFonts w:hint="eastAsia"/>
          <w:b/>
          <w:sz w:val="24"/>
        </w:rPr>
      </w:pPr>
      <w:r>
        <w:br w:type="page"/>
      </w:r>
      <w:bookmarkStart w:id="105" w:name="_Toc528675181"/>
      <w:bookmarkStart w:id="106" w:name="_Toc528170809"/>
      <w:bookmarkStart w:id="107" w:name="_Toc518464369"/>
      <w:r>
        <w:rPr>
          <w:rFonts w:hint="eastAsia"/>
          <w:b/>
          <w:sz w:val="24"/>
        </w:rPr>
        <w:t>评标指引表</w:t>
      </w:r>
      <w:bookmarkEnd w:id="105"/>
      <w:bookmarkEnd w:id="106"/>
      <w:bookmarkEnd w:id="107"/>
    </w:p>
    <w:p>
      <w:pPr>
        <w:tabs>
          <w:tab w:val="clear" w:pos="426"/>
        </w:tabs>
        <w:jc w:val="center"/>
        <w:rPr>
          <w:rFonts w:hint="eastAsia"/>
          <w:b/>
        </w:rPr>
      </w:pPr>
      <w:r>
        <w:rPr>
          <w:rFonts w:hint="eastAsia"/>
          <w:b/>
        </w:rPr>
        <w:t>（置于投标文件的首页）</w:t>
      </w:r>
    </w:p>
    <w:p>
      <w:pPr>
        <w:tabs>
          <w:tab w:val="clear" w:pos="426"/>
        </w:tabs>
        <w:ind w:firstLine="420" w:firstLineChars="200"/>
        <w:rPr>
          <w:rFonts w:hint="eastAsia"/>
        </w:rPr>
      </w:pPr>
      <w:r>
        <w:rPr>
          <w:rFonts w:hint="eastAsia"/>
          <w:szCs w:val="21"/>
        </w:rPr>
        <w:t>为方便参与该项目的评委专家的评标，快速找到评标事项与该项目投标文件所对应的位置，请投标供应商参照下表格式，编制本项目评标指引表。</w:t>
      </w:r>
    </w:p>
    <w:p>
      <w:pPr>
        <w:pStyle w:val="7"/>
        <w:tabs>
          <w:tab w:val="clear" w:pos="426"/>
        </w:tabs>
        <w:ind w:firstLine="0"/>
      </w:pPr>
      <w:r>
        <w:rPr>
          <w:rFonts w:hint="eastAsia"/>
        </w:rPr>
        <w:t>项目名称：</w:t>
      </w:r>
    </w:p>
    <w:p>
      <w:pPr>
        <w:pStyle w:val="7"/>
        <w:tabs>
          <w:tab w:val="clear" w:pos="426"/>
        </w:tabs>
        <w:ind w:firstLine="0"/>
      </w:pPr>
      <w:r>
        <w:rPr>
          <w:rFonts w:hint="eastAsia"/>
        </w:rPr>
        <w:t>项目编号：</w:t>
      </w:r>
    </w:p>
    <w:p>
      <w:pPr>
        <w:tabs>
          <w:tab w:val="clear" w:pos="426"/>
        </w:tabs>
        <w:jc w:val="center"/>
        <w:rPr>
          <w:rFonts w:hint="eastAsia"/>
          <w:b/>
        </w:rPr>
      </w:pPr>
      <w:r>
        <w:rPr>
          <w:rFonts w:hint="eastAsia"/>
          <w:b/>
        </w:rPr>
        <w:t>项目评标指引表</w:t>
      </w:r>
    </w:p>
    <w:tbl>
      <w:tblPr>
        <w:tblStyle w:val="8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rFonts w:hint="eastAsia"/>
                <w:b/>
              </w:rPr>
            </w:pPr>
            <w:r>
              <w:rPr>
                <w:rFonts w:hint="eastAsia"/>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rFonts w:hint="eastAsia"/>
                <w:b/>
              </w:rPr>
            </w:pPr>
            <w:r>
              <w:rPr>
                <w:rFonts w:hint="eastAsia"/>
                <w:b/>
              </w:rPr>
              <w:t>序号</w:t>
            </w:r>
          </w:p>
        </w:tc>
        <w:tc>
          <w:tcPr>
            <w:tcW w:w="4203" w:type="dxa"/>
            <w:gridSpan w:val="2"/>
            <w:vAlign w:val="center"/>
          </w:tcPr>
          <w:p>
            <w:pPr>
              <w:tabs>
                <w:tab w:val="clear" w:pos="426"/>
              </w:tabs>
              <w:adjustRightInd/>
              <w:snapToGrid/>
              <w:spacing w:line="240" w:lineRule="auto"/>
              <w:ind w:firstLine="422"/>
              <w:jc w:val="center"/>
              <w:rPr>
                <w:rFonts w:hint="eastAsia"/>
                <w:b/>
                <w:kern w:val="2"/>
              </w:rPr>
            </w:pPr>
            <w:r>
              <w:rPr>
                <w:rFonts w:hint="eastAsia"/>
                <w:b/>
              </w:rPr>
              <w:t>资格性检查项目</w:t>
            </w:r>
          </w:p>
        </w:tc>
        <w:tc>
          <w:tcPr>
            <w:tcW w:w="3105" w:type="dxa"/>
            <w:gridSpan w:val="3"/>
            <w:vAlign w:val="center"/>
          </w:tcPr>
          <w:p>
            <w:pPr>
              <w:tabs>
                <w:tab w:val="clear" w:pos="426"/>
              </w:tabs>
              <w:adjustRightInd/>
              <w:snapToGrid/>
              <w:spacing w:line="240" w:lineRule="auto"/>
              <w:jc w:val="center"/>
              <w:rPr>
                <w:rFonts w:hint="eastAsia"/>
                <w:b/>
              </w:rPr>
            </w:pPr>
            <w:r>
              <w:rPr>
                <w:rFonts w:hint="eastAsia"/>
                <w:b/>
              </w:rPr>
              <w:t>证明文件</w:t>
            </w:r>
          </w:p>
        </w:tc>
        <w:tc>
          <w:tcPr>
            <w:tcW w:w="1397" w:type="dxa"/>
            <w:vAlign w:val="center"/>
          </w:tcPr>
          <w:p>
            <w:pPr>
              <w:tabs>
                <w:tab w:val="clear" w:pos="426"/>
              </w:tabs>
              <w:adjustRightInd/>
              <w:snapToGrid/>
              <w:spacing w:line="240" w:lineRule="auto"/>
              <w:jc w:val="center"/>
              <w:rPr>
                <w:rFonts w:hint="eastAsia"/>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rFonts w:hint="eastAsia"/>
                <w:b/>
              </w:rPr>
            </w:pPr>
            <w:r>
              <w:rPr>
                <w:rFonts w:hint="eastAsia"/>
                <w:b/>
              </w:rPr>
              <w:t>1</w:t>
            </w:r>
          </w:p>
        </w:tc>
        <w:tc>
          <w:tcPr>
            <w:tcW w:w="4203" w:type="dxa"/>
            <w:gridSpan w:val="2"/>
            <w:vMerge w:val="restart"/>
            <w:vAlign w:val="center"/>
          </w:tcPr>
          <w:p>
            <w:pPr>
              <w:tabs>
                <w:tab w:val="clear" w:pos="426"/>
              </w:tabs>
              <w:adjustRightInd/>
              <w:snapToGrid/>
              <w:spacing w:line="240" w:lineRule="auto"/>
              <w:jc w:val="center"/>
              <w:rPr>
                <w:rFonts w:hint="eastAsia"/>
                <w:b/>
                <w:kern w:val="2"/>
              </w:rPr>
            </w:pPr>
            <w:r>
              <w:rPr>
                <w:rFonts w:hint="eastAsia"/>
              </w:rPr>
              <w:t>申请人的资格要求</w:t>
            </w:r>
          </w:p>
        </w:tc>
        <w:tc>
          <w:tcPr>
            <w:tcW w:w="3105" w:type="dxa"/>
            <w:gridSpan w:val="3"/>
            <w:vAlign w:val="center"/>
          </w:tcPr>
          <w:p>
            <w:pPr>
              <w:tabs>
                <w:tab w:val="clear" w:pos="426"/>
              </w:tabs>
              <w:adjustRightInd/>
              <w:snapToGrid/>
              <w:spacing w:line="240" w:lineRule="auto"/>
              <w:jc w:val="center"/>
              <w:rPr>
                <w:rFonts w:hint="eastAsia"/>
                <w:kern w:val="2"/>
              </w:rPr>
            </w:pPr>
            <w:r>
              <w:rPr>
                <w:rFonts w:hint="eastAsia"/>
              </w:rPr>
              <w:t>营业执照</w:t>
            </w: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rPr>
            </w:pPr>
            <w:r>
              <w:rPr>
                <w:rFonts w:hint="eastAsia"/>
              </w:rPr>
              <w:t>…</w:t>
            </w: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rFonts w:hint="eastAsia"/>
                <w:b/>
                <w:kern w:val="2"/>
              </w:rPr>
            </w:pPr>
            <w:r>
              <w:rPr>
                <w:rFonts w:hint="eastAsia"/>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rFonts w:hint="eastAsia"/>
                <w:b/>
                <w:kern w:val="2"/>
              </w:rPr>
            </w:pPr>
            <w:r>
              <w:rPr>
                <w:rFonts w:hint="eastAsia"/>
                <w:b/>
              </w:rPr>
              <w:t>序号</w:t>
            </w:r>
          </w:p>
        </w:tc>
        <w:tc>
          <w:tcPr>
            <w:tcW w:w="5943" w:type="dxa"/>
            <w:gridSpan w:val="4"/>
            <w:vAlign w:val="center"/>
          </w:tcPr>
          <w:p>
            <w:pPr>
              <w:tabs>
                <w:tab w:val="clear" w:pos="426"/>
              </w:tabs>
              <w:adjustRightInd/>
              <w:snapToGrid/>
              <w:spacing w:line="240" w:lineRule="auto"/>
              <w:jc w:val="center"/>
              <w:rPr>
                <w:rFonts w:hint="eastAsia"/>
                <w:b/>
                <w:kern w:val="2"/>
              </w:rPr>
            </w:pPr>
            <w:r>
              <w:rPr>
                <w:rFonts w:hint="eastAsia"/>
                <w:b/>
              </w:rPr>
              <w:t>符合性审查项目</w:t>
            </w:r>
          </w:p>
        </w:tc>
        <w:tc>
          <w:tcPr>
            <w:tcW w:w="2762" w:type="dxa"/>
            <w:gridSpan w:val="2"/>
            <w:vAlign w:val="center"/>
          </w:tcPr>
          <w:p>
            <w:pPr>
              <w:tabs>
                <w:tab w:val="clear" w:pos="426"/>
              </w:tabs>
              <w:adjustRightInd/>
              <w:snapToGrid/>
              <w:spacing w:line="240" w:lineRule="auto"/>
              <w:jc w:val="center"/>
              <w:rPr>
                <w:rFonts w:hint="eastAsia"/>
                <w:b/>
                <w:kern w:val="2"/>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w:t>
            </w:r>
          </w:p>
        </w:tc>
        <w:tc>
          <w:tcPr>
            <w:tcW w:w="5943" w:type="dxa"/>
            <w:gridSpan w:val="4"/>
            <w:vAlign w:val="center"/>
          </w:tcPr>
          <w:p>
            <w:pPr>
              <w:tabs>
                <w:tab w:val="clear" w:pos="426"/>
              </w:tabs>
              <w:adjustRightInd/>
              <w:snapToGrid/>
              <w:spacing w:line="240" w:lineRule="auto"/>
              <w:rPr>
                <w:rFonts w:hint="eastAsia"/>
              </w:rPr>
            </w:pPr>
            <w:r>
              <w:rPr>
                <w:rFonts w:hint="eastAsia"/>
              </w:rPr>
              <w:t>未出现将一个包或一个标段的内容拆开投标；</w:t>
            </w:r>
          </w:p>
        </w:tc>
        <w:tc>
          <w:tcPr>
            <w:tcW w:w="2762" w:type="dxa"/>
            <w:gridSpan w:val="2"/>
            <w:vAlign w:val="center"/>
          </w:tcPr>
          <w:p>
            <w:pPr>
              <w:tabs>
                <w:tab w:val="clear" w:pos="426"/>
              </w:tabs>
              <w:adjustRightInd/>
              <w:snapToGrid/>
              <w:spacing w:line="240" w:lineRule="auto"/>
              <w:jc w:val="center"/>
              <w:rPr>
                <w:rFonts w:hint="eastAsia"/>
                <w:kern w:val="2"/>
              </w:rPr>
            </w:pPr>
            <w:r>
              <w:rPr>
                <w:rFonts w:hint="eastAsi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2</w:t>
            </w:r>
          </w:p>
        </w:tc>
        <w:tc>
          <w:tcPr>
            <w:tcW w:w="5943" w:type="dxa"/>
            <w:gridSpan w:val="4"/>
            <w:vAlign w:val="center"/>
          </w:tcPr>
          <w:p>
            <w:pPr>
              <w:tabs>
                <w:tab w:val="clear" w:pos="426"/>
              </w:tabs>
              <w:adjustRightInd/>
              <w:snapToGrid/>
              <w:spacing w:line="240" w:lineRule="auto"/>
              <w:rPr>
                <w:rFonts w:hint="eastAsia"/>
              </w:rPr>
            </w:pPr>
            <w:r>
              <w:rPr>
                <w:rFonts w:hint="eastAsia"/>
              </w:rPr>
              <w:t>投标文件及开标一览表按规定密封、签字、盖章</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3</w:t>
            </w:r>
          </w:p>
        </w:tc>
        <w:tc>
          <w:tcPr>
            <w:tcW w:w="5943" w:type="dxa"/>
            <w:gridSpan w:val="4"/>
            <w:vAlign w:val="center"/>
          </w:tcPr>
          <w:p>
            <w:pPr>
              <w:tabs>
                <w:tab w:val="clear" w:pos="426"/>
              </w:tabs>
              <w:adjustRightInd/>
              <w:snapToGrid/>
              <w:spacing w:line="240" w:lineRule="auto"/>
              <w:rPr>
                <w:rFonts w:hint="eastAsia"/>
              </w:rPr>
            </w:pPr>
            <w:r>
              <w:rPr>
                <w:rFonts w:hint="eastAsia"/>
              </w:rPr>
              <w:t>除招标文件规定允许有替代方案外，对同一项目投标时，未提供两套或两套以上的投标方案(招标文件另有规定的除外)；</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4</w:t>
            </w:r>
          </w:p>
        </w:tc>
        <w:tc>
          <w:tcPr>
            <w:tcW w:w="5943" w:type="dxa"/>
            <w:gridSpan w:val="4"/>
            <w:vAlign w:val="center"/>
          </w:tcPr>
          <w:p>
            <w:pPr>
              <w:tabs>
                <w:tab w:val="clear" w:pos="426"/>
              </w:tabs>
              <w:adjustRightInd/>
              <w:snapToGrid/>
              <w:spacing w:line="240" w:lineRule="auto"/>
              <w:rPr>
                <w:rFonts w:hint="eastAsia"/>
              </w:rPr>
            </w:pPr>
            <w:r>
              <w:rPr>
                <w:rFonts w:hint="eastAsia"/>
              </w:rPr>
              <w:t>按照招标文件规定要求签署、盖章；投标文件有法定代表人签字、投标文件签字人有法定代表人有效授权书的；</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5</w:t>
            </w:r>
          </w:p>
        </w:tc>
        <w:tc>
          <w:tcPr>
            <w:tcW w:w="5943" w:type="dxa"/>
            <w:gridSpan w:val="4"/>
            <w:vAlign w:val="center"/>
          </w:tcPr>
          <w:p>
            <w:pPr>
              <w:tabs>
                <w:tab w:val="clear" w:pos="426"/>
              </w:tabs>
              <w:adjustRightInd/>
              <w:snapToGrid/>
              <w:spacing w:line="240" w:lineRule="auto"/>
              <w:rPr>
                <w:rFonts w:hint="eastAsia"/>
              </w:rPr>
            </w:pPr>
            <w:r>
              <w:rPr>
                <w:rFonts w:hint="eastAsia"/>
              </w:rPr>
              <w:t>按招标文件所提供的样式填写</w:t>
            </w:r>
            <w:r>
              <w:t>《</w:t>
            </w:r>
            <w:r>
              <w:rPr>
                <w:rFonts w:hint="eastAsia"/>
              </w:rPr>
              <w:t>投标函》；按招标文件所提供的《投标人资格声明函》进行承诺；</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6</w:t>
            </w:r>
          </w:p>
        </w:tc>
        <w:tc>
          <w:tcPr>
            <w:tcW w:w="5943" w:type="dxa"/>
            <w:gridSpan w:val="4"/>
            <w:vAlign w:val="center"/>
          </w:tcPr>
          <w:p>
            <w:pPr>
              <w:tabs>
                <w:tab w:val="clear" w:pos="426"/>
              </w:tabs>
              <w:adjustRightInd/>
              <w:snapToGrid/>
              <w:spacing w:line="240" w:lineRule="auto"/>
              <w:rPr>
                <w:rFonts w:hint="eastAsia"/>
              </w:rPr>
            </w:pPr>
            <w:r>
              <w:rPr>
                <w:rFonts w:hint="eastAsia"/>
              </w:rPr>
              <w:t>投标总价或分项报价不高于财政预算限额</w:t>
            </w:r>
            <w:r>
              <w:rPr>
                <w:szCs w:val="21"/>
              </w:rPr>
              <w:t>（最高投标限价）</w:t>
            </w:r>
            <w:r>
              <w:rPr>
                <w:rFonts w:hint="eastAsia"/>
              </w:rPr>
              <w:t>；</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7</w:t>
            </w:r>
          </w:p>
        </w:tc>
        <w:tc>
          <w:tcPr>
            <w:tcW w:w="5943" w:type="dxa"/>
            <w:gridSpan w:val="4"/>
            <w:vAlign w:val="center"/>
          </w:tcPr>
          <w:p>
            <w:pPr>
              <w:tabs>
                <w:tab w:val="clear" w:pos="426"/>
              </w:tabs>
              <w:adjustRightInd/>
              <w:snapToGrid/>
              <w:spacing w:line="240" w:lineRule="auto"/>
              <w:rPr>
                <w:rFonts w:hint="eastAsia"/>
              </w:rPr>
            </w:pPr>
            <w:r>
              <w:rPr>
                <w:rFonts w:hint="eastAsia"/>
              </w:rPr>
              <w:t>不存在以下情形：</w:t>
            </w:r>
            <w:r>
              <w:rPr>
                <w:szCs w:val="21"/>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8</w:t>
            </w:r>
          </w:p>
        </w:tc>
        <w:tc>
          <w:tcPr>
            <w:tcW w:w="5943" w:type="dxa"/>
            <w:gridSpan w:val="4"/>
            <w:vAlign w:val="center"/>
          </w:tcPr>
          <w:p>
            <w:pPr>
              <w:tabs>
                <w:tab w:val="clear" w:pos="426"/>
              </w:tabs>
              <w:adjustRightInd/>
              <w:snapToGrid/>
              <w:spacing w:line="240" w:lineRule="auto"/>
              <w:rPr>
                <w:rFonts w:hint="eastAsia"/>
              </w:rPr>
            </w:pPr>
            <w:r>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9</w:t>
            </w:r>
          </w:p>
        </w:tc>
        <w:tc>
          <w:tcPr>
            <w:tcW w:w="5943" w:type="dxa"/>
            <w:gridSpan w:val="4"/>
            <w:vAlign w:val="center"/>
          </w:tcPr>
          <w:p>
            <w:pPr>
              <w:tabs>
                <w:tab w:val="clear" w:pos="426"/>
              </w:tabs>
              <w:adjustRightInd/>
              <w:snapToGrid/>
              <w:spacing w:line="240" w:lineRule="auto"/>
              <w:rPr>
                <w:rFonts w:hint="eastAsia"/>
              </w:rPr>
            </w:pPr>
            <w:r>
              <w:rPr>
                <w:rFonts w:hint="eastAsia"/>
              </w:rPr>
              <w:t>投标文件载明的交货期未超过招标文件规定的期限；</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10</w:t>
            </w:r>
          </w:p>
        </w:tc>
        <w:tc>
          <w:tcPr>
            <w:tcW w:w="5943" w:type="dxa"/>
            <w:gridSpan w:val="4"/>
            <w:vAlign w:val="center"/>
          </w:tcPr>
          <w:p>
            <w:pPr>
              <w:tabs>
                <w:tab w:val="clear" w:pos="426"/>
              </w:tabs>
              <w:adjustRightInd/>
              <w:snapToGrid/>
              <w:spacing w:line="240" w:lineRule="auto"/>
              <w:rPr>
                <w:rFonts w:hint="eastAsia"/>
              </w:rPr>
            </w:pPr>
            <w:r>
              <w:rPr>
                <w:rFonts w:hint="eastAsia"/>
              </w:rPr>
              <w:t>投标文件载明的质量保证期未低于招标文件规定的期限；</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11</w:t>
            </w:r>
          </w:p>
        </w:tc>
        <w:tc>
          <w:tcPr>
            <w:tcW w:w="5943" w:type="dxa"/>
            <w:gridSpan w:val="4"/>
            <w:vAlign w:val="center"/>
          </w:tcPr>
          <w:p>
            <w:pPr>
              <w:tabs>
                <w:tab w:val="clear" w:pos="426"/>
              </w:tabs>
              <w:adjustRightInd/>
              <w:snapToGrid/>
              <w:spacing w:line="240" w:lineRule="auto"/>
              <w:rPr>
                <w:rFonts w:hint="eastAsia"/>
              </w:rPr>
            </w:pPr>
            <w:r>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12</w:t>
            </w:r>
          </w:p>
        </w:tc>
        <w:tc>
          <w:tcPr>
            <w:tcW w:w="5943" w:type="dxa"/>
            <w:gridSpan w:val="4"/>
            <w:vAlign w:val="center"/>
          </w:tcPr>
          <w:p>
            <w:pPr>
              <w:tabs>
                <w:tab w:val="clear" w:pos="426"/>
              </w:tabs>
              <w:adjustRightInd/>
              <w:snapToGrid/>
              <w:spacing w:line="240" w:lineRule="auto"/>
              <w:rPr>
                <w:rFonts w:hint="eastAsia"/>
              </w:rPr>
            </w:pPr>
            <w:r>
              <w:rPr>
                <w:rFonts w:hint="eastAsia"/>
              </w:rPr>
              <w:t>投标报价没有严重缺漏项目；投标报价没有对招标文件规定的货物清单项目及数量进行修改；采购标的响应齐全；</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rPr>
                <w:rFonts w:hint="eastAsia"/>
              </w:rPr>
              <w:t>1</w:t>
            </w:r>
            <w:r>
              <w:t>3</w:t>
            </w:r>
          </w:p>
        </w:tc>
        <w:tc>
          <w:tcPr>
            <w:tcW w:w="5943" w:type="dxa"/>
            <w:gridSpan w:val="4"/>
            <w:vAlign w:val="center"/>
          </w:tcPr>
          <w:p>
            <w:pPr>
              <w:tabs>
                <w:tab w:val="clear" w:pos="426"/>
              </w:tabs>
              <w:adjustRightInd/>
              <w:snapToGrid/>
              <w:spacing w:line="240" w:lineRule="auto"/>
              <w:rPr>
                <w:rFonts w:hint="eastAsia"/>
              </w:rPr>
            </w:pPr>
            <w:r>
              <w:rPr>
                <w:rFonts w:hint="eastAsia"/>
              </w:rPr>
              <w:t>《技术规格偏离表》或《商务条款偏离表》未出现填写不全、不明或不实；</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rPr>
                <w:rFonts w:hint="eastAsia"/>
              </w:rPr>
              <w:t>1</w:t>
            </w:r>
            <w:r>
              <w:t>4</w:t>
            </w:r>
          </w:p>
        </w:tc>
        <w:tc>
          <w:tcPr>
            <w:tcW w:w="5943" w:type="dxa"/>
            <w:gridSpan w:val="4"/>
            <w:vAlign w:val="center"/>
          </w:tcPr>
          <w:p>
            <w:pPr>
              <w:tabs>
                <w:tab w:val="clear" w:pos="426"/>
              </w:tabs>
              <w:adjustRightInd/>
              <w:snapToGrid/>
              <w:spacing w:line="240" w:lineRule="auto"/>
              <w:rPr>
                <w:rFonts w:hint="eastAsia"/>
              </w:rPr>
            </w:pPr>
            <w:r>
              <w:rPr>
                <w:rFonts w:hint="eastAsia"/>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rPr>
                <w:rFonts w:hint="eastAsia"/>
              </w:rPr>
              <w:t>15</w:t>
            </w:r>
          </w:p>
        </w:tc>
        <w:tc>
          <w:tcPr>
            <w:tcW w:w="5943" w:type="dxa"/>
            <w:gridSpan w:val="4"/>
            <w:vAlign w:val="center"/>
          </w:tcPr>
          <w:p>
            <w:pPr>
              <w:tabs>
                <w:tab w:val="clear" w:pos="426"/>
              </w:tabs>
              <w:adjustRightInd/>
              <w:snapToGrid/>
              <w:spacing w:line="240" w:lineRule="auto"/>
              <w:rPr>
                <w:rFonts w:ascii="Times New Roman" w:hAnsi="Times New Roman" w:cs="Times New Roman"/>
                <w:szCs w:val="21"/>
              </w:rPr>
            </w:pPr>
            <w:r>
              <w:rPr>
                <w:rFonts w:hint="eastAsia"/>
              </w:rPr>
              <w:t>不属于法律、法规规定的投标无效的其他情形。</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rFonts w:hint="eastAsia"/>
                <w:b/>
                <w:kern w:val="2"/>
              </w:rPr>
            </w:pPr>
            <w:r>
              <w:rPr>
                <w:rFonts w:hint="eastAsia"/>
                <w:b/>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rFonts w:hint="eastAsia"/>
                <w:b/>
                <w:kern w:val="2"/>
              </w:rPr>
            </w:pPr>
            <w:r>
              <w:rPr>
                <w:rFonts w:hint="eastAsia"/>
                <w:b/>
              </w:rPr>
              <w:t>评分类别</w:t>
            </w:r>
          </w:p>
        </w:tc>
        <w:tc>
          <w:tcPr>
            <w:tcW w:w="5499" w:type="dxa"/>
            <w:gridSpan w:val="2"/>
            <w:vAlign w:val="center"/>
          </w:tcPr>
          <w:p>
            <w:pPr>
              <w:tabs>
                <w:tab w:val="clear" w:pos="426"/>
              </w:tabs>
              <w:adjustRightInd/>
              <w:snapToGrid/>
              <w:spacing w:line="240" w:lineRule="auto"/>
              <w:jc w:val="center"/>
              <w:rPr>
                <w:rFonts w:hint="eastAsia"/>
                <w:b/>
                <w:kern w:val="2"/>
              </w:rPr>
            </w:pPr>
            <w:r>
              <w:rPr>
                <w:rFonts w:hint="eastAsia"/>
                <w:b/>
              </w:rPr>
              <w:t>评分项目</w:t>
            </w:r>
          </w:p>
        </w:tc>
        <w:tc>
          <w:tcPr>
            <w:tcW w:w="1463" w:type="dxa"/>
            <w:gridSpan w:val="2"/>
            <w:vAlign w:val="center"/>
          </w:tcPr>
          <w:p>
            <w:pPr>
              <w:tabs>
                <w:tab w:val="clear" w:pos="426"/>
              </w:tabs>
              <w:adjustRightInd/>
              <w:snapToGrid/>
              <w:spacing w:line="240" w:lineRule="auto"/>
              <w:jc w:val="center"/>
              <w:rPr>
                <w:rFonts w:hint="eastAsia"/>
                <w:b/>
                <w:kern w:val="2"/>
              </w:rPr>
            </w:pPr>
            <w:r>
              <w:rPr>
                <w:rFonts w:hint="eastAsia"/>
                <w:b/>
              </w:rPr>
              <w:t>对应章节</w:t>
            </w:r>
          </w:p>
        </w:tc>
        <w:tc>
          <w:tcPr>
            <w:tcW w:w="1397" w:type="dxa"/>
            <w:vAlign w:val="center"/>
          </w:tcPr>
          <w:p>
            <w:pPr>
              <w:tabs>
                <w:tab w:val="clear" w:pos="426"/>
              </w:tabs>
              <w:adjustRightInd/>
              <w:snapToGrid/>
              <w:spacing w:line="240" w:lineRule="auto"/>
              <w:jc w:val="center"/>
              <w:rPr>
                <w:rFonts w:hint="eastAsia"/>
                <w:b/>
                <w:kern w:val="2"/>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kern w:val="2"/>
              </w:rPr>
            </w:pPr>
          </w:p>
        </w:tc>
        <w:tc>
          <w:tcPr>
            <w:tcW w:w="5499" w:type="dxa"/>
            <w:gridSpan w:val="2"/>
            <w:vAlign w:val="center"/>
          </w:tcPr>
          <w:p>
            <w:pPr>
              <w:tabs>
                <w:tab w:val="clear" w:pos="426"/>
              </w:tabs>
              <w:adjustRightInd/>
              <w:snapToGrid/>
              <w:spacing w:line="240" w:lineRule="auto"/>
              <w:jc w:val="center"/>
              <w:rPr>
                <w:rFonts w:hint="eastAsia"/>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kern w:val="2"/>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bl>
    <w:p>
      <w:pPr>
        <w:tabs>
          <w:tab w:val="clear" w:pos="426"/>
        </w:tabs>
        <w:rPr>
          <w:rFonts w:hint="eastAsia"/>
          <w:szCs w:val="21"/>
        </w:rPr>
      </w:pPr>
      <w:r>
        <w:rPr>
          <w:rFonts w:hint="eastAsia"/>
          <w:szCs w:val="21"/>
        </w:rPr>
        <w:t>备注：对于“</w:t>
      </w:r>
      <w:r>
        <w:rPr>
          <w:rFonts w:hint="eastAsia"/>
          <w:b/>
        </w:rPr>
        <w:t>综合评分指引”</w:t>
      </w:r>
      <w:r>
        <w:rPr>
          <w:rFonts w:hint="eastAsia"/>
          <w:szCs w:val="21"/>
        </w:rPr>
        <w:t>请投标供应商按照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。因项目次序混乱而影响评标效率及评标结果者，投标供应商自负其责。</w:t>
      </w:r>
    </w:p>
    <w:p>
      <w:pPr>
        <w:adjustRightInd/>
        <w:snapToGrid/>
        <w:spacing w:before="280" w:after="290" w:line="377" w:lineRule="auto"/>
        <w:outlineLvl w:val="2"/>
        <w:rPr>
          <w:rFonts w:hint="eastAsia"/>
          <w:b/>
          <w:sz w:val="24"/>
        </w:rPr>
      </w:pPr>
      <w:bookmarkStart w:id="108" w:name="_Toc150960251"/>
      <w:bookmarkStart w:id="109" w:name="_Toc32283"/>
      <w:bookmarkStart w:id="110" w:name="_Toc151386161"/>
      <w:bookmarkStart w:id="111" w:name="_Toc43264525"/>
      <w:bookmarkStart w:id="112" w:name="_Toc50691037"/>
      <w:bookmarkStart w:id="113" w:name="_Toc50703730"/>
      <w:bookmarkStart w:id="114" w:name="_Toc43264518"/>
      <w:r>
        <w:rPr>
          <w:rFonts w:hint="eastAsia"/>
          <w:b/>
          <w:sz w:val="24"/>
        </w:rPr>
        <w:t>格式1：投标函</w:t>
      </w:r>
      <w:bookmarkEnd w:id="108"/>
      <w:bookmarkEnd w:id="109"/>
      <w:bookmarkEnd w:id="110"/>
    </w:p>
    <w:p>
      <w:pPr>
        <w:widowControl w:val="0"/>
        <w:shd w:val="clear" w:color="auto" w:fill="auto"/>
        <w:tabs>
          <w:tab w:val="clear" w:pos="426"/>
        </w:tabs>
        <w:adjustRightInd/>
        <w:snapToGrid/>
        <w:spacing w:line="300" w:lineRule="auto"/>
        <w:jc w:val="center"/>
        <w:rPr>
          <w:rFonts w:hint="eastAsia" w:cs="Times New Roman"/>
          <w:bCs/>
          <w:kern w:val="2"/>
          <w:sz w:val="32"/>
          <w:szCs w:val="32"/>
        </w:rPr>
      </w:pPr>
      <w:bookmarkStart w:id="115" w:name="_Toc201719122"/>
      <w:bookmarkStart w:id="116" w:name="_Toc201743120"/>
      <w:bookmarkStart w:id="117" w:name="_Toc201997950"/>
      <w:bookmarkStart w:id="118" w:name="_Toc201742865"/>
      <w:r>
        <w:rPr>
          <w:rFonts w:hint="eastAsia" w:cs="Times New Roman"/>
          <w:bCs/>
          <w:kern w:val="2"/>
          <w:sz w:val="32"/>
          <w:szCs w:val="32"/>
        </w:rPr>
        <w:t>投标函</w:t>
      </w:r>
      <w:bookmarkEnd w:id="115"/>
      <w:bookmarkEnd w:id="116"/>
      <w:bookmarkEnd w:id="117"/>
      <w:bookmarkEnd w:id="118"/>
    </w:p>
    <w:p>
      <w:pPr>
        <w:tabs>
          <w:tab w:val="clear" w:pos="426"/>
        </w:tabs>
        <w:spacing w:line="300" w:lineRule="auto"/>
        <w:rPr>
          <w:rFonts w:hint="eastAsia"/>
          <w:szCs w:val="21"/>
        </w:rPr>
      </w:pPr>
    </w:p>
    <w:p>
      <w:pPr>
        <w:tabs>
          <w:tab w:val="clear" w:pos="426"/>
        </w:tabs>
        <w:spacing w:line="300" w:lineRule="auto"/>
        <w:rPr>
          <w:rFonts w:hint="eastAsia"/>
          <w:szCs w:val="21"/>
        </w:rPr>
      </w:pPr>
      <w:r>
        <w:rPr>
          <w:rFonts w:hint="eastAsia"/>
          <w:szCs w:val="21"/>
        </w:rPr>
        <w:t>致：</w:t>
      </w:r>
      <w:r>
        <w:rPr>
          <w:rFonts w:hint="eastAsia"/>
          <w:szCs w:val="21"/>
          <w:u w:val="single"/>
        </w:rPr>
        <w:t>深圳市深水水务咨询有限公司</w:t>
      </w:r>
    </w:p>
    <w:p>
      <w:pPr>
        <w:spacing w:after="231" w:afterLines="50"/>
        <w:ind w:firstLine="420" w:firstLineChars="200"/>
        <w:rPr>
          <w:rFonts w:hint="eastAsia"/>
          <w:szCs w:val="21"/>
        </w:rPr>
      </w:pPr>
      <w:r>
        <w:rPr>
          <w:rFonts w:hint="eastAsia"/>
          <w:szCs w:val="21"/>
        </w:rPr>
        <w:t>1.根据已收到贵方的项目编号为</w:t>
      </w:r>
      <w:r>
        <w:rPr>
          <w:rFonts w:hint="eastAsia"/>
          <w:szCs w:val="21"/>
          <w:u w:val="single"/>
        </w:rPr>
        <w:t>___</w:t>
      </w:r>
      <w:r>
        <w:rPr>
          <w:szCs w:val="21"/>
          <w:u w:val="single"/>
        </w:rPr>
        <w:t>_</w:t>
      </w:r>
      <w:r>
        <w:rPr>
          <w:rFonts w:hint="eastAsia"/>
          <w:szCs w:val="21"/>
          <w:u w:val="single"/>
        </w:rPr>
        <w:t>_____</w:t>
      </w:r>
      <w:r>
        <w:rPr>
          <w:rFonts w:hint="eastAsia"/>
          <w:szCs w:val="21"/>
        </w:rPr>
        <w:t>的</w:t>
      </w:r>
      <w:r>
        <w:rPr>
          <w:rFonts w:hint="eastAsia"/>
          <w:szCs w:val="21"/>
          <w:u w:val="single"/>
        </w:rPr>
        <w:t>_______</w:t>
      </w:r>
      <w:r>
        <w:rPr>
          <w:szCs w:val="21"/>
          <w:u w:val="single"/>
        </w:rPr>
        <w:t>__</w:t>
      </w:r>
      <w:r>
        <w:rPr>
          <w:rFonts w:hint="eastAsia"/>
          <w:szCs w:val="21"/>
          <w:u w:val="single"/>
        </w:rPr>
        <w:t>________</w:t>
      </w:r>
      <w:r>
        <w:rPr>
          <w:rFonts w:hint="eastAsia"/>
          <w:szCs w:val="21"/>
        </w:rPr>
        <w:t>项目的招标文件，遵照《中华人民共和国政府采购法》《中华人民共和国政府采购法实施条例》等有关规定，我单位经研究上述招标文件的专用条款及通用条款后，我方愿以投标书《开标一览表》中填写的投标报价并按招标文件要求承包上述项目并修补其任何缺陷。</w:t>
      </w:r>
    </w:p>
    <w:p>
      <w:pPr>
        <w:spacing w:after="231" w:afterLines="50"/>
        <w:ind w:firstLine="420" w:firstLineChars="200"/>
        <w:rPr>
          <w:rFonts w:hAnsi="Times New Roman"/>
          <w:szCs w:val="21"/>
        </w:rPr>
      </w:pPr>
      <w:r>
        <w:rPr>
          <w:rFonts w:hAnsi="Times New Roman"/>
          <w:szCs w:val="21"/>
        </w:rPr>
        <w:t>2.</w:t>
      </w:r>
      <w:r>
        <w:rPr>
          <w:rFonts w:hint="eastAsia" w:hAnsi="Times New Roman"/>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231" w:afterLines="50"/>
        <w:ind w:firstLine="411" w:firstLineChars="196"/>
        <w:rPr>
          <w:rFonts w:hAnsi="Times New Roman"/>
          <w:szCs w:val="21"/>
        </w:rPr>
      </w:pPr>
      <w:r>
        <w:rPr>
          <w:rFonts w:hAnsi="Times New Roman"/>
          <w:szCs w:val="21"/>
        </w:rPr>
        <w:t>3.</w:t>
      </w:r>
      <w:r>
        <w:rPr>
          <w:rFonts w:hint="eastAsia" w:hAnsi="Times New Roman"/>
          <w:szCs w:val="21"/>
        </w:rPr>
        <w:t>我方同意所递交的投标文件在“对通用条款的补充内容”中的投标有效期内有效，在此期间内我方的投标有可能中标，我方将受此约束。如果在投标有效期内撤回其投标，自行承担一切后果。</w:t>
      </w:r>
    </w:p>
    <w:p>
      <w:pPr>
        <w:spacing w:after="231" w:afterLines="50"/>
        <w:ind w:firstLine="411" w:firstLineChars="196"/>
        <w:rPr>
          <w:rFonts w:hAnsi="Times New Roman"/>
          <w:szCs w:val="21"/>
        </w:rPr>
      </w:pPr>
      <w:r>
        <w:rPr>
          <w:rFonts w:hAnsi="Times New Roman"/>
          <w:szCs w:val="21"/>
        </w:rPr>
        <w:t>4.</w:t>
      </w:r>
      <w:r>
        <w:rPr>
          <w:rFonts w:hint="eastAsia" w:hAnsi="Times New Roman"/>
          <w:szCs w:val="21"/>
        </w:rPr>
        <w:t>除非另外达成协议并生效，贵方的中标通知书和本投标文件将构成约束我们双方的合同。</w:t>
      </w:r>
    </w:p>
    <w:p>
      <w:pPr>
        <w:spacing w:after="231" w:afterLines="50"/>
        <w:ind w:firstLine="420" w:firstLineChars="200"/>
        <w:rPr>
          <w:rFonts w:hAnsi="Times New Roman"/>
          <w:szCs w:val="21"/>
        </w:rPr>
      </w:pPr>
      <w:r>
        <w:rPr>
          <w:rFonts w:hAnsi="Times New Roman"/>
          <w:szCs w:val="21"/>
        </w:rPr>
        <w:t>5.</w:t>
      </w:r>
      <w:r>
        <w:rPr>
          <w:rFonts w:hint="eastAsia" w:hAnsi="Times New Roman"/>
          <w:szCs w:val="21"/>
        </w:rPr>
        <w:t>我方理解贵方将不受必须接受你们所收到的最低标价或其它任何投标文件的约束。</w:t>
      </w:r>
    </w:p>
    <w:p>
      <w:pPr>
        <w:tabs>
          <w:tab w:val="clear" w:pos="426"/>
        </w:tabs>
        <w:spacing w:line="300" w:lineRule="auto"/>
        <w:ind w:left="424" w:leftChars="202"/>
        <w:rPr>
          <w:rFonts w:hint="eastAsia"/>
          <w:szCs w:val="21"/>
        </w:rPr>
      </w:pPr>
    </w:p>
    <w:p>
      <w:pPr>
        <w:tabs>
          <w:tab w:val="clear" w:pos="426"/>
        </w:tabs>
        <w:spacing w:line="300" w:lineRule="auto"/>
        <w:ind w:left="424" w:leftChars="202"/>
        <w:rPr>
          <w:rFonts w:hint="eastAsia"/>
          <w:szCs w:val="21"/>
        </w:rPr>
      </w:pPr>
    </w:p>
    <w:p>
      <w:pPr>
        <w:tabs>
          <w:tab w:val="clear" w:pos="426"/>
        </w:tabs>
        <w:spacing w:line="300" w:lineRule="auto"/>
        <w:ind w:left="424" w:leftChars="202"/>
        <w:rPr>
          <w:rFonts w:hint="eastAsia"/>
          <w:szCs w:val="21"/>
        </w:rPr>
      </w:pPr>
    </w:p>
    <w:p>
      <w:pPr>
        <w:tabs>
          <w:tab w:val="clear" w:pos="426"/>
        </w:tabs>
        <w:spacing w:line="300" w:lineRule="auto"/>
        <w:ind w:left="424" w:leftChars="202"/>
        <w:rPr>
          <w:rFonts w:hint="eastAsia"/>
          <w:szCs w:val="21"/>
        </w:rPr>
      </w:pPr>
      <w:r>
        <w:rPr>
          <w:rFonts w:hint="eastAsia"/>
          <w:szCs w:val="21"/>
        </w:rPr>
        <w:t>地址：</w:t>
      </w:r>
      <w:r>
        <w:rPr>
          <w:rFonts w:hint="eastAsia"/>
          <w:szCs w:val="21"/>
          <w:u w:val="single"/>
        </w:rPr>
        <w:t>__________________________</w:t>
      </w:r>
      <w:r>
        <w:rPr>
          <w:rFonts w:hint="eastAsia"/>
          <w:szCs w:val="21"/>
        </w:rPr>
        <w:t xml:space="preserve">  电话：</w:t>
      </w:r>
      <w:r>
        <w:rPr>
          <w:rFonts w:hint="eastAsia"/>
          <w:szCs w:val="21"/>
          <w:u w:val="single"/>
        </w:rPr>
        <w:t>________________________</w:t>
      </w:r>
    </w:p>
    <w:p>
      <w:pPr>
        <w:tabs>
          <w:tab w:val="clear" w:pos="426"/>
        </w:tabs>
        <w:spacing w:line="300" w:lineRule="auto"/>
        <w:ind w:left="424" w:leftChars="202"/>
        <w:rPr>
          <w:rFonts w:hint="eastAsia"/>
          <w:szCs w:val="21"/>
          <w:u w:val="single"/>
        </w:rPr>
      </w:pPr>
      <w:r>
        <w:rPr>
          <w:rFonts w:hint="eastAsia"/>
          <w:szCs w:val="21"/>
        </w:rPr>
        <w:t>投标人名称（公章）：</w:t>
      </w:r>
      <w:r>
        <w:rPr>
          <w:rFonts w:hint="eastAsia"/>
          <w:szCs w:val="21"/>
          <w:u w:val="single"/>
        </w:rPr>
        <w:t>_____________________________________________</w:t>
      </w:r>
    </w:p>
    <w:p>
      <w:pPr>
        <w:tabs>
          <w:tab w:val="clear" w:pos="426"/>
        </w:tabs>
        <w:spacing w:line="300" w:lineRule="auto"/>
        <w:ind w:left="424" w:leftChars="202"/>
        <w:rPr>
          <w:rFonts w:hint="eastAsia"/>
          <w:szCs w:val="21"/>
          <w:u w:val="single"/>
        </w:rPr>
      </w:pPr>
      <w:r>
        <w:rPr>
          <w:rFonts w:hint="eastAsia"/>
          <w:szCs w:val="21"/>
        </w:rPr>
        <w:t xml:space="preserve">投标人代表（签字或盖章)： </w:t>
      </w:r>
      <w:r>
        <w:rPr>
          <w:rFonts w:hint="eastAsia"/>
          <w:szCs w:val="21"/>
          <w:u w:val="single"/>
        </w:rPr>
        <w:t>_____________________________________________</w:t>
      </w:r>
    </w:p>
    <w:p>
      <w:pPr>
        <w:tabs>
          <w:tab w:val="clear" w:pos="426"/>
        </w:tabs>
        <w:spacing w:line="300" w:lineRule="auto"/>
        <w:ind w:left="424" w:leftChars="202"/>
        <w:rPr>
          <w:rFonts w:hint="eastAsia"/>
          <w:szCs w:val="21"/>
          <w:u w:val="single"/>
        </w:rPr>
      </w:pPr>
      <w:r>
        <w:rPr>
          <w:rFonts w:hint="eastAsia"/>
          <w:szCs w:val="21"/>
        </w:rPr>
        <w:t>日期：</w:t>
      </w:r>
      <w:r>
        <w:rPr>
          <w:rFonts w:hint="eastAsia"/>
          <w:szCs w:val="21"/>
          <w:u w:val="single"/>
        </w:rPr>
        <w:t>___________________________________________________________</w:t>
      </w:r>
    </w:p>
    <w:p>
      <w:pPr>
        <w:tabs>
          <w:tab w:val="clear" w:pos="426"/>
        </w:tabs>
        <w:spacing w:line="300" w:lineRule="auto"/>
        <w:rPr>
          <w:rFonts w:hint="eastAsia"/>
        </w:rPr>
      </w:pPr>
    </w:p>
    <w:p>
      <w:pPr>
        <w:tabs>
          <w:tab w:val="clear" w:pos="426"/>
        </w:tabs>
        <w:rPr>
          <w:rFonts w:hint="eastAsia"/>
        </w:rPr>
      </w:pPr>
      <w:r>
        <w:br w:type="page"/>
      </w:r>
      <w:bookmarkStart w:id="119" w:name="_Toc151386163"/>
      <w:bookmarkStart w:id="120" w:name="_Toc150960253"/>
      <w:bookmarkStart w:id="121" w:name="_Toc50736477"/>
      <w:bookmarkStart w:id="122" w:name="_Toc50737297"/>
      <w:bookmarkStart w:id="123" w:name="_Toc52165081"/>
      <w:bookmarkStart w:id="124" w:name="_Toc50737329"/>
      <w:bookmarkStart w:id="125" w:name="_Toc275865607"/>
      <w:bookmarkStart w:id="126" w:name="_Toc480754205"/>
      <w:bookmarkStart w:id="127" w:name="_Toc50737296"/>
      <w:bookmarkStart w:id="128" w:name="_Toc50691034"/>
      <w:bookmarkStart w:id="129" w:name="_Toc52165080"/>
      <w:bookmarkStart w:id="130" w:name="_Toc50737328"/>
      <w:bookmarkStart w:id="131" w:name="_Toc50736476"/>
    </w:p>
    <w:p>
      <w:pPr>
        <w:adjustRightInd/>
        <w:snapToGrid/>
        <w:spacing w:before="280" w:after="290" w:line="377" w:lineRule="auto"/>
        <w:outlineLvl w:val="2"/>
        <w:rPr>
          <w:rFonts w:hint="eastAsia"/>
          <w:b/>
          <w:sz w:val="24"/>
        </w:rPr>
      </w:pPr>
      <w:bookmarkStart w:id="132" w:name="_Toc9501"/>
      <w:r>
        <w:rPr>
          <w:rFonts w:hint="eastAsia"/>
          <w:b/>
          <w:sz w:val="24"/>
        </w:rPr>
        <w:t>格式2：</w:t>
      </w:r>
      <w:bookmarkEnd w:id="119"/>
      <w:bookmarkEnd w:id="120"/>
      <w:r>
        <w:rPr>
          <w:rFonts w:hint="eastAsia"/>
          <w:b/>
          <w:sz w:val="24"/>
        </w:rPr>
        <w:t>法定代表人（单位负责人）证明书</w:t>
      </w:r>
      <w:bookmarkEnd w:id="132"/>
    </w:p>
    <w:bookmarkEnd w:id="121"/>
    <w:bookmarkEnd w:id="122"/>
    <w:bookmarkEnd w:id="123"/>
    <w:bookmarkEnd w:id="124"/>
    <w:bookmarkEnd w:id="125"/>
    <w:bookmarkEnd w:id="126"/>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法定代表人（单位负责人）证明书</w:t>
      </w:r>
    </w:p>
    <w:p>
      <w:pPr>
        <w:tabs>
          <w:tab w:val="clear" w:pos="426"/>
        </w:tabs>
        <w:spacing w:line="480" w:lineRule="auto"/>
        <w:ind w:firstLine="424" w:firstLineChars="202"/>
        <w:rPr>
          <w:rFonts w:hint="eastAsia"/>
          <w:u w:val="single"/>
        </w:rPr>
      </w:pPr>
    </w:p>
    <w:p>
      <w:pPr>
        <w:tabs>
          <w:tab w:val="clear" w:pos="426"/>
        </w:tabs>
        <w:spacing w:line="480" w:lineRule="auto"/>
        <w:ind w:firstLine="424" w:firstLineChars="202"/>
        <w:rPr>
          <w:rFonts w:hint="eastAsia"/>
        </w:rPr>
      </w:pPr>
      <w:r>
        <w:rPr>
          <w:rFonts w:hint="eastAsia"/>
          <w:u w:val="single"/>
        </w:rPr>
        <w:t>__________</w:t>
      </w:r>
      <w:r>
        <w:rPr>
          <w:rFonts w:hint="eastAsia"/>
        </w:rPr>
        <w:t>同志，现任我单位</w:t>
      </w:r>
      <w:r>
        <w:rPr>
          <w:u w:val="single"/>
        </w:rPr>
        <w:t>_________</w:t>
      </w:r>
      <w:r>
        <w:rPr>
          <w:rFonts w:hint="eastAsia"/>
        </w:rPr>
        <w:t>职务，为法定代表人（单位负责人），特此证明。</w:t>
      </w:r>
    </w:p>
    <w:p>
      <w:pPr>
        <w:tabs>
          <w:tab w:val="clear" w:pos="426"/>
        </w:tabs>
        <w:spacing w:line="480" w:lineRule="auto"/>
        <w:ind w:firstLine="424" w:firstLineChars="202"/>
        <w:rPr>
          <w:rFonts w:hint="eastAsia"/>
        </w:rPr>
      </w:pPr>
      <w:r>
        <w:rPr>
          <w:rFonts w:hint="eastAsia"/>
        </w:rPr>
        <w:t>本证明书自签发之日起生效，有效期与本公司投标文件中标注的投标有效期相同。</w:t>
      </w:r>
    </w:p>
    <w:p>
      <w:pPr>
        <w:tabs>
          <w:tab w:val="clear" w:pos="426"/>
        </w:tabs>
        <w:spacing w:line="480" w:lineRule="auto"/>
        <w:ind w:firstLine="424" w:firstLineChars="202"/>
        <w:rPr>
          <w:rFonts w:hint="eastAsia"/>
        </w:rPr>
      </w:pPr>
      <w:r>
        <w:rPr>
          <w:rFonts w:hint="eastAsia"/>
        </w:rPr>
        <w:t>附：</w:t>
      </w:r>
    </w:p>
    <w:p>
      <w:pPr>
        <w:tabs>
          <w:tab w:val="clear" w:pos="426"/>
        </w:tabs>
        <w:spacing w:line="480" w:lineRule="auto"/>
        <w:ind w:firstLine="424" w:firstLineChars="202"/>
        <w:rPr>
          <w:rFonts w:hint="eastAsia"/>
        </w:rPr>
      </w:pPr>
      <w:r>
        <w:rPr>
          <w:rFonts w:hint="eastAsia"/>
        </w:rPr>
        <w:t>营业执照（注册号）：</w:t>
      </w:r>
      <w:r>
        <w:rPr>
          <w:rFonts w:hint="eastAsia"/>
          <w:u w:val="single"/>
        </w:rPr>
        <w:t>_______________________________________________</w:t>
      </w:r>
    </w:p>
    <w:p>
      <w:pPr>
        <w:tabs>
          <w:tab w:val="clear" w:pos="426"/>
        </w:tabs>
        <w:spacing w:line="480" w:lineRule="auto"/>
        <w:ind w:firstLine="424" w:firstLineChars="202"/>
        <w:rPr>
          <w:rFonts w:hint="eastAsia"/>
          <w:u w:val="single"/>
        </w:rPr>
      </w:pPr>
      <w:r>
        <w:rPr>
          <w:rFonts w:hint="eastAsia"/>
        </w:rPr>
        <w:t>经济性质：</w:t>
      </w:r>
      <w:r>
        <w:rPr>
          <w:rFonts w:hint="eastAsia"/>
          <w:u w:val="single"/>
        </w:rPr>
        <w:t>_________________________________________________________</w:t>
      </w:r>
    </w:p>
    <w:p>
      <w:pPr>
        <w:tabs>
          <w:tab w:val="clear" w:pos="426"/>
        </w:tabs>
        <w:spacing w:line="480" w:lineRule="auto"/>
        <w:ind w:firstLine="424" w:firstLineChars="202"/>
        <w:rPr>
          <w:rFonts w:hint="eastAsia"/>
          <w:u w:val="single"/>
        </w:rPr>
      </w:pPr>
      <w:r>
        <w:rPr>
          <w:rFonts w:hint="eastAsia"/>
        </w:rPr>
        <w:t>主营（产）：</w:t>
      </w:r>
      <w:r>
        <w:rPr>
          <w:rFonts w:hint="eastAsia"/>
          <w:u w:val="single"/>
        </w:rPr>
        <w:t>_______________________________________________________</w:t>
      </w:r>
    </w:p>
    <w:p>
      <w:pPr>
        <w:tabs>
          <w:tab w:val="clear" w:pos="426"/>
        </w:tabs>
        <w:spacing w:line="480" w:lineRule="auto"/>
        <w:ind w:firstLine="424" w:firstLineChars="202"/>
        <w:rPr>
          <w:rFonts w:hint="eastAsia"/>
          <w:u w:val="single"/>
        </w:rPr>
      </w:pPr>
      <w:r>
        <w:rPr>
          <w:rFonts w:hint="eastAsia"/>
        </w:rPr>
        <w:t>兼营（产）：</w:t>
      </w:r>
      <w:r>
        <w:rPr>
          <w:rFonts w:hint="eastAsia"/>
          <w:u w:val="single"/>
        </w:rPr>
        <w:t>_______________________________________________________</w:t>
      </w:r>
    </w:p>
    <w:p>
      <w:pPr>
        <w:tabs>
          <w:tab w:val="clear" w:pos="426"/>
        </w:tabs>
        <w:ind w:firstLine="424" w:firstLineChars="202"/>
        <w:rPr>
          <w:rFonts w:hint="eastAsia"/>
        </w:rPr>
      </w:pPr>
    </w:p>
    <w:p>
      <w:pPr>
        <w:tabs>
          <w:tab w:val="clear" w:pos="426"/>
        </w:tabs>
        <w:ind w:firstLine="424" w:firstLineChars="202"/>
        <w:rPr>
          <w:rFonts w:hint="eastAsia"/>
          <w:szCs w:val="21"/>
        </w:rPr>
      </w:pPr>
      <w:r>
        <w:rPr>
          <w:rFonts w:hint="eastAsia"/>
          <w:szCs w:val="21"/>
        </w:rPr>
        <w:t>附：法定代表人（单位负责人）身份证正反面复印件：</w:t>
      </w:r>
    </w:p>
    <w:p>
      <w:pPr>
        <w:tabs>
          <w:tab w:val="clear" w:pos="426"/>
        </w:tabs>
        <w:ind w:firstLine="424" w:firstLineChars="202"/>
        <w:rPr>
          <w:rFonts w:hint="eastAsia"/>
          <w:szCs w:val="21"/>
        </w:rPr>
      </w:pPr>
    </w:p>
    <w:p>
      <w:pPr>
        <w:tabs>
          <w:tab w:val="clear" w:pos="426"/>
        </w:tabs>
        <w:ind w:firstLine="424" w:firstLineChars="202"/>
        <w:rPr>
          <w:rFonts w:hint="eastAsia"/>
          <w:szCs w:val="21"/>
        </w:rPr>
      </w:pPr>
    </w:p>
    <w:p>
      <w:pPr>
        <w:tabs>
          <w:tab w:val="clear" w:pos="426"/>
        </w:tabs>
        <w:ind w:firstLine="424" w:firstLineChars="202"/>
        <w:rPr>
          <w:rFonts w:hint="eastAsia"/>
          <w:szCs w:val="21"/>
        </w:rPr>
      </w:pPr>
    </w:p>
    <w:p>
      <w:pPr>
        <w:tabs>
          <w:tab w:val="clear" w:pos="426"/>
        </w:tabs>
        <w:spacing w:line="500" w:lineRule="exact"/>
        <w:ind w:left="3826" w:leftChars="1822"/>
        <w:rPr>
          <w:rFonts w:hint="eastAsia"/>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pPr>
        <w:tabs>
          <w:tab w:val="clear" w:pos="426"/>
        </w:tabs>
        <w:spacing w:line="500" w:lineRule="exact"/>
        <w:ind w:left="3826" w:leftChars="1822"/>
        <w:rPr>
          <w:rFonts w:hint="eastAsia"/>
          <w:u w:val="single"/>
        </w:rPr>
      </w:pPr>
      <w:r>
        <w:rPr>
          <w:rFonts w:hint="eastAsia"/>
        </w:rPr>
        <w:t>地址：</w:t>
      </w:r>
      <w:r>
        <w:rPr>
          <w:rFonts w:hint="eastAsia"/>
          <w:u w:val="single"/>
        </w:rPr>
        <w:t>___________________________________________</w:t>
      </w:r>
    </w:p>
    <w:p>
      <w:pPr>
        <w:tabs>
          <w:tab w:val="clear" w:pos="426"/>
        </w:tabs>
        <w:spacing w:line="500" w:lineRule="exact"/>
        <w:ind w:left="3826" w:leftChars="1822"/>
        <w:rPr>
          <w:rFonts w:hint="eastAsia"/>
          <w:u w:val="single"/>
        </w:rPr>
      </w:pPr>
      <w:r>
        <w:rPr>
          <w:rFonts w:hint="eastAsia"/>
        </w:rPr>
        <w:t>签发日期：</w:t>
      </w:r>
      <w:r>
        <w:rPr>
          <w:rFonts w:hint="eastAsia"/>
          <w:u w:val="single"/>
        </w:rPr>
        <w:t>_______________________________________</w:t>
      </w:r>
    </w:p>
    <w:p>
      <w:pPr>
        <w:tabs>
          <w:tab w:val="clear" w:pos="426"/>
        </w:tabs>
        <w:spacing w:line="500" w:lineRule="exact"/>
        <w:ind w:left="3826" w:leftChars="1822"/>
        <w:rPr>
          <w:rFonts w:hint="eastAsia"/>
          <w:b/>
          <w:bCs/>
          <w:u w:val="single"/>
        </w:rPr>
      </w:pPr>
    </w:p>
    <w:bookmarkEnd w:id="127"/>
    <w:bookmarkEnd w:id="128"/>
    <w:bookmarkEnd w:id="129"/>
    <w:bookmarkEnd w:id="130"/>
    <w:bookmarkEnd w:id="131"/>
    <w:p>
      <w:pPr>
        <w:tabs>
          <w:tab w:val="clear" w:pos="426"/>
        </w:tabs>
        <w:spacing w:line="300" w:lineRule="auto"/>
        <w:jc w:val="center"/>
        <w:rPr>
          <w:rFonts w:hint="eastAsia"/>
        </w:rPr>
      </w:pPr>
      <w:r>
        <w:br w:type="page"/>
      </w:r>
    </w:p>
    <w:p>
      <w:pPr>
        <w:adjustRightInd/>
        <w:snapToGrid/>
        <w:spacing w:before="280" w:after="290" w:line="377" w:lineRule="auto"/>
        <w:outlineLvl w:val="2"/>
        <w:rPr>
          <w:rFonts w:hint="eastAsia"/>
          <w:b/>
          <w:sz w:val="24"/>
        </w:rPr>
      </w:pPr>
      <w:bookmarkStart w:id="133" w:name="_Toc16372"/>
      <w:r>
        <w:rPr>
          <w:rFonts w:hint="eastAsia"/>
          <w:b/>
          <w:sz w:val="24"/>
        </w:rPr>
        <w:t>格式3：授权委托书</w:t>
      </w:r>
      <w:bookmarkEnd w:id="133"/>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授权委托书</w:t>
      </w:r>
    </w:p>
    <w:p>
      <w:pPr>
        <w:tabs>
          <w:tab w:val="clear" w:pos="426"/>
        </w:tabs>
        <w:ind w:firstLine="420" w:firstLineChars="200"/>
        <w:rPr>
          <w:rFonts w:hAnsi="Courier New" w:cs="Times New Roman"/>
          <w:kern w:val="2"/>
          <w:szCs w:val="20"/>
        </w:rPr>
      </w:pPr>
    </w:p>
    <w:p>
      <w:pPr>
        <w:tabs>
          <w:tab w:val="clear" w:pos="426"/>
        </w:tabs>
        <w:ind w:firstLine="420" w:firstLineChars="200"/>
        <w:rPr>
          <w:rFonts w:hAnsi="Courier New" w:cs="Times New Roman"/>
          <w:kern w:val="2"/>
          <w:szCs w:val="20"/>
        </w:rPr>
      </w:pPr>
      <w:r>
        <w:rPr>
          <w:rFonts w:hint="eastAsia" w:hAnsi="Courier New" w:cs="Times New Roman"/>
          <w:kern w:val="2"/>
          <w:szCs w:val="20"/>
        </w:rPr>
        <w:t>本授权委托书声明：注册于</w:t>
      </w:r>
      <w:r>
        <w:rPr>
          <w:rFonts w:hint="eastAsia" w:hAnsi="Courier New" w:cs="Times New Roman"/>
          <w:kern w:val="2"/>
          <w:szCs w:val="20"/>
          <w:u w:val="single"/>
        </w:rPr>
        <w:t>（投标人地址）</w:t>
      </w:r>
      <w:r>
        <w:rPr>
          <w:rFonts w:hint="eastAsia" w:hAnsi="Courier New" w:cs="Times New Roman"/>
          <w:kern w:val="2"/>
          <w:szCs w:val="20"/>
        </w:rPr>
        <w:t>的</w:t>
      </w:r>
      <w:r>
        <w:rPr>
          <w:rFonts w:hint="eastAsia" w:hAnsi="Courier New" w:cs="Times New Roman"/>
          <w:kern w:val="2"/>
          <w:szCs w:val="20"/>
          <w:u w:val="single"/>
        </w:rPr>
        <w:t>（投标人名称）</w:t>
      </w:r>
      <w:r>
        <w:rPr>
          <w:rFonts w:hint="eastAsia" w:hAnsi="Courier New" w:cs="Times New Roman"/>
          <w:kern w:val="2"/>
          <w:szCs w:val="20"/>
        </w:rPr>
        <w:t>在下面签名的</w:t>
      </w:r>
      <w:r>
        <w:rPr>
          <w:rFonts w:hint="eastAsia" w:hAnsi="Courier New" w:cs="Times New Roman"/>
          <w:kern w:val="2"/>
          <w:szCs w:val="20"/>
          <w:u w:val="single"/>
        </w:rPr>
        <w:t>（法定代表人（单位负责人）姓名、职务）</w:t>
      </w:r>
      <w:r>
        <w:rPr>
          <w:rFonts w:hint="eastAsia" w:hAnsi="Courier New" w:cs="Times New Roman"/>
          <w:kern w:val="2"/>
          <w:szCs w:val="20"/>
        </w:rPr>
        <w:t>在此授权</w:t>
      </w:r>
      <w:r>
        <w:rPr>
          <w:rFonts w:hint="eastAsia" w:hAnsi="Courier New" w:cs="Times New Roman"/>
          <w:kern w:val="2"/>
          <w:szCs w:val="20"/>
          <w:u w:val="single"/>
        </w:rPr>
        <w:t>（被授权人姓名、职务）</w:t>
      </w:r>
      <w:r>
        <w:rPr>
          <w:rFonts w:hint="eastAsia" w:hAnsi="Courier New" w:cs="Times New Roman"/>
          <w:kern w:val="2"/>
          <w:szCs w:val="20"/>
        </w:rPr>
        <w:t>作为我公司的合法代理人，就</w:t>
      </w:r>
      <w:r>
        <w:rPr>
          <w:rFonts w:hint="eastAsia" w:hAnsi="Courier New" w:cs="Times New Roman"/>
          <w:kern w:val="2"/>
          <w:szCs w:val="20"/>
          <w:u w:val="single"/>
        </w:rPr>
        <w:t>（项目名称、项目编号</w:t>
      </w:r>
      <w:r>
        <w:rPr>
          <w:rFonts w:hint="eastAsia" w:hAnsi="Courier New" w:cs="Times New Roman"/>
          <w:kern w:val="2"/>
          <w:szCs w:val="20"/>
        </w:rPr>
        <w:t>）的招投标活动，采购合同的签订、执行、完成和售后服务，作为投标人代表以我方的名义处理一切与之有关的事务。</w:t>
      </w:r>
    </w:p>
    <w:p>
      <w:pPr>
        <w:tabs>
          <w:tab w:val="clear" w:pos="426"/>
        </w:tabs>
        <w:ind w:firstLine="420" w:firstLineChars="200"/>
        <w:rPr>
          <w:rFonts w:hAnsi="Courier New" w:cs="Times New Roman"/>
          <w:kern w:val="2"/>
          <w:szCs w:val="20"/>
        </w:rPr>
      </w:pPr>
      <w:r>
        <w:rPr>
          <w:rFonts w:hint="eastAsia" w:hAnsi="Courier New" w:cs="Times New Roman"/>
          <w:kern w:val="2"/>
          <w:szCs w:val="20"/>
        </w:rPr>
        <w:t>被授权人（投标人授权代表）无转委托权限。</w:t>
      </w:r>
    </w:p>
    <w:p>
      <w:pPr>
        <w:tabs>
          <w:tab w:val="clear" w:pos="426"/>
        </w:tabs>
        <w:ind w:firstLine="420" w:firstLineChars="200"/>
        <w:rPr>
          <w:rFonts w:hint="eastAsia"/>
          <w:szCs w:val="21"/>
        </w:rPr>
      </w:pPr>
      <w:r>
        <w:rPr>
          <w:rFonts w:hint="eastAsia"/>
          <w:szCs w:val="21"/>
        </w:rPr>
        <w:t>本授权书自法定代表人（单位负责人）签字之日起生效，特此声明。</w:t>
      </w:r>
    </w:p>
    <w:p>
      <w:pPr>
        <w:tabs>
          <w:tab w:val="clear" w:pos="426"/>
        </w:tabs>
        <w:ind w:firstLine="422" w:firstLineChars="200"/>
        <w:rPr>
          <w:rFonts w:hint="eastAsia"/>
          <w:b/>
          <w:szCs w:val="21"/>
        </w:rPr>
      </w:pPr>
    </w:p>
    <w:p>
      <w:pPr>
        <w:tabs>
          <w:tab w:val="clear" w:pos="426"/>
        </w:tabs>
        <w:ind w:firstLine="422" w:firstLineChars="200"/>
        <w:rPr>
          <w:rFonts w:hint="eastAsia"/>
          <w:b/>
          <w:szCs w:val="21"/>
        </w:rPr>
      </w:pPr>
    </w:p>
    <w:p>
      <w:pPr>
        <w:tabs>
          <w:tab w:val="clear" w:pos="426"/>
        </w:tabs>
        <w:ind w:firstLine="422" w:firstLineChars="200"/>
        <w:rPr>
          <w:rFonts w:hint="eastAsia"/>
          <w:b/>
          <w:szCs w:val="21"/>
        </w:rPr>
      </w:pPr>
    </w:p>
    <w:p>
      <w:pPr>
        <w:tabs>
          <w:tab w:val="clear" w:pos="426"/>
        </w:tabs>
        <w:ind w:firstLine="424" w:firstLineChars="202"/>
        <w:rPr>
          <w:rFonts w:hint="eastAsia"/>
          <w:szCs w:val="21"/>
          <w:u w:val="single"/>
        </w:rPr>
      </w:pPr>
      <w:r>
        <w:rPr>
          <w:rFonts w:hint="eastAsia"/>
          <w:szCs w:val="21"/>
        </w:rPr>
        <w:t>投标人名称（单位盖</w:t>
      </w:r>
      <w:r>
        <w:rPr>
          <w:rFonts w:hint="eastAsia"/>
          <w:spacing w:val="4"/>
          <w:szCs w:val="21"/>
        </w:rPr>
        <w:t>公章</w:t>
      </w:r>
      <w:r>
        <w:rPr>
          <w:rFonts w:hint="eastAsia"/>
          <w:szCs w:val="21"/>
        </w:rPr>
        <w:t>）：</w:t>
      </w:r>
      <w:r>
        <w:rPr>
          <w:rFonts w:hint="eastAsia"/>
          <w:szCs w:val="21"/>
          <w:u w:val="single"/>
        </w:rPr>
        <w:t>_____________________________________________________</w:t>
      </w:r>
    </w:p>
    <w:p>
      <w:pPr>
        <w:tabs>
          <w:tab w:val="clear" w:pos="426"/>
        </w:tabs>
        <w:ind w:firstLine="424" w:firstLineChars="202"/>
        <w:rPr>
          <w:rFonts w:hint="eastAsia"/>
          <w:szCs w:val="21"/>
          <w:u w:val="single"/>
        </w:rPr>
      </w:pPr>
      <w:r>
        <w:rPr>
          <w:rFonts w:hint="eastAsia"/>
          <w:szCs w:val="21"/>
        </w:rPr>
        <w:t>地      址：</w:t>
      </w:r>
      <w:r>
        <w:rPr>
          <w:rFonts w:hint="eastAsia"/>
          <w:szCs w:val="21"/>
          <w:u w:val="single"/>
        </w:rPr>
        <w:t>___________________________________________________________________</w:t>
      </w:r>
    </w:p>
    <w:p>
      <w:pPr>
        <w:tabs>
          <w:tab w:val="clear" w:pos="426"/>
        </w:tabs>
        <w:ind w:firstLine="424" w:firstLineChars="202"/>
        <w:rPr>
          <w:rFonts w:hint="eastAsia"/>
          <w:szCs w:val="21"/>
        </w:rPr>
      </w:pPr>
      <w:r>
        <w:rPr>
          <w:rFonts w:hint="eastAsia"/>
          <w:szCs w:val="21"/>
        </w:rPr>
        <w:t>法定代表人（单位负责人）（签字或盖章）：</w:t>
      </w:r>
      <w:r>
        <w:rPr>
          <w:rFonts w:hint="eastAsia"/>
          <w:szCs w:val="21"/>
          <w:u w:val="single"/>
        </w:rPr>
        <w:t>______________________</w:t>
      </w:r>
      <w:r>
        <w:rPr>
          <w:rFonts w:hint="eastAsia"/>
          <w:szCs w:val="21"/>
        </w:rPr>
        <w:t xml:space="preserve"> </w:t>
      </w:r>
    </w:p>
    <w:p>
      <w:pPr>
        <w:tabs>
          <w:tab w:val="clear" w:pos="426"/>
        </w:tabs>
        <w:ind w:firstLine="424" w:firstLineChars="202"/>
        <w:rPr>
          <w:rFonts w:hint="eastAsia"/>
          <w:szCs w:val="21"/>
        </w:rPr>
      </w:pPr>
      <w:r>
        <w:rPr>
          <w:rFonts w:hint="eastAsia"/>
          <w:szCs w:val="21"/>
        </w:rPr>
        <w:t>签字日期：</w:t>
      </w:r>
      <w:r>
        <w:rPr>
          <w:rFonts w:hint="eastAsia"/>
          <w:szCs w:val="21"/>
          <w:u w:val="single"/>
        </w:rPr>
        <w:t>________</w:t>
      </w:r>
      <w:r>
        <w:rPr>
          <w:rFonts w:hint="eastAsia"/>
          <w:szCs w:val="21"/>
        </w:rPr>
        <w:t>年</w:t>
      </w:r>
      <w:r>
        <w:rPr>
          <w:rFonts w:hint="eastAsia"/>
          <w:szCs w:val="21"/>
          <w:u w:val="single"/>
        </w:rPr>
        <w:t>___</w:t>
      </w:r>
      <w:r>
        <w:rPr>
          <w:rFonts w:hint="eastAsia"/>
          <w:szCs w:val="21"/>
        </w:rPr>
        <w:t>月</w:t>
      </w:r>
      <w:r>
        <w:rPr>
          <w:rFonts w:hint="eastAsia"/>
          <w:szCs w:val="21"/>
          <w:u w:val="single"/>
        </w:rPr>
        <w:t>___</w:t>
      </w:r>
      <w:r>
        <w:rPr>
          <w:rFonts w:hint="eastAsia"/>
          <w:szCs w:val="21"/>
        </w:rPr>
        <w:t>日</w:t>
      </w:r>
    </w:p>
    <w:p>
      <w:pPr>
        <w:tabs>
          <w:tab w:val="clear" w:pos="426"/>
        </w:tabs>
        <w:ind w:firstLine="424" w:firstLineChars="202"/>
        <w:rPr>
          <w:rFonts w:hint="eastAsia"/>
          <w:szCs w:val="21"/>
        </w:rPr>
      </w:pPr>
      <w:r>
        <w:rPr>
          <w:rFonts w:hint="eastAsia"/>
          <w:szCs w:val="21"/>
        </w:rPr>
        <w:t>被授权人（投标人授权代表）（签字或盖章）：</w:t>
      </w:r>
      <w:r>
        <w:rPr>
          <w:rFonts w:hint="eastAsia"/>
          <w:szCs w:val="21"/>
          <w:u w:val="single"/>
        </w:rPr>
        <w:t>____________________________________</w:t>
      </w:r>
    </w:p>
    <w:p>
      <w:pPr>
        <w:tabs>
          <w:tab w:val="clear" w:pos="426"/>
        </w:tabs>
        <w:ind w:firstLine="424" w:firstLineChars="202"/>
        <w:rPr>
          <w:rFonts w:hint="eastAsia"/>
          <w:szCs w:val="21"/>
        </w:rPr>
      </w:pPr>
    </w:p>
    <w:p>
      <w:pPr>
        <w:tabs>
          <w:tab w:val="clear" w:pos="426"/>
        </w:tabs>
        <w:ind w:firstLine="424" w:firstLineChars="202"/>
        <w:rPr>
          <w:rFonts w:hint="eastAsia"/>
          <w:szCs w:val="21"/>
        </w:rPr>
      </w:pPr>
      <w:r>
        <w:rPr>
          <w:rFonts w:hint="eastAsia"/>
          <w:szCs w:val="21"/>
        </w:rPr>
        <w:t>附：被授权人身份证复印正反面件：</w:t>
      </w:r>
    </w:p>
    <w:p>
      <w:pPr>
        <w:tabs>
          <w:tab w:val="clear" w:pos="426"/>
        </w:tabs>
        <w:ind w:firstLine="424" w:firstLineChars="202"/>
        <w:rPr>
          <w:rFonts w:hint="eastAsia"/>
          <w:szCs w:val="21"/>
        </w:rPr>
      </w:pPr>
    </w:p>
    <w:p>
      <w:pPr>
        <w:rPr>
          <w:rFonts w:hint="eastAsia"/>
        </w:rPr>
      </w:pPr>
    </w:p>
    <w:p>
      <w:pPr>
        <w:adjustRightInd/>
        <w:snapToGrid/>
        <w:spacing w:before="280" w:after="290" w:line="377" w:lineRule="auto"/>
        <w:outlineLvl w:val="2"/>
        <w:rPr>
          <w:rFonts w:hint="eastAsia"/>
          <w:b/>
          <w:sz w:val="24"/>
        </w:rPr>
      </w:pPr>
      <w:r>
        <w:br w:type="page"/>
      </w:r>
      <w:bookmarkStart w:id="134" w:name="_Toc12237"/>
      <w:r>
        <w:rPr>
          <w:rFonts w:hint="eastAsia"/>
          <w:b/>
          <w:sz w:val="24"/>
        </w:rPr>
        <w:t>格式4：资格条款偏离表</w:t>
      </w:r>
      <w:bookmarkEnd w:id="134"/>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资格条款偏离表</w:t>
      </w:r>
    </w:p>
    <w:p>
      <w:pPr>
        <w:tabs>
          <w:tab w:val="clear" w:pos="426"/>
        </w:tabs>
        <w:rPr>
          <w:rFonts w:ascii="Times New Roman" w:hAnsi="Times New Roman" w:cs="Times New Roman"/>
        </w:rPr>
      </w:pPr>
    </w:p>
    <w:p>
      <w:pPr>
        <w:tabs>
          <w:tab w:val="clear" w:pos="426"/>
        </w:tabs>
        <w:rPr>
          <w:rFonts w:ascii="Times New Roman" w:hAnsi="Times New Roman" w:cs="Times New Roman"/>
        </w:rPr>
      </w:pPr>
      <w:r>
        <w:rPr>
          <w:rFonts w:ascii="Times New Roman" w:hAnsi="Times New Roman" w:cs="Times New Roman"/>
        </w:rPr>
        <w:t>项目名称：</w:t>
      </w:r>
      <w:r>
        <w:rPr>
          <w:rFonts w:ascii="Times New Roman" w:hAnsi="Times New Roman" w:cs="Times New Roman"/>
          <w:u w:val="single"/>
        </w:rPr>
        <w:t>_____________________________________</w:t>
      </w:r>
      <w:r>
        <w:rPr>
          <w:rFonts w:ascii="Times New Roman" w:hAnsi="Times New Roman" w:cs="Times New Roman"/>
        </w:rPr>
        <w:t>项目编号：</w:t>
      </w:r>
      <w:r>
        <w:rPr>
          <w:rFonts w:ascii="Times New Roman" w:hAnsi="Times New Roman" w:cs="Times New Roman"/>
          <w:sz w:val="18"/>
          <w:szCs w:val="18"/>
          <w:u w:val="single"/>
        </w:rPr>
        <w:t>_______________________</w:t>
      </w:r>
    </w:p>
    <w:tbl>
      <w:tblPr>
        <w:tblStyle w:val="85"/>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603"/>
        <w:gridCol w:w="2218"/>
        <w:gridCol w:w="943"/>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0"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序号</w:t>
            </w:r>
          </w:p>
        </w:tc>
        <w:tc>
          <w:tcPr>
            <w:tcW w:w="1480"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资格条款</w:t>
            </w:r>
          </w:p>
        </w:tc>
        <w:tc>
          <w:tcPr>
            <w:tcW w:w="1480"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响应</w:t>
            </w:r>
            <w:r>
              <w:rPr>
                <w:rFonts w:hint="eastAsia" w:ascii="Times New Roman" w:hAnsi="Times New Roman" w:cs="Times New Roman"/>
                <w:bCs/>
              </w:rPr>
              <w:t>情况</w:t>
            </w:r>
          </w:p>
        </w:tc>
        <w:tc>
          <w:tcPr>
            <w:tcW w:w="73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偏离情况</w:t>
            </w:r>
          </w:p>
        </w:tc>
        <w:tc>
          <w:tcPr>
            <w:tcW w:w="912"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1</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满足《中华人民共和国政府采购法》第二十二条规定（由供应商在《投标人资格声明函》中作出声明）。</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2</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 xml:space="preserve">本项目不属于专门面向中小企业采购的项目。 </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3</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应具有独立法人资格或具有独立承担民事责任的能力的其它组织（提供营业执照或事业单位法人证书等法人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4</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本项目不接受投标人选用进口产品参与投标。（进口产品是指通过中国海关报关验收进入中国境内且产自境外的产品）。</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5</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根据财库〔2016〕125号文的有关规定，投标人需未被列入失信被执行人、重大税收违法案件当事人名单、政府采购严重违法失信行为记录名单（提供书面《投标人资格声明函》加盖公章，采购代理机构将通过“信用中国”网站（www.creditchina.gov.cn）、中国政府采购网（www.ccgp.gov.cn）等渠道查询相关主体信用记录，并做好信用信息查询记录和证据留存，信用信息查询记录及相关证据将与其他采购文件一并保存）。</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6</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投标人参与本项目投标前三年内，在经营活动中没有重大违法记录（提供《投标人资格声明函》，并加盖投标人公章）。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7</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投标人参与本项目投标近三年内，在经营活动中没有发生重大安全和质量事故（提供《投标人资格声明函》，并加盖投标人公章）。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8</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投标人参与本项目政府采购活动时不存在被有关部门禁止参与政府采购活动且在有效期内的情况（提供《投标人资格声明函》，并加盖投标人公章）。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9</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单位负责人为同一人或者存在直接控股、管理关系的不同供应商，不得参加同一合同项下的政府采购活动（提供《投标人资格声明函》，并加盖投标人公章，采购代理机构将通过国家企业信用信息公示系统（https://www.gsxt.gov.cn/index.html）或机关赋码和事业单位登记管理网（http://www.gjsy.gov.cn/sydwfrxxcx/）或全国社会组织信用信息公示平台（https://xxgs.chinanpo.mca.gov.cn/gsxt/newList）网站查询投标人信息，并做好信用信息查询记录和证据留存，信用信息查询记录及相关证据将与其他采购文件一并保存，相关信息以截标当日的查询结果为准）。</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10</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为采购项目提供整体设计、规范编制或者项目管理、监理、检测等服务的供应商，不得再参加该采购项目的其他采购活动（提供《投标人资格声明函》，并加盖投标人公章）。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11</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参与本项目政府采购活动不存在与其他采购参加人串通投标，隐瞒真实情况，提供虚假资料等违法违规情形（提供《投标人资格声明函》，并加盖投标人公章）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12</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本项目不接受联合体形式进行投标，不允许转包及分包。</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bl>
    <w:p>
      <w:pPr>
        <w:tabs>
          <w:tab w:val="clear" w:pos="426"/>
        </w:tabs>
        <w:spacing w:line="240" w:lineRule="auto"/>
        <w:rPr>
          <w:rFonts w:ascii="Times New Roman" w:hAnsi="Times New Roman" w:cs="Times New Roman"/>
          <w:bCs/>
        </w:rPr>
      </w:pPr>
      <w:r>
        <w:rPr>
          <w:rFonts w:ascii="Times New Roman" w:hAnsi="Times New Roman" w:cs="Times New Roman"/>
          <w:bCs/>
        </w:rPr>
        <w:t>备注：</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rPr>
        <w:t>资格条款</w:t>
      </w:r>
      <w:r>
        <w:rPr>
          <w:rFonts w:ascii="Times New Roman" w:hAnsi="Times New Roman" w:cs="Times New Roman"/>
          <w:bCs/>
        </w:rPr>
        <w:t>”一栏应填写招标文件</w:t>
      </w:r>
      <w:r>
        <w:rPr>
          <w:rFonts w:hint="eastAsia" w:ascii="Times New Roman" w:hAnsi="Times New Roman" w:cs="Times New Roman"/>
          <w:bCs/>
        </w:rPr>
        <w:t xml:space="preserve">第一册 </w:t>
      </w:r>
      <w:r>
        <w:rPr>
          <w:rFonts w:ascii="Times New Roman" w:hAnsi="Times New Roman" w:cs="Times New Roman"/>
          <w:bCs/>
        </w:rPr>
        <w:t>第</w:t>
      </w:r>
      <w:r>
        <w:rPr>
          <w:rFonts w:hint="eastAsia" w:ascii="Times New Roman" w:hAnsi="Times New Roman" w:cs="Times New Roman"/>
          <w:bCs/>
        </w:rPr>
        <w:t>一</w:t>
      </w:r>
      <w:r>
        <w:rPr>
          <w:rFonts w:ascii="Times New Roman" w:hAnsi="Times New Roman" w:cs="Times New Roman"/>
          <w:bCs/>
        </w:rPr>
        <w:t>章“</w:t>
      </w:r>
      <w:r>
        <w:rPr>
          <w:rFonts w:hint="eastAsia" w:ascii="Times New Roman" w:hAnsi="Times New Roman" w:cs="Times New Roman"/>
          <w:bCs/>
        </w:rPr>
        <w:t>二、申请人的资格要求</w:t>
      </w:r>
      <w:r>
        <w:rPr>
          <w:rFonts w:ascii="Times New Roman" w:hAnsi="Times New Roman" w:cs="Times New Roman"/>
          <w:bCs/>
        </w:rPr>
        <w:t>”的内容；</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2.“</w:t>
      </w:r>
      <w:r>
        <w:rPr>
          <w:rFonts w:hint="eastAsia" w:ascii="Times New Roman" w:hAnsi="Times New Roman" w:cs="Times New Roman"/>
          <w:bCs/>
        </w:rPr>
        <w:t>响应情况</w:t>
      </w:r>
      <w:r>
        <w:rPr>
          <w:rFonts w:ascii="Times New Roman" w:hAnsi="Times New Roman" w:cs="Times New Roman"/>
          <w:bCs/>
        </w:rPr>
        <w:t>”一栏必须</w:t>
      </w:r>
      <w:r>
        <w:rPr>
          <w:rFonts w:hint="eastAsia" w:ascii="Times New Roman" w:hAnsi="Times New Roman" w:cs="Times New Roman"/>
          <w:bCs/>
        </w:rPr>
        <w:t>如实填写投标人自身情况</w:t>
      </w:r>
      <w:r>
        <w:rPr>
          <w:rFonts w:ascii="Times New Roman" w:hAnsi="Times New Roman" w:cs="Times New Roman"/>
          <w:bCs/>
        </w:rPr>
        <w:t>，并应对照</w:t>
      </w:r>
      <w:r>
        <w:rPr>
          <w:rFonts w:hint="eastAsia" w:ascii="Times New Roman" w:hAnsi="Times New Roman" w:cs="Times New Roman"/>
          <w:bCs/>
        </w:rPr>
        <w:t>资格条款</w:t>
      </w:r>
      <w:r>
        <w:rPr>
          <w:rFonts w:ascii="Times New Roman" w:hAnsi="Times New Roman" w:cs="Times New Roman"/>
          <w:bCs/>
        </w:rPr>
        <w:t>一一对应响应；</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w:t>
      </w:r>
      <w:r>
        <w:rPr>
          <w:rFonts w:ascii="Times New Roman" w:hAnsi="Times New Roman" w:cs="Times New Roman"/>
          <w:bCs/>
        </w:rPr>
        <w:t>“偏离情况”一栏应如实填写“正偏离”、“负偏离”或“无偏离”</w:t>
      </w:r>
      <w:r>
        <w:rPr>
          <w:rFonts w:hint="eastAsia" w:ascii="Times New Roman" w:hAnsi="Times New Roman" w:cs="Times New Roman"/>
          <w:bCs/>
        </w:rPr>
        <w:t>，</w:t>
      </w:r>
      <w:r>
        <w:rPr>
          <w:rFonts w:ascii="Times New Roman" w:hAnsi="Times New Roman" w:cs="Times New Roman"/>
          <w:bCs/>
        </w:rPr>
        <w:t>负偏离视为未实质性满足招标文件要求作投标无效处理。</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4.</w:t>
      </w:r>
      <w:r>
        <w:rPr>
          <w:rFonts w:hint="eastAsia" w:ascii="Times New Roman" w:hAnsi="Times New Roman" w:cs="Times New Roman"/>
          <w:bCs/>
        </w:rPr>
        <w:t>“说明”</w:t>
      </w:r>
      <w:r>
        <w:rPr>
          <w:rFonts w:ascii="Times New Roman" w:hAnsi="Times New Roman" w:cs="Times New Roman"/>
          <w:bCs/>
        </w:rPr>
        <w:t>一栏</w:t>
      </w:r>
      <w:r>
        <w:rPr>
          <w:rFonts w:hint="eastAsia" w:ascii="Times New Roman" w:hAnsi="Times New Roman" w:cs="Times New Roman"/>
          <w:bCs/>
        </w:rPr>
        <w:t>填写所要求的证明材料（如有）的对应页码或阐明其他补充内容。</w:t>
      </w:r>
    </w:p>
    <w:p>
      <w:pPr>
        <w:tabs>
          <w:tab w:val="clear" w:pos="426"/>
        </w:tabs>
        <w:spacing w:line="240" w:lineRule="auto"/>
        <w:ind w:firstLine="424" w:firstLineChars="202"/>
        <w:rPr>
          <w:rFonts w:ascii="Times New Roman" w:hAnsi="Times New Roman" w:cs="Times New Roman"/>
          <w:bCs/>
        </w:rPr>
      </w:pPr>
      <w:r>
        <w:rPr>
          <w:rFonts w:hint="eastAsia" w:ascii="Times New Roman" w:hAnsi="Times New Roman" w:cs="Times New Roman"/>
          <w:bCs/>
        </w:rPr>
        <w:t>5.投标人所填写的“偏离情况”与评审委员会判定不一致时，以评审委员会意见为主。</w:t>
      </w:r>
    </w:p>
    <w:p>
      <w:pPr>
        <w:rPr>
          <w:rFonts w:hint="eastAsia"/>
        </w:rPr>
      </w:pPr>
    </w:p>
    <w:p>
      <w:pPr>
        <w:rPr>
          <w:rFonts w:hint="eastAsia"/>
        </w:rPr>
      </w:pPr>
      <w:r>
        <w:rPr>
          <w:rFonts w:hint="eastAsia"/>
        </w:rPr>
        <w:br w:type="page"/>
      </w:r>
    </w:p>
    <w:p>
      <w:pPr>
        <w:adjustRightInd/>
        <w:snapToGrid/>
        <w:spacing w:before="280" w:after="290" w:line="377" w:lineRule="auto"/>
        <w:outlineLvl w:val="2"/>
        <w:rPr>
          <w:rFonts w:hint="eastAsia"/>
          <w:b/>
          <w:sz w:val="24"/>
        </w:rPr>
      </w:pPr>
      <w:bookmarkStart w:id="135" w:name="_Toc3927"/>
      <w:r>
        <w:rPr>
          <w:rFonts w:hint="eastAsia"/>
          <w:b/>
          <w:sz w:val="24"/>
        </w:rPr>
        <w:t>格式5：法人或者其他组织的营业执照等证明文件</w:t>
      </w:r>
      <w:bookmarkEnd w:id="135"/>
    </w:p>
    <w:p>
      <w:pPr>
        <w:tabs>
          <w:tab w:val="clear" w:pos="426"/>
        </w:tabs>
        <w:spacing w:before="231" w:beforeLines="50"/>
        <w:ind w:firstLine="424" w:firstLineChars="201"/>
        <w:rPr>
          <w:rFonts w:hint="eastAsia"/>
          <w:b/>
        </w:rPr>
      </w:pPr>
      <w:r>
        <w:rPr>
          <w:rFonts w:hint="eastAsia"/>
          <w:b/>
        </w:rPr>
        <w:t>投标人须按本招标文件第一章投标邀请 “申请人的资格要求”提供相关的资质证明，且已接受报名的单位，不代表资格审查通过。投标文件中未提供或提供不完整、不符合要求的，投标文件将按无效标的情形处理。</w:t>
      </w:r>
    </w:p>
    <w:p>
      <w:pPr>
        <w:rPr>
          <w:rFonts w:hint="eastAsia"/>
          <w:b/>
          <w:sz w:val="24"/>
        </w:rPr>
      </w:pPr>
      <w:bookmarkStart w:id="136" w:name="_Toc150960255"/>
      <w:bookmarkStart w:id="137" w:name="_Toc151386165"/>
      <w:r>
        <w:rPr>
          <w:rFonts w:hint="eastAsia"/>
          <w:b/>
          <w:sz w:val="24"/>
        </w:rPr>
        <w:br w:type="page"/>
      </w:r>
    </w:p>
    <w:p>
      <w:pPr>
        <w:adjustRightInd/>
        <w:snapToGrid/>
        <w:spacing w:before="280" w:after="290" w:line="377" w:lineRule="auto"/>
        <w:outlineLvl w:val="2"/>
        <w:rPr>
          <w:rFonts w:hint="eastAsia"/>
          <w:b/>
          <w:sz w:val="24"/>
        </w:rPr>
      </w:pPr>
      <w:bookmarkStart w:id="138" w:name="_Toc21226"/>
      <w:r>
        <w:rPr>
          <w:rFonts w:hint="eastAsia"/>
          <w:b/>
          <w:sz w:val="24"/>
        </w:rPr>
        <w:t>格式6：投标人资格声明函</w:t>
      </w:r>
      <w:bookmarkEnd w:id="138"/>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投标人资格声明函</w:t>
      </w:r>
    </w:p>
    <w:p>
      <w:pPr>
        <w:tabs>
          <w:tab w:val="clear" w:pos="426"/>
        </w:tabs>
        <w:rPr>
          <w:rFonts w:hint="eastAsia"/>
        </w:rPr>
      </w:pPr>
    </w:p>
    <w:p>
      <w:pPr>
        <w:tabs>
          <w:tab w:val="clear" w:pos="426"/>
        </w:tabs>
        <w:rPr>
          <w:rFonts w:hint="eastAsia"/>
        </w:rPr>
      </w:pPr>
      <w:r>
        <w:rPr>
          <w:rFonts w:hint="eastAsia"/>
        </w:rPr>
        <w:t>深圳市深水水务咨询有限公司：</w:t>
      </w:r>
    </w:p>
    <w:p>
      <w:pPr>
        <w:ind w:firstLine="424" w:firstLineChars="202"/>
        <w:rPr>
          <w:rFonts w:hAnsi="Times New Roman"/>
        </w:rPr>
      </w:pPr>
      <w:r>
        <w:rPr>
          <w:rFonts w:hint="eastAsia" w:hAnsi="Times New Roman"/>
        </w:rPr>
        <w:t>关于贵公司发布</w:t>
      </w:r>
      <w:r>
        <w:rPr>
          <w:rFonts w:hint="eastAsia" w:hAnsi="Times New Roman"/>
          <w:szCs w:val="21"/>
          <w:u w:val="single"/>
        </w:rPr>
        <w:t>（项目名称</w:t>
      </w:r>
      <w:r>
        <w:rPr>
          <w:rFonts w:hAnsi="Times New Roman"/>
          <w:szCs w:val="21"/>
          <w:u w:val="single"/>
        </w:rPr>
        <w:t>)</w:t>
      </w:r>
      <w:r>
        <w:rPr>
          <w:rFonts w:hint="eastAsia" w:hAnsi="Times New Roman"/>
        </w:rPr>
        <w:t>项目（项目编号：</w:t>
      </w:r>
      <w:r>
        <w:rPr>
          <w:rFonts w:hint="eastAsia" w:hAnsi="Times New Roman"/>
          <w:u w:val="single"/>
        </w:rPr>
        <w:t>（项目编号）</w:t>
      </w:r>
      <w:r>
        <w:rPr>
          <w:rFonts w:hint="eastAsia" w:hAnsi="Times New Roman"/>
        </w:rPr>
        <w:t>）的招标公告，本公司（企业）愿意参加投标，并声明：</w:t>
      </w:r>
    </w:p>
    <w:p>
      <w:pPr>
        <w:ind w:firstLine="424" w:firstLineChars="202"/>
        <w:rPr>
          <w:rFonts w:hAnsi="Times New Roman"/>
        </w:rPr>
      </w:pPr>
      <w:r>
        <w:rPr>
          <w:rFonts w:hint="eastAsia" w:hAnsi="Times New Roman"/>
        </w:rPr>
        <w:t>我单位承诺：</w:t>
      </w:r>
    </w:p>
    <w:p>
      <w:pPr>
        <w:ind w:firstLine="424" w:firstLineChars="202"/>
        <w:rPr>
          <w:rFonts w:hAnsi="Times New Roman"/>
        </w:rPr>
      </w:pPr>
      <w:r>
        <w:rPr>
          <w:rFonts w:hint="eastAsia" w:hAnsi="Times New Roman"/>
        </w:rPr>
        <w:t>1.我单位参与本项目所投标（响应）的货物、工程或服务，不存在侵犯知识产权的情况；已知悉并同意中标（成交）结果信息公示（公开）的内容。</w:t>
      </w:r>
    </w:p>
    <w:p>
      <w:pPr>
        <w:ind w:firstLine="424" w:firstLineChars="202"/>
        <w:rPr>
          <w:rFonts w:hAnsi="Times New Roman"/>
        </w:rPr>
      </w:pPr>
      <w:r>
        <w:rPr>
          <w:rFonts w:hint="eastAsia" w:hAnsi="Times New Roman"/>
        </w:rPr>
        <w:t>2.我单位参与该项目投标，符合招标文件关于联合体及进口产品的相关资格要求。</w:t>
      </w:r>
    </w:p>
    <w:p>
      <w:pPr>
        <w:ind w:firstLine="424" w:firstLineChars="202"/>
        <w:rPr>
          <w:rFonts w:hAnsi="Times New Roman"/>
        </w:rPr>
      </w:pPr>
      <w:r>
        <w:rPr>
          <w:rFonts w:hint="eastAsia" w:hAnsi="Times New Roman"/>
        </w:rPr>
        <w:t>3.我单位参与本项目政府采购活动时不存在被有关部门禁止参与政府采购活动且在有效期内的情况。</w:t>
      </w:r>
    </w:p>
    <w:p>
      <w:pPr>
        <w:ind w:firstLine="424" w:firstLineChars="202"/>
        <w:rPr>
          <w:rFonts w:hAnsi="Times New Roman"/>
        </w:rPr>
      </w:pPr>
      <w:r>
        <w:rPr>
          <w:rFonts w:hint="eastAsia" w:hAnsi="Times New Roman"/>
        </w:rPr>
        <w:t>4</w:t>
      </w:r>
      <w:r>
        <w:rPr>
          <w:rFonts w:hAnsi="Times New Roman"/>
        </w:rPr>
        <w:t>.</w:t>
      </w:r>
      <w:r>
        <w:rPr>
          <w:rFonts w:hint="eastAsia" w:hAnsi="Times New Roman"/>
        </w:rPr>
        <w:t>我单位参与本项目投标前三年内，在经营活动中没有重大违法记录。</w:t>
      </w:r>
    </w:p>
    <w:p>
      <w:pPr>
        <w:ind w:firstLine="424" w:firstLineChars="202"/>
        <w:rPr>
          <w:rFonts w:hAnsi="Times New Roman"/>
        </w:rPr>
      </w:pPr>
      <w:r>
        <w:rPr>
          <w:rFonts w:hAnsi="Times New Roman"/>
        </w:rPr>
        <w:t>5</w:t>
      </w:r>
      <w:r>
        <w:rPr>
          <w:rFonts w:hint="eastAsia" w:hAnsi="Times New Roman"/>
        </w:rPr>
        <w:t>.我单位参与本项目投标近三年内，在经营活动中没有发生重大安全和质量事故。</w:t>
      </w:r>
    </w:p>
    <w:p>
      <w:pPr>
        <w:ind w:firstLine="424" w:firstLineChars="202"/>
        <w:rPr>
          <w:rFonts w:hAnsi="Times New Roman"/>
        </w:rPr>
      </w:pPr>
      <w:r>
        <w:rPr>
          <w:rFonts w:hAnsi="Times New Roman"/>
        </w:rPr>
        <w:t>6.</w:t>
      </w:r>
      <w:r>
        <w:rPr>
          <w:rFonts w:hint="eastAsia" w:hAnsi="Times New Roman"/>
        </w:rPr>
        <w:t>我单位具备《中华人民共和国政府采购法》第二十二条的条件。</w:t>
      </w:r>
    </w:p>
    <w:p>
      <w:pPr>
        <w:ind w:firstLine="424" w:firstLineChars="202"/>
        <w:rPr>
          <w:rFonts w:hAnsi="Times New Roman"/>
        </w:rPr>
      </w:pPr>
      <w:r>
        <w:rPr>
          <w:rFonts w:hAnsi="Times New Roman"/>
        </w:rPr>
        <w:t>7</w:t>
      </w:r>
      <w:r>
        <w:rPr>
          <w:rFonts w:hint="eastAsia" w:hAnsi="Times New Roman"/>
        </w:rPr>
        <w:t>.我单位未被列入失信被执行人、重大税收违法案件当事人名单（重大税收违法失信主体）、政府采购严重违法失信行为记录名单</w:t>
      </w:r>
    </w:p>
    <w:p>
      <w:pPr>
        <w:ind w:firstLine="424" w:firstLineChars="202"/>
        <w:rPr>
          <w:rFonts w:hAnsi="Times New Roman"/>
        </w:rPr>
      </w:pPr>
      <w:r>
        <w:rPr>
          <w:rFonts w:hAnsi="Times New Roman"/>
        </w:rPr>
        <w:t>8</w:t>
      </w:r>
      <w:r>
        <w:rPr>
          <w:rFonts w:hint="eastAsia" w:hAnsi="Times New Roma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4" w:firstLineChars="202"/>
        <w:rPr>
          <w:rFonts w:hAnsi="Times New Roman"/>
        </w:rPr>
      </w:pPr>
      <w:r>
        <w:rPr>
          <w:rFonts w:hAnsi="Times New Roman"/>
        </w:rPr>
        <w:t>9</w:t>
      </w:r>
      <w:r>
        <w:rPr>
          <w:rFonts w:hint="eastAsia" w:hAnsi="Times New Roman"/>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4" w:firstLineChars="202"/>
        <w:rPr>
          <w:rFonts w:hAnsi="Times New Roman"/>
        </w:rPr>
      </w:pPr>
      <w:r>
        <w:rPr>
          <w:rFonts w:hint="eastAsia" w:hAnsi="Times New Roma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4" w:firstLineChars="202"/>
        <w:rPr>
          <w:rFonts w:hAnsi="Times New Roman"/>
        </w:rPr>
      </w:pPr>
      <w:r>
        <w:rPr>
          <w:rFonts w:hAnsi="Times New Roman"/>
        </w:rPr>
        <w:t>10</w:t>
      </w:r>
      <w:r>
        <w:rPr>
          <w:rFonts w:hint="eastAsia" w:hAnsi="Times New Roma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4" w:firstLineChars="202"/>
        <w:rPr>
          <w:rFonts w:hAnsi="Times New Roman"/>
        </w:rPr>
      </w:pPr>
      <w:r>
        <w:rPr>
          <w:rFonts w:hAnsi="Times New Roman"/>
        </w:rPr>
        <w:t>11</w:t>
      </w:r>
      <w:r>
        <w:rPr>
          <w:rFonts w:hint="eastAsia" w:hAnsi="Times New Roman"/>
        </w:rPr>
        <w:t>.我单位承诺中标后项目不转包，未经采购人同意不进行分包。</w:t>
      </w:r>
    </w:p>
    <w:p>
      <w:pPr>
        <w:ind w:firstLine="424" w:firstLineChars="202"/>
        <w:rPr>
          <w:rFonts w:hAnsi="Times New Roman"/>
        </w:rPr>
      </w:pPr>
      <w:r>
        <w:rPr>
          <w:rFonts w:hint="eastAsia" w:hAnsi="Times New Roman"/>
        </w:rPr>
        <w:t>1</w:t>
      </w:r>
      <w:r>
        <w:rPr>
          <w:rFonts w:hAnsi="Times New Roman"/>
        </w:rPr>
        <w:t>2</w:t>
      </w:r>
      <w:r>
        <w:rPr>
          <w:rFonts w:hint="eastAsia" w:hAnsi="Times New Roma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4" w:firstLineChars="202"/>
        <w:rPr>
          <w:rFonts w:hAnsi="Times New Roman"/>
        </w:rPr>
      </w:pPr>
      <w:r>
        <w:rPr>
          <w:rFonts w:hint="eastAsia" w:hAnsi="Times New Roman"/>
        </w:rPr>
        <w:t>1</w:t>
      </w:r>
      <w:r>
        <w:rPr>
          <w:rFonts w:hAnsi="Times New Roman"/>
        </w:rPr>
        <w:t>3</w:t>
      </w:r>
      <w:r>
        <w:rPr>
          <w:rFonts w:hint="eastAsia" w:hAnsi="Times New Roman"/>
        </w:rPr>
        <w:t>.我单位保证，若所投货物涉及《财政部生态环境部关于印发节能产品政府采购品目清单的通知》（财库〔2019〕19号）列明的政府采购强制产品，则所投该产品符合节能产品的认证要求。</w:t>
      </w:r>
    </w:p>
    <w:p>
      <w:pPr>
        <w:ind w:firstLine="424" w:firstLineChars="202"/>
        <w:rPr>
          <w:rFonts w:hAnsi="Times New Roman"/>
        </w:rPr>
      </w:pPr>
      <w:r>
        <w:rPr>
          <w:rFonts w:hint="eastAsia" w:hAnsi="Times New Roman"/>
        </w:rPr>
        <w:t>1</w:t>
      </w:r>
      <w:r>
        <w:rPr>
          <w:rFonts w:hAnsi="Times New Roman"/>
        </w:rPr>
        <w:t>4</w:t>
      </w:r>
      <w:r>
        <w:rPr>
          <w:rFonts w:hint="eastAsia" w:hAnsi="Times New Roman"/>
        </w:rPr>
        <w:t>.我单位保证，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ind w:firstLine="420"/>
        <w:rPr>
          <w:rFonts w:hAnsi="Times New Roman"/>
        </w:rPr>
      </w:pPr>
      <w:r>
        <w:rPr>
          <w:rFonts w:hint="eastAsia" w:hAnsi="Times New Roman"/>
        </w:rPr>
        <w:t>15.我单位保证，参与本项目政府采购活动不存在与其他采购参加人串通投标、隐瞒真实情况、提供虚假资料等违法违规情形。</w:t>
      </w:r>
    </w:p>
    <w:p>
      <w:pPr>
        <w:ind w:firstLine="424" w:firstLineChars="202"/>
        <w:rPr>
          <w:rFonts w:hAnsi="Times New Roman"/>
        </w:rPr>
      </w:pPr>
      <w:r>
        <w:rPr>
          <w:rFonts w:hint="eastAsia" w:hAnsi="Times New Roman"/>
        </w:rPr>
        <w:t>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4" w:firstLineChars="202"/>
        <w:rPr>
          <w:rFonts w:hAnsi="Times New Roman"/>
        </w:rPr>
      </w:pPr>
      <w:r>
        <w:rPr>
          <w:rFonts w:hint="eastAsia" w:hAnsi="Times New Roman"/>
        </w:rPr>
        <w:t>以上承诺，如有违反，愿依照国家相关法律处理，并承担由此给采购人带来的损失。</w:t>
      </w:r>
    </w:p>
    <w:p>
      <w:pPr>
        <w:ind w:firstLine="420"/>
        <w:rPr>
          <w:rFonts w:hAnsi="Times New Roman"/>
        </w:rPr>
      </w:pPr>
      <w:r>
        <w:rPr>
          <w:rFonts w:hint="eastAsia" w:hAnsi="Times New Roman"/>
        </w:rPr>
        <w:t>特此声明！</w:t>
      </w:r>
    </w:p>
    <w:p>
      <w:pPr>
        <w:tabs>
          <w:tab w:val="clear" w:pos="426"/>
        </w:tabs>
        <w:ind w:firstLine="420"/>
        <w:rPr>
          <w:rFonts w:hint="eastAsia"/>
        </w:rPr>
      </w:pPr>
    </w:p>
    <w:p>
      <w:pPr>
        <w:tabs>
          <w:tab w:val="clear" w:pos="426"/>
        </w:tabs>
        <w:ind w:firstLine="420"/>
        <w:rPr>
          <w:rFonts w:hint="eastAsia"/>
          <w:u w:val="single"/>
        </w:rPr>
      </w:pPr>
      <w:r>
        <w:rPr>
          <w:rFonts w:hint="eastAsia"/>
        </w:rPr>
        <w:t>单位名称：</w:t>
      </w:r>
      <w:r>
        <w:rPr>
          <w:rFonts w:hint="eastAsia"/>
          <w:u w:val="single"/>
        </w:rPr>
        <w:t>_____________________________________________________________</w:t>
      </w:r>
    </w:p>
    <w:p>
      <w:pPr>
        <w:tabs>
          <w:tab w:val="clear" w:pos="426"/>
        </w:tabs>
        <w:ind w:firstLine="420"/>
        <w:rPr>
          <w:rFonts w:hint="eastAsia"/>
          <w:u w:val="single"/>
        </w:rPr>
      </w:pPr>
      <w:r>
        <w:rPr>
          <w:rFonts w:hint="eastAsia"/>
        </w:rPr>
        <w:t>法定代表人或投标人授权代表（签字或盖章）：</w:t>
      </w:r>
      <w:r>
        <w:rPr>
          <w:rFonts w:hint="eastAsia"/>
          <w:u w:val="single"/>
        </w:rPr>
        <w:t>_____________________________</w:t>
      </w:r>
    </w:p>
    <w:p>
      <w:pPr>
        <w:tabs>
          <w:tab w:val="clear" w:pos="426"/>
        </w:tabs>
        <w:ind w:firstLine="420"/>
        <w:rPr>
          <w:rFonts w:hint="eastAsia"/>
          <w:u w:val="single"/>
        </w:rPr>
      </w:pPr>
      <w:r>
        <w:rPr>
          <w:rFonts w:hint="eastAsia"/>
        </w:rPr>
        <w:t>单位地址：</w:t>
      </w:r>
      <w:r>
        <w:rPr>
          <w:rFonts w:hint="eastAsia"/>
          <w:u w:val="single"/>
        </w:rPr>
        <w:t>_____________________________________________________________</w:t>
      </w:r>
    </w:p>
    <w:p>
      <w:pPr>
        <w:tabs>
          <w:tab w:val="clear" w:pos="426"/>
        </w:tabs>
        <w:ind w:firstLine="420"/>
        <w:rPr>
          <w:rFonts w:hint="eastAsia"/>
          <w:u w:val="single"/>
        </w:rPr>
      </w:pPr>
      <w:r>
        <w:rPr>
          <w:rFonts w:hint="eastAsia"/>
        </w:rPr>
        <w:t>单位公章：</w:t>
      </w:r>
      <w:r>
        <w:rPr>
          <w:rFonts w:hint="eastAsia"/>
          <w:u w:val="single"/>
        </w:rPr>
        <w:t>_____________________________________________________________</w:t>
      </w:r>
    </w:p>
    <w:p>
      <w:pPr>
        <w:tabs>
          <w:tab w:val="clear" w:pos="426"/>
        </w:tabs>
        <w:ind w:firstLine="420"/>
        <w:rPr>
          <w:rFonts w:hint="eastAsia"/>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pPr>
        <w:tabs>
          <w:tab w:val="clear" w:pos="426"/>
        </w:tabs>
        <w:ind w:firstLine="420" w:firstLineChars="200"/>
        <w:rPr>
          <w:rFonts w:hint="eastAsia"/>
          <w:u w:val="single"/>
        </w:rPr>
      </w:pPr>
      <w:r>
        <w:rPr>
          <w:rFonts w:hint="eastAsia"/>
        </w:rPr>
        <w:t>联系电话：</w:t>
      </w:r>
      <w:r>
        <w:rPr>
          <w:rFonts w:hint="eastAsia"/>
          <w:u w:val="single"/>
        </w:rPr>
        <w:t>_____________________________________________________________</w:t>
      </w:r>
    </w:p>
    <w:p>
      <w:pPr>
        <w:rPr>
          <w:rFonts w:hint="eastAsia"/>
        </w:rPr>
      </w:pPr>
    </w:p>
    <w:p>
      <w:pPr>
        <w:rPr>
          <w:rFonts w:hint="eastAsia"/>
          <w:b/>
          <w:sz w:val="24"/>
        </w:rPr>
      </w:pPr>
      <w:r>
        <w:rPr>
          <w:rFonts w:hint="eastAsia"/>
          <w:b/>
          <w:sz w:val="24"/>
        </w:rPr>
        <w:br w:type="page"/>
      </w:r>
    </w:p>
    <w:p>
      <w:pPr>
        <w:adjustRightInd/>
        <w:snapToGrid/>
        <w:spacing w:before="280" w:after="290" w:line="377" w:lineRule="auto"/>
        <w:outlineLvl w:val="2"/>
        <w:rPr>
          <w:rFonts w:hint="eastAsia"/>
          <w:b/>
          <w:sz w:val="24"/>
        </w:rPr>
      </w:pPr>
      <w:bookmarkStart w:id="139" w:name="_Toc21325"/>
      <w:r>
        <w:rPr>
          <w:rFonts w:hint="eastAsia"/>
          <w:b/>
          <w:sz w:val="24"/>
        </w:rPr>
        <w:t>格式7：开标一览表</w:t>
      </w:r>
      <w:bookmarkEnd w:id="136"/>
      <w:bookmarkEnd w:id="137"/>
      <w:bookmarkEnd w:id="139"/>
    </w:p>
    <w:p>
      <w:pPr>
        <w:widowControl w:val="0"/>
        <w:shd w:val="clear" w:color="auto" w:fill="auto"/>
        <w:tabs>
          <w:tab w:val="clear" w:pos="426"/>
        </w:tabs>
        <w:adjustRightInd/>
        <w:snapToGrid/>
        <w:spacing w:line="300" w:lineRule="auto"/>
        <w:jc w:val="center"/>
        <w:rPr>
          <w:rFonts w:hint="eastAsia" w:cs="Times New Roman"/>
          <w:bCs/>
          <w:kern w:val="2"/>
          <w:sz w:val="32"/>
          <w:szCs w:val="32"/>
        </w:rPr>
      </w:pPr>
      <w:bookmarkStart w:id="140" w:name="_Toc480789479"/>
      <w:bookmarkStart w:id="141" w:name="_Toc480754208"/>
      <w:bookmarkStart w:id="142" w:name="_Toc480755929"/>
      <w:bookmarkStart w:id="143" w:name="_Toc480756075"/>
      <w:r>
        <w:rPr>
          <w:rFonts w:hint="eastAsia" w:cs="Times New Roman"/>
          <w:bCs/>
          <w:kern w:val="2"/>
          <w:sz w:val="32"/>
          <w:szCs w:val="32"/>
        </w:rPr>
        <w:t>开标一览表</w:t>
      </w:r>
      <w:bookmarkEnd w:id="140"/>
      <w:bookmarkEnd w:id="141"/>
      <w:bookmarkEnd w:id="142"/>
      <w:bookmarkEnd w:id="143"/>
    </w:p>
    <w:p>
      <w:pPr>
        <w:tabs>
          <w:tab w:val="clear" w:pos="426"/>
        </w:tabs>
        <w:jc w:val="left"/>
        <w:rPr>
          <w:rFonts w:hint="eastAsia"/>
        </w:rPr>
      </w:pPr>
    </w:p>
    <w:p>
      <w:pPr>
        <w:tabs>
          <w:tab w:val="clear" w:pos="426"/>
        </w:tabs>
        <w:jc w:val="left"/>
        <w:rPr>
          <w:rFonts w:hint="eastAsia"/>
          <w:u w:val="single"/>
        </w:rPr>
      </w:pPr>
      <w:r>
        <w:rPr>
          <w:rFonts w:hint="eastAsia"/>
        </w:rPr>
        <w:t>项目名称：</w:t>
      </w:r>
      <w:r>
        <w:rPr>
          <w:rFonts w:hint="eastAsia"/>
          <w:u w:val="single"/>
        </w:rPr>
        <w:t>__________________________________________</w:t>
      </w:r>
      <w:r>
        <w:rPr>
          <w:rFonts w:hint="eastAsia"/>
        </w:rPr>
        <w:t>项目编号：</w:t>
      </w:r>
      <w:r>
        <w:rPr>
          <w:rFonts w:hint="eastAsia"/>
          <w:u w:val="single"/>
        </w:rPr>
        <w:t>_________________________</w:t>
      </w:r>
    </w:p>
    <w:tbl>
      <w:tblPr>
        <w:tblStyle w:val="85"/>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4629"/>
        <w:gridCol w:w="2214"/>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20" w:type="pct"/>
            <w:vAlign w:val="center"/>
          </w:tcPr>
          <w:p>
            <w:pPr>
              <w:jc w:val="center"/>
              <w:rPr>
                <w:rFonts w:hint="eastAsia"/>
                <w:b/>
                <w:szCs w:val="21"/>
              </w:rPr>
            </w:pPr>
            <w:r>
              <w:rPr>
                <w:rFonts w:hint="eastAsia"/>
                <w:b/>
                <w:szCs w:val="21"/>
              </w:rPr>
              <w:t>序号</w:t>
            </w:r>
          </w:p>
        </w:tc>
        <w:tc>
          <w:tcPr>
            <w:tcW w:w="2480" w:type="pct"/>
            <w:vAlign w:val="center"/>
          </w:tcPr>
          <w:p>
            <w:pPr>
              <w:jc w:val="center"/>
              <w:rPr>
                <w:rFonts w:hint="eastAsia"/>
                <w:b/>
                <w:szCs w:val="21"/>
              </w:rPr>
            </w:pPr>
            <w:r>
              <w:rPr>
                <w:rFonts w:hint="eastAsia"/>
                <w:b/>
                <w:szCs w:val="21"/>
              </w:rPr>
              <w:t>项目名称</w:t>
            </w:r>
          </w:p>
        </w:tc>
        <w:tc>
          <w:tcPr>
            <w:tcW w:w="1186" w:type="pct"/>
            <w:vAlign w:val="center"/>
          </w:tcPr>
          <w:p>
            <w:pPr>
              <w:jc w:val="center"/>
              <w:rPr>
                <w:rFonts w:hint="eastAsia"/>
                <w:b/>
                <w:szCs w:val="21"/>
              </w:rPr>
            </w:pPr>
            <w:r>
              <w:rPr>
                <w:rFonts w:hint="eastAsia"/>
                <w:b/>
                <w:szCs w:val="21"/>
              </w:rPr>
              <w:t>投标总价（元）</w:t>
            </w:r>
          </w:p>
        </w:tc>
        <w:tc>
          <w:tcPr>
            <w:tcW w:w="711" w:type="pct"/>
            <w:vAlign w:val="center"/>
          </w:tcPr>
          <w:p>
            <w:pPr>
              <w:jc w:val="center"/>
              <w:rPr>
                <w:rFonts w:hint="eastAsia"/>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20" w:type="pct"/>
            <w:vAlign w:val="center"/>
          </w:tcPr>
          <w:p>
            <w:pPr>
              <w:jc w:val="center"/>
              <w:rPr>
                <w:rFonts w:hint="eastAsia"/>
                <w:bCs/>
                <w:szCs w:val="21"/>
              </w:rPr>
            </w:pPr>
          </w:p>
        </w:tc>
        <w:tc>
          <w:tcPr>
            <w:tcW w:w="2480" w:type="pct"/>
            <w:vAlign w:val="center"/>
          </w:tcPr>
          <w:p>
            <w:pPr>
              <w:jc w:val="center"/>
              <w:rPr>
                <w:rFonts w:hint="eastAsia"/>
                <w:b/>
                <w:szCs w:val="21"/>
              </w:rPr>
            </w:pPr>
          </w:p>
        </w:tc>
        <w:tc>
          <w:tcPr>
            <w:tcW w:w="1186" w:type="pct"/>
            <w:vAlign w:val="center"/>
          </w:tcPr>
          <w:p>
            <w:pPr>
              <w:jc w:val="left"/>
              <w:rPr>
                <w:rFonts w:hint="eastAsia"/>
                <w:b/>
                <w:szCs w:val="21"/>
              </w:rPr>
            </w:pPr>
            <w:r>
              <w:rPr>
                <w:rFonts w:hint="eastAsia"/>
                <w:b/>
                <w:szCs w:val="21"/>
              </w:rPr>
              <w:t>大写：</w:t>
            </w:r>
          </w:p>
          <w:p>
            <w:pPr>
              <w:jc w:val="left"/>
              <w:rPr>
                <w:rFonts w:hint="eastAsia"/>
                <w:b/>
                <w:szCs w:val="21"/>
              </w:rPr>
            </w:pPr>
            <w:r>
              <w:rPr>
                <w:rFonts w:hint="eastAsia"/>
                <w:b/>
                <w:szCs w:val="21"/>
              </w:rPr>
              <w:t>小写：</w:t>
            </w:r>
          </w:p>
        </w:tc>
        <w:tc>
          <w:tcPr>
            <w:tcW w:w="711" w:type="pct"/>
            <w:vAlign w:val="center"/>
          </w:tcPr>
          <w:p>
            <w:pPr>
              <w:jc w:val="center"/>
              <w:rPr>
                <w:rFonts w:hint="eastAsia"/>
                <w:b/>
                <w:szCs w:val="21"/>
              </w:rPr>
            </w:pPr>
          </w:p>
        </w:tc>
      </w:tr>
    </w:tbl>
    <w:p>
      <w:pPr>
        <w:tabs>
          <w:tab w:val="clear" w:pos="426"/>
        </w:tabs>
        <w:jc w:val="left"/>
        <w:rPr>
          <w:rFonts w:hint="eastAsia"/>
          <w:u w:val="single"/>
        </w:rPr>
      </w:pPr>
    </w:p>
    <w:p>
      <w:pPr>
        <w:tabs>
          <w:tab w:val="clear" w:pos="426"/>
        </w:tabs>
        <w:spacing w:line="500" w:lineRule="exact"/>
        <w:rPr>
          <w:rFonts w:hint="eastAsia"/>
          <w:spacing w:val="4"/>
        </w:rPr>
      </w:pPr>
    </w:p>
    <w:p>
      <w:pPr>
        <w:tabs>
          <w:tab w:val="clear" w:pos="426"/>
        </w:tabs>
        <w:spacing w:line="500" w:lineRule="exact"/>
        <w:rPr>
          <w:rFonts w:hint="eastAsia"/>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pPr>
        <w:tabs>
          <w:tab w:val="clear" w:pos="426"/>
        </w:tabs>
        <w:spacing w:line="520" w:lineRule="exact"/>
        <w:rPr>
          <w:rFonts w:hint="eastAsia"/>
          <w:spacing w:val="4"/>
        </w:rPr>
      </w:pPr>
      <w:r>
        <w:rPr>
          <w:rFonts w:hint="eastAsia"/>
        </w:rPr>
        <w:t>法定代表人或投标人授权代表（签字或盖章）：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pPr>
        <w:tabs>
          <w:tab w:val="clear" w:pos="426"/>
        </w:tabs>
        <w:spacing w:line="400" w:lineRule="exact"/>
        <w:rPr>
          <w:rFonts w:hint="eastAsia"/>
          <w:b/>
          <w:bCs/>
          <w:szCs w:val="21"/>
        </w:rPr>
      </w:pPr>
    </w:p>
    <w:p>
      <w:pPr>
        <w:tabs>
          <w:tab w:val="clear" w:pos="426"/>
        </w:tabs>
        <w:spacing w:line="400" w:lineRule="exact"/>
        <w:rPr>
          <w:rFonts w:hint="eastAsia"/>
          <w:b/>
          <w:bCs/>
          <w:szCs w:val="21"/>
        </w:rPr>
      </w:pPr>
      <w:r>
        <w:rPr>
          <w:rFonts w:hint="eastAsia"/>
          <w:b/>
          <w:bCs/>
          <w:szCs w:val="21"/>
        </w:rPr>
        <w:t>备注：</w:t>
      </w:r>
    </w:p>
    <w:p>
      <w:pPr>
        <w:numPr>
          <w:ilvl w:val="1"/>
          <w:numId w:val="6"/>
        </w:numPr>
        <w:tabs>
          <w:tab w:val="left" w:pos="0"/>
        </w:tabs>
        <w:ind w:left="0" w:firstLine="424" w:firstLineChars="201"/>
        <w:rPr>
          <w:rFonts w:hAnsi="Times New Roman"/>
          <w:b/>
          <w:bCs/>
          <w:szCs w:val="21"/>
        </w:rPr>
      </w:pPr>
      <w:r>
        <w:rPr>
          <w:rFonts w:hAnsi="Times New Roman"/>
          <w:b/>
        </w:rPr>
        <w:t>此表</w:t>
      </w:r>
      <w:r>
        <w:rPr>
          <w:rFonts w:hint="eastAsia" w:hAnsi="Times New Roman"/>
          <w:b/>
        </w:rPr>
        <w:t>为投标文件的组成部分，</w:t>
      </w:r>
      <w:r>
        <w:rPr>
          <w:rFonts w:hAnsi="Times New Roman"/>
          <w:b/>
        </w:rPr>
        <w:t>须附在正、副本的投标文件中，并另封装一份于开标信封中</w:t>
      </w:r>
      <w:r>
        <w:rPr>
          <w:rFonts w:hint="eastAsia" w:hAnsi="Times New Roman"/>
          <w:b/>
        </w:rPr>
        <w:t>（信封中须同时提供法定代表人（单位负责人）证明书、授权委托书、被授权人身份证复印件）。</w:t>
      </w:r>
    </w:p>
    <w:p>
      <w:pPr>
        <w:numPr>
          <w:ilvl w:val="1"/>
          <w:numId w:val="6"/>
        </w:numPr>
        <w:tabs>
          <w:tab w:val="left" w:pos="0"/>
        </w:tabs>
        <w:ind w:left="0" w:firstLine="424" w:firstLineChars="201"/>
        <w:rPr>
          <w:rFonts w:hAnsi="Times New Roman"/>
          <w:b/>
          <w:bCs/>
          <w:szCs w:val="21"/>
        </w:rPr>
      </w:pPr>
      <w:r>
        <w:rPr>
          <w:rFonts w:hint="eastAsia" w:hAnsi="Times New Roman"/>
          <w:b/>
        </w:rPr>
        <w:t>此表内投标报价为最终价，开标信封及投标文件内不得含有任何对本报价进行修改的其他说明或资料，否则为无效投标</w:t>
      </w:r>
      <w:r>
        <w:rPr>
          <w:rFonts w:hint="eastAsia" w:hAnsi="Times New Roman"/>
          <w:b/>
          <w:bCs/>
          <w:szCs w:val="21"/>
        </w:rPr>
        <w:t>。</w:t>
      </w:r>
    </w:p>
    <w:p>
      <w:pPr>
        <w:numPr>
          <w:ilvl w:val="1"/>
          <w:numId w:val="6"/>
        </w:numPr>
        <w:tabs>
          <w:tab w:val="left" w:pos="0"/>
        </w:tabs>
        <w:ind w:left="0" w:firstLine="424" w:firstLineChars="201"/>
        <w:rPr>
          <w:rFonts w:hAnsi="Times New Roman"/>
          <w:b/>
        </w:rPr>
      </w:pPr>
      <w:r>
        <w:rPr>
          <w:rFonts w:hint="eastAsia" w:hAnsi="Times New Roman"/>
          <w:b/>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numPr>
          <w:ilvl w:val="1"/>
          <w:numId w:val="6"/>
        </w:numPr>
        <w:tabs>
          <w:tab w:val="left" w:pos="0"/>
        </w:tabs>
        <w:ind w:left="0" w:firstLine="424" w:firstLineChars="201"/>
        <w:rPr>
          <w:rFonts w:hAnsi="Times New Roman"/>
          <w:b/>
        </w:rPr>
      </w:pPr>
      <w:r>
        <w:rPr>
          <w:rFonts w:hint="eastAsia" w:hAnsi="Times New Roman"/>
          <w:b/>
        </w:rPr>
        <w:t>投标报价得分四舍五入后，小数点后保留两位有效数。</w:t>
      </w: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adjustRightInd/>
        <w:snapToGrid/>
        <w:spacing w:before="280" w:after="290" w:line="377" w:lineRule="auto"/>
        <w:outlineLvl w:val="2"/>
        <w:rPr>
          <w:rFonts w:hint="eastAsia"/>
          <w:b/>
          <w:sz w:val="24"/>
        </w:rPr>
      </w:pPr>
      <w:r>
        <w:rPr>
          <w:b/>
        </w:rPr>
        <w:br w:type="page"/>
      </w:r>
      <w:bookmarkStart w:id="144" w:name="_Toc23484"/>
      <w:r>
        <w:rPr>
          <w:rFonts w:hint="eastAsia"/>
          <w:b/>
          <w:sz w:val="24"/>
        </w:rPr>
        <w:t>格式8：投标分项报价表</w:t>
      </w:r>
      <w:bookmarkEnd w:id="144"/>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（一）项目报价表</w:t>
      </w:r>
    </w:p>
    <w:p>
      <w:pPr>
        <w:tabs>
          <w:tab w:val="clear" w:pos="426"/>
        </w:tabs>
        <w:wordWrap w:val="0"/>
        <w:rPr>
          <w:rFonts w:hint="eastAsia"/>
        </w:rPr>
      </w:pPr>
      <w:r>
        <w:rPr>
          <w:rFonts w:hint="eastAsia"/>
        </w:rPr>
        <w:t>项目名称：</w:t>
      </w:r>
      <w:r>
        <w:rPr>
          <w:rFonts w:hint="eastAsia"/>
          <w:u w:val="single"/>
        </w:rPr>
        <w:t>_____________________________________</w:t>
      </w:r>
      <w:r>
        <w:rPr>
          <w:rFonts w:hint="eastAsia"/>
        </w:rPr>
        <w:t>项目编号：</w:t>
      </w:r>
      <w:r>
        <w:rPr>
          <w:rFonts w:hint="eastAsia" w:ascii="ˎ̥" w:hAnsi="ˎ̥"/>
          <w:sz w:val="18"/>
          <w:szCs w:val="18"/>
          <w:u w:val="single"/>
        </w:rPr>
        <w:t>________________________________</w:t>
      </w:r>
    </w:p>
    <w:tbl>
      <w:tblPr>
        <w:tblStyle w:val="8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47"/>
        <w:gridCol w:w="1417"/>
        <w:gridCol w:w="851"/>
        <w:gridCol w:w="992"/>
        <w:gridCol w:w="709"/>
        <w:gridCol w:w="737"/>
        <w:gridCol w:w="1057"/>
        <w:gridCol w:w="1276"/>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Cs w:val="21"/>
              </w:rPr>
            </w:pPr>
            <w:r>
              <w:rPr>
                <w:rFonts w:hint="eastAsia"/>
                <w:szCs w:val="21"/>
              </w:rPr>
              <w:t>序号</w:t>
            </w:r>
          </w:p>
        </w:tc>
        <w:tc>
          <w:tcPr>
            <w:tcW w:w="1347" w:type="dxa"/>
            <w:vAlign w:val="center"/>
          </w:tcPr>
          <w:p>
            <w:pPr>
              <w:spacing w:line="240" w:lineRule="auto"/>
              <w:jc w:val="center"/>
              <w:rPr>
                <w:rFonts w:hint="eastAsia"/>
                <w:szCs w:val="21"/>
              </w:rPr>
            </w:pPr>
            <w:r>
              <w:rPr>
                <w:rFonts w:hint="eastAsia"/>
                <w:szCs w:val="21"/>
              </w:rPr>
              <w:t>货物名称</w:t>
            </w:r>
          </w:p>
        </w:tc>
        <w:tc>
          <w:tcPr>
            <w:tcW w:w="1417" w:type="dxa"/>
            <w:vAlign w:val="center"/>
          </w:tcPr>
          <w:p>
            <w:pPr>
              <w:spacing w:line="240" w:lineRule="auto"/>
              <w:jc w:val="center"/>
              <w:rPr>
                <w:rFonts w:hint="eastAsia"/>
                <w:szCs w:val="21"/>
              </w:rPr>
            </w:pPr>
            <w:r>
              <w:rPr>
                <w:rFonts w:hint="eastAsia"/>
                <w:szCs w:val="21"/>
              </w:rPr>
              <w:t>规格/型号</w:t>
            </w:r>
          </w:p>
        </w:tc>
        <w:tc>
          <w:tcPr>
            <w:tcW w:w="851" w:type="dxa"/>
            <w:vAlign w:val="center"/>
          </w:tcPr>
          <w:p>
            <w:pPr>
              <w:spacing w:line="240" w:lineRule="auto"/>
              <w:jc w:val="center"/>
              <w:rPr>
                <w:rFonts w:hint="eastAsia"/>
                <w:b/>
                <w:szCs w:val="21"/>
              </w:rPr>
            </w:pPr>
            <w:r>
              <w:rPr>
                <w:rFonts w:hint="eastAsia"/>
                <w:b/>
                <w:szCs w:val="21"/>
              </w:rPr>
              <w:t>原产地</w:t>
            </w:r>
          </w:p>
        </w:tc>
        <w:tc>
          <w:tcPr>
            <w:tcW w:w="992" w:type="dxa"/>
            <w:vAlign w:val="center"/>
          </w:tcPr>
          <w:p>
            <w:pPr>
              <w:spacing w:line="240" w:lineRule="auto"/>
              <w:jc w:val="center"/>
              <w:rPr>
                <w:rFonts w:hint="eastAsia"/>
                <w:szCs w:val="21"/>
              </w:rPr>
            </w:pPr>
            <w:r>
              <w:rPr>
                <w:rFonts w:hint="eastAsia"/>
                <w:szCs w:val="21"/>
              </w:rPr>
              <w:t>制造商名称</w:t>
            </w:r>
          </w:p>
        </w:tc>
        <w:tc>
          <w:tcPr>
            <w:tcW w:w="709" w:type="dxa"/>
            <w:vAlign w:val="center"/>
          </w:tcPr>
          <w:p>
            <w:pPr>
              <w:spacing w:line="240" w:lineRule="auto"/>
              <w:jc w:val="center"/>
              <w:rPr>
                <w:rFonts w:hint="eastAsia"/>
                <w:szCs w:val="21"/>
              </w:rPr>
            </w:pPr>
            <w:r>
              <w:rPr>
                <w:rFonts w:hint="eastAsia"/>
                <w:szCs w:val="21"/>
              </w:rPr>
              <w:t>数量</w:t>
            </w:r>
          </w:p>
        </w:tc>
        <w:tc>
          <w:tcPr>
            <w:tcW w:w="737" w:type="dxa"/>
            <w:vAlign w:val="center"/>
          </w:tcPr>
          <w:p>
            <w:pPr>
              <w:spacing w:line="240" w:lineRule="auto"/>
              <w:jc w:val="center"/>
              <w:rPr>
                <w:rFonts w:hint="eastAsia"/>
                <w:szCs w:val="21"/>
              </w:rPr>
            </w:pPr>
            <w:r>
              <w:rPr>
                <w:rFonts w:hint="eastAsia"/>
                <w:szCs w:val="21"/>
              </w:rPr>
              <w:t>单位</w:t>
            </w:r>
          </w:p>
        </w:tc>
        <w:tc>
          <w:tcPr>
            <w:tcW w:w="1057" w:type="dxa"/>
            <w:vAlign w:val="center"/>
          </w:tcPr>
          <w:p>
            <w:pPr>
              <w:spacing w:line="240" w:lineRule="auto"/>
              <w:jc w:val="center"/>
              <w:rPr>
                <w:rFonts w:hint="eastAsia"/>
                <w:szCs w:val="21"/>
              </w:rPr>
            </w:pPr>
            <w:r>
              <w:rPr>
                <w:rFonts w:hint="eastAsia"/>
                <w:szCs w:val="21"/>
              </w:rPr>
              <w:t>单价(元)</w:t>
            </w:r>
          </w:p>
        </w:tc>
        <w:tc>
          <w:tcPr>
            <w:tcW w:w="1276" w:type="dxa"/>
            <w:vAlign w:val="center"/>
          </w:tcPr>
          <w:p>
            <w:pPr>
              <w:spacing w:line="240" w:lineRule="auto"/>
              <w:jc w:val="center"/>
              <w:rPr>
                <w:rFonts w:hint="eastAsia"/>
                <w:szCs w:val="21"/>
              </w:rPr>
            </w:pPr>
            <w:r>
              <w:rPr>
                <w:rFonts w:hint="eastAsia"/>
                <w:szCs w:val="21"/>
              </w:rPr>
              <w:t>合价(元)</w:t>
            </w:r>
          </w:p>
        </w:tc>
        <w:tc>
          <w:tcPr>
            <w:tcW w:w="1082" w:type="dxa"/>
            <w:vAlign w:val="center"/>
          </w:tcPr>
          <w:p>
            <w:pPr>
              <w:spacing w:line="240" w:lineRule="auto"/>
              <w:jc w:val="center"/>
              <w:rPr>
                <w:rFonts w:hint="eastAsia"/>
                <w:szCs w:val="21"/>
              </w:rPr>
            </w:pPr>
            <w:r>
              <w:rPr>
                <w:rFonts w:hint="eastAsia"/>
                <w:szCs w:val="21"/>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0" w:type="dxa"/>
            <w:gridSpan w:val="8"/>
            <w:vAlign w:val="center"/>
          </w:tcPr>
          <w:p>
            <w:pPr>
              <w:spacing w:line="240" w:lineRule="auto"/>
              <w:jc w:val="left"/>
              <w:rPr>
                <w:rFonts w:hint="eastAsia"/>
                <w:sz w:val="24"/>
              </w:rPr>
            </w:pPr>
            <w:r>
              <w:rPr>
                <w:rFonts w:hint="eastAsia"/>
                <w:sz w:val="24"/>
              </w:rPr>
              <w:t>合计（即：投标总价；币种：人民币；单位：元）：大写：</w:t>
            </w: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bl>
    <w:p>
      <w:pPr>
        <w:spacing w:line="240" w:lineRule="auto"/>
        <w:rPr>
          <w:rFonts w:hint="eastAsia"/>
          <w:b/>
          <w:sz w:val="24"/>
        </w:rPr>
      </w:pPr>
    </w:p>
    <w:p>
      <w:pPr>
        <w:spacing w:line="240" w:lineRule="auto"/>
        <w:rPr>
          <w:rFonts w:hint="eastAsia"/>
          <w:b/>
          <w:sz w:val="24"/>
        </w:rPr>
      </w:pPr>
      <w:r>
        <w:rPr>
          <w:rFonts w:hint="eastAsia"/>
          <w:b/>
          <w:sz w:val="24"/>
        </w:rPr>
        <w:t>备注：</w:t>
      </w:r>
    </w:p>
    <w:p>
      <w:pPr>
        <w:spacing w:line="240" w:lineRule="auto"/>
        <w:ind w:firstLine="424" w:firstLineChars="176"/>
        <w:rPr>
          <w:rFonts w:hint="eastAsia"/>
          <w:b/>
          <w:sz w:val="24"/>
        </w:rPr>
      </w:pPr>
      <w:r>
        <w:rPr>
          <w:rFonts w:hint="eastAsia"/>
          <w:b/>
          <w:sz w:val="24"/>
        </w:rPr>
        <w:t>1.请根据“第二章</w:t>
      </w:r>
      <w:r>
        <w:rPr>
          <w:b/>
          <w:sz w:val="24"/>
        </w:rPr>
        <w:t xml:space="preserve"> 项目需求” “</w:t>
      </w:r>
      <w:r>
        <w:rPr>
          <w:rFonts w:hint="eastAsia"/>
          <w:b/>
          <w:sz w:val="24"/>
        </w:rPr>
        <w:t>一</w:t>
      </w:r>
      <w:r>
        <w:rPr>
          <w:b/>
          <w:sz w:val="24"/>
        </w:rPr>
        <w:t>、货物清单</w:t>
      </w:r>
      <w:r>
        <w:rPr>
          <w:rFonts w:hint="eastAsia"/>
          <w:b/>
          <w:sz w:val="24"/>
        </w:rPr>
        <w:t>一览表</w:t>
      </w:r>
      <w:r>
        <w:rPr>
          <w:b/>
          <w:sz w:val="24"/>
        </w:rPr>
        <w:t>”填写；本表格式不得修改。</w:t>
      </w:r>
    </w:p>
    <w:p>
      <w:pPr>
        <w:spacing w:line="240" w:lineRule="auto"/>
        <w:ind w:firstLine="424" w:firstLineChars="176"/>
        <w:rPr>
          <w:rFonts w:hint="eastAsia"/>
          <w:b/>
          <w:sz w:val="24"/>
        </w:rPr>
      </w:pPr>
      <w:r>
        <w:rPr>
          <w:rFonts w:hint="eastAsia"/>
          <w:b/>
          <w:sz w:val="24"/>
        </w:rPr>
        <w:t>2</w:t>
      </w:r>
      <w:r>
        <w:rPr>
          <w:b/>
          <w:sz w:val="24"/>
        </w:rPr>
        <w:t>.</w:t>
      </w:r>
      <w:r>
        <w:rPr>
          <w:rFonts w:hint="eastAsia"/>
          <w:b/>
          <w:sz w:val="24"/>
        </w:rPr>
        <w:t>所有价格应按“招标文件”中规定的货币单位填写；投标总价应为以上各分项价格之和；投标单价均不得超过对应的单项限价，否则将导致无效投标。</w:t>
      </w:r>
    </w:p>
    <w:p>
      <w:pPr>
        <w:spacing w:line="240" w:lineRule="auto"/>
        <w:ind w:firstLine="424" w:firstLineChars="176"/>
        <w:rPr>
          <w:rFonts w:hint="eastAsia"/>
          <w:b/>
          <w:sz w:val="24"/>
        </w:rPr>
      </w:pPr>
      <w:r>
        <w:rPr>
          <w:rFonts w:hint="eastAsia"/>
          <w:b/>
          <w:sz w:val="24"/>
        </w:rPr>
        <w:t>3.单价、合价和投标总价为包干价，即三者均应包含设备的价款、包装、运输、装卸、安装、调试、技术指导、培训、咨询、服务、保险、税费、检测、验收合格交付使用之前以及技术和售后服务等其他各项有关费用。</w:t>
      </w:r>
    </w:p>
    <w:p>
      <w:pPr>
        <w:spacing w:line="240" w:lineRule="auto"/>
        <w:ind w:firstLine="424" w:firstLineChars="176"/>
        <w:rPr>
          <w:rFonts w:hint="eastAsia"/>
          <w:b/>
          <w:sz w:val="24"/>
        </w:rPr>
      </w:pPr>
      <w:r>
        <w:rPr>
          <w:rFonts w:hint="eastAsia"/>
          <w:b/>
          <w:sz w:val="24"/>
        </w:rPr>
        <w:t>4.“原产地”是指该产品的实际生产加工地，而非品牌总公司所在地。</w:t>
      </w:r>
    </w:p>
    <w:p>
      <w:pPr>
        <w:spacing w:line="240" w:lineRule="auto"/>
        <w:ind w:firstLine="424" w:firstLineChars="176"/>
        <w:rPr>
          <w:rFonts w:hint="eastAsia"/>
          <w:b/>
          <w:sz w:val="24"/>
        </w:rPr>
      </w:pPr>
      <w:r>
        <w:rPr>
          <w:b/>
          <w:sz w:val="24"/>
        </w:rPr>
        <w:t>5.详细填写所投货物的制造商名称；若如所投产品属于定制类的非量产货物或无具体型号的货物，可以不填写型号等信息，但应当标注投标产品为定制产品。</w:t>
      </w:r>
    </w:p>
    <w:p>
      <w:pPr>
        <w:spacing w:line="240" w:lineRule="auto"/>
        <w:ind w:firstLine="424" w:firstLineChars="176"/>
        <w:rPr>
          <w:rFonts w:hint="eastAsia"/>
          <w:b/>
          <w:sz w:val="24"/>
        </w:rPr>
      </w:pPr>
      <w:r>
        <w:rPr>
          <w:b/>
          <w:sz w:val="24"/>
        </w:rPr>
        <w:t>6.</w:t>
      </w:r>
      <w:r>
        <w:rPr>
          <w:rFonts w:hint="eastAsia"/>
          <w:b/>
          <w:sz w:val="24"/>
        </w:rPr>
        <w:t>上述报价最多保留两位小数。</w:t>
      </w: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（二）可选配件报价清单（不包括在总报价内）</w:t>
      </w:r>
    </w:p>
    <w:p>
      <w:pPr>
        <w:tabs>
          <w:tab w:val="clear" w:pos="426"/>
        </w:tabs>
        <w:spacing w:line="500" w:lineRule="exact"/>
        <w:rPr>
          <w:rFonts w:hint="eastAsia"/>
          <w:b/>
          <w:sz w:val="24"/>
        </w:rPr>
      </w:pPr>
      <w:r>
        <w:rPr>
          <w:rFonts w:hint="eastAsia"/>
          <w:b/>
          <w:sz w:val="24"/>
        </w:rPr>
        <w:t>备注：格式参照《（一）项目报价表》表格，但须提供相应的品牌、规格型号、原产地、单价等详细信息</w:t>
      </w:r>
    </w:p>
    <w:p>
      <w:pPr>
        <w:widowControl w:val="0"/>
        <w:shd w:val="clear" w:color="auto" w:fill="auto"/>
        <w:tabs>
          <w:tab w:val="clear" w:pos="426"/>
        </w:tabs>
        <w:adjustRightInd/>
        <w:snapToGrid/>
        <w:spacing w:line="300" w:lineRule="auto"/>
        <w:jc w:val="center"/>
        <w:rPr>
          <w:rFonts w:hint="eastAsia" w:cs="Times New Roman"/>
          <w:b/>
          <w:bCs/>
          <w:kern w:val="2"/>
          <w:sz w:val="32"/>
          <w:szCs w:val="32"/>
        </w:rPr>
      </w:pP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（三）供应商认为需要涉及的其他内容报价清单</w:t>
      </w:r>
    </w:p>
    <w:p>
      <w:pPr>
        <w:tabs>
          <w:tab w:val="clear" w:pos="426"/>
        </w:tabs>
        <w:spacing w:line="500" w:lineRule="exact"/>
        <w:rPr>
          <w:rFonts w:hint="eastAsia"/>
          <w:spacing w:val="4"/>
        </w:rPr>
      </w:pPr>
    </w:p>
    <w:p>
      <w:pPr>
        <w:tabs>
          <w:tab w:val="clear" w:pos="426"/>
        </w:tabs>
        <w:spacing w:line="500" w:lineRule="exact"/>
        <w:rPr>
          <w:rFonts w:hint="eastAsia"/>
          <w:spacing w:val="4"/>
        </w:rPr>
      </w:pPr>
    </w:p>
    <w:p>
      <w:pPr>
        <w:tabs>
          <w:tab w:val="clear" w:pos="426"/>
        </w:tabs>
        <w:spacing w:line="500" w:lineRule="exact"/>
        <w:rPr>
          <w:rFonts w:hint="eastAsia"/>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pPr>
        <w:tabs>
          <w:tab w:val="clear" w:pos="426"/>
        </w:tabs>
        <w:spacing w:line="520" w:lineRule="exact"/>
        <w:rPr>
          <w:rFonts w:hint="eastAsia"/>
          <w:spacing w:val="4"/>
          <w:u w:val="single"/>
        </w:rPr>
      </w:pPr>
      <w:r>
        <w:rPr>
          <w:rFonts w:hint="eastAsia"/>
        </w:rPr>
        <w:t>法定代表人或投标人授权代表（签字或盖章）：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pPr>
        <w:rPr>
          <w:rFonts w:hint="eastAsia"/>
          <w:b/>
          <w:sz w:val="24"/>
        </w:rPr>
      </w:pPr>
      <w:r>
        <w:rPr>
          <w:rFonts w:hint="eastAsia"/>
          <w:b/>
          <w:sz w:val="24"/>
        </w:rPr>
        <w:br w:type="page"/>
      </w:r>
    </w:p>
    <w:p>
      <w:pPr>
        <w:adjustRightInd/>
        <w:snapToGrid/>
        <w:spacing w:before="280" w:after="290" w:line="377" w:lineRule="auto"/>
        <w:outlineLvl w:val="2"/>
        <w:rPr>
          <w:rFonts w:hint="eastAsia"/>
          <w:b/>
          <w:sz w:val="24"/>
        </w:rPr>
      </w:pPr>
      <w:bookmarkStart w:id="145" w:name="_Toc9437"/>
      <w:r>
        <w:rPr>
          <w:rFonts w:hint="eastAsia"/>
          <w:b/>
          <w:sz w:val="24"/>
        </w:rPr>
        <w:t>格式9：</w:t>
      </w:r>
      <w:bookmarkEnd w:id="145"/>
      <w:r>
        <w:rPr>
          <w:rFonts w:hint="eastAsia"/>
          <w:b/>
          <w:sz w:val="24"/>
        </w:rPr>
        <w:t>技术规格偏离表</w:t>
      </w:r>
    </w:p>
    <w:p>
      <w:pPr>
        <w:widowControl w:val="0"/>
        <w:shd w:val="clear" w:color="auto" w:fill="auto"/>
        <w:tabs>
          <w:tab w:val="clear" w:pos="426"/>
        </w:tabs>
        <w:spacing w:line="300" w:lineRule="auto"/>
        <w:jc w:val="center"/>
        <w:rPr>
          <w:rFonts w:ascii="Times New Roman" w:hAnsi="Times New Roman" w:cs="Times New Roman"/>
          <w:bCs/>
          <w:kern w:val="2"/>
          <w:sz w:val="32"/>
          <w:szCs w:val="32"/>
        </w:rPr>
      </w:pPr>
      <w:bookmarkStart w:id="146" w:name="OLE_LINK1"/>
      <w:r>
        <w:rPr>
          <w:rFonts w:hint="eastAsia" w:ascii="Times New Roman" w:hAnsi="Times New Roman" w:cs="Times New Roman"/>
          <w:bCs/>
          <w:kern w:val="2"/>
          <w:sz w:val="32"/>
          <w:szCs w:val="32"/>
        </w:rPr>
        <w:t>技术规格偏离表</w:t>
      </w:r>
    </w:p>
    <w:bookmarkEnd w:id="146"/>
    <w:p>
      <w:pPr>
        <w:tabs>
          <w:tab w:val="clear" w:pos="426"/>
        </w:tabs>
        <w:rPr>
          <w:rFonts w:ascii="Times New Roman" w:hAnsi="Times New Roman" w:cs="Times New Roman"/>
        </w:rPr>
      </w:pPr>
    </w:p>
    <w:p>
      <w:pPr>
        <w:tabs>
          <w:tab w:val="clear" w:pos="426"/>
        </w:tabs>
        <w:rPr>
          <w:rFonts w:ascii="Times New Roman" w:hAnsi="Times New Roman" w:cs="Times New Roman"/>
        </w:rPr>
      </w:pPr>
      <w:bookmarkStart w:id="147" w:name="_Hlk66188946"/>
      <w:r>
        <w:rPr>
          <w:rFonts w:ascii="Times New Roman" w:hAnsi="Times New Roman" w:cs="Times New Roman"/>
        </w:rPr>
        <w:t>项目名称：</w:t>
      </w:r>
      <w:r>
        <w:rPr>
          <w:rFonts w:ascii="Times New Roman" w:hAnsi="Times New Roman" w:cs="Times New Roman"/>
          <w:u w:val="single"/>
        </w:rPr>
        <w:t>_____________________________________</w:t>
      </w:r>
      <w:r>
        <w:rPr>
          <w:rFonts w:ascii="Times New Roman" w:hAnsi="Times New Roman" w:cs="Times New Roman"/>
        </w:rPr>
        <w:t>项目编号：</w:t>
      </w:r>
      <w:r>
        <w:rPr>
          <w:rFonts w:ascii="Times New Roman" w:hAnsi="Times New Roman" w:cs="Times New Roman"/>
          <w:sz w:val="18"/>
          <w:szCs w:val="18"/>
          <w:u w:val="single"/>
        </w:rPr>
        <w:t>_______________________</w:t>
      </w:r>
    </w:p>
    <w:bookmarkEnd w:id="147"/>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109"/>
        <w:gridCol w:w="1791"/>
        <w:gridCol w:w="1829"/>
        <w:gridCol w:w="1394"/>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序号</w:t>
            </w:r>
          </w:p>
        </w:tc>
        <w:tc>
          <w:tcPr>
            <w:tcW w:w="1101"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货物名称</w:t>
            </w:r>
          </w:p>
        </w:tc>
        <w:tc>
          <w:tcPr>
            <w:tcW w:w="93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招标技术要求</w:t>
            </w:r>
          </w:p>
        </w:tc>
        <w:tc>
          <w:tcPr>
            <w:tcW w:w="95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投标技术响应</w:t>
            </w:r>
          </w:p>
        </w:tc>
        <w:tc>
          <w:tcPr>
            <w:tcW w:w="728"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偏离情况</w:t>
            </w:r>
          </w:p>
        </w:tc>
        <w:tc>
          <w:tcPr>
            <w:tcW w:w="903"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1</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2</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3</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bl>
    <w:p>
      <w:pPr>
        <w:tabs>
          <w:tab w:val="clear" w:pos="426"/>
        </w:tabs>
        <w:spacing w:line="240" w:lineRule="auto"/>
        <w:rPr>
          <w:rFonts w:ascii="Times New Roman" w:hAnsi="Times New Roman" w:cs="Times New Roman"/>
          <w:bCs/>
        </w:rPr>
      </w:pPr>
    </w:p>
    <w:p>
      <w:pPr>
        <w:tabs>
          <w:tab w:val="clear" w:pos="426"/>
        </w:tabs>
        <w:spacing w:line="240" w:lineRule="auto"/>
        <w:rPr>
          <w:rFonts w:ascii="Times New Roman" w:hAnsi="Times New Roman" w:cs="Times New Roman"/>
          <w:bCs/>
        </w:rPr>
      </w:pPr>
      <w:r>
        <w:rPr>
          <w:rFonts w:ascii="Times New Roman" w:hAnsi="Times New Roman" w:cs="Times New Roman"/>
          <w:bCs/>
        </w:rPr>
        <w:t>备注：</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1.“招标技术要求”一栏应填写招标文件第</w:t>
      </w:r>
      <w:r>
        <w:rPr>
          <w:rFonts w:hint="eastAsia" w:ascii="Times New Roman" w:hAnsi="Times New Roman" w:cs="Times New Roman"/>
          <w:bCs/>
        </w:rPr>
        <w:t>二</w:t>
      </w:r>
      <w:r>
        <w:rPr>
          <w:rFonts w:ascii="Times New Roman" w:hAnsi="Times New Roman" w:cs="Times New Roman"/>
          <w:bCs/>
        </w:rPr>
        <w:t>章“技术要求”的内容；</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2.“投标技术响应”一栏必须详细填写投标产品的具体参数，并应对照招标技术要求一一对应响应；</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w:t>
      </w:r>
      <w:r>
        <w:rPr>
          <w:rFonts w:ascii="Times New Roman" w:hAnsi="Times New Roman" w:cs="Times New Roman"/>
          <w:bCs/>
        </w:rPr>
        <w:t>“偏离情况”一栏应如实填写“正偏离”、“负偏离”或“无偏离”。</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4.投标人在《</w:t>
      </w:r>
      <w:r>
        <w:rPr>
          <w:rFonts w:hint="eastAsia" w:ascii="Times New Roman" w:hAnsi="Times New Roman" w:cs="Times New Roman"/>
          <w:bCs/>
        </w:rPr>
        <w:t>技术规格偏离表</w:t>
      </w:r>
      <w:r>
        <w:rPr>
          <w:rFonts w:ascii="Times New Roman" w:hAnsi="Times New Roman" w:cs="Times New Roman"/>
          <w:bCs/>
        </w:rPr>
        <w:t>》填写的“投标技术响应”与“招标技术要求”存在填写不全的情况，将被视为未实质性满足招标文件要求作投标无效处理。示例，“招标技术要求”共有10项参数，投标人只响应了9项，填写不全，则视为未实质性满足招标文件要求作投标无效处理。</w:t>
      </w:r>
      <w:bookmarkStart w:id="148" w:name="OLE_LINK2"/>
      <w:r>
        <w:rPr>
          <w:rFonts w:hint="eastAsia" w:ascii="Times New Roman" w:hAnsi="Times New Roman" w:cs="Times New Roman"/>
          <w:bCs/>
        </w:rPr>
        <w:t>带★招标技术要求，不允许有任何负偏离，否则将作投标无效处理。</w:t>
      </w:r>
    </w:p>
    <w:bookmarkEnd w:id="148"/>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5.投标人所填写的“偏离情况”与评审委员会判定不一致时，以评审委员会意见为主。</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6.投标产品的技术参数应按《</w:t>
      </w:r>
      <w:r>
        <w:rPr>
          <w:rFonts w:hint="eastAsia" w:ascii="Times New Roman" w:hAnsi="Times New Roman" w:cs="Times New Roman"/>
          <w:bCs/>
        </w:rPr>
        <w:t>技术规格偏离表</w:t>
      </w:r>
      <w:r>
        <w:rPr>
          <w:rFonts w:ascii="Times New Roman" w:hAnsi="Times New Roman" w:cs="Times New Roman"/>
          <w:bCs/>
        </w:rPr>
        <w:t>》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提供的证明资料显示产品参数信息不符合招标文件要求的，如果投标人偏离程度响应为“无偏离或正偏离”的，则应判断为负偏离；提供的证明材料模糊不清，导致评审专家无法判断的，如果投标人偏离程度响应为“无偏离或正偏离”的，则应判断为负偏离。若《</w:t>
      </w:r>
      <w:r>
        <w:rPr>
          <w:rFonts w:hint="eastAsia" w:ascii="Times New Roman" w:hAnsi="Times New Roman" w:cs="Times New Roman"/>
          <w:bCs/>
        </w:rPr>
        <w:t>技术规格偏离表</w:t>
      </w:r>
      <w:r>
        <w:rPr>
          <w:rFonts w:ascii="Times New Roman" w:hAnsi="Times New Roman" w:cs="Times New Roman"/>
          <w:bCs/>
        </w:rPr>
        <w:t>》中未要求提供相应证明材料的，投标人可以不提供。</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7.证明资料（均为扫描件）的提供要求：</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（2）我国政府机构出具的产品检验和核准证件应为证件正面、背面和附件标注的全部具体内容；产品检验和核准证件的尺寸和清晰度应该能够在电脑上被阅读、识别和判断。</w:t>
      </w:r>
    </w:p>
    <w:p>
      <w:pPr>
        <w:rPr>
          <w:rFonts w:ascii="Times New Roman" w:hAnsi="Times New Roman" w:cs="Times New Roman"/>
          <w:bCs/>
        </w:rPr>
      </w:pPr>
      <w:r>
        <w:rPr>
          <w:rFonts w:ascii="Times New Roman" w:hAnsi="Times New Roman" w:cs="Times New Roman"/>
          <w:bCs/>
        </w:rPr>
        <w:br w:type="page"/>
      </w:r>
    </w:p>
    <w:p>
      <w:pPr>
        <w:adjustRightInd/>
        <w:snapToGrid/>
        <w:spacing w:before="280" w:after="290" w:line="377" w:lineRule="auto"/>
        <w:outlineLvl w:val="2"/>
        <w:rPr>
          <w:rFonts w:hint="eastAsia"/>
          <w:b/>
          <w:sz w:val="24"/>
        </w:rPr>
      </w:pPr>
      <w:bookmarkStart w:id="149" w:name="_Toc25758"/>
      <w:r>
        <w:rPr>
          <w:rFonts w:hint="eastAsia"/>
          <w:b/>
          <w:sz w:val="24"/>
        </w:rPr>
        <w:t>格式10：技术保障措施</w:t>
      </w:r>
      <w:bookmarkEnd w:id="149"/>
    </w:p>
    <w:p>
      <w:pPr>
        <w:adjustRightInd/>
        <w:snapToGrid/>
        <w:spacing w:before="280" w:after="290" w:line="377" w:lineRule="auto"/>
        <w:outlineLvl w:val="2"/>
        <w:rPr>
          <w:rFonts w:hint="eastAsia"/>
          <w:b/>
          <w:sz w:val="24"/>
        </w:rPr>
      </w:pPr>
      <w:bookmarkStart w:id="150" w:name="_Toc19609"/>
      <w:r>
        <w:rPr>
          <w:rFonts w:hint="eastAsia"/>
          <w:b/>
          <w:sz w:val="24"/>
        </w:rPr>
        <w:t>格式11：售后服务方案</w:t>
      </w:r>
      <w:bookmarkEnd w:id="150"/>
    </w:p>
    <w:p>
      <w:pPr>
        <w:tabs>
          <w:tab w:val="clear" w:pos="426"/>
        </w:tabs>
        <w:spacing w:line="440" w:lineRule="exact"/>
        <w:rPr>
          <w:rFonts w:hint="eastAsia"/>
          <w:b/>
          <w:bCs/>
        </w:rPr>
      </w:pPr>
    </w:p>
    <w:p>
      <w:pPr>
        <w:tabs>
          <w:tab w:val="clear" w:pos="426"/>
        </w:tabs>
        <w:spacing w:line="440" w:lineRule="exact"/>
        <w:rPr>
          <w:rFonts w:hint="eastAsia"/>
          <w:b/>
          <w:szCs w:val="21"/>
        </w:rPr>
      </w:pPr>
      <w:r>
        <w:rPr>
          <w:rFonts w:hint="eastAsia"/>
          <w:b/>
          <w:bCs/>
        </w:rPr>
        <w:t>备注：以上节点请</w:t>
      </w:r>
      <w:r>
        <w:rPr>
          <w:rFonts w:hint="eastAsia"/>
          <w:b/>
          <w:szCs w:val="21"/>
        </w:rPr>
        <w:t>根据评审表的要求提交相应资料，格式自拟。</w:t>
      </w:r>
    </w:p>
    <w:p>
      <w:pPr>
        <w:rPr>
          <w:rFonts w:hint="eastAsia"/>
        </w:rPr>
      </w:pPr>
    </w:p>
    <w:p>
      <w:pPr>
        <w:tabs>
          <w:tab w:val="clear" w:pos="426"/>
        </w:tabs>
        <w:spacing w:line="240" w:lineRule="auto"/>
        <w:ind w:firstLine="424" w:firstLineChars="202"/>
        <w:rPr>
          <w:rFonts w:hint="eastAsia"/>
        </w:rPr>
      </w:pPr>
    </w:p>
    <w:p>
      <w:pPr>
        <w:tabs>
          <w:tab w:val="clear" w:pos="426"/>
        </w:tabs>
        <w:spacing w:line="240" w:lineRule="auto"/>
        <w:ind w:firstLine="424" w:firstLineChars="202"/>
        <w:rPr>
          <w:rFonts w:ascii="Times New Roman" w:hAnsi="Times New Roman" w:cs="Times New Roman"/>
          <w:bCs/>
        </w:rPr>
      </w:pPr>
    </w:p>
    <w:p>
      <w:pPr>
        <w:shd w:val="clear" w:color="auto" w:fill="auto"/>
        <w:tabs>
          <w:tab w:val="clear" w:pos="426"/>
        </w:tabs>
        <w:adjustRightInd/>
        <w:snapToGrid/>
        <w:spacing w:line="240" w:lineRule="auto"/>
        <w:jc w:val="left"/>
        <w:rPr>
          <w:rFonts w:ascii="Times New Roman" w:hAnsi="Times New Roman" w:cs="Times New Roman"/>
          <w:bCs/>
        </w:rPr>
      </w:pPr>
      <w:r>
        <w:rPr>
          <w:rFonts w:ascii="Times New Roman" w:hAnsi="Times New Roman" w:cs="Times New Roman"/>
          <w:bCs/>
        </w:rPr>
        <w:br w:type="page"/>
      </w:r>
    </w:p>
    <w:p>
      <w:pPr>
        <w:adjustRightInd/>
        <w:snapToGrid/>
        <w:spacing w:before="280" w:after="290" w:line="377" w:lineRule="auto"/>
        <w:outlineLvl w:val="2"/>
        <w:rPr>
          <w:rFonts w:hint="eastAsia"/>
          <w:b/>
          <w:sz w:val="24"/>
        </w:rPr>
      </w:pPr>
      <w:bookmarkStart w:id="151" w:name="_Toc29923"/>
      <w:r>
        <w:rPr>
          <w:rFonts w:hint="eastAsia"/>
          <w:b/>
          <w:sz w:val="24"/>
        </w:rPr>
        <w:t>格式12：商务条款偏离表</w:t>
      </w:r>
      <w:bookmarkEnd w:id="151"/>
    </w:p>
    <w:p>
      <w:pPr>
        <w:widowControl w:val="0"/>
        <w:shd w:val="clear" w:color="auto" w:fill="auto"/>
        <w:tabs>
          <w:tab w:val="clear" w:pos="426"/>
        </w:tabs>
        <w:spacing w:line="300" w:lineRule="auto"/>
        <w:jc w:val="center"/>
        <w:rPr>
          <w:rFonts w:ascii="Times New Roman" w:hAnsi="Times New Roman" w:cs="Times New Roman"/>
          <w:bCs/>
          <w:kern w:val="2"/>
          <w:sz w:val="32"/>
          <w:szCs w:val="32"/>
        </w:rPr>
      </w:pPr>
      <w:r>
        <w:rPr>
          <w:rFonts w:hint="eastAsia" w:ascii="Times New Roman" w:hAnsi="Times New Roman" w:cs="Times New Roman"/>
          <w:bCs/>
          <w:kern w:val="2"/>
          <w:sz w:val="32"/>
          <w:szCs w:val="32"/>
        </w:rPr>
        <w:t>商务条款偏离表</w:t>
      </w:r>
    </w:p>
    <w:p>
      <w:pPr>
        <w:widowControl w:val="0"/>
        <w:shd w:val="clear" w:color="auto" w:fill="auto"/>
        <w:tabs>
          <w:tab w:val="clear" w:pos="426"/>
        </w:tabs>
        <w:spacing w:line="300" w:lineRule="auto"/>
        <w:jc w:val="center"/>
        <w:rPr>
          <w:rFonts w:ascii="Times New Roman" w:hAnsi="Times New Roman" w:cs="Times New Roman"/>
          <w:bCs/>
          <w:kern w:val="2"/>
          <w:sz w:val="32"/>
          <w:szCs w:val="32"/>
        </w:rPr>
      </w:pPr>
    </w:p>
    <w:p>
      <w:pPr>
        <w:rPr>
          <w:rFonts w:ascii="Times New Roman" w:hAnsi="Times New Roman" w:cs="Times New Roman"/>
          <w:b/>
        </w:rPr>
      </w:pPr>
      <w:r>
        <w:rPr>
          <w:rFonts w:ascii="Times New Roman" w:hAnsi="Times New Roman" w:cs="Times New Roman"/>
        </w:rPr>
        <w:t>项目名称：</w:t>
      </w:r>
      <w:r>
        <w:rPr>
          <w:rFonts w:ascii="Times New Roman" w:hAnsi="Times New Roman" w:cs="Times New Roman"/>
          <w:u w:val="single"/>
        </w:rPr>
        <w:t>_________________________________</w:t>
      </w:r>
      <w:r>
        <w:rPr>
          <w:rFonts w:ascii="Times New Roman" w:hAnsi="Times New Roman" w:cs="Times New Roman"/>
        </w:rPr>
        <w:t>项目编号：</w:t>
      </w:r>
      <w:r>
        <w:rPr>
          <w:rFonts w:ascii="Times New Roman" w:hAnsi="Times New Roman" w:cs="Times New Roman"/>
          <w:u w:val="single"/>
        </w:rPr>
        <w:t>_______________________</w:t>
      </w:r>
    </w:p>
    <w:tbl>
      <w:tblPr>
        <w:tblStyle w:val="8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158"/>
        <w:gridCol w:w="2123"/>
        <w:gridCol w:w="2123"/>
        <w:gridCol w:w="1543"/>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序号</w:t>
            </w:r>
          </w:p>
        </w:tc>
        <w:tc>
          <w:tcPr>
            <w:tcW w:w="605"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目录</w:t>
            </w:r>
          </w:p>
        </w:tc>
        <w:tc>
          <w:tcPr>
            <w:tcW w:w="1109"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招标商务条款</w:t>
            </w:r>
          </w:p>
        </w:tc>
        <w:tc>
          <w:tcPr>
            <w:tcW w:w="1109"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投标商务条款</w:t>
            </w:r>
          </w:p>
        </w:tc>
        <w:tc>
          <w:tcPr>
            <w:tcW w:w="806"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偏离情况</w:t>
            </w:r>
          </w:p>
        </w:tc>
        <w:tc>
          <w:tcPr>
            <w:tcW w:w="908"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1</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2</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bl>
    <w:p>
      <w:pPr>
        <w:tabs>
          <w:tab w:val="clear" w:pos="426"/>
        </w:tabs>
        <w:rPr>
          <w:rFonts w:ascii="Times New Roman" w:hAnsi="Times New Roman" w:cs="Times New Roman"/>
        </w:rPr>
      </w:pPr>
    </w:p>
    <w:p>
      <w:pPr>
        <w:tabs>
          <w:tab w:val="clear" w:pos="426"/>
        </w:tabs>
        <w:spacing w:line="240" w:lineRule="auto"/>
        <w:rPr>
          <w:rFonts w:ascii="Times New Roman" w:hAnsi="Times New Roman" w:cs="Times New Roman"/>
        </w:rPr>
      </w:pPr>
      <w:r>
        <w:rPr>
          <w:rFonts w:ascii="Times New Roman" w:hAnsi="Times New Roman" w:cs="Times New Roman"/>
        </w:rPr>
        <w:t>备注：</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1.“招标商务条款”一栏必须填写招标文件第</w:t>
      </w:r>
      <w:r>
        <w:rPr>
          <w:rFonts w:hint="eastAsia" w:ascii="Times New Roman" w:hAnsi="Times New Roman" w:cs="Times New Roman"/>
        </w:rPr>
        <w:t>二</w:t>
      </w:r>
      <w:r>
        <w:rPr>
          <w:rFonts w:ascii="Times New Roman" w:hAnsi="Times New Roman" w:cs="Times New Roman"/>
        </w:rPr>
        <w:t>章“商务</w:t>
      </w:r>
      <w:r>
        <w:rPr>
          <w:rFonts w:hint="eastAsia" w:ascii="Times New Roman" w:hAnsi="Times New Roman" w:cs="Times New Roman"/>
        </w:rPr>
        <w:t>要求</w:t>
      </w:r>
      <w:r>
        <w:rPr>
          <w:rFonts w:ascii="Times New Roman" w:hAnsi="Times New Roman" w:cs="Times New Roman"/>
        </w:rPr>
        <w:t>”的内容进行填写。</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2.“投标商务条款”一栏必须详细填写投标商务条款的内容。</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3.“偏离情况”栏中应如实填写“正偏离”、“负偏离”或“无偏离”。</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4．投标人在《商务条款偏离表》填写的“投标商务条款”与 “招标商务条款”存在填写不全的，将被视为未实质性满足招标文件要求作投标无效处理。示例，“招标商务条款”共有10项参数，投标人只响应了9项，填写不全，则视为未实质性满足招标文件要求作投标无效处理。</w:t>
      </w:r>
      <w:r>
        <w:rPr>
          <w:rFonts w:hint="eastAsia" w:ascii="Times New Roman" w:hAnsi="Times New Roman" w:cs="Times New Roman"/>
          <w:bCs/>
        </w:rPr>
        <w:t>带★招标商务要求，不允许有任何负偏离，否则将作投标无效处理。</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bCs/>
        </w:rPr>
        <w:t>5．</w:t>
      </w:r>
      <w:r>
        <w:rPr>
          <w:rFonts w:ascii="Times New Roman" w:hAnsi="Times New Roman" w:cs="Times New Roman"/>
        </w:rPr>
        <w:t>投标人所填写的“偏离情况”与评审委员会判定不一致时，以评审委员会意见为主。</w:t>
      </w:r>
    </w:p>
    <w:p>
      <w:pPr>
        <w:tabs>
          <w:tab w:val="clear" w:pos="426"/>
        </w:tabs>
        <w:spacing w:line="240" w:lineRule="auto"/>
        <w:ind w:firstLine="424" w:firstLineChars="202"/>
        <w:rPr>
          <w:rFonts w:hint="eastAsia"/>
        </w:rPr>
      </w:pPr>
      <w:r>
        <w:rPr>
          <w:rFonts w:ascii="Times New Roman" w:hAnsi="Times New Roman" w:cs="Times New Roman"/>
        </w:rPr>
        <w:t>6.交货期条款为不可负偏离条款，投标文件响应为“负偏离”的，投标文件将按无效投标处理。</w:t>
      </w:r>
    </w:p>
    <w:p>
      <w:pPr>
        <w:rPr>
          <w:rFonts w:hint="eastAsia"/>
        </w:rPr>
      </w:pPr>
      <w:r>
        <w:rPr>
          <w:rFonts w:hint="eastAsia"/>
        </w:rPr>
        <w:br w:type="page"/>
      </w:r>
    </w:p>
    <w:p>
      <w:pPr>
        <w:adjustRightInd/>
        <w:snapToGrid/>
        <w:spacing w:before="280" w:after="290" w:line="377" w:lineRule="auto"/>
        <w:outlineLvl w:val="2"/>
        <w:rPr>
          <w:rFonts w:hint="eastAsia"/>
          <w:b/>
          <w:sz w:val="24"/>
        </w:rPr>
      </w:pPr>
      <w:bookmarkStart w:id="152" w:name="_Toc6533"/>
      <w:r>
        <w:rPr>
          <w:rFonts w:hint="eastAsia"/>
          <w:b/>
          <w:sz w:val="24"/>
        </w:rPr>
        <w:t>格式13：投标人综合概况简表</w:t>
      </w:r>
      <w:bookmarkEnd w:id="152"/>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投标人综合概况简表</w:t>
      </w:r>
    </w:p>
    <w:p>
      <w:pPr>
        <w:widowControl w:val="0"/>
        <w:shd w:val="clear" w:color="auto" w:fill="auto"/>
        <w:tabs>
          <w:tab w:val="clear" w:pos="426"/>
        </w:tabs>
        <w:adjustRightInd/>
        <w:snapToGrid/>
        <w:rPr>
          <w:rFonts w:hint="eastAsia" w:cs="Arial"/>
          <w:b/>
          <w:szCs w:val="21"/>
        </w:rPr>
      </w:pPr>
      <w:r>
        <w:rPr>
          <w:rFonts w:hint="eastAsia" w:cs="Arial"/>
          <w:b/>
          <w:szCs w:val="21"/>
        </w:rPr>
        <w:t>一、</w:t>
      </w:r>
      <w:r>
        <w:rPr>
          <w:rFonts w:cs="Arial"/>
          <w:b/>
          <w:szCs w:val="21"/>
        </w:rPr>
        <w:t>公司基本情况</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w:t>
      </w:r>
    </w:p>
    <w:p>
      <w:pPr>
        <w:widowControl w:val="0"/>
        <w:numPr>
          <w:ilvl w:val="1"/>
          <w:numId w:val="7"/>
        </w:numPr>
        <w:shd w:val="clear" w:color="auto" w:fill="auto"/>
        <w:tabs>
          <w:tab w:val="clear" w:pos="426"/>
        </w:tabs>
        <w:adjustRightInd/>
        <w:snapToGrid/>
        <w:ind w:left="0" w:firstLine="426"/>
        <w:rPr>
          <w:rFonts w:hint="eastAsia"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hint="eastAsia" w:cs="Arial"/>
          <w:szCs w:val="21"/>
          <w:u w:val="single"/>
        </w:rPr>
        <w:t>___________________</w:t>
      </w:r>
      <w:r>
        <w:rPr>
          <w:rFonts w:cs="Arial"/>
          <w:szCs w:val="21"/>
          <w:u w:val="single"/>
        </w:rPr>
        <w:t>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公司开户银行名称及账号：</w:t>
      </w:r>
      <w:r>
        <w:rPr>
          <w:rFonts w:hint="eastAsia" w:cs="Arial"/>
          <w:szCs w:val="21"/>
          <w:u w:val="single"/>
        </w:rPr>
        <w:t>________________________________________________________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营业注册执照号：</w:t>
      </w:r>
      <w:r>
        <w:rPr>
          <w:rFonts w:hint="eastAsia" w:cs="Arial"/>
          <w:szCs w:val="21"/>
          <w:u w:val="single"/>
        </w:rPr>
        <w:t>________________________________________________________________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公司简介</w:t>
      </w:r>
    </w:p>
    <w:p>
      <w:pPr>
        <w:tabs>
          <w:tab w:val="clear" w:pos="426"/>
        </w:tabs>
        <w:ind w:firstLine="426"/>
        <w:rPr>
          <w:rFonts w:hint="eastAsia"/>
        </w:rPr>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pPr>
        <w:tabs>
          <w:tab w:val="clear" w:pos="426"/>
        </w:tabs>
        <w:ind w:firstLine="426"/>
        <w:rPr>
          <w:rFonts w:hint="eastAsia" w:cs="Arial"/>
          <w:szCs w:val="21"/>
        </w:rPr>
      </w:pPr>
      <w:r>
        <w:rPr>
          <w:rFonts w:hint="eastAsia"/>
        </w:rPr>
        <w:t>图片描述：</w:t>
      </w:r>
      <w:r>
        <w:rPr>
          <w:rFonts w:hint="eastAsia"/>
          <w:bCs/>
          <w:szCs w:val="21"/>
          <w:lang w:val="en-GB"/>
        </w:rPr>
        <w:t>经营场所、主要或关键产品介绍、生产场所及服务流程等。</w:t>
      </w:r>
    </w:p>
    <w:p>
      <w:pPr>
        <w:tabs>
          <w:tab w:val="clear" w:pos="426"/>
        </w:tabs>
        <w:spacing w:line="440" w:lineRule="exact"/>
        <w:rPr>
          <w:rFonts w:hint="eastAsia"/>
          <w:b/>
          <w:bCs/>
        </w:rPr>
      </w:pPr>
    </w:p>
    <w:p>
      <w:pPr>
        <w:rPr>
          <w:rFonts w:hint="eastAsia"/>
          <w:b/>
          <w:bCs/>
        </w:rPr>
      </w:pPr>
      <w:r>
        <w:rPr>
          <w:rFonts w:hint="eastAsia"/>
          <w:b/>
          <w:bCs/>
        </w:rPr>
        <w:br w:type="page"/>
      </w:r>
    </w:p>
    <w:p>
      <w:pPr>
        <w:adjustRightInd/>
        <w:snapToGrid/>
        <w:spacing w:before="280" w:after="290" w:line="377" w:lineRule="auto"/>
        <w:outlineLvl w:val="2"/>
        <w:rPr>
          <w:rFonts w:hint="eastAsia"/>
          <w:b/>
          <w:sz w:val="24"/>
        </w:rPr>
      </w:pPr>
      <w:bookmarkStart w:id="153" w:name="_Toc22664"/>
      <w:r>
        <w:rPr>
          <w:rFonts w:hint="eastAsia"/>
          <w:b/>
          <w:sz w:val="24"/>
        </w:rPr>
        <w:t>格式14：企业类型声明函</w:t>
      </w:r>
      <w:bookmarkEnd w:id="153"/>
    </w:p>
    <w:p>
      <w:pPr>
        <w:tabs>
          <w:tab w:val="clear" w:pos="426"/>
        </w:tabs>
        <w:spacing w:line="240" w:lineRule="auto"/>
        <w:ind w:firstLine="420"/>
        <w:rPr>
          <w:rFonts w:ascii="Times New Roman" w:hAnsi="Times New Roman" w:cs="Times New Roman"/>
          <w:szCs w:val="21"/>
        </w:rPr>
      </w:pPr>
      <w:r>
        <w:rPr>
          <w:rFonts w:ascii="Times New Roman" w:hAnsi="Times New Roman" w:cs="Times New Roman"/>
          <w:szCs w:val="21"/>
        </w:rPr>
        <w:t>填写指引：</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r>
        <w:rPr>
          <w:rFonts w:hint="eastAsia"/>
          <w:szCs w:val="21"/>
        </w:rPr>
        <w:t>中小企业参加政府采购活动，应当按照国务院批准的《中小企业划型标准规定》（工信部联企业〔2011〕300 号）、《金融业企业划型标准规定》（银发〔2015〕309 号）和《财政部 工业和信息化部关于印发〈政府采购促进中小企业发展管理办法〉的通知》（财库〔2020〕46 号）的规定，出具《中小企业声明函》，《中小企业声明函》中相关企业所属行业应当与采购标的所属行业相一致。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r>
        <w:rPr>
          <w:rFonts w:ascii="Times New Roman" w:hAnsi="Times New Roman" w:cs="Times New Roman"/>
          <w:bCs/>
          <w:szCs w:val="21"/>
        </w:rPr>
        <w:t xml:space="preserve">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2.该部分内容填写需要参考的相关文件（</w:t>
      </w:r>
      <w:r>
        <w:rPr>
          <w:rStyle w:val="141"/>
          <w:rFonts w:ascii="Times New Roman" w:hAnsi="Times New Roman" w:cs="Times New Roman"/>
          <w:color w:val="auto"/>
        </w:rPr>
        <w:t>-</w:t>
      </w:r>
      <w:r>
        <w:fldChar w:fldCharType="begin"/>
      </w:r>
      <w:r>
        <w:instrText xml:space="preserve"> HYPERLINK "http://www.szsszx.com/Files/Editor/file/202106041655230146.rar" </w:instrText>
      </w:r>
      <w:r>
        <w:fldChar w:fldCharType="separate"/>
      </w:r>
      <w:r>
        <w:rPr>
          <w:rStyle w:val="141"/>
          <w:rFonts w:ascii="Times New Roman" w:hAnsi="Times New Roman" w:cs="Times New Roman"/>
          <w:bCs/>
          <w:color w:val="auto"/>
          <w:szCs w:val="21"/>
        </w:rPr>
        <w:t>点此下载</w:t>
      </w:r>
      <w:r>
        <w:rPr>
          <w:rStyle w:val="141"/>
          <w:rFonts w:ascii="Times New Roman" w:hAnsi="Times New Roman" w:cs="Times New Roman"/>
          <w:bCs/>
          <w:color w:val="auto"/>
          <w:szCs w:val="21"/>
        </w:rPr>
        <w:fldChar w:fldCharType="end"/>
      </w:r>
      <w:r>
        <w:rPr>
          <w:rStyle w:val="141"/>
          <w:rFonts w:ascii="Times New Roman" w:hAnsi="Times New Roman" w:cs="Times New Roman"/>
          <w:color w:val="auto"/>
        </w:rPr>
        <w:t>-</w:t>
      </w:r>
      <w:r>
        <w:rPr>
          <w:rFonts w:ascii="Times New Roman" w:hAnsi="Times New Roman" w:cs="Times New Roman"/>
          <w:bCs/>
          <w:szCs w:val="21"/>
        </w:rPr>
        <w:t>）：</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（1）财政部《关于印发&lt;政府采购促进中小企业发展管理办法&gt;的通知》（财库〔2020〕46号）；</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w:t>
      </w:r>
      <w:r>
        <w:rPr>
          <w:rFonts w:hint="eastAsia" w:ascii="Times New Roman" w:hAnsi="Times New Roman" w:cs="Times New Roman"/>
          <w:bCs/>
          <w:szCs w:val="21"/>
        </w:rPr>
        <w:t>2</w:t>
      </w:r>
      <w:r>
        <w:rPr>
          <w:rFonts w:ascii="Times New Roman" w:hAnsi="Times New Roman" w:cs="Times New Roman"/>
          <w:bCs/>
          <w:szCs w:val="21"/>
        </w:rPr>
        <w:t xml:space="preserve">）《工业和信息化部、国家统计局、国家发展和改革委员会、财政部关于印发中小企业划型标准规定的通知》（工信部联企业〔2011〕300号）。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3.请依照提供的格式和内容填写声明函，不要随意变更格式或增删内容；满足多项优惠政策的企业，不重复享受多项价格扣除政策。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4.声明函具体填写要求：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（1）声明是中小企业须填写《中小企业声明函》的以下五项内容（填写位置的字体已加粗）：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第一处，在下划线上如实填写中型或小型或微型；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第二处，在下划线上如实填写中型或小型或微型；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第三处，在“采购单位名称”下划线处填写本项目的实际采购单位名称（深圳市深水水务咨询有限公司不是本项目的采购单位，而是本项目的组织实施机构）；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第四处，在“采购项目名称”下划线处填写本项目的实际项目名称（项目名称可在招标公告处查看）；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第五处，在“□本企业制造的货物” 或“□提供其他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企业（请填写：中型、小型、微型）制造的货物”两处中选择一处打√；如选择在“□提供其他</w:t>
      </w:r>
      <w:r>
        <w:rPr>
          <w:rFonts w:ascii="Times New Roman" w:hAnsi="Times New Roman" w:cs="Times New Roman"/>
          <w:bCs/>
          <w:szCs w:val="21"/>
          <w:u w:val="single"/>
        </w:rPr>
        <w:t>______</w:t>
      </w:r>
      <w:r>
        <w:rPr>
          <w:rFonts w:ascii="Times New Roman" w:hAnsi="Times New Roman" w:cs="Times New Roman"/>
          <w:bCs/>
          <w:szCs w:val="21"/>
        </w:rPr>
        <w:t xml:space="preserve">企业（请填写：中型、小型、微型）制造的货物”一处打√，还须在此下划线处如实填写中型或小型或微型；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同时请注意：“□本企业制造的货物” 、“□提供其他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中所称的货物是指单一产品采购项目中的货物，或者非单一产品采购项目中的核心产品（货物），不包括使用大型企业注册商标的货物；本项中的货物制造商应当在投标文件“分项报价清单”中明确列明。</w:t>
      </w:r>
    </w:p>
    <w:p>
      <w:pPr>
        <w:spacing w:line="240" w:lineRule="auto"/>
        <w:ind w:firstLine="422" w:firstLineChars="200"/>
        <w:rPr>
          <w:rFonts w:ascii="Times New Roman" w:hAnsi="Times New Roman" w:cs="Times New Roman"/>
          <w:b/>
          <w:bCs/>
        </w:rPr>
      </w:pPr>
      <w:r>
        <w:rPr>
          <w:rFonts w:ascii="Times New Roman" w:hAnsi="Times New Roman" w:cs="Times New Roman"/>
          <w:b/>
          <w:bCs/>
        </w:rPr>
        <w:t>《中小企业声明函》中制造商、承接/承建企业所属行业应当与招标文件要求的行业相一致，供应商如有疑问，可根据《国民经济行业分类》（GB/T4754-2002），结合《关 于 印 发 中 小 企 业 划 型 标 准 规 定 的 通 知 》 （ 工 信 部 联 企 业〔2011〕300 号）进行判断。事业单位、社会组织等非企业主体不享受中小企业扶持政策，但事业单位、社会组织等非企业主体提供全部由中小企业制造的货物参加货物采购项目的除外</w:t>
      </w:r>
      <w:r>
        <w:rPr>
          <w:rFonts w:hint="eastAsia" w:ascii="Times New Roman" w:hAnsi="Times New Roman" w:cs="Times New Roman"/>
          <w:b/>
          <w:bCs/>
        </w:rPr>
        <w:t>。</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（2）声明是监狱企业须填写《监狱企业声明函》的三项内容（填写位置的字体已加粗），具体参照以上《中小企业声明函》填写要求执行。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5.声明函的有效性最终由评审委员会判定。</w:t>
      </w:r>
      <w:r>
        <w:rPr>
          <w:rFonts w:ascii="Times New Roman" w:hAnsi="Times New Roman" w:cs="Times New Roman"/>
          <w:szCs w:val="21"/>
        </w:rPr>
        <w:br w:type="page"/>
      </w: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（一）中小企业声明函（样表）</w:t>
      </w:r>
    </w:p>
    <w:p>
      <w:pPr>
        <w:spacing w:line="240" w:lineRule="auto"/>
        <w:ind w:firstLine="420" w:firstLineChars="200"/>
        <w:jc w:val="left"/>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本公司郑重声明，根据《关于印发&lt;政府采购促进中小企业发展管理办法&gt;的通知》（财库〔2020〕46号）的规定，本公司（联合体）参加</w:t>
      </w:r>
      <w:r>
        <w:rPr>
          <w:rFonts w:hint="eastAsia" w:ascii="Times New Roman" w:hAnsi="Times New Roman" w:cs="Times New Roman"/>
          <w:b/>
          <w:bCs/>
          <w:szCs w:val="21"/>
          <w:u w:val="single"/>
        </w:rPr>
        <w:t xml:space="preserve"> </w:t>
      </w:r>
      <w:r>
        <w:rPr>
          <w:rFonts w:ascii="Times New Roman" w:hAnsi="Times New Roman" w:cs="Times New Roman"/>
          <w:b/>
          <w:bCs/>
          <w:szCs w:val="21"/>
          <w:u w:val="single"/>
        </w:rPr>
        <w:t xml:space="preserve">(采购单位名称) </w:t>
      </w:r>
      <w:r>
        <w:rPr>
          <w:rFonts w:ascii="Times New Roman" w:hAnsi="Times New Roman" w:cs="Times New Roman"/>
          <w:szCs w:val="21"/>
        </w:rPr>
        <w:t>的</w:t>
      </w:r>
      <w:r>
        <w:rPr>
          <w:rFonts w:ascii="Times New Roman" w:hAnsi="Times New Roman" w:cs="Times New Roman"/>
          <w:b/>
          <w:bCs/>
          <w:szCs w:val="21"/>
          <w:u w:val="single"/>
        </w:rPr>
        <w:t>（采购项目名称）</w:t>
      </w:r>
      <w:r>
        <w:rPr>
          <w:rFonts w:hint="eastAsia" w:ascii="Times New Roman" w:hAnsi="Times New Roman" w:cs="Times New Roman"/>
          <w:b/>
          <w:bCs/>
          <w:szCs w:val="21"/>
          <w:u w:val="single"/>
        </w:rPr>
        <w:t xml:space="preserve"> </w:t>
      </w:r>
      <w:r>
        <w:rPr>
          <w:rFonts w:ascii="Times New Roman" w:hAnsi="Times New Roman" w:cs="Times New Roman"/>
          <w:szCs w:val="21"/>
        </w:rPr>
        <w:t>采购活动，</w:t>
      </w:r>
      <w:r>
        <w:rPr>
          <w:rFonts w:ascii="Times New Roman" w:hAnsi="Times New Roman" w:cs="Times New Roman"/>
          <w:szCs w:val="21"/>
          <w:u w:val="single"/>
        </w:rPr>
        <w:t>________________________</w:t>
      </w:r>
      <w:r>
        <w:rPr>
          <w:rFonts w:ascii="Times New Roman" w:hAnsi="Times New Roman" w:cs="Times New Roman"/>
          <w:szCs w:val="21"/>
        </w:rPr>
        <w:t>（填写说明：</w:t>
      </w:r>
      <w:r>
        <w:rPr>
          <w:rFonts w:ascii="Times New Roman" w:hAnsi="Times New Roman" w:cs="Times New Roman"/>
          <w:b/>
          <w:bCs/>
          <w:szCs w:val="21"/>
        </w:rPr>
        <w:t>货物类：提供的货物全部由符合政策要求的中小企业制造。</w:t>
      </w:r>
      <w:r>
        <w:rPr>
          <w:rFonts w:ascii="Times New Roman" w:hAnsi="Times New Roman" w:cs="Times New Roman"/>
          <w:szCs w:val="21"/>
        </w:rPr>
        <w:t>服务类：服务全部由符合政策要求的中小企业承接。工程类：工程的施工单位全部为符合政策要求的中小企业。）相关企业（含联合体中的中小企业、签订分包意向协议的中小企业）的具体情况如下：</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bCs/>
          <w:szCs w:val="21"/>
          <w:u w:val="single"/>
        </w:rPr>
        <w:t>（标的名称）</w:t>
      </w:r>
      <w:r>
        <w:rPr>
          <w:rFonts w:ascii="Times New Roman" w:hAnsi="Times New Roman" w:cs="Times New Roman"/>
          <w:szCs w:val="21"/>
        </w:rPr>
        <w:t>，属于</w:t>
      </w:r>
      <w:r>
        <w:rPr>
          <w:rFonts w:ascii="Times New Roman" w:hAnsi="Times New Roman" w:cs="Times New Roman"/>
          <w:b/>
          <w:bCs/>
          <w:szCs w:val="21"/>
          <w:u w:val="single"/>
        </w:rPr>
        <w:t>（采购文件中明确的所属行业）</w:t>
      </w:r>
      <w:r>
        <w:rPr>
          <w:rFonts w:ascii="Times New Roman" w:hAnsi="Times New Roman" w:cs="Times New Roman"/>
          <w:szCs w:val="21"/>
        </w:rPr>
        <w:t>；承建（承接）企业为（企业名称），从业人员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万元1，属于（中型企业、小型企业、微型企业）；</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b/>
          <w:bCs/>
          <w:szCs w:val="21"/>
          <w:u w:val="single"/>
        </w:rPr>
        <w:t>（标的名称）</w:t>
      </w:r>
      <w:r>
        <w:rPr>
          <w:rFonts w:ascii="Times New Roman" w:hAnsi="Times New Roman" w:cs="Times New Roman"/>
          <w:szCs w:val="21"/>
        </w:rPr>
        <w:t>，属于</w:t>
      </w:r>
      <w:r>
        <w:rPr>
          <w:rFonts w:ascii="Times New Roman" w:hAnsi="Times New Roman" w:cs="Times New Roman"/>
          <w:b/>
          <w:bCs/>
          <w:szCs w:val="21"/>
          <w:u w:val="single"/>
        </w:rPr>
        <w:t>（采购文件中明确的所属行业）</w:t>
      </w:r>
      <w:r>
        <w:rPr>
          <w:rFonts w:ascii="Times New Roman" w:hAnsi="Times New Roman" w:cs="Times New Roman"/>
          <w:szCs w:val="21"/>
        </w:rPr>
        <w:t>；承建（承接）企业为（企业名称），从业人员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万元，属于（中型企业、小型企业、微型企业）；</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以上企业，不属于大企业的分支机构，不存在控股股东为大企业的情形，也不存在与大企业的负责人为同一人的情形。</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本企业对上述声明内容的真实性负责。如有虚假，将依法承担相应责任。</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企业名称（盖章）：</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日期：</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备注：1、从业人员、营业收入、资产总额填报上一年度数据，无上一年度数据的新成立企业可不填报。</w:t>
      </w:r>
    </w:p>
    <w:p>
      <w:pPr>
        <w:ind w:firstLine="420"/>
        <w:rPr>
          <w:rFonts w:ascii="Times New Roman" w:hAnsi="Times New Roman" w:cs="Times New Roman"/>
        </w:rPr>
      </w:pPr>
    </w:p>
    <w:p>
      <w:pPr>
        <w:ind w:firstLine="420"/>
        <w:rPr>
          <w:rFonts w:ascii="Times New Roman" w:hAnsi="Times New Roman" w:cs="Times New Roman"/>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w:t>
      </w:r>
      <w:r>
        <w:rPr>
          <w:rFonts w:hint="eastAsia" w:ascii="Times New Roman" w:hAnsi="Times New Roman" w:cs="Times New Roman"/>
          <w:b/>
          <w:sz w:val="32"/>
          <w:szCs w:val="32"/>
        </w:rPr>
        <w:t>二</w:t>
      </w:r>
      <w:r>
        <w:rPr>
          <w:rFonts w:ascii="Times New Roman" w:hAnsi="Times New Roman" w:cs="Times New Roman"/>
          <w:b/>
          <w:sz w:val="32"/>
          <w:szCs w:val="32"/>
        </w:rPr>
        <w:t>）省级以上监狱管理局、戒毒管理局（含新疆生产建设兵团）出具的属于监狱企业的证明文件（样表）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本单位郑重声明，根据《财政部司法部关于政府采购支持监狱企业发展有关问题的通知》（财库〔2014〕68号）的规定，本单位为符合条件的监狱企业，且本单位参加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项目采购活动，并提供:</w:t>
      </w:r>
      <w:r>
        <w:rPr>
          <w:rFonts w:ascii="Times New Roman" w:hAnsi="Times New Roman" w:cs="Times New Roman"/>
          <w:b/>
          <w:bCs/>
          <w:szCs w:val="21"/>
        </w:rPr>
        <w:t>□本单位制造的货物</w:t>
      </w:r>
      <w:r>
        <w:rPr>
          <w:rFonts w:ascii="Times New Roman" w:hAnsi="Times New Roman" w:cs="Times New Roman"/>
          <w:szCs w:val="21"/>
        </w:rPr>
        <w:t>;□由本单位承担的工程、提供服务</w:t>
      </w:r>
      <w:r>
        <w:rPr>
          <w:rFonts w:ascii="Times New Roman" w:hAnsi="Times New Roman" w:cs="Times New Roman"/>
          <w:b/>
          <w:bCs/>
          <w:szCs w:val="21"/>
        </w:rPr>
        <w:t>;□提供其他监狱企业制造的货物（承诺人在□处打√）</w:t>
      </w:r>
      <w:r>
        <w:rPr>
          <w:rFonts w:ascii="Times New Roman" w:hAnsi="Times New Roman" w:cs="Times New Roman"/>
          <w:szCs w:val="21"/>
        </w:rPr>
        <w:t>。本条所称货物是指单一产品采购项目中的货物，或者非单一产品采购项目中的核心产品（货物）。</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本单位对上述声明的真实性负责。如有虚假，将依法承担相应责任。</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附：省级以上监狱管理局、戒毒管理局（含新疆生产建设兵团）出具的监狱企业证明文件。</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pPr>
        <w:ind w:firstLine="420"/>
        <w:rPr>
          <w:rFonts w:ascii="Times New Roman" w:hAnsi="Times New Roman" w:cs="Times New Roman"/>
        </w:rPr>
      </w:pPr>
    </w:p>
    <w:p>
      <w:pPr>
        <w:ind w:firstLine="420"/>
        <w:rPr>
          <w:rFonts w:ascii="Times New Roman" w:hAnsi="Times New Roman" w:cs="Times New Roman"/>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w:t>
      </w:r>
      <w:r>
        <w:rPr>
          <w:rFonts w:hint="eastAsia" w:ascii="Times New Roman" w:hAnsi="Times New Roman" w:cs="Times New Roman"/>
          <w:b/>
          <w:sz w:val="32"/>
          <w:szCs w:val="32"/>
        </w:rPr>
        <w:t>三</w:t>
      </w:r>
      <w:r>
        <w:rPr>
          <w:rFonts w:ascii="Times New Roman" w:hAnsi="Times New Roman" w:cs="Times New Roman"/>
          <w:b/>
          <w:sz w:val="32"/>
          <w:szCs w:val="32"/>
        </w:rPr>
        <w:t>）含有小型、微型企业的联合体声明函（样表）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bCs/>
          <w:szCs w:val="21"/>
          <w:u w:val="single"/>
        </w:rPr>
        <w:t>（供应商名称、供应商名称）</w:t>
      </w:r>
      <w:r>
        <w:rPr>
          <w:rFonts w:ascii="Times New Roman" w:hAnsi="Times New Roman" w:cs="Times New Roman"/>
          <w:szCs w:val="21"/>
        </w:rPr>
        <w:t>共同组成联合体（详见联合体协议）。根据《工业和信息化部、国家统计局、国家发展和改革委员会、财政部关于印发中小企业划型标准规定的通知》（工信部联企业〔2011〕300</w:t>
      </w:r>
      <w:r>
        <w:rPr>
          <w:rFonts w:ascii="Times New Roman" w:hAnsi="Times New Roman" w:cs="Times New Roman"/>
          <w:szCs w:val="21"/>
          <w:u w:val="single"/>
        </w:rPr>
        <w:t>_</w:t>
      </w:r>
      <w:r>
        <w:rPr>
          <w:rFonts w:ascii="Times New Roman" w:hAnsi="Times New Roman" w:cs="Times New Roman"/>
          <w:szCs w:val="21"/>
        </w:rPr>
        <w:t>号）规定的划分标准，本联合体中：□</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（请填写：中型、小型、微型）企业；□联合体各方均为小微企业（承诺人在□处打√）。</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2.本联合体参加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项目采购活动，其中，小型、微型企业协议合同金额占到联合体协议总金额比例为</w:t>
      </w:r>
      <w:r>
        <w:rPr>
          <w:rFonts w:ascii="Times New Roman" w:hAnsi="Times New Roman" w:cs="Times New Roman"/>
          <w:szCs w:val="21"/>
          <w:u w:val="single"/>
        </w:rPr>
        <w:t>_____</w:t>
      </w:r>
      <w:r>
        <w:rPr>
          <w:rFonts w:ascii="Times New Roman" w:hAnsi="Times New Roman" w:cs="Times New Roman"/>
          <w:szCs w:val="21"/>
        </w:rPr>
        <w:t>%（该合同金额为：</w:t>
      </w:r>
      <w:r>
        <w:rPr>
          <w:rFonts w:ascii="Times New Roman" w:hAnsi="Times New Roman" w:cs="Times New Roman"/>
          <w:b/>
          <w:bCs/>
          <w:szCs w:val="21"/>
        </w:rPr>
        <w:t>□小微企业制造的货物</w:t>
      </w:r>
      <w:r>
        <w:rPr>
          <w:rFonts w:ascii="Times New Roman" w:hAnsi="Times New Roman" w:cs="Times New Roman"/>
          <w:szCs w:val="21"/>
        </w:rPr>
        <w:t>，□小微企业承担的工程、提供服务，</w:t>
      </w:r>
      <w:r>
        <w:rPr>
          <w:rFonts w:ascii="Times New Roman" w:hAnsi="Times New Roman" w:cs="Times New Roman"/>
          <w:b/>
          <w:bCs/>
          <w:szCs w:val="21"/>
        </w:rPr>
        <w:t>□提供其他小微企业制造的货物；不包括使用大型企业注册商标的货物</w:t>
      </w:r>
      <w:r>
        <w:rPr>
          <w:rFonts w:ascii="Times New Roman" w:hAnsi="Times New Roman" w:cs="Times New Roman"/>
          <w:szCs w:val="21"/>
        </w:rPr>
        <w:t>；请承诺人在□处打√），符合《政府采购促进中小企业发展暂行办法》(财库〔2011〕181</w:t>
      </w:r>
      <w:r>
        <w:rPr>
          <w:rFonts w:ascii="Times New Roman" w:hAnsi="Times New Roman" w:cs="Times New Roman"/>
          <w:szCs w:val="21"/>
          <w:u w:val="single"/>
        </w:rPr>
        <w:t>_</w:t>
      </w:r>
      <w:r>
        <w:rPr>
          <w:rFonts w:ascii="Times New Roman" w:hAnsi="Times New Roman" w:cs="Times New Roman"/>
          <w:szCs w:val="21"/>
        </w:rPr>
        <w:t>号)第六条规定的优惠政策。本联合体对上述声明的真实性负责。如有虚假，将依法承担相应责任。</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企业1名称（盖章）：</w:t>
      </w:r>
      <w:r>
        <w:rPr>
          <w:rFonts w:ascii="Times New Roman" w:hAnsi="Times New Roman" w:cs="Times New Roman"/>
          <w:szCs w:val="21"/>
          <w:u w:val="single"/>
        </w:rPr>
        <w:t>_______________________</w:t>
      </w:r>
      <w:r>
        <w:rPr>
          <w:rFonts w:ascii="Times New Roman" w:hAnsi="Times New Roman" w:cs="Times New Roman"/>
          <w:szCs w:val="21"/>
        </w:rPr>
        <w:t xml:space="preserve"> </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r>
        <w:rPr>
          <w:rFonts w:ascii="Times New Roman" w:hAnsi="Times New Roman" w:cs="Times New Roman"/>
          <w:szCs w:val="21"/>
        </w:rPr>
        <w:t xml:space="preserve"> </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企业2名称（盖章）：</w:t>
      </w:r>
      <w:r>
        <w:rPr>
          <w:rFonts w:ascii="Times New Roman" w:hAnsi="Times New Roman" w:cs="Times New Roman"/>
          <w:szCs w:val="21"/>
          <w:u w:val="single"/>
        </w:rPr>
        <w:t>_______________________</w:t>
      </w:r>
    </w:p>
    <w:p>
      <w:pPr>
        <w:tabs>
          <w:tab w:val="clear" w:pos="426"/>
        </w:tabs>
        <w:spacing w:line="240" w:lineRule="auto"/>
        <w:ind w:left="424" w:leftChars="202" w:firstLine="420"/>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p>
    <w:p>
      <w:pPr>
        <w:rPr>
          <w:rFonts w:hint="eastAsia"/>
          <w:szCs w:val="21"/>
        </w:rPr>
      </w:pPr>
      <w:r>
        <w:rPr>
          <w:rFonts w:hint="eastAsia"/>
          <w:szCs w:val="21"/>
        </w:rPr>
        <w:br w:type="page"/>
      </w:r>
    </w:p>
    <w:p>
      <w:pPr>
        <w:adjustRightInd/>
        <w:snapToGrid/>
        <w:spacing w:before="280" w:after="290" w:line="377" w:lineRule="auto"/>
        <w:outlineLvl w:val="2"/>
        <w:rPr>
          <w:rFonts w:hint="eastAsia"/>
          <w:b/>
          <w:sz w:val="24"/>
        </w:rPr>
      </w:pPr>
      <w:bookmarkStart w:id="154" w:name="_Toc17528"/>
      <w:r>
        <w:rPr>
          <w:rFonts w:hint="eastAsia"/>
          <w:b/>
          <w:sz w:val="24"/>
        </w:rPr>
        <w:t>格式15：残疾人福利性单位声明函</w:t>
      </w:r>
      <w:bookmarkEnd w:id="154"/>
    </w:p>
    <w:p>
      <w:pPr>
        <w:tabs>
          <w:tab w:val="clear" w:pos="426"/>
        </w:tabs>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填写指引：声明是残疾人福利性单位须填写《残疾人福利性单位声明函》的三项内容（填写位置的字体已加粗），具体参照以上《中小企业声明函》填写要求执行。</w:t>
      </w:r>
    </w:p>
    <w:p>
      <w:pPr>
        <w:rPr>
          <w:rFonts w:hint="eastAsia"/>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残疾人福利性单位声明函（样表）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本单位郑重声明，根据《财政部民政部中国残疾人联合会关于促进残疾人就业政府采购政策的通知》（财库〔2017〕141</w:t>
      </w:r>
      <w:r>
        <w:rPr>
          <w:rFonts w:ascii="Times New Roman" w:hAnsi="Times New Roman" w:cs="Times New Roman"/>
          <w:szCs w:val="21"/>
          <w:u w:val="single"/>
        </w:rPr>
        <w:t>_</w:t>
      </w:r>
      <w:r>
        <w:rPr>
          <w:rFonts w:ascii="Times New Roman" w:hAnsi="Times New Roman" w:cs="Times New Roman"/>
          <w:szCs w:val="21"/>
        </w:rPr>
        <w:t>号）的规定，本单位为符合条件的残疾人福利性单位，且本单位参加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项目采购活动，并提供:</w:t>
      </w:r>
      <w:r>
        <w:rPr>
          <w:rFonts w:ascii="Times New Roman" w:hAnsi="Times New Roman" w:cs="Times New Roman"/>
          <w:b/>
          <w:bCs/>
          <w:szCs w:val="21"/>
        </w:rPr>
        <w:t>□本单位制造的货物</w:t>
      </w:r>
      <w:r>
        <w:rPr>
          <w:rFonts w:ascii="Times New Roman" w:hAnsi="Times New Roman" w:cs="Times New Roman"/>
          <w:szCs w:val="21"/>
        </w:rPr>
        <w:t>;□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pPr>
        <w:tabs>
          <w:tab w:val="clear" w:pos="426"/>
        </w:tabs>
        <w:spacing w:line="440" w:lineRule="exact"/>
        <w:rPr>
          <w:rFonts w:hint="eastAsia"/>
          <w:b/>
          <w:bCs/>
        </w:rPr>
      </w:pPr>
    </w:p>
    <w:p>
      <w:pPr>
        <w:shd w:val="clear" w:color="auto" w:fill="auto"/>
        <w:tabs>
          <w:tab w:val="clear" w:pos="426"/>
        </w:tabs>
        <w:adjustRightInd/>
        <w:snapToGrid/>
        <w:spacing w:line="240" w:lineRule="auto"/>
        <w:jc w:val="left"/>
        <w:rPr>
          <w:rFonts w:hint="eastAsia"/>
          <w:b/>
          <w:bCs/>
        </w:rPr>
      </w:pPr>
      <w:r>
        <w:rPr>
          <w:rFonts w:hint="eastAsia"/>
          <w:b/>
          <w:bCs/>
        </w:rPr>
        <w:br w:type="page"/>
      </w:r>
    </w:p>
    <w:p>
      <w:pPr>
        <w:adjustRightInd/>
        <w:snapToGrid/>
        <w:spacing w:before="280" w:after="290" w:line="377" w:lineRule="auto"/>
        <w:outlineLvl w:val="2"/>
        <w:rPr>
          <w:rFonts w:hint="eastAsia"/>
          <w:b/>
          <w:sz w:val="24"/>
        </w:rPr>
      </w:pPr>
      <w:bookmarkStart w:id="155" w:name="_Toc14001"/>
      <w:r>
        <w:rPr>
          <w:rFonts w:hint="eastAsia"/>
          <w:b/>
          <w:sz w:val="24"/>
        </w:rPr>
        <w:t>格式16：同类项目业绩情况</w:t>
      </w:r>
      <w:bookmarkEnd w:id="155"/>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2021"/>
        <w:gridCol w:w="1487"/>
        <w:gridCol w:w="1487"/>
        <w:gridCol w:w="148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序号</w:t>
            </w:r>
          </w:p>
        </w:tc>
        <w:tc>
          <w:tcPr>
            <w:tcW w:w="2021" w:type="dxa"/>
            <w:vAlign w:val="center"/>
          </w:tcPr>
          <w:p>
            <w:pPr>
              <w:widowControl w:val="0"/>
              <w:shd w:val="clear" w:color="auto" w:fill="auto"/>
              <w:tabs>
                <w:tab w:val="clear" w:pos="426"/>
              </w:tabs>
              <w:spacing w:line="240" w:lineRule="auto"/>
              <w:jc w:val="center"/>
              <w:rPr>
                <w:rFonts w:hint="eastAsia"/>
                <w:b/>
                <w:bCs/>
              </w:rPr>
            </w:pPr>
            <w:r>
              <w:rPr>
                <w:rFonts w:hint="eastAsia"/>
                <w:b/>
                <w:bCs/>
              </w:rPr>
              <w:t>项目名称</w:t>
            </w:r>
          </w:p>
        </w:tc>
        <w:tc>
          <w:tcPr>
            <w:tcW w:w="1487" w:type="dxa"/>
            <w:vAlign w:val="center"/>
          </w:tcPr>
          <w:p>
            <w:pPr>
              <w:widowControl w:val="0"/>
              <w:shd w:val="clear" w:color="auto" w:fill="auto"/>
              <w:tabs>
                <w:tab w:val="clear" w:pos="426"/>
              </w:tabs>
              <w:spacing w:line="240" w:lineRule="auto"/>
              <w:jc w:val="center"/>
              <w:rPr>
                <w:rFonts w:hint="eastAsia"/>
                <w:b/>
                <w:bCs/>
              </w:rPr>
            </w:pPr>
            <w:r>
              <w:rPr>
                <w:rFonts w:hint="eastAsia"/>
                <w:b/>
                <w:bCs/>
              </w:rPr>
              <w:t>合同金额</w:t>
            </w:r>
          </w:p>
        </w:tc>
        <w:tc>
          <w:tcPr>
            <w:tcW w:w="1487" w:type="dxa"/>
            <w:vAlign w:val="center"/>
          </w:tcPr>
          <w:p>
            <w:pPr>
              <w:widowControl w:val="0"/>
              <w:shd w:val="clear" w:color="auto" w:fill="auto"/>
              <w:tabs>
                <w:tab w:val="clear" w:pos="426"/>
              </w:tabs>
              <w:spacing w:line="240" w:lineRule="auto"/>
              <w:jc w:val="center"/>
              <w:rPr>
                <w:rFonts w:hint="eastAsia"/>
                <w:b/>
                <w:bCs/>
              </w:rPr>
            </w:pPr>
            <w:r>
              <w:rPr>
                <w:rFonts w:hint="eastAsia"/>
                <w:b/>
                <w:bCs/>
              </w:rPr>
              <w:t>签约日期</w:t>
            </w:r>
          </w:p>
        </w:tc>
        <w:tc>
          <w:tcPr>
            <w:tcW w:w="1488" w:type="dxa"/>
            <w:vAlign w:val="center"/>
          </w:tcPr>
          <w:p>
            <w:pPr>
              <w:widowControl w:val="0"/>
              <w:shd w:val="clear" w:color="auto" w:fill="auto"/>
              <w:tabs>
                <w:tab w:val="clear" w:pos="426"/>
              </w:tabs>
              <w:spacing w:line="240" w:lineRule="auto"/>
              <w:jc w:val="center"/>
              <w:rPr>
                <w:rFonts w:hint="eastAsia"/>
                <w:b/>
                <w:bCs/>
              </w:rPr>
            </w:pPr>
            <w:r>
              <w:rPr>
                <w:rFonts w:hint="eastAsia"/>
                <w:b/>
                <w:bCs/>
              </w:rPr>
              <w:t>完工验收结果</w:t>
            </w:r>
          </w:p>
        </w:tc>
        <w:tc>
          <w:tcPr>
            <w:tcW w:w="1488" w:type="dxa"/>
            <w:vAlign w:val="center"/>
          </w:tcPr>
          <w:p>
            <w:pPr>
              <w:widowControl w:val="0"/>
              <w:shd w:val="clear" w:color="auto" w:fill="auto"/>
              <w:tabs>
                <w:tab w:val="clear" w:pos="426"/>
              </w:tabs>
              <w:spacing w:line="240" w:lineRule="auto"/>
              <w:jc w:val="cente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1</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2</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3</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b/>
                <w:bCs/>
              </w:rPr>
              <w:t>……</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bl>
    <w:p>
      <w:pPr>
        <w:tabs>
          <w:tab w:val="clear" w:pos="426"/>
        </w:tabs>
        <w:spacing w:line="440" w:lineRule="exact"/>
        <w:rPr>
          <w:rFonts w:hint="eastAsia"/>
          <w:b/>
          <w:bCs/>
        </w:rPr>
      </w:pPr>
      <w:r>
        <w:rPr>
          <w:rFonts w:hint="eastAsia"/>
          <w:b/>
          <w:bCs/>
        </w:rPr>
        <w:t>备注：1.以上表格格式可根据评审表的要求调整，业绩证明材料及其他相关资料附后。</w:t>
      </w:r>
    </w:p>
    <w:p>
      <w:pPr>
        <w:shd w:val="clear" w:color="auto" w:fill="auto"/>
        <w:tabs>
          <w:tab w:val="clear" w:pos="426"/>
        </w:tabs>
        <w:adjustRightInd/>
        <w:snapToGrid/>
        <w:spacing w:line="240" w:lineRule="auto"/>
        <w:jc w:val="left"/>
        <w:rPr>
          <w:rFonts w:hint="eastAsia"/>
          <w:b/>
          <w:bCs/>
        </w:rPr>
      </w:pPr>
      <w:r>
        <w:rPr>
          <w:rFonts w:hint="eastAsia"/>
          <w:b/>
          <w:bCs/>
        </w:rPr>
        <w:br w:type="page"/>
      </w:r>
    </w:p>
    <w:p>
      <w:pPr>
        <w:adjustRightInd/>
        <w:snapToGrid/>
        <w:spacing w:before="280" w:after="290" w:line="377" w:lineRule="auto"/>
        <w:outlineLvl w:val="2"/>
        <w:rPr>
          <w:rFonts w:hint="eastAsia"/>
          <w:b/>
          <w:sz w:val="24"/>
        </w:rPr>
      </w:pPr>
      <w:bookmarkStart w:id="156" w:name="_Toc27416"/>
      <w:r>
        <w:rPr>
          <w:rFonts w:hint="eastAsia"/>
          <w:b/>
          <w:sz w:val="24"/>
        </w:rPr>
        <w:t>格式17：相关认证情况</w:t>
      </w:r>
      <w:bookmarkEnd w:id="156"/>
    </w:p>
    <w:p>
      <w:pPr>
        <w:tabs>
          <w:tab w:val="clear" w:pos="426"/>
        </w:tabs>
        <w:spacing w:line="440" w:lineRule="exact"/>
        <w:rPr>
          <w:rFonts w:hint="eastAsia"/>
          <w:b/>
          <w:bCs/>
        </w:rPr>
      </w:pPr>
    </w:p>
    <w:p>
      <w:pPr>
        <w:tabs>
          <w:tab w:val="clear" w:pos="426"/>
        </w:tabs>
        <w:spacing w:line="440" w:lineRule="exact"/>
        <w:rPr>
          <w:rFonts w:hint="eastAsia"/>
          <w:b/>
          <w:szCs w:val="21"/>
        </w:rPr>
      </w:pPr>
      <w:r>
        <w:rPr>
          <w:rFonts w:hint="eastAsia"/>
          <w:b/>
          <w:bCs/>
        </w:rPr>
        <w:t>备注：以上节点请</w:t>
      </w:r>
      <w:r>
        <w:rPr>
          <w:rFonts w:hint="eastAsia"/>
          <w:b/>
          <w:szCs w:val="21"/>
        </w:rPr>
        <w:t>根据评审表的要求提交相应资料，格式自拟。</w:t>
      </w:r>
      <w:bookmarkEnd w:id="111"/>
      <w:bookmarkEnd w:id="112"/>
      <w:bookmarkEnd w:id="113"/>
      <w:bookmarkEnd w:id="114"/>
    </w:p>
    <w:p>
      <w:pPr>
        <w:pStyle w:val="81"/>
        <w:tabs>
          <w:tab w:val="clear" w:pos="426"/>
        </w:tabs>
      </w:pPr>
      <w:r>
        <w:br w:type="page"/>
      </w:r>
      <w:bookmarkStart w:id="157" w:name="_Toc14427253"/>
      <w:bookmarkStart w:id="158" w:name="_Toc530152521"/>
      <w:bookmarkStart w:id="159" w:name="_Toc25882"/>
      <w:r>
        <w:rPr>
          <w:rFonts w:hint="eastAsia"/>
        </w:rPr>
        <w:t>招标文件第二册（通用</w:t>
      </w:r>
      <w:bookmarkEnd w:id="157"/>
      <w:bookmarkEnd w:id="158"/>
      <w:r>
        <w:rPr>
          <w:rFonts w:hint="eastAsia"/>
        </w:rPr>
        <w:t>部分）</w:t>
      </w:r>
      <w:bookmarkEnd w:id="159"/>
    </w:p>
    <w:p>
      <w:pPr>
        <w:jc w:val="center"/>
        <w:rPr>
          <w:rFonts w:hint="eastAsia"/>
          <w:b/>
        </w:rPr>
      </w:pPr>
      <w:r>
        <w:rPr>
          <w:rFonts w:hint="eastAsia"/>
          <w:b/>
        </w:rPr>
        <w:t>（投标供应商须知）</w:t>
      </w:r>
    </w:p>
    <w:p>
      <w:pPr>
        <w:pStyle w:val="5"/>
        <w:rPr>
          <w:rFonts w:hint="eastAsia"/>
        </w:rPr>
      </w:pPr>
      <w:bookmarkStart w:id="160" w:name="_Toc14427254"/>
      <w:bookmarkStart w:id="161" w:name="_Toc18466"/>
      <w:bookmarkStart w:id="162" w:name="_Toc530152522"/>
      <w:bookmarkStart w:id="163" w:name="_Toc529280581"/>
      <w:r>
        <w:rPr>
          <w:rFonts w:hint="eastAsia"/>
        </w:rPr>
        <w:t>第一章 总则</w:t>
      </w:r>
      <w:bookmarkEnd w:id="160"/>
      <w:bookmarkEnd w:id="161"/>
      <w:bookmarkEnd w:id="162"/>
      <w:bookmarkEnd w:id="163"/>
    </w:p>
    <w:p>
      <w:pPr>
        <w:tabs>
          <w:tab w:val="clear" w:pos="426"/>
        </w:tabs>
        <w:rPr>
          <w:rFonts w:hint="eastAsia"/>
        </w:rPr>
      </w:pPr>
      <w:r>
        <w:rPr>
          <w:rFonts w:hint="eastAsia"/>
        </w:rPr>
        <w:t>1.通用条款说明</w:t>
      </w:r>
    </w:p>
    <w:p>
      <w:pPr>
        <w:tabs>
          <w:tab w:val="clear" w:pos="426"/>
        </w:tabs>
        <w:rPr>
          <w:rFonts w:hint="eastAsia"/>
        </w:rPr>
      </w:pPr>
      <w:r>
        <w:rPr>
          <w:rFonts w:hint="eastAsia"/>
        </w:rPr>
        <w:t>1.1采购代理机构发出招标文件通用条款版本，列出采购项目进行招标采购所适用的通用条款内容。如有需要，采购代理机构可以对这些条款增加附录或补充内容。</w:t>
      </w:r>
    </w:p>
    <w:p>
      <w:pPr>
        <w:tabs>
          <w:tab w:val="clear" w:pos="426"/>
        </w:tabs>
        <w:rPr>
          <w:rFonts w:hint="eastAsia"/>
        </w:rPr>
      </w:pPr>
      <w:r>
        <w:rPr>
          <w:rFonts w:hint="eastAsia"/>
        </w:rPr>
        <w:t>2</w:t>
      </w:r>
      <w:r>
        <w:t>．</w:t>
      </w:r>
      <w:r>
        <w:rPr>
          <w:rFonts w:hint="eastAsia"/>
        </w:rPr>
        <w:t>招标说明</w:t>
      </w:r>
    </w:p>
    <w:p>
      <w:pPr>
        <w:tabs>
          <w:tab w:val="clear" w:pos="426"/>
        </w:tabs>
        <w:rPr>
          <w:rFonts w:hint="eastAsia"/>
          <w:szCs w:val="21"/>
        </w:rPr>
      </w:pPr>
      <w:r>
        <w:rPr>
          <w:rFonts w:hint="eastAsia"/>
        </w:rPr>
        <w:t>本项目按照《中华人民共和国政府采购法》《中华人民共和国政府采购法实施条例》的规定，并参考有关法规、政策、规章、规定通过招标择优选定供应商。</w:t>
      </w:r>
      <w:r>
        <w:rPr>
          <w:rFonts w:hint="eastAsia"/>
          <w:szCs w:val="21"/>
        </w:rPr>
        <w:t>本招标文件适用于采购公告中所述项目的政府采购。</w:t>
      </w:r>
    </w:p>
    <w:p>
      <w:pPr>
        <w:tabs>
          <w:tab w:val="clear" w:pos="426"/>
        </w:tabs>
        <w:rPr>
          <w:rFonts w:hint="eastAsia"/>
          <w:szCs w:val="21"/>
        </w:rPr>
      </w:pPr>
      <w:r>
        <w:rPr>
          <w:rFonts w:hint="eastAsia"/>
          <w:szCs w:val="21"/>
        </w:rPr>
        <w:t>本招标文件的解释权归属深圳市深水水务咨询有限公司。</w:t>
      </w:r>
    </w:p>
    <w:p>
      <w:pPr>
        <w:tabs>
          <w:tab w:val="clear" w:pos="426"/>
        </w:tabs>
        <w:rPr>
          <w:rFonts w:hint="eastAsia"/>
        </w:rPr>
      </w:pPr>
      <w:r>
        <w:t>3．定义</w:t>
      </w:r>
    </w:p>
    <w:p>
      <w:pPr>
        <w:tabs>
          <w:tab w:val="clear" w:pos="426"/>
        </w:tabs>
        <w:rPr>
          <w:rFonts w:hint="eastAsia"/>
        </w:rPr>
      </w:pPr>
      <w:r>
        <w:t>招标文件中下列术语应解释为：</w:t>
      </w:r>
    </w:p>
    <w:p>
      <w:pPr>
        <w:tabs>
          <w:tab w:val="clear" w:pos="426"/>
        </w:tabs>
        <w:rPr>
          <w:rFonts w:hint="eastAsia"/>
        </w:rPr>
      </w:pPr>
      <w:r>
        <w:rPr>
          <w:szCs w:val="21"/>
        </w:rPr>
        <w:t>3.1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pPr>
        <w:tabs>
          <w:tab w:val="clear" w:pos="426"/>
        </w:tabs>
        <w:rPr>
          <w:rFonts w:hint="eastAsia"/>
        </w:rPr>
      </w:pPr>
      <w:r>
        <w:t xml:space="preserve">3.2“采购人”或“采购单位”：系指利用财政性资金依法进行采购的国家机关、事业单位、团体组织； </w:t>
      </w:r>
    </w:p>
    <w:p>
      <w:pPr>
        <w:tabs>
          <w:tab w:val="clear" w:pos="426"/>
        </w:tabs>
        <w:rPr>
          <w:rFonts w:hint="eastAsia"/>
        </w:rPr>
      </w:pPr>
      <w:r>
        <w:t>3.3“投标供应商”或“投标方”，即供应商，是指参加投标竞争并愿意按照招标文件要求向采购人提供货物、工程或者服务的依法成立的法人、其他组织或者自然人；</w:t>
      </w:r>
    </w:p>
    <w:p>
      <w:pPr>
        <w:tabs>
          <w:tab w:val="clear" w:pos="426"/>
        </w:tabs>
        <w:rPr>
          <w:rFonts w:hint="eastAsia"/>
        </w:rPr>
      </w:pPr>
      <w:r>
        <w:t>3.4“评标委员会”和“谈判小组”是依据有关规定组建的专门负责本次招标其评标（谈判）工作的临时性机构；</w:t>
      </w:r>
    </w:p>
    <w:p>
      <w:pPr>
        <w:tabs>
          <w:tab w:val="clear" w:pos="426"/>
        </w:tabs>
        <w:rPr>
          <w:rFonts w:hint="eastAsia"/>
        </w:rPr>
      </w:pPr>
      <w:r>
        <w:t>3.5“日期”指</w:t>
      </w:r>
      <w:r>
        <w:rPr>
          <w:rFonts w:hint="eastAsia"/>
        </w:rPr>
        <w:t>公历日；</w:t>
      </w:r>
    </w:p>
    <w:p>
      <w:pPr>
        <w:tabs>
          <w:tab w:val="clear" w:pos="426"/>
        </w:tabs>
        <w:rPr>
          <w:rFonts w:hint="eastAsia"/>
        </w:rPr>
      </w:pPr>
      <w:r>
        <w:t>3.6“合同”指由本次招标所产生的合同或合约文件；</w:t>
      </w:r>
    </w:p>
    <w:p>
      <w:pPr>
        <w:tabs>
          <w:tab w:val="clear" w:pos="426"/>
        </w:tabs>
        <w:rPr>
          <w:rFonts w:hint="eastAsia"/>
        </w:rPr>
      </w:pPr>
      <w:r>
        <w:t>3.7招标文件中的标题或题名仅起引导作用，而不应视为对招标文件内容的理解和解释。</w:t>
      </w:r>
    </w:p>
    <w:p>
      <w:pPr>
        <w:tabs>
          <w:tab w:val="clear" w:pos="426"/>
        </w:tabs>
        <w:rPr>
          <w:rFonts w:hint="eastAsia"/>
        </w:rPr>
      </w:pPr>
      <w:r>
        <w:t>4.</w:t>
      </w:r>
      <w:r>
        <w:rPr>
          <w:rFonts w:hint="eastAsia"/>
        </w:rPr>
        <w:t>供应商责任</w:t>
      </w:r>
    </w:p>
    <w:p>
      <w:pPr>
        <w:tabs>
          <w:tab w:val="clear" w:pos="426"/>
        </w:tabs>
        <w:rPr>
          <w:rFonts w:hint="eastAsia"/>
        </w:rPr>
      </w:pPr>
      <w:r>
        <w:t>4.1欢迎诚信、有实力和有社会责任心的供应商参与采购事业。</w:t>
      </w:r>
    </w:p>
    <w:p>
      <w:pPr>
        <w:tabs>
          <w:tab w:val="clear" w:pos="426"/>
        </w:tabs>
        <w:rPr>
          <w:rFonts w:hint="eastAsia"/>
        </w:rPr>
      </w:pPr>
      <w: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相关监督管理部门给予一定年限内禁止参加采购活动的处罚或其他处罚。</w:t>
      </w:r>
    </w:p>
    <w:p>
      <w:pPr>
        <w:tabs>
          <w:tab w:val="clear" w:pos="426"/>
        </w:tabs>
        <w:rPr>
          <w:rFonts w:hint="eastAsia"/>
        </w:rPr>
      </w:pPr>
      <w:r>
        <w:t>5．合格的投标供应商</w:t>
      </w:r>
    </w:p>
    <w:p>
      <w:pPr>
        <w:widowControl w:val="0"/>
        <w:shd w:val="clear" w:color="auto" w:fill="auto"/>
        <w:tabs>
          <w:tab w:val="clear" w:pos="426"/>
        </w:tabs>
        <w:autoSpaceDE w:val="0"/>
        <w:autoSpaceDN w:val="0"/>
        <w:rPr>
          <w:rFonts w:hint="eastAsia"/>
          <w:szCs w:val="21"/>
        </w:rPr>
      </w:pPr>
      <w:r>
        <w:rPr>
          <w:szCs w:val="21"/>
        </w:rPr>
        <w:t xml:space="preserve">5.1 </w:t>
      </w:r>
      <w:r>
        <w:rPr>
          <w:rFonts w:hint="eastAsia"/>
          <w:szCs w:val="21"/>
        </w:rPr>
        <w:t>投标供应商是响应招标并且符合招标文件规定资格条件和参加投标竞争的法人、其他组织或者自然人。</w:t>
      </w:r>
    </w:p>
    <w:p>
      <w:pPr>
        <w:widowControl w:val="0"/>
        <w:shd w:val="clear" w:color="auto" w:fill="auto"/>
        <w:tabs>
          <w:tab w:val="clear" w:pos="426"/>
        </w:tabs>
        <w:autoSpaceDE w:val="0"/>
        <w:autoSpaceDN w:val="0"/>
        <w:rPr>
          <w:rFonts w:hint="eastAsia"/>
          <w:szCs w:val="21"/>
          <w:lang w:eastAsia="zh-TW"/>
        </w:rPr>
      </w:pPr>
      <w:r>
        <w:rPr>
          <w:szCs w:val="21"/>
        </w:rPr>
        <w:t xml:space="preserve">5.2 </w:t>
      </w:r>
      <w:r>
        <w:rPr>
          <w:rFonts w:hint="eastAsia"/>
          <w:szCs w:val="21"/>
          <w:lang w:eastAsia="zh-TW"/>
        </w:rPr>
        <w:t>合格的投标供应商</w:t>
      </w:r>
    </w:p>
    <w:p>
      <w:pPr>
        <w:widowControl w:val="0"/>
        <w:shd w:val="clear" w:color="auto" w:fill="auto"/>
        <w:tabs>
          <w:tab w:val="clear" w:pos="426"/>
        </w:tabs>
        <w:autoSpaceDE w:val="0"/>
        <w:autoSpaceDN w:val="0"/>
        <w:rPr>
          <w:rFonts w:hint="eastAsia"/>
          <w:szCs w:val="21"/>
        </w:rPr>
      </w:pPr>
      <w:r>
        <w:rPr>
          <w:szCs w:val="21"/>
        </w:rPr>
        <w:t>5.2.1 具有独立承担民事责任的能力。</w:t>
      </w:r>
    </w:p>
    <w:p>
      <w:pPr>
        <w:widowControl w:val="0"/>
        <w:shd w:val="clear" w:color="auto" w:fill="auto"/>
        <w:tabs>
          <w:tab w:val="clear" w:pos="426"/>
        </w:tabs>
        <w:autoSpaceDE w:val="0"/>
        <w:autoSpaceDN w:val="0"/>
        <w:rPr>
          <w:rFonts w:hint="eastAsia"/>
          <w:szCs w:val="21"/>
        </w:rPr>
      </w:pPr>
      <w:r>
        <w:rPr>
          <w:szCs w:val="21"/>
        </w:rPr>
        <w:t>5.2.2 具有良好的商业信誉和健全的财务会计制度</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5.2.3 具有履行合同所必需的</w:t>
      </w:r>
      <w:r>
        <w:rPr>
          <w:rFonts w:hint="eastAsia"/>
          <w:szCs w:val="21"/>
        </w:rPr>
        <w:t>设备</w:t>
      </w:r>
      <w:r>
        <w:rPr>
          <w:szCs w:val="21"/>
        </w:rPr>
        <w:t>和专业技术能力</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5.2.4 有依法缴纳税收和社会保障资金的良好记录</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5.2.5 参加采购活动前三年内，在经营活动中没有重大违法记录</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5.2.6 法律、行政法规规定的其他条件</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 xml:space="preserve">5.2.7 </w:t>
      </w:r>
      <w:r>
        <w:rPr>
          <w:rFonts w:hint="eastAsia"/>
          <w:szCs w:val="21"/>
        </w:rPr>
        <w:t>只有在法律上和财务上独立、合法运作并独立于采购人和代理机构的供货商才能参加投标。</w:t>
      </w:r>
    </w:p>
    <w:p>
      <w:pPr>
        <w:widowControl w:val="0"/>
        <w:shd w:val="clear" w:color="auto" w:fill="auto"/>
        <w:tabs>
          <w:tab w:val="clear" w:pos="426"/>
        </w:tabs>
        <w:autoSpaceDE w:val="0"/>
        <w:autoSpaceDN w:val="0"/>
        <w:rPr>
          <w:rFonts w:hint="eastAsia"/>
          <w:b/>
          <w:szCs w:val="21"/>
        </w:rPr>
      </w:pPr>
      <w:r>
        <w:rPr>
          <w:szCs w:val="21"/>
        </w:rPr>
        <w:t xml:space="preserve">5.2.8 </w:t>
      </w:r>
      <w:r>
        <w:rPr>
          <w:rFonts w:hint="eastAsia"/>
          <w:szCs w:val="21"/>
        </w:rPr>
        <w:t>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rFonts w:hint="eastAsia"/>
          <w:szCs w:val="21"/>
        </w:rPr>
      </w:pPr>
      <w:r>
        <w:rPr>
          <w:szCs w:val="21"/>
        </w:rPr>
        <w:t xml:space="preserve">5.2.9 </w:t>
      </w:r>
      <w:r>
        <w:rPr>
          <w:rFonts w:hint="eastAsia"/>
          <w:szCs w:val="21"/>
        </w:rPr>
        <w:t>符合</w:t>
      </w:r>
      <w:r>
        <w:rPr>
          <w:rFonts w:hint="eastAsia" w:cs="黑体"/>
          <w:szCs w:val="21"/>
        </w:rPr>
        <w:t>第一章采购公告“投标供应商资格要求”</w:t>
      </w:r>
      <w:r>
        <w:rPr>
          <w:rFonts w:hint="eastAsia"/>
          <w:szCs w:val="21"/>
        </w:rPr>
        <w:t>的条款</w:t>
      </w:r>
      <w:r>
        <w:rPr>
          <w:rFonts w:hint="eastAsia" w:cs="黑体"/>
          <w:szCs w:val="21"/>
        </w:rPr>
        <w:t>。</w:t>
      </w:r>
    </w:p>
    <w:p>
      <w:pPr>
        <w:widowControl w:val="0"/>
        <w:shd w:val="clear" w:color="auto" w:fill="auto"/>
        <w:tabs>
          <w:tab w:val="clear" w:pos="426"/>
        </w:tabs>
        <w:autoSpaceDE w:val="0"/>
        <w:autoSpaceDN w:val="0"/>
        <w:rPr>
          <w:rFonts w:hint="eastAsia"/>
          <w:szCs w:val="21"/>
        </w:rPr>
      </w:pPr>
      <w:r>
        <w:rPr>
          <w:szCs w:val="21"/>
        </w:rPr>
        <w:t xml:space="preserve">5.3 </w:t>
      </w:r>
      <w:r>
        <w:rPr>
          <w:rFonts w:hint="eastAsia"/>
          <w:szCs w:val="21"/>
        </w:rPr>
        <w:t>中标供应商是指经法定程序确定并授予合同的投标供应商。</w:t>
      </w:r>
    </w:p>
    <w:p>
      <w:pPr>
        <w:tabs>
          <w:tab w:val="clear" w:pos="426"/>
        </w:tabs>
        <w:rPr>
          <w:rFonts w:hint="eastAsia"/>
        </w:rPr>
      </w:pPr>
      <w:r>
        <w:t>6．联合体投标</w:t>
      </w:r>
    </w:p>
    <w:p>
      <w:pPr>
        <w:tabs>
          <w:tab w:val="clear" w:pos="426"/>
        </w:tabs>
        <w:rPr>
          <w:rFonts w:hint="eastAsia"/>
        </w:rPr>
      </w:pPr>
      <w:r>
        <w:t>6.1　以下有关联合体投标的条款仅适用于允许投标供应商组成联合体投标的项目。</w:t>
      </w:r>
    </w:p>
    <w:p>
      <w:pPr>
        <w:tabs>
          <w:tab w:val="clear" w:pos="426"/>
        </w:tabs>
        <w:rPr>
          <w:rFonts w:hint="eastAsia"/>
        </w:rPr>
      </w:pPr>
      <w:r>
        <w:t>6.2　由两个或两个以上的自然人、法人或者其他组织可以组成一个联合体，以一个供应商的身份共同投标时，应符合以下原则：</w:t>
      </w:r>
    </w:p>
    <w:p>
      <w:pPr>
        <w:tabs>
          <w:tab w:val="clear" w:pos="426"/>
        </w:tabs>
        <w:rPr>
          <w:rFonts w:hint="eastAsia"/>
        </w:rPr>
      </w:pPr>
      <w:r>
        <w:t>6.2.</w:t>
      </w:r>
      <w:r>
        <w:rPr>
          <w:bCs/>
        </w:rPr>
        <w:t>1投标联合体应满足采购公告有关投标供应商资格要求中对联合体的要求；</w:t>
      </w:r>
    </w:p>
    <w:p>
      <w:pPr>
        <w:tabs>
          <w:tab w:val="clear" w:pos="426"/>
        </w:tabs>
        <w:rPr>
          <w:rFonts w:hint="eastAsia"/>
        </w:rPr>
      </w:pPr>
      <w:r>
        <w:t>6.2.2对于采购公告中所要求投标供应商应具有的某一资质，若联合体各方均具有，则将以联合体各方中最低的资质等级作为联合体在这一资质条件上的资质等级；联合体各方的不同资质可优势互补。</w:t>
      </w:r>
    </w:p>
    <w:p>
      <w:pPr>
        <w:tabs>
          <w:tab w:val="clear" w:pos="426"/>
        </w:tabs>
        <w:rPr>
          <w:rFonts w:hint="eastAsia"/>
        </w:rPr>
      </w:pPr>
      <w:r>
        <w:t>6.2.3投标供应商的投标文件及中标后签署的合同协议对联合体各方均具法律约束力；</w:t>
      </w:r>
    </w:p>
    <w:p>
      <w:pPr>
        <w:tabs>
          <w:tab w:val="clear" w:pos="426"/>
        </w:tabs>
        <w:rPr>
          <w:rFonts w:hint="eastAsia"/>
        </w:rPr>
      </w:pPr>
      <w:r>
        <w:t>6.2.4联合体各方应当签订共同投标协议，明确约定各方拟承担的工作和责任，并将该共同投标协议随投标文件一并递交给代理机构；</w:t>
      </w:r>
    </w:p>
    <w:p>
      <w:pPr>
        <w:tabs>
          <w:tab w:val="clear" w:pos="426"/>
        </w:tabs>
        <w:rPr>
          <w:rFonts w:hint="eastAsia"/>
        </w:rPr>
      </w:pPr>
      <w:r>
        <w:t>6.2.5联合体的各方应当共同推荐一联合体投标授权代表人，由联合体各方提交一份授权书，证明其有资格代表联合体各方签署投标文件，该授权书作为投标文件的组成部分一并提交给代理机构；</w:t>
      </w:r>
    </w:p>
    <w:p>
      <w:pPr>
        <w:tabs>
          <w:tab w:val="clear" w:pos="426"/>
        </w:tabs>
        <w:rPr>
          <w:rFonts w:hint="eastAsia"/>
        </w:rPr>
      </w:pPr>
      <w: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rFonts w:hint="eastAsia"/>
        </w:rPr>
      </w:pPr>
      <w:r>
        <w:t>6.2.7除非另有规定或说明，本须知中“投标供应商”一词亦指联合体各方。</w:t>
      </w:r>
    </w:p>
    <w:p>
      <w:pPr>
        <w:tabs>
          <w:tab w:val="clear" w:pos="426"/>
        </w:tabs>
        <w:rPr>
          <w:rFonts w:hint="eastAsia"/>
        </w:rPr>
      </w:pPr>
      <w:r>
        <w:t xml:space="preserve">7. </w:t>
      </w:r>
      <w:r>
        <w:rPr>
          <w:rFonts w:hint="eastAsia"/>
        </w:rPr>
        <w:t>合格的服务和货物</w:t>
      </w:r>
    </w:p>
    <w:p>
      <w:pPr>
        <w:widowControl w:val="0"/>
        <w:shd w:val="clear" w:color="auto" w:fill="auto"/>
        <w:tabs>
          <w:tab w:val="clear" w:pos="426"/>
        </w:tabs>
        <w:autoSpaceDE w:val="0"/>
        <w:autoSpaceDN w:val="0"/>
        <w:rPr>
          <w:rFonts w:hint="eastAsia"/>
          <w:szCs w:val="21"/>
        </w:rPr>
      </w:pPr>
      <w:r>
        <w:rPr>
          <w:szCs w:val="21"/>
        </w:rPr>
        <w:t xml:space="preserve">7.1 </w:t>
      </w:r>
      <w:r>
        <w:rPr>
          <w:rFonts w:hint="eastAsia"/>
          <w:szCs w:val="21"/>
        </w:rPr>
        <w:t>“服务”是指投标供应商按招标文件规定完成的全部服务内容，其中包括完成服务所需的货物，及须承担的技术支持、培训和其它伴随服务。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hint="eastAsia" w:cs="黑体"/>
          <w:b/>
          <w:bCs/>
          <w:szCs w:val="21"/>
        </w:rPr>
      </w:pPr>
      <w:r>
        <w:rPr>
          <w:szCs w:val="21"/>
        </w:rPr>
        <w:t xml:space="preserve">7.2 </w:t>
      </w:r>
      <w:r>
        <w:rPr>
          <w:rFonts w:hint="eastAsia"/>
          <w:szCs w:val="21"/>
        </w:rPr>
        <w:t>“货物”是指投标供应商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rFonts w:hint="eastAsia"/>
          <w:szCs w:val="21"/>
        </w:rPr>
      </w:pPr>
      <w:r>
        <w:rPr>
          <w:szCs w:val="21"/>
        </w:rPr>
        <w:t xml:space="preserve">7.3 </w:t>
      </w:r>
      <w:r>
        <w:rPr>
          <w:rFonts w:hint="eastAsia"/>
          <w:szCs w:val="21"/>
        </w:rPr>
        <w:t>投标供应商提供的所有服务，其质量、技术等特征必须符合国家、行业现行法律、法规的相关标准和《中华人民共和国政府采购法》的有关规定及用户需求。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rFonts w:hint="eastAsia"/>
          <w:szCs w:val="21"/>
        </w:rPr>
      </w:pPr>
      <w:r>
        <w:rPr>
          <w:szCs w:val="21"/>
        </w:rPr>
        <w:t xml:space="preserve">7.4 </w:t>
      </w:r>
      <w:r>
        <w:rPr>
          <w:rFonts w:hint="eastAsia"/>
          <w:szCs w:val="21"/>
        </w:rPr>
        <w:t>采购人有权拒绝接受任何不合格的服务，由此产生的费用及相关后果均由供应商自行承担。</w:t>
      </w:r>
    </w:p>
    <w:p>
      <w:pPr>
        <w:widowControl w:val="0"/>
        <w:shd w:val="clear" w:color="auto" w:fill="auto"/>
        <w:tabs>
          <w:tab w:val="clear" w:pos="426"/>
        </w:tabs>
        <w:autoSpaceDE w:val="0"/>
        <w:autoSpaceDN w:val="0"/>
        <w:rPr>
          <w:rFonts w:hint="eastAsia"/>
          <w:szCs w:val="21"/>
        </w:rPr>
      </w:pPr>
      <w:r>
        <w:rPr>
          <w:szCs w:val="21"/>
        </w:rPr>
        <w:t xml:space="preserve">7.5 </w:t>
      </w:r>
      <w:r>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pPr>
        <w:tabs>
          <w:tab w:val="clear" w:pos="426"/>
        </w:tabs>
        <w:rPr>
          <w:rFonts w:hint="eastAsia"/>
        </w:rPr>
      </w:pPr>
      <w:r>
        <w:t>8．投标费用</w:t>
      </w:r>
    </w:p>
    <w:p>
      <w:pPr>
        <w:tabs>
          <w:tab w:val="clear" w:pos="426"/>
        </w:tabs>
        <w:rPr>
          <w:rFonts w:hint="eastAsia"/>
        </w:rPr>
      </w:pPr>
      <w:r>
        <w:rPr>
          <w:rFonts w:hint="eastAsia"/>
        </w:rPr>
        <w:t>不论投标结果如何，投标供应商应承担其编制投标文件与递交投标文件所涉及的一切费用。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pPr>
        <w:tabs>
          <w:tab w:val="clear" w:pos="426"/>
        </w:tabs>
        <w:rPr>
          <w:rFonts w:hint="eastAsia"/>
        </w:rPr>
      </w:pPr>
      <w:r>
        <w:t>9．踏勘现场</w:t>
      </w:r>
    </w:p>
    <w:p>
      <w:pPr>
        <w:tabs>
          <w:tab w:val="clear" w:pos="426"/>
        </w:tabs>
        <w:rPr>
          <w:rFonts w:hint="eastAsia"/>
        </w:rPr>
      </w:pPr>
      <w:r>
        <w:t>9.1如有需要，采购代理机构或采购单位将组织投标供应商对项目现场及周围环境进行踏勘，以便投标供应商获取有关编制投标文件和签署合同所需的所有资料。踏勘现场所发生的费用和风险由投标供应商自己承担，投标供应商应按采购公告所约定的时间、地点统一踏勘现场。</w:t>
      </w:r>
    </w:p>
    <w:p>
      <w:pPr>
        <w:tabs>
          <w:tab w:val="clear" w:pos="426"/>
        </w:tabs>
        <w:rPr>
          <w:rFonts w:hint="eastAsia"/>
        </w:rPr>
      </w:pPr>
      <w:r>
        <w:t>9.2投标供应商及其人员经过采购单位的允许，可以踏勘目的进入采购单位的项目现场。若本项目招标文件要求投标供应商于统一时间地点踏勘现场的，投标供应商按时前往。</w:t>
      </w:r>
    </w:p>
    <w:p>
      <w:pPr>
        <w:tabs>
          <w:tab w:val="clear" w:pos="426"/>
        </w:tabs>
        <w:rPr>
          <w:rFonts w:hint="eastAsia"/>
        </w:rPr>
      </w:pPr>
      <w:r>
        <w:t>9.3采购单位必须通过采购代理机构向投标供应商提供有关现场的资料和数据。</w:t>
      </w:r>
    </w:p>
    <w:p>
      <w:pPr>
        <w:tabs>
          <w:tab w:val="clear" w:pos="426"/>
        </w:tabs>
        <w:rPr>
          <w:rFonts w:hint="eastAsia"/>
        </w:rPr>
      </w:pPr>
      <w:r>
        <w:t>9.4任何人或任何组织在踏勘现场时向投标供应商提交的任何书面或口头上的资料，未经采购代理机构在网上发布或书面通知，均作无效处理。采购代理机构对投标供应商由此而做出的推论、理解和结论概不负责。</w:t>
      </w:r>
    </w:p>
    <w:p>
      <w:pPr>
        <w:tabs>
          <w:tab w:val="clear" w:pos="426"/>
        </w:tabs>
        <w:rPr>
          <w:rFonts w:hint="eastAsia"/>
        </w:rPr>
      </w:pPr>
      <w:r>
        <w:t xml:space="preserve">9.5 </w:t>
      </w:r>
      <w:r>
        <w:rPr>
          <w:rFonts w:hint="eastAsia"/>
        </w:rPr>
        <w:t>未参与现场踏勘不作为否定投标供应商资格的理由。</w:t>
      </w:r>
    </w:p>
    <w:p>
      <w:pPr>
        <w:tabs>
          <w:tab w:val="clear" w:pos="426"/>
        </w:tabs>
        <w:rPr>
          <w:rFonts w:hint="eastAsia"/>
        </w:rPr>
      </w:pPr>
      <w:r>
        <w:t>10．招标答疑</w:t>
      </w:r>
    </w:p>
    <w:p>
      <w:pPr>
        <w:tabs>
          <w:tab w:val="clear" w:pos="426"/>
        </w:tabs>
        <w:rPr>
          <w:rFonts w:hint="eastAsia"/>
        </w:rPr>
      </w:pPr>
      <w:r>
        <w:t>10.1招标答疑的目的是澄清、解答投标供应商在查阅招标文件后或现场踏勘中可能提出的与投标有关的疑问或询问。</w:t>
      </w:r>
    </w:p>
    <w:p>
      <w:pPr>
        <w:tabs>
          <w:tab w:val="clear" w:pos="426"/>
        </w:tabs>
        <w:rPr>
          <w:rFonts w:hint="eastAsia"/>
        </w:rPr>
      </w:pPr>
      <w:r>
        <w:t xml:space="preserve">10.2投标供应商提出的与投标有关的问题须在招标文件规定的答疑截止时间前以 </w:t>
      </w:r>
      <w:r>
        <w:rPr>
          <w:rFonts w:hint="eastAsia"/>
        </w:rPr>
        <w:t>“质疑函</w:t>
      </w:r>
      <w:r>
        <w:t>”</w:t>
      </w:r>
      <w:r>
        <w:rPr>
          <w:rFonts w:hint="eastAsia"/>
        </w:rPr>
        <w:t>的形式提交给采购代理机构，质疑函应该加盖质疑单位公章。</w:t>
      </w:r>
    </w:p>
    <w:p>
      <w:pPr>
        <w:tabs>
          <w:tab w:val="clear" w:pos="426"/>
        </w:tabs>
        <w:rPr>
          <w:rFonts w:hint="eastAsia"/>
        </w:rPr>
      </w:pPr>
      <w:r>
        <w:t>10.3采购代理机构对疑问所做出的澄清和解答，以书面答复（包括网站发布信息）为准。答疑纪要的有效性规定按照本通用条款第13.3</w:t>
      </w:r>
      <w:r>
        <w:rPr>
          <w:rFonts w:hint="eastAsia"/>
        </w:rPr>
        <w:t>、</w:t>
      </w:r>
      <w:r>
        <w:t>13.4</w:t>
      </w:r>
      <w:r>
        <w:rPr>
          <w:rFonts w:hint="eastAsia"/>
        </w:rPr>
        <w:t>款规定执行。</w:t>
      </w:r>
    </w:p>
    <w:p>
      <w:pPr>
        <w:tabs>
          <w:tab w:val="clear" w:pos="426"/>
        </w:tabs>
        <w:rPr>
          <w:rFonts w:hint="eastAsia"/>
        </w:rPr>
      </w:pPr>
      <w:r>
        <w:t>10.4如采购代理机构认为有必要组织现场答疑会，投标供应商应按照招标文件规定的时间或采购代理机构另行书面通知（包括网站发布的通知）的时间和地点，参与现场答疑会。</w:t>
      </w:r>
    </w:p>
    <w:p>
      <w:pPr>
        <w:tabs>
          <w:tab w:val="clear" w:pos="426"/>
        </w:tabs>
        <w:rPr>
          <w:rFonts w:hint="eastAsia"/>
        </w:rPr>
      </w:pPr>
      <w:r>
        <w:t>10.5未参与招标答疑不作为否定投标供应商资格的理由。</w:t>
      </w:r>
    </w:p>
    <w:p>
      <w:pPr>
        <w:pStyle w:val="5"/>
        <w:tabs>
          <w:tab w:val="clear" w:pos="426"/>
        </w:tabs>
        <w:rPr>
          <w:rFonts w:hint="eastAsia"/>
        </w:rPr>
      </w:pPr>
      <w:bookmarkStart w:id="164" w:name="_Toc530152523"/>
      <w:bookmarkStart w:id="165" w:name="_Toc10191"/>
      <w:bookmarkStart w:id="166" w:name="_Toc529280582"/>
      <w:bookmarkStart w:id="167" w:name="_Toc14427255"/>
      <w:r>
        <w:rPr>
          <w:rFonts w:hint="eastAsia"/>
        </w:rPr>
        <w:t>第二章 招标文件</w:t>
      </w:r>
      <w:bookmarkEnd w:id="164"/>
      <w:bookmarkEnd w:id="165"/>
      <w:bookmarkEnd w:id="166"/>
      <w:bookmarkEnd w:id="167"/>
    </w:p>
    <w:p>
      <w:pPr>
        <w:tabs>
          <w:tab w:val="clear" w:pos="426"/>
        </w:tabs>
        <w:rPr>
          <w:rFonts w:hint="eastAsia"/>
        </w:rPr>
      </w:pPr>
      <w:r>
        <w:t>11．招标文件的编制与组成</w:t>
      </w:r>
    </w:p>
    <w:p>
      <w:pPr>
        <w:tabs>
          <w:tab w:val="clear" w:pos="426"/>
        </w:tabs>
        <w:rPr>
          <w:rFonts w:hint="eastAsia"/>
        </w:rPr>
      </w:pPr>
      <w:r>
        <w:t>11.1招标文件除以下内容外，采购代理机构在招标（或谈判）期间发出的答疑纪要和其他补充修改函件，均是招标文件的组成部分，对投标供应商起约束作用；</w:t>
      </w:r>
    </w:p>
    <w:p>
      <w:pPr>
        <w:tabs>
          <w:tab w:val="clear" w:pos="426"/>
        </w:tabs>
        <w:rPr>
          <w:rFonts w:hint="eastAsia"/>
        </w:rPr>
      </w:pPr>
      <w:r>
        <w:rPr>
          <w:rFonts w:hint="eastAsia"/>
        </w:rPr>
        <w:t>招标文件包括下列内容：</w:t>
      </w:r>
    </w:p>
    <w:p>
      <w:pPr>
        <w:tabs>
          <w:tab w:val="clear" w:pos="426"/>
        </w:tabs>
        <w:rPr>
          <w:rFonts w:hint="eastAsia"/>
        </w:rPr>
      </w:pPr>
      <w:r>
        <w:rPr>
          <w:rFonts w:hint="eastAsia"/>
        </w:rPr>
        <w:t>项目关键信息</w:t>
      </w:r>
    </w:p>
    <w:p>
      <w:pPr>
        <w:tabs>
          <w:tab w:val="clear" w:pos="426"/>
        </w:tabs>
        <w:rPr>
          <w:rFonts w:hint="eastAsia"/>
        </w:rPr>
      </w:pPr>
      <w:r>
        <w:rPr>
          <w:rFonts w:hint="eastAsia"/>
        </w:rPr>
        <w:t>招标文件第一册（专用部分）</w:t>
      </w:r>
    </w:p>
    <w:p>
      <w:pPr>
        <w:tabs>
          <w:tab w:val="clear" w:pos="426"/>
        </w:tabs>
        <w:rPr>
          <w:rFonts w:hint="eastAsia"/>
        </w:rPr>
      </w:pPr>
      <w:r>
        <w:rPr>
          <w:rFonts w:hint="eastAsia"/>
        </w:rPr>
        <w:t>第一章 投标邀请</w:t>
      </w:r>
    </w:p>
    <w:p>
      <w:pPr>
        <w:tabs>
          <w:tab w:val="clear" w:pos="426"/>
        </w:tabs>
        <w:rPr>
          <w:rFonts w:hint="eastAsia"/>
        </w:rPr>
      </w:pPr>
      <w:r>
        <w:rPr>
          <w:rFonts w:hint="eastAsia"/>
        </w:rPr>
        <w:t>第二章 项目需求</w:t>
      </w:r>
    </w:p>
    <w:p>
      <w:pPr>
        <w:tabs>
          <w:tab w:val="clear" w:pos="426"/>
        </w:tabs>
        <w:rPr>
          <w:rFonts w:hint="eastAsia"/>
        </w:rPr>
      </w:pPr>
      <w:r>
        <w:rPr>
          <w:rFonts w:hint="eastAsia"/>
        </w:rPr>
        <w:t>第三章 定价方式、合同类型和风险管理措施</w:t>
      </w:r>
    </w:p>
    <w:p>
      <w:pPr>
        <w:tabs>
          <w:tab w:val="clear" w:pos="426"/>
        </w:tabs>
        <w:rPr>
          <w:rFonts w:hint="eastAsia"/>
        </w:rPr>
      </w:pPr>
      <w:r>
        <w:rPr>
          <w:rFonts w:hint="eastAsia"/>
        </w:rPr>
        <w:t>第四章 资格审查和评标方法</w:t>
      </w:r>
    </w:p>
    <w:p>
      <w:pPr>
        <w:tabs>
          <w:tab w:val="clear" w:pos="426"/>
        </w:tabs>
        <w:rPr>
          <w:rFonts w:hint="eastAsia"/>
        </w:rPr>
      </w:pPr>
      <w:r>
        <w:rPr>
          <w:rFonts w:hint="eastAsia"/>
        </w:rPr>
        <w:t>第五章 合同文本</w:t>
      </w:r>
    </w:p>
    <w:p>
      <w:pPr>
        <w:tabs>
          <w:tab w:val="clear" w:pos="426"/>
        </w:tabs>
        <w:rPr>
          <w:rFonts w:hint="eastAsia"/>
        </w:rPr>
      </w:pPr>
      <w:r>
        <w:rPr>
          <w:rFonts w:hint="eastAsia"/>
        </w:rPr>
        <w:t>第六章 投标资料表</w:t>
      </w:r>
    </w:p>
    <w:p>
      <w:pPr>
        <w:tabs>
          <w:tab w:val="clear" w:pos="426"/>
        </w:tabs>
        <w:rPr>
          <w:rFonts w:hint="eastAsia"/>
        </w:rPr>
      </w:pPr>
      <w:r>
        <w:rPr>
          <w:rFonts w:hint="eastAsia"/>
        </w:rPr>
        <w:t>第七章 投标文件格式</w:t>
      </w:r>
    </w:p>
    <w:p>
      <w:pPr>
        <w:tabs>
          <w:tab w:val="clear" w:pos="426"/>
        </w:tabs>
        <w:rPr>
          <w:rFonts w:hint="eastAsia"/>
        </w:rPr>
      </w:pPr>
      <w:r>
        <w:rPr>
          <w:rFonts w:hint="eastAsia"/>
        </w:rPr>
        <w:t>招标文件第二册（通用部分）</w:t>
      </w:r>
    </w:p>
    <w:p>
      <w:pPr>
        <w:tabs>
          <w:tab w:val="clear" w:pos="426"/>
        </w:tabs>
        <w:rPr>
          <w:rFonts w:hint="eastAsia"/>
        </w:rPr>
      </w:pPr>
      <w:r>
        <w:rPr>
          <w:rFonts w:hint="eastAsia"/>
        </w:rPr>
        <w:t>第一章 总则</w:t>
      </w:r>
    </w:p>
    <w:p>
      <w:pPr>
        <w:tabs>
          <w:tab w:val="clear" w:pos="426"/>
        </w:tabs>
        <w:rPr>
          <w:rFonts w:hint="eastAsia"/>
        </w:rPr>
      </w:pPr>
      <w:r>
        <w:rPr>
          <w:rFonts w:hint="eastAsia"/>
        </w:rPr>
        <w:t>第二章 招标文件</w:t>
      </w:r>
    </w:p>
    <w:p>
      <w:pPr>
        <w:tabs>
          <w:tab w:val="clear" w:pos="426"/>
        </w:tabs>
        <w:rPr>
          <w:rFonts w:hint="eastAsia"/>
        </w:rPr>
      </w:pPr>
      <w:r>
        <w:rPr>
          <w:rFonts w:hint="eastAsia"/>
        </w:rPr>
        <w:t>第三章 投标文件的编制与递交</w:t>
      </w:r>
    </w:p>
    <w:p>
      <w:pPr>
        <w:tabs>
          <w:tab w:val="clear" w:pos="426"/>
        </w:tabs>
        <w:rPr>
          <w:rFonts w:hint="eastAsia"/>
        </w:rPr>
      </w:pPr>
      <w:r>
        <w:rPr>
          <w:rFonts w:hint="eastAsia"/>
        </w:rPr>
        <w:t>第四章 开标</w:t>
      </w:r>
    </w:p>
    <w:p>
      <w:pPr>
        <w:tabs>
          <w:tab w:val="clear" w:pos="426"/>
        </w:tabs>
        <w:rPr>
          <w:rFonts w:hint="eastAsia"/>
        </w:rPr>
      </w:pPr>
      <w:r>
        <w:rPr>
          <w:rFonts w:hint="eastAsia"/>
        </w:rPr>
        <w:t>第五章 评标要求</w:t>
      </w:r>
    </w:p>
    <w:p>
      <w:pPr>
        <w:tabs>
          <w:tab w:val="clear" w:pos="426"/>
        </w:tabs>
        <w:rPr>
          <w:rFonts w:hint="eastAsia"/>
        </w:rPr>
      </w:pPr>
      <w:r>
        <w:rPr>
          <w:rFonts w:hint="eastAsia"/>
        </w:rPr>
        <w:t>第六章 评标程序及评标方法</w:t>
      </w:r>
    </w:p>
    <w:p>
      <w:pPr>
        <w:tabs>
          <w:tab w:val="clear" w:pos="426"/>
        </w:tabs>
        <w:rPr>
          <w:rFonts w:hint="eastAsia"/>
        </w:rPr>
      </w:pPr>
      <w:r>
        <w:rPr>
          <w:rFonts w:hint="eastAsia"/>
        </w:rPr>
        <w:t>第七章 定标及公示</w:t>
      </w:r>
    </w:p>
    <w:p>
      <w:pPr>
        <w:tabs>
          <w:tab w:val="clear" w:pos="426"/>
        </w:tabs>
        <w:rPr>
          <w:rFonts w:hint="eastAsia"/>
        </w:rPr>
      </w:pPr>
      <w:r>
        <w:rPr>
          <w:rFonts w:hint="eastAsia"/>
        </w:rPr>
        <w:t>第八章 公开招标失败的后续处理</w:t>
      </w:r>
    </w:p>
    <w:p>
      <w:pPr>
        <w:tabs>
          <w:tab w:val="clear" w:pos="426"/>
        </w:tabs>
        <w:rPr>
          <w:rFonts w:hint="eastAsia"/>
        </w:rPr>
      </w:pPr>
      <w:r>
        <w:rPr>
          <w:rFonts w:hint="eastAsia"/>
        </w:rPr>
        <w:t>第九章 合同的授予与备案</w:t>
      </w:r>
    </w:p>
    <w:p>
      <w:pPr>
        <w:tabs>
          <w:tab w:val="clear" w:pos="426"/>
        </w:tabs>
        <w:rPr>
          <w:rFonts w:hint="eastAsia"/>
        </w:rPr>
      </w:pPr>
      <w:r>
        <w:rPr>
          <w:rFonts w:hint="eastAsia"/>
        </w:rPr>
        <w:t>第十章 质疑受理</w:t>
      </w:r>
    </w:p>
    <w:p>
      <w:pPr>
        <w:tabs>
          <w:tab w:val="clear" w:pos="426"/>
        </w:tabs>
        <w:rPr>
          <w:rFonts w:hint="eastAsia"/>
        </w:rPr>
      </w:pPr>
      <w:r>
        <w:rPr>
          <w:rFonts w:hint="eastAsia"/>
        </w:rPr>
        <w:t>招标代理服务取费说明</w:t>
      </w:r>
    </w:p>
    <w:p>
      <w:pPr>
        <w:tabs>
          <w:tab w:val="clear" w:pos="426"/>
        </w:tabs>
        <w:rPr>
          <w:rFonts w:hint="eastAsia"/>
        </w:rPr>
      </w:pPr>
      <w:r>
        <w:t xml:space="preserve">11.2 </w:t>
      </w:r>
      <w:r>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pPr>
        <w:tabs>
          <w:tab w:val="clear" w:pos="426"/>
        </w:tabs>
        <w:rPr>
          <w:rFonts w:hint="eastAsia"/>
          <w:szCs w:val="21"/>
        </w:rPr>
      </w:pPr>
      <w:r>
        <w:rPr>
          <w:szCs w:val="21"/>
        </w:rPr>
        <w:t>11.3</w:t>
      </w:r>
      <w:r>
        <w:rPr>
          <w:rFonts w:hint="eastAsia"/>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pPr>
        <w:tabs>
          <w:tab w:val="clear" w:pos="426"/>
        </w:tabs>
        <w:rPr>
          <w:rFonts w:hint="eastAsia"/>
        </w:rPr>
      </w:pPr>
      <w:r>
        <w:t>12．招标文件的澄清</w:t>
      </w:r>
    </w:p>
    <w:p>
      <w:pPr>
        <w:tabs>
          <w:tab w:val="clear" w:pos="426"/>
        </w:tabs>
        <w:rPr>
          <w:rFonts w:hint="eastAsia"/>
        </w:rPr>
      </w:pPr>
      <w:r>
        <w:t>12.1投标供应商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供应商起约束作用；</w:t>
      </w:r>
    </w:p>
    <w:p>
      <w:pPr>
        <w:tabs>
          <w:tab w:val="clear" w:pos="426"/>
        </w:tabs>
        <w:rPr>
          <w:rFonts w:hint="eastAsia"/>
        </w:rPr>
      </w:pPr>
      <w:r>
        <w:t>12.2对于没有提出澄清又参与了该项目投标的供应商将被视为完全认同该招标文件（含澄清纪要），投标截止期后不再受理针对招标文件的相关质疑或投诉。</w:t>
      </w:r>
    </w:p>
    <w:p>
      <w:pPr>
        <w:tabs>
          <w:tab w:val="clear" w:pos="426"/>
        </w:tabs>
        <w:rPr>
          <w:rFonts w:hint="eastAsia"/>
        </w:rPr>
      </w:pPr>
      <w:r>
        <w:t xml:space="preserve">12.3 </w:t>
      </w:r>
      <w:r>
        <w:rPr>
          <w:rFonts w:hint="eastAsia"/>
        </w:rPr>
        <w:t>对招标文件中描述有歧意或前后不一致的地方，评标委员会有权进行评判，但对同一条款的评判应适用于每个投标供应商。</w:t>
      </w:r>
    </w:p>
    <w:p>
      <w:pPr>
        <w:tabs>
          <w:tab w:val="clear" w:pos="426"/>
        </w:tabs>
        <w:rPr>
          <w:rFonts w:hint="eastAsia"/>
        </w:rPr>
      </w:pPr>
      <w:r>
        <w:t>13．招标文件的修改</w:t>
      </w:r>
    </w:p>
    <w:p>
      <w:pPr>
        <w:tabs>
          <w:tab w:val="clear" w:pos="426"/>
        </w:tabs>
        <w:rPr>
          <w:rFonts w:hint="eastAsia"/>
        </w:rPr>
      </w:pPr>
      <w:r>
        <w:t>13.1招标文件发出后，在投标截止日期前任何时候，确需要变更招标内容的，采购代理机构可主动地或在解答投标供应商提出的澄清问题时对招标文件进行修改；</w:t>
      </w:r>
    </w:p>
    <w:p>
      <w:pPr>
        <w:tabs>
          <w:tab w:val="clear" w:pos="426"/>
        </w:tabs>
        <w:rPr>
          <w:rFonts w:hint="eastAsia"/>
        </w:rPr>
      </w:pPr>
      <w:r>
        <w:t>13.2招标文件的修改以书面形式（包括网站公开发布方式）发送给所有投标供应商，招标文件的修改内容作为招标文件的组成部分，并具有约束力。</w:t>
      </w:r>
    </w:p>
    <w:p>
      <w:pPr>
        <w:tabs>
          <w:tab w:val="clear" w:pos="426"/>
        </w:tabs>
        <w:rPr>
          <w:rFonts w:hint="eastAsia"/>
        </w:rPr>
      </w:pPr>
      <w: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rFonts w:hint="eastAsia"/>
        </w:rPr>
      </w:pPr>
      <w:r>
        <w:t>13.4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pPr>
        <w:pStyle w:val="5"/>
        <w:tabs>
          <w:tab w:val="clear" w:pos="426"/>
        </w:tabs>
        <w:rPr>
          <w:rFonts w:hint="eastAsia"/>
        </w:rPr>
      </w:pPr>
      <w:bookmarkStart w:id="168" w:name="_Toc529280583"/>
      <w:bookmarkStart w:id="169" w:name="_Toc15015"/>
      <w:bookmarkStart w:id="170" w:name="_Toc530152524"/>
      <w:bookmarkStart w:id="171" w:name="_Toc14427256"/>
      <w:r>
        <w:rPr>
          <w:rFonts w:hint="eastAsia"/>
        </w:rPr>
        <w:t>第三章 投标文件的编制与递交</w:t>
      </w:r>
      <w:bookmarkEnd w:id="168"/>
      <w:bookmarkEnd w:id="169"/>
      <w:bookmarkEnd w:id="170"/>
      <w:bookmarkEnd w:id="171"/>
    </w:p>
    <w:p>
      <w:pPr>
        <w:tabs>
          <w:tab w:val="clear" w:pos="426"/>
        </w:tabs>
        <w:rPr>
          <w:rFonts w:hint="eastAsia"/>
        </w:rPr>
      </w:pPr>
      <w:r>
        <w:t>14．投标文件的语言及度量单位</w:t>
      </w:r>
    </w:p>
    <w:p>
      <w:pPr>
        <w:tabs>
          <w:tab w:val="clear" w:pos="426"/>
        </w:tabs>
        <w:rPr>
          <w:rFonts w:hint="eastAsia"/>
        </w:rPr>
      </w:pPr>
      <w:r>
        <w:t xml:space="preserve">14.1 </w:t>
      </w:r>
      <w:r>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pPr>
        <w:tabs>
          <w:tab w:val="clear" w:pos="426"/>
        </w:tabs>
        <w:rPr>
          <w:rFonts w:hint="eastAsia"/>
        </w:rPr>
      </w:pPr>
      <w:r>
        <w:t xml:space="preserve">14.2 </w:t>
      </w:r>
      <w:r>
        <w:rPr>
          <w:rFonts w:hint="eastAsia"/>
        </w:rPr>
        <w:t>除技术规范另有规定外，投标文件使用的度量单位，均采用中华人民共和国法定计量单位。</w:t>
      </w:r>
    </w:p>
    <w:p>
      <w:pPr>
        <w:tabs>
          <w:tab w:val="clear" w:pos="426"/>
        </w:tabs>
        <w:rPr>
          <w:rFonts w:hint="eastAsia"/>
        </w:rPr>
      </w:pPr>
      <w:r>
        <w:t>15．投标文件的组成</w:t>
      </w:r>
    </w:p>
    <w:p>
      <w:pPr>
        <w:tabs>
          <w:tab w:val="clear" w:pos="426"/>
        </w:tabs>
        <w:rPr>
          <w:rFonts w:hint="eastAsia"/>
        </w:rPr>
      </w:pPr>
      <w:r>
        <w:rPr>
          <w:rFonts w:hint="eastAsia"/>
        </w:rPr>
        <w:t>具体内容请详见本项目专用条款的相关内容。</w:t>
      </w:r>
    </w:p>
    <w:p>
      <w:pPr>
        <w:tabs>
          <w:tab w:val="clear" w:pos="426"/>
        </w:tabs>
        <w:rPr>
          <w:rFonts w:hint="eastAsia"/>
        </w:rPr>
      </w:pPr>
      <w:r>
        <w:t xml:space="preserve">16. </w:t>
      </w:r>
      <w:r>
        <w:rPr>
          <w:rFonts w:hint="eastAsia"/>
        </w:rPr>
        <w:t>投标文件格式</w:t>
      </w:r>
    </w:p>
    <w:p>
      <w:pPr>
        <w:tabs>
          <w:tab w:val="clear" w:pos="426"/>
        </w:tabs>
        <w:rPr>
          <w:rFonts w:hint="eastAsia"/>
        </w:rPr>
      </w:pPr>
      <w:r>
        <w:t>16.1</w:t>
      </w:r>
      <w:r>
        <w:rPr>
          <w:rFonts w:hint="eastAsia"/>
        </w:rPr>
        <w:t>投标文件包括本通用条款第</w:t>
      </w:r>
      <w:r>
        <w:t>15条中规定的内容。如招标文件提供了投标文件格式，则投标供应商提交的投标文件必须毫无例外地使用招标文件所提供的相应格式并统一使用A4篇幅（表格可以按同样格式扩展）。</w:t>
      </w:r>
    </w:p>
    <w:p>
      <w:pPr>
        <w:tabs>
          <w:tab w:val="clear" w:pos="426"/>
        </w:tabs>
        <w:rPr>
          <w:rFonts w:hint="eastAsia"/>
        </w:rPr>
      </w:pPr>
      <w:r>
        <w:t>17．投标货币</w:t>
      </w:r>
    </w:p>
    <w:p>
      <w:pPr>
        <w:tabs>
          <w:tab w:val="clear" w:pos="426"/>
        </w:tabs>
        <w:rPr>
          <w:rFonts w:hint="eastAsia"/>
        </w:rPr>
      </w:pPr>
      <w:r>
        <w:rPr>
          <w:rFonts w:hint="eastAsia"/>
        </w:rPr>
        <w:t>本项目的投标应以人民币计。</w:t>
      </w:r>
    </w:p>
    <w:p>
      <w:pPr>
        <w:widowControl w:val="0"/>
        <w:shd w:val="clear" w:color="auto" w:fill="auto"/>
        <w:tabs>
          <w:tab w:val="clear" w:pos="426"/>
        </w:tabs>
        <w:autoSpaceDE w:val="0"/>
        <w:autoSpaceDN w:val="0"/>
        <w:rPr>
          <w:rFonts w:hint="eastAsia"/>
        </w:rPr>
      </w:pPr>
      <w:r>
        <w:t xml:space="preserve">18. </w:t>
      </w:r>
      <w:r>
        <w:rPr>
          <w:rFonts w:hint="eastAsia"/>
        </w:rPr>
        <w:t>证明投标供应商合格和资格的文件</w:t>
      </w:r>
    </w:p>
    <w:p>
      <w:pPr>
        <w:widowControl w:val="0"/>
        <w:shd w:val="clear" w:color="auto" w:fill="auto"/>
        <w:tabs>
          <w:tab w:val="clear" w:pos="426"/>
        </w:tabs>
        <w:autoSpaceDE w:val="0"/>
        <w:autoSpaceDN w:val="0"/>
        <w:rPr>
          <w:rFonts w:hint="eastAsia" w:cs="黑体"/>
          <w:b/>
          <w:bCs/>
          <w:szCs w:val="21"/>
        </w:rPr>
      </w:pPr>
      <w:r>
        <w:rPr>
          <w:szCs w:val="21"/>
        </w:rPr>
        <w:t xml:space="preserve">18.1 </w:t>
      </w:r>
      <w:r>
        <w:rPr>
          <w:rFonts w:hint="eastAsia"/>
          <w:szCs w:val="21"/>
          <w:lang w:eastAsia="zh-TW"/>
        </w:rPr>
        <w:t>投标供应商应提交证明其有资格参加投标和中标后有能力履行合同的文件</w:t>
      </w:r>
      <w:r>
        <w:rPr>
          <w:rFonts w:hint="eastAsia"/>
          <w:szCs w:val="21"/>
        </w:rPr>
        <w:t>，</w:t>
      </w:r>
      <w:r>
        <w:rPr>
          <w:rFonts w:hint="eastAsia"/>
          <w:szCs w:val="21"/>
          <w:lang w:eastAsia="zh-TW"/>
        </w:rPr>
        <w:t>并作为其投标文件的一部分。如果投标供应商为联合体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pPr>
        <w:widowControl w:val="0"/>
        <w:shd w:val="clear" w:color="auto" w:fill="auto"/>
        <w:tabs>
          <w:tab w:val="clear" w:pos="426"/>
        </w:tabs>
        <w:autoSpaceDE w:val="0"/>
        <w:autoSpaceDN w:val="0"/>
        <w:rPr>
          <w:rFonts w:hint="eastAsia"/>
          <w:szCs w:val="21"/>
          <w:lang w:eastAsia="zh-TW"/>
        </w:rPr>
      </w:pPr>
      <w:r>
        <w:rPr>
          <w:szCs w:val="21"/>
        </w:rPr>
        <w:t xml:space="preserve">18.2 </w:t>
      </w:r>
      <w:r>
        <w:rPr>
          <w:rFonts w:hint="eastAsia"/>
          <w:szCs w:val="21"/>
          <w:lang w:eastAsia="zh-TW"/>
        </w:rPr>
        <w:t>投标供应商提交的资格证明文件应证明其</w:t>
      </w:r>
      <w:r>
        <w:rPr>
          <w:rFonts w:hint="eastAsia"/>
          <w:szCs w:val="21"/>
        </w:rPr>
        <w:t>满足</w:t>
      </w:r>
      <w:r>
        <w:rPr>
          <w:rFonts w:hint="eastAsia"/>
          <w:szCs w:val="21"/>
          <w:lang w:eastAsia="zh-TW"/>
        </w:rPr>
        <w:t>本须知定义的合格投标供应商。</w:t>
      </w:r>
    </w:p>
    <w:p>
      <w:pPr>
        <w:tabs>
          <w:tab w:val="clear" w:pos="426"/>
        </w:tabs>
        <w:rPr>
          <w:rFonts w:hint="eastAsia"/>
        </w:rPr>
      </w:pPr>
      <w:r>
        <w:t>19．证明投标文件投标技术方案的合格性和符合招标文件规定的文件要求</w:t>
      </w:r>
    </w:p>
    <w:p>
      <w:pPr>
        <w:tabs>
          <w:tab w:val="clear" w:pos="426"/>
        </w:tabs>
        <w:rPr>
          <w:rFonts w:hint="eastAsia"/>
        </w:rPr>
      </w:pPr>
      <w:r>
        <w:t xml:space="preserve">19.1 </w:t>
      </w:r>
      <w:r>
        <w:rPr>
          <w:rFonts w:hint="eastAsia"/>
        </w:rPr>
        <w:t>投标供应商应提交证明文件证明其投标技术方案项下的货物、工程和服务的合格性符合招标文件规定。该投标技术方案及其证明文件作为投标文件的一部分。</w:t>
      </w:r>
    </w:p>
    <w:p>
      <w:pPr>
        <w:tabs>
          <w:tab w:val="clear" w:pos="426"/>
        </w:tabs>
        <w:rPr>
          <w:rFonts w:hint="eastAsia"/>
        </w:rPr>
      </w:pPr>
      <w:r>
        <w:t xml:space="preserve">19.2 </w:t>
      </w:r>
      <w:r>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pPr>
        <w:tabs>
          <w:tab w:val="clear" w:pos="426"/>
        </w:tabs>
        <w:rPr>
          <w:rFonts w:hint="eastAsia"/>
        </w:rPr>
      </w:pPr>
      <w:r>
        <w:t>19.2.1主要技术指标和性能的详细说明。</w:t>
      </w:r>
    </w:p>
    <w:p>
      <w:pPr>
        <w:tabs>
          <w:tab w:val="clear" w:pos="426"/>
        </w:tabs>
        <w:rPr>
          <w:rFonts w:hint="eastAsia"/>
        </w:rPr>
      </w:pPr>
      <w:r>
        <w:t>19.2.2</w:t>
      </w:r>
      <w:r>
        <w:rPr>
          <w:rFonts w:hint="eastAsia"/>
        </w:rPr>
        <w:t>投标产品从采购单位开始使用至招标文件中规定的周期内正常、连续地使用所必须的备件和专用工具清单，包括备件和专用工具的货源及现行价格。</w:t>
      </w:r>
    </w:p>
    <w:p>
      <w:pPr>
        <w:tabs>
          <w:tab w:val="clear" w:pos="426"/>
        </w:tabs>
        <w:rPr>
          <w:rFonts w:hint="eastAsia"/>
        </w:rPr>
      </w:pPr>
      <w:r>
        <w:t>19.2.3</w:t>
      </w:r>
      <w:r>
        <w:rPr>
          <w:rFonts w:hint="eastAsia"/>
        </w:rPr>
        <w:t>对照招标文件技术规格，逐条说明投标技术方案已对采购单位的技术规格做出了实质性的响应，或申明与技术规格条文的偏差和例外。投标供应商应详细说明投标技术方案中产品的具体参数，不得照搬照抄招标文件的技术要求。</w:t>
      </w:r>
    </w:p>
    <w:p>
      <w:pPr>
        <w:tabs>
          <w:tab w:val="clear" w:pos="426"/>
        </w:tabs>
        <w:rPr>
          <w:rFonts w:hint="eastAsia"/>
        </w:rPr>
      </w:pPr>
      <w: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rFonts w:hint="eastAsia"/>
        </w:rPr>
      </w:pPr>
      <w:r>
        <w:t>19.2.5我国政府机构出具的产品检验和核准证件应为证件正面、背面和附件标注的全部具体内容；产品检验和核准证件应能清晰的阅读、识别和判断，提供原件复印件。</w:t>
      </w:r>
    </w:p>
    <w:p>
      <w:pPr>
        <w:tabs>
          <w:tab w:val="clear" w:pos="426"/>
        </w:tabs>
        <w:rPr>
          <w:rFonts w:hint="eastAsia"/>
        </w:rPr>
      </w:pPr>
      <w:r>
        <w:t>19.3相关资料不符合19.2款要求的，评标委员会有权认定为投标技术方案不合格响应，其相关分数予以扣减或作废标处理。</w:t>
      </w:r>
    </w:p>
    <w:p>
      <w:pPr>
        <w:tabs>
          <w:tab w:val="clear" w:pos="426"/>
        </w:tabs>
        <w:rPr>
          <w:rFonts w:hint="eastAsia"/>
        </w:rPr>
      </w:pPr>
      <w:r>
        <w:t>19.4评标委员会有权对以谋取中标为目的的技术规格模糊响应（如有意照搬照抄招标文件的技术要求）或虚假响应予以认定。供应商上述行为一经发现或查实，除扣分或废标外，采购代理机构可视情况报相关监督管理部门做进一步处理。</w:t>
      </w:r>
    </w:p>
    <w:p>
      <w:pPr>
        <w:tabs>
          <w:tab w:val="clear" w:pos="426"/>
        </w:tabs>
        <w:rPr>
          <w:rFonts w:hint="eastAsia"/>
        </w:rPr>
      </w:pPr>
      <w:r>
        <w:t>19.5投标供应商在阐述上述第18.2时应注意采购单位在技术规格中指出的工艺、材料和</w:t>
      </w:r>
      <w:r>
        <w:rPr>
          <w:rFonts w:hint="eastAsia"/>
        </w:rPr>
        <w:t>设备</w:t>
      </w:r>
      <w:r>
        <w:t>的标准以及参照的牌号或分类号仅起说明作用，并没有任何限制性。投标供应商在投标中可以选用替代标准、牌号或分类号，但这些替代要实质上满足招标文件中技术规格的要求，是否满足要求，由评标委员会来评判。</w:t>
      </w:r>
    </w:p>
    <w:p>
      <w:pPr>
        <w:tabs>
          <w:tab w:val="clear" w:pos="426"/>
        </w:tabs>
        <w:rPr>
          <w:rFonts w:hint="eastAsia"/>
        </w:rPr>
      </w:pPr>
      <w:r>
        <w:t>19.6为保证公平公正，除非另有规定或说明，投标供应商对同一货物或服务投标时，不得同时提供两套或两套以上的投标方案。</w:t>
      </w:r>
    </w:p>
    <w:p>
      <w:pPr>
        <w:tabs>
          <w:tab w:val="clear" w:pos="426"/>
        </w:tabs>
        <w:rPr>
          <w:rFonts w:hint="eastAsia"/>
        </w:rPr>
      </w:pPr>
      <w:r>
        <w:t>20．投标文件其他证明文件的要求</w:t>
      </w:r>
    </w:p>
    <w:p>
      <w:pPr>
        <w:tabs>
          <w:tab w:val="clear" w:pos="426"/>
        </w:tabs>
        <w:rPr>
          <w:rFonts w:hint="eastAsia"/>
        </w:rPr>
      </w:pPr>
      <w:r>
        <w:t>20.1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pPr>
        <w:tabs>
          <w:tab w:val="clear" w:pos="426"/>
        </w:tabs>
        <w:rPr>
          <w:rFonts w:hint="eastAsia"/>
        </w:rPr>
      </w:pPr>
      <w:r>
        <w:t>20.2本项目涉及提供的有关资质证书，若原有资质证书处于年审期间，投标供应商提供年审证明的可按原资质投标；若投标供应商正在申报上一级别资质，在未获批准之前，仍按原级别资质投标。</w:t>
      </w:r>
    </w:p>
    <w:p>
      <w:pPr>
        <w:tabs>
          <w:tab w:val="clear" w:pos="426"/>
        </w:tabs>
        <w:rPr>
          <w:rFonts w:hint="eastAsia"/>
        </w:rPr>
      </w:pPr>
      <w:r>
        <w:t>21．投标有效期</w:t>
      </w:r>
    </w:p>
    <w:p>
      <w:pPr>
        <w:tabs>
          <w:tab w:val="clear" w:pos="426"/>
        </w:tabs>
        <w:rPr>
          <w:rFonts w:hint="eastAsia"/>
        </w:rPr>
      </w:pPr>
      <w:r>
        <w:t xml:space="preserve">21.1 </w:t>
      </w:r>
      <w:r>
        <w:rPr>
          <w:rFonts w:hint="eastAsia"/>
        </w:rPr>
        <w:t>投标有效期为从投标截止之日算起的日历天数，具体见专用条款中投标有效期的天数要求。在此期限内，所有投标文件均保持有效；</w:t>
      </w:r>
    </w:p>
    <w:p>
      <w:pPr>
        <w:tabs>
          <w:tab w:val="clear" w:pos="426"/>
        </w:tabs>
        <w:rPr>
          <w:rFonts w:hint="eastAsia"/>
        </w:rPr>
      </w:pPr>
      <w:r>
        <w:t xml:space="preserve">21.2 </w:t>
      </w:r>
      <w:r>
        <w:rPr>
          <w:rFonts w:hint="eastAsia"/>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t>22条关于投标保证金的退还与没收的规定仍然适用；</w:t>
      </w:r>
    </w:p>
    <w:p>
      <w:pPr>
        <w:tabs>
          <w:tab w:val="clear" w:pos="426"/>
        </w:tabs>
        <w:rPr>
          <w:rFonts w:hint="eastAsia"/>
        </w:rPr>
      </w:pPr>
      <w:r>
        <w:t>21.3 中标单位的投标书有效期，截止于完成本招标文件规定的全部项目内容，并通过竣工验收及保修结束。</w:t>
      </w:r>
    </w:p>
    <w:p>
      <w:pPr>
        <w:tabs>
          <w:tab w:val="clear" w:pos="426"/>
        </w:tabs>
        <w:rPr>
          <w:rFonts w:hint="eastAsia"/>
        </w:rPr>
      </w:pPr>
      <w:r>
        <w:t>22．投标保证金</w:t>
      </w:r>
    </w:p>
    <w:p>
      <w:pPr>
        <w:tabs>
          <w:tab w:val="clear" w:pos="426"/>
        </w:tabs>
        <w:rPr>
          <w:rFonts w:hint="eastAsia"/>
        </w:rPr>
      </w:pPr>
      <w:r>
        <w:t>22.1投标保证金的缴纳：</w:t>
      </w:r>
      <w:r>
        <w:rPr>
          <w:rFonts w:hint="eastAsia"/>
          <w:b/>
        </w:rPr>
        <w:t>（本项目不适用）</w:t>
      </w:r>
    </w:p>
    <w:p>
      <w:pPr>
        <w:tabs>
          <w:tab w:val="clear" w:pos="426"/>
        </w:tabs>
        <w:rPr>
          <w:rFonts w:hint="eastAsia"/>
        </w:rPr>
      </w:pPr>
      <w:r>
        <w:t>22.1.1缴纳投标保证金的方式：参与投标前须缴纳</w:t>
      </w:r>
      <w:r>
        <w:rPr>
          <w:rFonts w:hint="eastAsia"/>
        </w:rPr>
        <w:t>/</w:t>
      </w:r>
      <w:r>
        <w:t>万元保证金，落标或中标项目完成后返还，参与投标前未缴纳的，其投标将不予受理。</w:t>
      </w:r>
    </w:p>
    <w:p>
      <w:pPr>
        <w:tabs>
          <w:tab w:val="clear" w:pos="426"/>
        </w:tabs>
        <w:rPr>
          <w:rFonts w:hint="eastAsia"/>
        </w:rPr>
      </w:pPr>
      <w:r>
        <w:t xml:space="preserve">22.1.2 </w:t>
      </w:r>
      <w:r>
        <w:rPr>
          <w:rFonts w:hint="eastAsia"/>
        </w:rPr>
        <w:t>若为重大项目，采购代理机构可自行决定另外收取投标保证金，不受</w:t>
      </w:r>
      <w:r>
        <w:t>22.1.1款限制。是否另外收取投标保证金，请见本招标文件专用条款《对通用条款的补充内容》中的相关要求。</w:t>
      </w:r>
    </w:p>
    <w:p>
      <w:pPr>
        <w:tabs>
          <w:tab w:val="clear" w:pos="426"/>
        </w:tabs>
        <w:rPr>
          <w:rFonts w:hint="eastAsia"/>
          <w:szCs w:val="21"/>
        </w:rPr>
      </w:pPr>
      <w:r>
        <w:rPr>
          <w:szCs w:val="21"/>
        </w:rPr>
        <w:t>22.2</w:t>
      </w:r>
      <w:r>
        <w:rPr>
          <w:rFonts w:hint="eastAsia"/>
        </w:rPr>
        <w:t>投标保证金是为了保护采购代理机构和采购单位免因投标供应商的行为而蒙受损失。采购代理机构和采购单位因投标供应商的行为受到损害时可根据本通用条款第</w:t>
      </w:r>
      <w:r>
        <w:rPr>
          <w:szCs w:val="21"/>
        </w:rPr>
        <w:t>22.3款</w:t>
      </w:r>
      <w:r>
        <w:rPr>
          <w:rFonts w:hint="eastAsia"/>
        </w:rPr>
        <w:t>的规定没收投标供应商的投标保证金。</w:t>
      </w:r>
    </w:p>
    <w:p>
      <w:pPr>
        <w:tabs>
          <w:tab w:val="clear" w:pos="426"/>
        </w:tabs>
        <w:rPr>
          <w:rFonts w:hint="eastAsia"/>
        </w:rPr>
      </w:pPr>
      <w:r>
        <w:t>22.3如下列任何情况发生时，投标保证金将被没收。</w:t>
      </w:r>
    </w:p>
    <w:p>
      <w:pPr>
        <w:tabs>
          <w:tab w:val="clear" w:pos="426"/>
        </w:tabs>
        <w:rPr>
          <w:rFonts w:hint="eastAsia"/>
        </w:rPr>
      </w:pPr>
      <w:r>
        <w:t>1）投标供应商在招标文件中规定的投标有效期内撤回其投标；</w:t>
      </w:r>
    </w:p>
    <w:p>
      <w:pPr>
        <w:tabs>
          <w:tab w:val="clear" w:pos="426"/>
        </w:tabs>
        <w:rPr>
          <w:rFonts w:hint="eastAsia"/>
        </w:rPr>
      </w:pPr>
      <w:r>
        <w:t>2）中标供应商在规定期限内未能根据本项通用条款第47条规定签订合同；</w:t>
      </w:r>
    </w:p>
    <w:p>
      <w:pPr>
        <w:tabs>
          <w:tab w:val="clear" w:pos="426"/>
        </w:tabs>
        <w:rPr>
          <w:rFonts w:hint="eastAsia"/>
        </w:rPr>
      </w:pPr>
      <w:r>
        <w:t>3）投标供应商提供虚假投标文件或虚假补充文件：</w:t>
      </w:r>
    </w:p>
    <w:p>
      <w:pPr>
        <w:tabs>
          <w:tab w:val="clear" w:pos="426"/>
        </w:tabs>
        <w:rPr>
          <w:rFonts w:hint="eastAsia"/>
        </w:rPr>
      </w:pPr>
      <w:r>
        <w:t>4）投标供应商以谋取中标为目的的技术规格模糊响应（如有意照搬照抄招标文件的技术要求）或虚假响应的；</w:t>
      </w:r>
    </w:p>
    <w:p>
      <w:pPr>
        <w:tabs>
          <w:tab w:val="clear" w:pos="426"/>
        </w:tabs>
        <w:rPr>
          <w:rFonts w:hint="eastAsia"/>
        </w:rPr>
      </w:pPr>
      <w:r>
        <w:t>5）投标供应商质疑投诉提供虚假情况。</w:t>
      </w:r>
    </w:p>
    <w:p>
      <w:pPr>
        <w:tabs>
          <w:tab w:val="clear" w:pos="426"/>
        </w:tabs>
        <w:rPr>
          <w:rFonts w:hint="eastAsia"/>
        </w:rPr>
      </w:pPr>
      <w:r>
        <w:t>22.4</w:t>
      </w:r>
      <w:r>
        <w:rPr>
          <w:rFonts w:hint="eastAsia"/>
        </w:rPr>
        <w:t>不再收取</w:t>
      </w:r>
      <w:r>
        <w:t>投标保证金</w:t>
      </w:r>
      <w:r>
        <w:rPr>
          <w:rFonts w:hint="eastAsia"/>
        </w:rPr>
        <w:t>。</w:t>
      </w:r>
    </w:p>
    <w:p>
      <w:pPr>
        <w:tabs>
          <w:tab w:val="clear" w:pos="426"/>
        </w:tabs>
        <w:rPr>
          <w:rFonts w:hint="eastAsia"/>
        </w:rPr>
      </w:pPr>
      <w:r>
        <w:t>23．投标供应商的替代方案</w:t>
      </w:r>
    </w:p>
    <w:p>
      <w:pPr>
        <w:tabs>
          <w:tab w:val="clear" w:pos="426"/>
        </w:tabs>
        <w:rPr>
          <w:rFonts w:hint="eastAsia"/>
        </w:rPr>
      </w:pPr>
      <w:r>
        <w:t>23.1投标供应商所提交的投标文件应完全满足招标文件（包括图纸和技术规范所示的基本技术设计）的要求。除非招标的项目明确允许投标供应商提交替代方案，否则投标供应商有关替代方案的条款将不予考虑。</w:t>
      </w:r>
    </w:p>
    <w:p>
      <w:pPr>
        <w:tabs>
          <w:tab w:val="clear" w:pos="426"/>
        </w:tabs>
        <w:rPr>
          <w:rFonts w:hint="eastAsia"/>
          <w:bCs/>
          <w:sz w:val="30"/>
          <w:szCs w:val="30"/>
        </w:rPr>
      </w:pPr>
      <w:r>
        <w:t xml:space="preserve">23.2 </w:t>
      </w:r>
      <w:r>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tabs>
          <w:tab w:val="clear" w:pos="426"/>
        </w:tabs>
        <w:rPr>
          <w:rFonts w:hint="eastAsia"/>
        </w:rPr>
      </w:pPr>
      <w:r>
        <w:t xml:space="preserve">24． </w:t>
      </w:r>
      <w:r>
        <w:rPr>
          <w:rFonts w:hint="eastAsia"/>
        </w:rPr>
        <w:t>投标文件的密封、标记和装订</w:t>
      </w:r>
    </w:p>
    <w:p>
      <w:pPr>
        <w:widowControl w:val="0"/>
        <w:shd w:val="clear" w:color="auto" w:fill="auto"/>
        <w:tabs>
          <w:tab w:val="clear" w:pos="426"/>
        </w:tabs>
        <w:autoSpaceDE w:val="0"/>
        <w:autoSpaceDN w:val="0"/>
        <w:rPr>
          <w:rFonts w:hint="eastAsia" w:cs="黑体"/>
          <w:bCs/>
          <w:szCs w:val="21"/>
        </w:rPr>
      </w:pPr>
      <w:r>
        <w:t xml:space="preserve">24.1 </w:t>
      </w:r>
      <w:r>
        <w:rPr>
          <w:rFonts w:hint="eastAsia" w:cs="黑体"/>
          <w:bCs/>
          <w:szCs w:val="21"/>
        </w:rPr>
        <w:t>为方便开标唱标，投标供应商应单独提交一个密封信封，并在信封上标明“开标信封”的字样，内容包括开标一览表</w:t>
      </w:r>
      <w:r>
        <w:rPr>
          <w:rFonts w:cs="黑体"/>
          <w:bCs/>
          <w:szCs w:val="21"/>
        </w:rPr>
        <w:t>(报价表)、法定代表人证明书或法定代表人授权委托书、</w:t>
      </w:r>
      <w:r>
        <w:rPr>
          <w:rFonts w:hint="eastAsia"/>
          <w:szCs w:val="21"/>
        </w:rPr>
        <w:t>投标文件电子光盘</w:t>
      </w:r>
      <w:r>
        <w:rPr>
          <w:rFonts w:hint="eastAsia" w:cs="黑体"/>
          <w:bCs/>
          <w:szCs w:val="21"/>
        </w:rPr>
        <w:t>，若本项目（或包组）接受联合体投标，则联合体投标，应将各方共同签署的《联合投标协议》和《投标联合体授权主体方协议书》一并提交。开标信封是投标文件的组成部分。</w:t>
      </w:r>
    </w:p>
    <w:p>
      <w:pPr>
        <w:tabs>
          <w:tab w:val="clear" w:pos="426"/>
        </w:tabs>
        <w:rPr>
          <w:rFonts w:hint="eastAsia"/>
          <w:szCs w:val="21"/>
        </w:rPr>
      </w:pPr>
      <w:r>
        <w:t xml:space="preserve">24.2 </w:t>
      </w:r>
      <w:r>
        <w:rPr>
          <w:rFonts w:hint="eastAsia"/>
        </w:rPr>
        <w:t>投标文件为纸质投标文件，</w:t>
      </w:r>
      <w:r>
        <w:rPr>
          <w:rFonts w:hint="eastAsia"/>
          <w:szCs w:val="21"/>
        </w:rPr>
        <w:t>含正本和副本，投标文件应标明项目编号、招标项目名称及“正本”或“副本”。</w:t>
      </w:r>
      <w:r>
        <w:rPr>
          <w:rFonts w:hint="eastAsia"/>
        </w:rPr>
        <w:t>投标文件的所有内容应按</w:t>
      </w:r>
      <w:r>
        <w:t>A4篇幅装订成一册，装订应牢固不可拆卸。装订好的投标文件密封包装在一个外密封袋中，并在外密封袋上注明：</w:t>
      </w:r>
    </w:p>
    <w:p>
      <w:pPr>
        <w:tabs>
          <w:tab w:val="clear" w:pos="426"/>
        </w:tabs>
        <w:rPr>
          <w:rFonts w:hint="eastAsia"/>
        </w:rPr>
      </w:pPr>
      <w:r>
        <w:rPr>
          <w:rFonts w:hint="eastAsia"/>
        </w:rPr>
        <w:t>投标文件</w:t>
      </w:r>
    </w:p>
    <w:p>
      <w:pPr>
        <w:tabs>
          <w:tab w:val="clear" w:pos="426"/>
        </w:tabs>
        <w:rPr>
          <w:rFonts w:hint="eastAsia"/>
        </w:rPr>
      </w:pPr>
      <w:r>
        <w:rPr>
          <w:rFonts w:hint="eastAsia"/>
        </w:rPr>
        <w:t>项目编号：</w:t>
      </w:r>
    </w:p>
    <w:p>
      <w:pPr>
        <w:tabs>
          <w:tab w:val="clear" w:pos="426"/>
        </w:tabs>
        <w:rPr>
          <w:rFonts w:hint="eastAsia"/>
        </w:rPr>
      </w:pPr>
      <w:r>
        <w:rPr>
          <w:rFonts w:hint="eastAsia"/>
        </w:rPr>
        <w:t>项目名称：</w:t>
      </w:r>
    </w:p>
    <w:p>
      <w:pPr>
        <w:tabs>
          <w:tab w:val="clear" w:pos="426"/>
        </w:tabs>
        <w:rPr>
          <w:rFonts w:hint="eastAsia"/>
        </w:rPr>
      </w:pPr>
      <w:r>
        <w:rPr>
          <w:rFonts w:hint="eastAsia"/>
        </w:rPr>
        <w:t>投标供应商名称（盖章）：</w:t>
      </w:r>
    </w:p>
    <w:p>
      <w:pPr>
        <w:tabs>
          <w:tab w:val="clear" w:pos="426"/>
        </w:tabs>
        <w:rPr>
          <w:rFonts w:hint="eastAsia"/>
        </w:rPr>
      </w:pPr>
      <w:r>
        <w:rPr>
          <w:rFonts w:hint="eastAsia"/>
        </w:rPr>
        <w:t>投标截止时间：</w:t>
      </w:r>
      <w:r>
        <w:rPr>
          <w:u w:val="single"/>
        </w:rPr>
        <w:t>_______年______月______日______时______分（前不得开封）</w:t>
      </w:r>
      <w:r>
        <w:rPr>
          <w:rFonts w:hint="eastAsia"/>
        </w:rPr>
        <w:t>。</w:t>
      </w:r>
    </w:p>
    <w:p>
      <w:pPr>
        <w:tabs>
          <w:tab w:val="clear" w:pos="426"/>
        </w:tabs>
        <w:rPr>
          <w:rFonts w:hint="eastAsia"/>
        </w:rPr>
      </w:pPr>
      <w:r>
        <w:t xml:space="preserve">24.3  </w:t>
      </w:r>
      <w:r>
        <w:rPr>
          <w:rFonts w:hint="eastAsia"/>
        </w:rPr>
        <w:t>所有投标文件的密封袋的封口处均应加盖投标供应商公章。</w:t>
      </w:r>
    </w:p>
    <w:p>
      <w:pPr>
        <w:tabs>
          <w:tab w:val="clear" w:pos="426"/>
        </w:tabs>
        <w:rPr>
          <w:rFonts w:hint="eastAsia"/>
        </w:rPr>
      </w:pPr>
      <w:r>
        <w:t xml:space="preserve">24.4  </w:t>
      </w:r>
      <w:r>
        <w:rPr>
          <w:rFonts w:hint="eastAsia"/>
        </w:rPr>
        <w:t>对于因标书标识不清、装订不牢、密封不严等导致的不利后果由该投标供应商自负。</w:t>
      </w:r>
    </w:p>
    <w:p>
      <w:pPr>
        <w:tabs>
          <w:tab w:val="clear" w:pos="426"/>
        </w:tabs>
        <w:rPr>
          <w:rFonts w:hint="eastAsia"/>
          <w:szCs w:val="21"/>
        </w:rPr>
      </w:pPr>
      <w:r>
        <w:rPr>
          <w:szCs w:val="21"/>
        </w:rPr>
        <w:t xml:space="preserve">24.5  </w:t>
      </w:r>
      <w:r>
        <w:rPr>
          <w:rFonts w:hint="eastAsia"/>
          <w:szCs w:val="21"/>
        </w:rPr>
        <w:t>投标方应将投标文件按</w:t>
      </w:r>
      <w:r>
        <w:rPr>
          <w:szCs w:val="21"/>
        </w:rPr>
        <w:t>24.1-24.2中的规定进行密封和标记后，按专用条款中采购公告注明的地址送至招标机构。</w:t>
      </w:r>
    </w:p>
    <w:p>
      <w:pPr>
        <w:tabs>
          <w:tab w:val="clear" w:pos="426"/>
        </w:tabs>
        <w:rPr>
          <w:rFonts w:hint="eastAsia"/>
          <w:szCs w:val="21"/>
        </w:rPr>
      </w:pPr>
      <w:r>
        <w:rPr>
          <w:szCs w:val="21"/>
        </w:rPr>
        <w:t xml:space="preserve">24.6  </w:t>
      </w:r>
      <w:r>
        <w:rPr>
          <w:rFonts w:hint="eastAsia"/>
          <w:szCs w:val="21"/>
        </w:rPr>
        <w:t>邮寄、电报、电话、传真形式的投标概不接受。</w:t>
      </w:r>
    </w:p>
    <w:p>
      <w:pPr>
        <w:tabs>
          <w:tab w:val="clear" w:pos="426"/>
        </w:tabs>
        <w:rPr>
          <w:rFonts w:hint="eastAsia"/>
          <w:b/>
          <w:szCs w:val="21"/>
        </w:rPr>
      </w:pPr>
      <w:r>
        <w:rPr>
          <w:b/>
          <w:szCs w:val="21"/>
        </w:rPr>
        <w:t xml:space="preserve">24.7  </w:t>
      </w:r>
      <w:r>
        <w:rPr>
          <w:rFonts w:hint="eastAsia"/>
          <w:b/>
          <w:bCs/>
          <w:szCs w:val="21"/>
        </w:rPr>
        <w:t>投标文件电子版：电子光盘一张或U盘一个（WORD及投标文件正本盖章后的彩色复印件，复印件要求为</w:t>
      </w:r>
      <w:r>
        <w:rPr>
          <w:b/>
          <w:bCs/>
          <w:szCs w:val="21"/>
        </w:rPr>
        <w:t>PDF格式），请将该光盘放在开标信封中，并在光盘上标明项目编号、项目名称及投标供应商名称。</w:t>
      </w:r>
    </w:p>
    <w:p>
      <w:pPr>
        <w:tabs>
          <w:tab w:val="clear" w:pos="426"/>
        </w:tabs>
        <w:rPr>
          <w:rFonts w:hint="eastAsia"/>
          <w:szCs w:val="21"/>
        </w:rPr>
      </w:pPr>
      <w:r>
        <w:rPr>
          <w:szCs w:val="21"/>
        </w:rPr>
        <w:t xml:space="preserve">25． </w:t>
      </w:r>
      <w:r>
        <w:rPr>
          <w:rFonts w:hint="eastAsia"/>
          <w:szCs w:val="21"/>
        </w:rPr>
        <w:t>投标截止时间</w:t>
      </w:r>
    </w:p>
    <w:p>
      <w:pPr>
        <w:tabs>
          <w:tab w:val="clear" w:pos="426"/>
        </w:tabs>
        <w:rPr>
          <w:rFonts w:hint="eastAsia"/>
          <w:szCs w:val="21"/>
        </w:rPr>
      </w:pPr>
      <w:r>
        <w:rPr>
          <w:rFonts w:hint="eastAsia"/>
          <w:szCs w:val="21"/>
        </w:rPr>
        <w:t>招标机构在投标供应商须知第</w:t>
      </w:r>
      <w:r>
        <w:rPr>
          <w:szCs w:val="21"/>
        </w:rPr>
        <w:t>24.5条规定的地址收到投标书的时间不得迟于“投标供应商须知前附表”第19</w:t>
      </w:r>
      <w:r>
        <w:rPr>
          <w:rFonts w:hint="eastAsia"/>
          <w:szCs w:val="21"/>
        </w:rPr>
        <w:t>项所规定的时间。</w:t>
      </w:r>
    </w:p>
    <w:p>
      <w:pPr>
        <w:tabs>
          <w:tab w:val="clear" w:pos="426"/>
        </w:tabs>
        <w:rPr>
          <w:rFonts w:hint="eastAsia"/>
          <w:szCs w:val="21"/>
        </w:rPr>
      </w:pPr>
      <w:r>
        <w:rPr>
          <w:szCs w:val="21"/>
        </w:rPr>
        <w:t>26．迟交的投标书</w:t>
      </w:r>
    </w:p>
    <w:p>
      <w:pPr>
        <w:tabs>
          <w:tab w:val="clear" w:pos="426"/>
        </w:tabs>
        <w:rPr>
          <w:rFonts w:hint="eastAsia"/>
          <w:szCs w:val="21"/>
        </w:rPr>
      </w:pPr>
      <w:r>
        <w:rPr>
          <w:szCs w:val="21"/>
        </w:rPr>
        <w:t xml:space="preserve">    按照本通用条款第25条规定，招标机构将拒绝并原封退回在其规定的投标截止期后收到的任何投标书。</w:t>
      </w:r>
    </w:p>
    <w:p>
      <w:pPr>
        <w:tabs>
          <w:tab w:val="clear" w:pos="426"/>
        </w:tabs>
        <w:rPr>
          <w:rFonts w:hint="eastAsia"/>
        </w:rPr>
      </w:pPr>
      <w:r>
        <w:t xml:space="preserve">27． </w:t>
      </w:r>
      <w:r>
        <w:rPr>
          <w:rFonts w:hint="eastAsia"/>
        </w:rPr>
        <w:t>投标文件的提交和截标时投标文件的数量要求</w:t>
      </w:r>
    </w:p>
    <w:p>
      <w:pPr>
        <w:tabs>
          <w:tab w:val="clear" w:pos="426"/>
        </w:tabs>
        <w:rPr>
          <w:rFonts w:hint="eastAsia"/>
        </w:rPr>
      </w:pPr>
      <w:r>
        <w:t xml:space="preserve">27.1  </w:t>
      </w:r>
      <w:r>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pPr>
        <w:tabs>
          <w:tab w:val="clear" w:pos="426"/>
        </w:tabs>
        <w:rPr>
          <w:rFonts w:hint="eastAsia"/>
        </w:rPr>
      </w:pPr>
      <w:r>
        <w:t>27.2  截标时</w:t>
      </w:r>
      <w:r>
        <w:rPr>
          <w:rFonts w:hint="eastAsia"/>
        </w:rPr>
        <w:t>递</w:t>
      </w:r>
      <w:r>
        <w:t>交标书的投标供应商数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投标供应商</w:t>
      </w:r>
      <w:r>
        <w:rPr>
          <w:rFonts w:hint="eastAsia"/>
        </w:rPr>
        <w:t>造成的损失。</w:t>
      </w:r>
    </w:p>
    <w:p>
      <w:pPr>
        <w:tabs>
          <w:tab w:val="clear" w:pos="426"/>
        </w:tabs>
        <w:rPr>
          <w:rFonts w:hint="eastAsia"/>
        </w:rPr>
      </w:pPr>
      <w:r>
        <w:t xml:space="preserve">28．  </w:t>
      </w:r>
      <w:r>
        <w:rPr>
          <w:rFonts w:hint="eastAsia"/>
        </w:rPr>
        <w:t>投标文件的修改或撤回</w:t>
      </w:r>
    </w:p>
    <w:p>
      <w:pPr>
        <w:tabs>
          <w:tab w:val="clear" w:pos="426"/>
        </w:tabs>
        <w:rPr>
          <w:rFonts w:hint="eastAsia"/>
        </w:rPr>
      </w:pPr>
      <w:r>
        <w:t xml:space="preserve">28.1  </w:t>
      </w:r>
      <w:r>
        <w:rPr>
          <w:rFonts w:hint="eastAsia"/>
        </w:rPr>
        <w:t>投标供应商已提交投标文件，规定的投标</w:t>
      </w:r>
      <w:r>
        <w:t>截止</w:t>
      </w:r>
      <w:r>
        <w:rPr>
          <w:rFonts w:hint="eastAsia"/>
        </w:rPr>
        <w:t>时间还未到，投标供应商可提出对其投标文件的修改或撤回。投标供应商须提交由投标供应商代表签名的修改或撤回的书面通知。</w:t>
      </w:r>
    </w:p>
    <w:p>
      <w:pPr>
        <w:tabs>
          <w:tab w:val="clear" w:pos="426"/>
        </w:tabs>
        <w:rPr>
          <w:rFonts w:hint="eastAsia"/>
        </w:rPr>
      </w:pPr>
      <w:r>
        <w:t xml:space="preserve">28.2  </w:t>
      </w:r>
      <w:r>
        <w:rPr>
          <w:rFonts w:hint="eastAsia"/>
        </w:rPr>
        <w:t>采购代理机构收到由投标供应商代表签名的修改或撤回的书面通知并确认后，投标供应商可对其投标文件进行修改，或是撤回其投标。</w:t>
      </w:r>
    </w:p>
    <w:p>
      <w:pPr>
        <w:tabs>
          <w:tab w:val="clear" w:pos="426"/>
        </w:tabs>
        <w:rPr>
          <w:rFonts w:hint="eastAsia"/>
        </w:rPr>
      </w:pPr>
      <w:r>
        <w:t xml:space="preserve">28.3  </w:t>
      </w:r>
      <w:r>
        <w:rPr>
          <w:rFonts w:hint="eastAsia"/>
        </w:rPr>
        <w:t>投标供应商的修改文件应按照本招标文件的规定进行编制、密封、标记和提交，并在密封袋上注明“投标修改”。</w:t>
      </w:r>
    </w:p>
    <w:p>
      <w:pPr>
        <w:tabs>
          <w:tab w:val="clear" w:pos="426"/>
        </w:tabs>
        <w:rPr>
          <w:rFonts w:hint="eastAsia"/>
        </w:rPr>
      </w:pPr>
      <w:r>
        <w:t xml:space="preserve">28.4  </w:t>
      </w:r>
      <w:r>
        <w:rPr>
          <w:rFonts w:hint="eastAsia"/>
        </w:rPr>
        <w:t>投标截止时间之后至投标文件有效期终止之前，投标供应商不得要求撤回其投标。在此期间撤回投标的，其投标担保将会被没收。</w:t>
      </w:r>
    </w:p>
    <w:p>
      <w:pPr>
        <w:tabs>
          <w:tab w:val="clear" w:pos="426"/>
        </w:tabs>
        <w:rPr>
          <w:rFonts w:hint="eastAsia"/>
        </w:rPr>
      </w:pPr>
      <w:r>
        <w:t xml:space="preserve">28.5  </w:t>
      </w:r>
      <w:r>
        <w:rPr>
          <w:rFonts w:hint="eastAsia"/>
        </w:rPr>
        <w:t>评标结束后，不论中标与否，投标供应商均不得收回投标文件。</w:t>
      </w:r>
    </w:p>
    <w:p>
      <w:pPr>
        <w:pStyle w:val="5"/>
        <w:tabs>
          <w:tab w:val="clear" w:pos="426"/>
        </w:tabs>
        <w:rPr>
          <w:rFonts w:hint="eastAsia"/>
        </w:rPr>
      </w:pPr>
      <w:bookmarkStart w:id="172" w:name="_Toc14427257"/>
      <w:bookmarkStart w:id="173" w:name="_Toc530152525"/>
      <w:bookmarkStart w:id="174" w:name="_Toc529280584"/>
      <w:bookmarkStart w:id="175" w:name="_Toc18415"/>
      <w:r>
        <w:rPr>
          <w:rFonts w:hint="eastAsia"/>
        </w:rPr>
        <w:t>第四章 开标</w:t>
      </w:r>
      <w:bookmarkEnd w:id="172"/>
      <w:bookmarkEnd w:id="173"/>
      <w:bookmarkEnd w:id="174"/>
      <w:bookmarkEnd w:id="175"/>
    </w:p>
    <w:p>
      <w:pPr>
        <w:tabs>
          <w:tab w:val="clear" w:pos="426"/>
        </w:tabs>
        <w:rPr>
          <w:rFonts w:hint="eastAsia"/>
        </w:rPr>
      </w:pPr>
      <w:r>
        <w:t>29．　开标</w:t>
      </w:r>
    </w:p>
    <w:p>
      <w:pPr>
        <w:tabs>
          <w:tab w:val="clear" w:pos="426"/>
        </w:tabs>
        <w:rPr>
          <w:rFonts w:hint="eastAsia"/>
        </w:rPr>
      </w:pPr>
      <w:r>
        <w:t xml:space="preserve">29.1  </w:t>
      </w:r>
      <w:r>
        <w:rPr>
          <w:rFonts w:hint="eastAsia"/>
        </w:rPr>
        <w:t>采购人在“投标须知前附表”中规定的时间、地点组织公开开标。邀请所有投标供应商代表参加。不参加开标会的投标供应商，视为其认可开标程序和结果。</w:t>
      </w:r>
    </w:p>
    <w:p>
      <w:pPr>
        <w:tabs>
          <w:tab w:val="clear" w:pos="426"/>
        </w:tabs>
        <w:rPr>
          <w:rFonts w:hint="eastAsia"/>
        </w:rPr>
      </w:pPr>
      <w:r>
        <w:t xml:space="preserve">29.2  </w:t>
      </w:r>
      <w:r>
        <w:rPr>
          <w:rFonts w:hint="eastAsia"/>
        </w:rPr>
        <w:t>参加开标会议的投标供应商只委派一名代表，且必须是本单位法定代表人或授权代表，参加会议人员须提供相应的授权委托书。</w:t>
      </w:r>
    </w:p>
    <w:p>
      <w:pPr>
        <w:tabs>
          <w:tab w:val="clear" w:pos="426"/>
        </w:tabs>
        <w:rPr>
          <w:rFonts w:hint="eastAsia"/>
        </w:rPr>
      </w:pPr>
      <w:r>
        <w:t xml:space="preserve">29.3  </w:t>
      </w:r>
      <w:r>
        <w:rPr>
          <w:rFonts w:hint="eastAsia"/>
        </w:rPr>
        <w:t>开标会由采购代理机构主持，开标程序如下：</w:t>
      </w:r>
    </w:p>
    <w:p>
      <w:pPr>
        <w:tabs>
          <w:tab w:val="clear" w:pos="426"/>
        </w:tabs>
        <w:rPr>
          <w:rFonts w:hint="eastAsia"/>
        </w:rPr>
      </w:pPr>
      <w:r>
        <w:t xml:space="preserve">29.3.1  采购代理机构核对法人代表或其授权代表身份证明，若不能提供相应的身份证明或不相符，则不能参与开标会议； </w:t>
      </w:r>
    </w:p>
    <w:p>
      <w:pPr>
        <w:tabs>
          <w:tab w:val="clear" w:pos="426"/>
        </w:tabs>
        <w:rPr>
          <w:rFonts w:hint="eastAsia"/>
          <w:szCs w:val="21"/>
        </w:rPr>
      </w:pPr>
      <w:r>
        <w:rPr>
          <w:szCs w:val="21"/>
        </w:rPr>
        <w:t xml:space="preserve">29.3.2  </w:t>
      </w:r>
      <w:r>
        <w:rPr>
          <w:rFonts w:hint="eastAsia"/>
          <w:szCs w:val="21"/>
        </w:rPr>
        <w:t>招标机构将按“采购公告”规定的时间和地点组织公开开标。投标供应商应委派代表参加，参加开标的代表应签名报到以证明出席。</w:t>
      </w:r>
    </w:p>
    <w:p>
      <w:pPr>
        <w:tabs>
          <w:tab w:val="clear" w:pos="426"/>
        </w:tabs>
        <w:rPr>
          <w:rFonts w:hint="eastAsia"/>
          <w:szCs w:val="21"/>
        </w:rPr>
      </w:pPr>
      <w:r>
        <w:rPr>
          <w:szCs w:val="21"/>
        </w:rPr>
        <w:t xml:space="preserve">29.3.3  </w:t>
      </w:r>
      <w:r>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rFonts w:hint="eastAsia"/>
          <w:szCs w:val="21"/>
        </w:rPr>
      </w:pPr>
      <w:r>
        <w:rPr>
          <w:rFonts w:hint="eastAsia"/>
          <w:szCs w:val="21"/>
        </w:rPr>
        <w:t>除了按照本通用条款第</w:t>
      </w:r>
      <w:r>
        <w:rPr>
          <w:szCs w:val="21"/>
        </w:rPr>
        <w:t>26条规定原封退回的投标之外，开标时将不得拒绝任何投标书。</w:t>
      </w:r>
    </w:p>
    <w:p>
      <w:pPr>
        <w:tabs>
          <w:tab w:val="clear" w:pos="426"/>
        </w:tabs>
        <w:rPr>
          <w:rFonts w:hint="eastAsia"/>
          <w:szCs w:val="21"/>
        </w:rPr>
      </w:pPr>
      <w:r>
        <w:rPr>
          <w:szCs w:val="21"/>
        </w:rPr>
        <w:t xml:space="preserve">29.3.4  </w:t>
      </w:r>
      <w:r>
        <w:rPr>
          <w:rFonts w:hint="eastAsia"/>
          <w:szCs w:val="21"/>
        </w:rPr>
        <w:t>开标时，招标机构仅拆封开标信封。如投标供应商未单独密封包装开标信封，招标机构有权拆封投标文件。</w:t>
      </w:r>
    </w:p>
    <w:p>
      <w:pPr>
        <w:tabs>
          <w:tab w:val="clear" w:pos="426"/>
        </w:tabs>
        <w:rPr>
          <w:rFonts w:hint="eastAsia"/>
          <w:szCs w:val="21"/>
        </w:rPr>
      </w:pPr>
      <w:r>
        <w:rPr>
          <w:szCs w:val="21"/>
        </w:rPr>
        <w:t xml:space="preserve">29.3.5  </w:t>
      </w:r>
      <w:r>
        <w:rPr>
          <w:rFonts w:hint="eastAsia"/>
          <w:szCs w:val="21"/>
        </w:rPr>
        <w:t>按照投标供应商须知第</w:t>
      </w:r>
      <w:r>
        <w:rPr>
          <w:szCs w:val="21"/>
        </w:rPr>
        <w:t>28条规定，提交了可接受的“撤回”通知的投标将不予开封。</w:t>
      </w:r>
    </w:p>
    <w:p>
      <w:pPr>
        <w:tabs>
          <w:tab w:val="clear" w:pos="426"/>
        </w:tabs>
        <w:rPr>
          <w:rFonts w:hint="eastAsia"/>
          <w:szCs w:val="21"/>
        </w:rPr>
      </w:pPr>
      <w:r>
        <w:rPr>
          <w:szCs w:val="21"/>
        </w:rPr>
        <w:t xml:space="preserve">29.3.6  </w:t>
      </w:r>
      <w:r>
        <w:rPr>
          <w:rFonts w:hint="eastAsia"/>
          <w:szCs w:val="21"/>
        </w:rPr>
        <w:t>无论如何在开标时没有启封和读出的投标书在评标时将不予考虑。撤回的投标书将原封退回投标供应商。</w:t>
      </w:r>
    </w:p>
    <w:p>
      <w:pPr>
        <w:tabs>
          <w:tab w:val="clear" w:pos="426"/>
        </w:tabs>
        <w:rPr>
          <w:rFonts w:hint="eastAsia"/>
          <w:szCs w:val="21"/>
        </w:rPr>
      </w:pPr>
      <w:r>
        <w:rPr>
          <w:szCs w:val="21"/>
        </w:rPr>
        <w:t xml:space="preserve">29.3.7  </w:t>
      </w:r>
      <w:r>
        <w:rPr>
          <w:rFonts w:hint="eastAsia"/>
          <w:szCs w:val="21"/>
        </w:rPr>
        <w:t>招标机构将做开标记录，开标记录包括按本通用条款第</w:t>
      </w:r>
      <w:r>
        <w:rPr>
          <w:szCs w:val="21"/>
        </w:rPr>
        <w:t>29.3.3的规定在开标时宣读的全部内容。</w:t>
      </w:r>
    </w:p>
    <w:p>
      <w:pPr>
        <w:tabs>
          <w:tab w:val="clear" w:pos="426"/>
        </w:tabs>
        <w:rPr>
          <w:rFonts w:hint="eastAsia"/>
        </w:rPr>
      </w:pPr>
      <w:r>
        <w:t xml:space="preserve">29.3.8  </w:t>
      </w:r>
      <w:r>
        <w:rPr>
          <w:rFonts w:hint="eastAsia"/>
        </w:rPr>
        <w:t>供应商在开标过程中知道或者应知其权益受到损害时必须现场明确提出，未明确提出的，即视为认可开标结果。</w:t>
      </w:r>
    </w:p>
    <w:p>
      <w:pPr>
        <w:pStyle w:val="5"/>
        <w:tabs>
          <w:tab w:val="clear" w:pos="426"/>
        </w:tabs>
        <w:rPr>
          <w:rFonts w:hint="eastAsia"/>
        </w:rPr>
      </w:pPr>
      <w:bookmarkStart w:id="176" w:name="_Toc530152526"/>
      <w:bookmarkStart w:id="177" w:name="_Toc31833"/>
      <w:bookmarkStart w:id="178" w:name="_Toc14427258"/>
      <w:bookmarkStart w:id="179" w:name="_Toc529280585"/>
      <w:r>
        <w:rPr>
          <w:rFonts w:hint="eastAsia"/>
        </w:rPr>
        <w:t>第五章 评标要求</w:t>
      </w:r>
      <w:bookmarkEnd w:id="176"/>
      <w:bookmarkEnd w:id="177"/>
      <w:bookmarkEnd w:id="178"/>
      <w:bookmarkEnd w:id="179"/>
    </w:p>
    <w:p>
      <w:pPr>
        <w:tabs>
          <w:tab w:val="clear" w:pos="426"/>
        </w:tabs>
        <w:rPr>
          <w:rFonts w:hint="eastAsia"/>
        </w:rPr>
      </w:pPr>
      <w:r>
        <w:t>30．评标委员会组成</w:t>
      </w:r>
    </w:p>
    <w:p>
      <w:pPr>
        <w:tabs>
          <w:tab w:val="clear" w:pos="426"/>
        </w:tabs>
        <w:rPr>
          <w:rFonts w:hint="eastAsia"/>
        </w:rPr>
      </w:pPr>
      <w:r>
        <w:t>30.1开标结束后召开评标会议，评标委员会由采购代理机构依法组建，负责评标活动。</w:t>
      </w:r>
    </w:p>
    <w:p>
      <w:pPr>
        <w:tabs>
          <w:tab w:val="clear" w:pos="426"/>
        </w:tabs>
        <w:rPr>
          <w:rFonts w:hint="eastAsia"/>
        </w:rPr>
      </w:pPr>
      <w:r>
        <w:rPr>
          <w:rFonts w:hint="eastAsia"/>
        </w:rPr>
        <w:t>评标委员会的组成及行为规范执行《中华人民共和国政府采购法》《中华人民共和国政府采购法实施条例》，评标委员会由采购单位代表和有关技术、经济等方面的专家组成，成员人数为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pPr>
        <w:tabs>
          <w:tab w:val="clear" w:pos="426"/>
        </w:tabs>
        <w:rPr>
          <w:rFonts w:hint="eastAsia"/>
        </w:rPr>
      </w:pPr>
      <w:r>
        <w:rPr>
          <w:rFonts w:hint="eastAsia"/>
        </w:rPr>
        <w:t>为保证评委人选的专业性，以及评标中的公平公正性，评标委员会成员从深圳市财政委员会评标专家库中随机抽取。</w:t>
      </w:r>
    </w:p>
    <w:p>
      <w:pPr>
        <w:tabs>
          <w:tab w:val="clear" w:pos="426"/>
        </w:tabs>
        <w:rPr>
          <w:rFonts w:hint="eastAsia"/>
        </w:rPr>
      </w:pPr>
      <w:r>
        <w:rPr>
          <w:rFonts w:hint="eastAsia"/>
        </w:rPr>
        <w:t>采购单位代表须持本单位签发的《评标授权书》参加评标。</w:t>
      </w:r>
    </w:p>
    <w:p>
      <w:pPr>
        <w:tabs>
          <w:tab w:val="clear" w:pos="426"/>
        </w:tabs>
        <w:rPr>
          <w:rFonts w:hint="eastAsia"/>
        </w:rPr>
      </w:pPr>
      <w:r>
        <w:rPr>
          <w:rFonts w:hint="eastAsia"/>
        </w:rPr>
        <w:t>采购单位无代表参与评标，应在开标前一天提交《采购单位不派评委参与项目评标承诺书》给采购代理机构。</w:t>
      </w:r>
    </w:p>
    <w:p>
      <w:pPr>
        <w:tabs>
          <w:tab w:val="clear" w:pos="426"/>
        </w:tabs>
        <w:rPr>
          <w:rFonts w:hint="eastAsia"/>
          <w:sz w:val="24"/>
        </w:rPr>
      </w:pPr>
      <w:r>
        <w:rPr>
          <w:rFonts w:hint="eastAsia"/>
        </w:rPr>
        <w:t>注：《评标授权书》《采购单位不派评委参与项目评标承诺书》模板由采购代理机构提供</w:t>
      </w:r>
      <w:r>
        <w:rPr>
          <w:rFonts w:hint="eastAsia"/>
          <w:sz w:val="24"/>
        </w:rPr>
        <w:t>。</w:t>
      </w:r>
    </w:p>
    <w:p>
      <w:pPr>
        <w:tabs>
          <w:tab w:val="clear" w:pos="426"/>
        </w:tabs>
        <w:rPr>
          <w:rFonts w:hint="eastAsia"/>
        </w:rPr>
      </w:pPr>
      <w:r>
        <w:t>30.2评标定标应当遵循公平、公正、科学、择优的原则。</w:t>
      </w:r>
    </w:p>
    <w:p>
      <w:pPr>
        <w:tabs>
          <w:tab w:val="clear" w:pos="426"/>
        </w:tabs>
        <w:rPr>
          <w:rFonts w:hint="eastAsia"/>
        </w:rPr>
      </w:pPr>
      <w:r>
        <w:t>30.3评标活动依法进行，任何单位和个人不得非法干预评标过程和结果。</w:t>
      </w:r>
    </w:p>
    <w:p>
      <w:pPr>
        <w:tabs>
          <w:tab w:val="clear" w:pos="426"/>
        </w:tabs>
        <w:rPr>
          <w:rFonts w:hint="eastAsia"/>
        </w:rPr>
      </w:pPr>
      <w:r>
        <w:t>30.4评标过程中不允许违背评标程序或采用招标文件未载明的评标方法或评标因素进行评标。</w:t>
      </w:r>
    </w:p>
    <w:p>
      <w:pPr>
        <w:tabs>
          <w:tab w:val="clear" w:pos="426"/>
        </w:tabs>
        <w:rPr>
          <w:rFonts w:hint="eastAsia"/>
        </w:rPr>
      </w:pPr>
      <w:r>
        <w:t xml:space="preserve">30.5 </w:t>
      </w:r>
      <w:r>
        <w:rPr>
          <w:rFonts w:hint="eastAsia"/>
        </w:rPr>
        <w:t>开标后，直到授予中标供应商合同为止，凡属于对投标文件的审查、澄清、评价和比较的有关资料以及中标候选人的推荐情况、与评标有关的其他任何情况均严格保密。</w:t>
      </w:r>
    </w:p>
    <w:p>
      <w:pPr>
        <w:tabs>
          <w:tab w:val="clear" w:pos="426"/>
        </w:tabs>
        <w:rPr>
          <w:rFonts w:hint="eastAsia"/>
        </w:rPr>
      </w:pPr>
      <w:r>
        <w:t>31．向评标委员会提供的资料</w:t>
      </w:r>
    </w:p>
    <w:p>
      <w:pPr>
        <w:tabs>
          <w:tab w:val="clear" w:pos="426"/>
        </w:tabs>
        <w:rPr>
          <w:rFonts w:hint="eastAsia"/>
        </w:rPr>
      </w:pPr>
      <w:r>
        <w:t>31.1公开发布的招标文件，包括图纸、服务清单、答疑文件等；</w:t>
      </w:r>
    </w:p>
    <w:p>
      <w:pPr>
        <w:tabs>
          <w:tab w:val="clear" w:pos="426"/>
        </w:tabs>
        <w:rPr>
          <w:rFonts w:hint="eastAsia"/>
        </w:rPr>
      </w:pPr>
      <w:r>
        <w:t>31.2其他评标必须的资料。</w:t>
      </w:r>
    </w:p>
    <w:p>
      <w:pPr>
        <w:tabs>
          <w:tab w:val="clear" w:pos="426"/>
        </w:tabs>
        <w:rPr>
          <w:rFonts w:hint="eastAsia"/>
        </w:rPr>
      </w:pPr>
      <w:r>
        <w:t>31.3评标委员会应当认真研究招标文件，至少应了解熟悉以下</w:t>
      </w:r>
      <w:r>
        <w:rPr>
          <w:rFonts w:hint="eastAsia"/>
        </w:rPr>
        <w:t>内容：</w:t>
      </w:r>
    </w:p>
    <w:p>
      <w:pPr>
        <w:tabs>
          <w:tab w:val="clear" w:pos="426"/>
        </w:tabs>
        <w:rPr>
          <w:rFonts w:hint="eastAsia"/>
        </w:rPr>
      </w:pPr>
      <w:r>
        <w:rPr>
          <w:rFonts w:hint="eastAsia"/>
        </w:rPr>
        <w:t>（1）招标的目的；</w:t>
      </w:r>
    </w:p>
    <w:p>
      <w:pPr>
        <w:tabs>
          <w:tab w:val="clear" w:pos="426"/>
        </w:tabs>
        <w:rPr>
          <w:rFonts w:hint="eastAsia"/>
        </w:rPr>
      </w:pPr>
      <w:r>
        <w:rPr>
          <w:rFonts w:hint="eastAsia"/>
        </w:rPr>
        <w:t>（2）招标项目需求的范围和性质；</w:t>
      </w:r>
    </w:p>
    <w:p>
      <w:pPr>
        <w:tabs>
          <w:tab w:val="clear" w:pos="426"/>
        </w:tabs>
        <w:rPr>
          <w:rFonts w:hint="eastAsia"/>
        </w:rPr>
      </w:pPr>
      <w:r>
        <w:rPr>
          <w:rFonts w:hint="eastAsia"/>
        </w:rPr>
        <w:t>（3）招标文件规定的投标供应商的资格、财政预算限额、商务条款；</w:t>
      </w:r>
    </w:p>
    <w:p>
      <w:pPr>
        <w:tabs>
          <w:tab w:val="clear" w:pos="426"/>
        </w:tabs>
        <w:rPr>
          <w:rFonts w:hint="eastAsia"/>
        </w:rPr>
      </w:pPr>
      <w:r>
        <w:rPr>
          <w:rFonts w:hint="eastAsia"/>
        </w:rPr>
        <w:t>（4）招标文件规定的评标程序、评标方法和评标因素；</w:t>
      </w:r>
    </w:p>
    <w:p>
      <w:pPr>
        <w:tabs>
          <w:tab w:val="clear" w:pos="426"/>
        </w:tabs>
        <w:rPr>
          <w:rFonts w:hint="eastAsia"/>
        </w:rPr>
      </w:pPr>
      <w:r>
        <w:rPr>
          <w:rFonts w:hint="eastAsia"/>
        </w:rPr>
        <w:t>（5）招标文件所列示的投标文件“资格、符合性评审条款”。</w:t>
      </w:r>
    </w:p>
    <w:p>
      <w:pPr>
        <w:tabs>
          <w:tab w:val="clear" w:pos="426"/>
        </w:tabs>
        <w:rPr>
          <w:rFonts w:hint="eastAsia"/>
        </w:rPr>
      </w:pPr>
      <w:r>
        <w:rPr>
          <w:rFonts w:hint="eastAsia"/>
        </w:rPr>
        <w:t>32．独立评标</w:t>
      </w:r>
    </w:p>
    <w:p>
      <w:pPr>
        <w:tabs>
          <w:tab w:val="clear" w:pos="426"/>
        </w:tabs>
        <w:rPr>
          <w:rFonts w:hint="eastAsia"/>
          <w:szCs w:val="21"/>
        </w:rPr>
      </w:pPr>
      <w:r>
        <w:rPr>
          <w:rFonts w:hint="eastAsia"/>
        </w:rPr>
        <w:t>32.1评标委员会成员的评标活动应当独立进行，并应遵循投标文件初审、澄清有关问题、比较与评价、确定中标候选供应商、编写评标报告的工作程序。</w:t>
      </w:r>
    </w:p>
    <w:p>
      <w:pPr>
        <w:pStyle w:val="5"/>
        <w:tabs>
          <w:tab w:val="clear" w:pos="426"/>
        </w:tabs>
        <w:rPr>
          <w:rFonts w:hint="eastAsia"/>
        </w:rPr>
      </w:pPr>
      <w:bookmarkStart w:id="180" w:name="_Toc529280586"/>
      <w:bookmarkStart w:id="181" w:name="_Toc329"/>
      <w:bookmarkStart w:id="182" w:name="_Toc14427259"/>
      <w:bookmarkStart w:id="183" w:name="_Toc530152527"/>
      <w:r>
        <w:rPr>
          <w:rFonts w:hint="eastAsia"/>
        </w:rPr>
        <w:t>第六章 评标程序及评标方法</w:t>
      </w:r>
      <w:bookmarkEnd w:id="180"/>
      <w:bookmarkEnd w:id="181"/>
      <w:bookmarkEnd w:id="182"/>
      <w:bookmarkEnd w:id="183"/>
    </w:p>
    <w:p>
      <w:pPr>
        <w:tabs>
          <w:tab w:val="clear" w:pos="426"/>
        </w:tabs>
        <w:rPr>
          <w:rFonts w:hint="eastAsia"/>
        </w:rPr>
      </w:pPr>
      <w:r>
        <w:rPr>
          <w:rFonts w:hint="eastAsia"/>
        </w:rPr>
        <w:t>33．投标文件初审</w:t>
      </w:r>
    </w:p>
    <w:p>
      <w:pPr>
        <w:widowControl w:val="0"/>
        <w:shd w:val="clear" w:color="auto" w:fill="auto"/>
        <w:tabs>
          <w:tab w:val="clear" w:pos="426"/>
        </w:tabs>
        <w:autoSpaceDE w:val="0"/>
        <w:autoSpaceDN w:val="0"/>
        <w:rPr>
          <w:rFonts w:hint="eastAsia"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pPr>
        <w:tabs>
          <w:tab w:val="clear" w:pos="426"/>
        </w:tabs>
        <w:rPr>
          <w:rFonts w:hint="eastAsia"/>
          <w:b/>
        </w:rPr>
      </w:pPr>
      <w:r>
        <w:rPr>
          <w:rFonts w:hint="eastAsia"/>
        </w:rPr>
        <w:t>33.2 投标文件初审内容请详见“</w:t>
      </w:r>
      <w:r>
        <w:rPr>
          <w:rFonts w:hint="eastAsia"/>
          <w:b/>
        </w:rPr>
        <w:t>资格、符合性评审条款</w:t>
      </w:r>
      <w:r>
        <w:rPr>
          <w:rFonts w:hint="eastAsia"/>
        </w:rPr>
        <w:t>”。投标供应商若有一条审查不通过则按无效标处理。评标委员会对投标单位打√为通过审查，打×为未通过审查。</w:t>
      </w:r>
    </w:p>
    <w:p>
      <w:pPr>
        <w:tabs>
          <w:tab w:val="clear" w:pos="426"/>
        </w:tabs>
        <w:rPr>
          <w:rFonts w:hint="eastAsia"/>
        </w:rPr>
      </w:pPr>
      <w:r>
        <w:rPr>
          <w:rFonts w:hint="eastAsia"/>
        </w:rPr>
        <w:t>33.3 投标文件初审中关于供应商家数的计算。</w:t>
      </w:r>
    </w:p>
    <w:p>
      <w:pPr>
        <w:tabs>
          <w:tab w:val="clear" w:pos="426"/>
        </w:tabs>
        <w:rPr>
          <w:rFonts w:hint="eastAsia"/>
        </w:rPr>
      </w:pPr>
      <w:r>
        <w:rPr>
          <w:rFonts w:hint="eastAsia"/>
        </w:rPr>
        <w:t>33.3.1 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tabs>
          <w:tab w:val="clear" w:pos="426"/>
        </w:tabs>
        <w:rPr>
          <w:rFonts w:hint="eastAsia"/>
        </w:rPr>
      </w:pPr>
      <w:r>
        <w:t>33.3.</w:t>
      </w:r>
      <w:r>
        <w:rPr>
          <w:rFonts w:hint="eastAsia"/>
        </w:rPr>
        <w:t>2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tabs>
          <w:tab w:val="clear" w:pos="426"/>
        </w:tabs>
        <w:rPr>
          <w:rFonts w:hint="eastAsia"/>
        </w:rPr>
      </w:pPr>
      <w:r>
        <w:t>33.3.</w:t>
      </w:r>
      <w:r>
        <w:rPr>
          <w:rFonts w:hint="eastAsia"/>
        </w:rPr>
        <w:t>3非单一产品采购项目，采购人应当根据采购项目技术构成、产品价格比重等合理确定核心产品，并在招标文件中载明。多家投标供应商提供的核心产品品牌相同的，按前两款规定处理。</w:t>
      </w:r>
    </w:p>
    <w:p>
      <w:pPr>
        <w:tabs>
          <w:tab w:val="clear" w:pos="426"/>
        </w:tabs>
        <w:rPr>
          <w:rFonts w:hint="eastAsia"/>
        </w:rPr>
      </w:pPr>
      <w:r>
        <w:rPr>
          <w:rFonts w:hint="eastAsia"/>
        </w:rPr>
        <w:t>33.3.4公开招标以外采购方式以及采购服务和工程涉及采购货物的项目，也按此方法计算供应商家数。</w:t>
      </w:r>
    </w:p>
    <w:p>
      <w:pPr>
        <w:tabs>
          <w:tab w:val="clear" w:pos="426"/>
        </w:tabs>
        <w:rPr>
          <w:rFonts w:hint="eastAsia"/>
          <w:b/>
          <w:bCs/>
        </w:rPr>
      </w:pPr>
      <w:r>
        <w:rPr>
          <w:rFonts w:hint="eastAsia"/>
        </w:rPr>
        <w:t>33.4 对不属于投标文件“</w:t>
      </w:r>
      <w:r>
        <w:rPr>
          <w:rFonts w:hint="eastAsia"/>
          <w:b/>
        </w:rPr>
        <w:t>资格、符合性评审条款</w:t>
      </w:r>
      <w:r>
        <w:rPr>
          <w:rFonts w:hint="eastAsia"/>
        </w:rPr>
        <w:t>”要所列不符合的情形，除法律法规另有规定外，不得作为废标的理由。</w:t>
      </w:r>
    </w:p>
    <w:p>
      <w:pPr>
        <w:tabs>
          <w:tab w:val="clear" w:pos="426"/>
        </w:tabs>
        <w:rPr>
          <w:rFonts w:hint="eastAsia"/>
        </w:rPr>
      </w:pPr>
      <w:r>
        <w:rPr>
          <w:rFonts w:hint="eastAsia"/>
        </w:rPr>
        <w:t>34．澄清有关问题</w:t>
      </w:r>
    </w:p>
    <w:p>
      <w:pPr>
        <w:tabs>
          <w:tab w:val="clear" w:pos="426"/>
        </w:tabs>
        <w:rPr>
          <w:rFonts w:hint="eastAsia"/>
        </w:rPr>
      </w:pPr>
      <w:r>
        <w:rPr>
          <w:rFonts w:hint="eastAsia"/>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供应商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tabs>
          <w:tab w:val="clear" w:pos="426"/>
        </w:tabs>
        <w:rPr>
          <w:rFonts w:hint="eastAsia"/>
        </w:rPr>
      </w:pPr>
      <w:r>
        <w:rPr>
          <w:rFonts w:hint="eastAsia"/>
        </w:rPr>
        <w:t>35．错误的修正</w:t>
      </w:r>
    </w:p>
    <w:p>
      <w:pPr>
        <w:tabs>
          <w:tab w:val="clear" w:pos="426"/>
        </w:tabs>
        <w:rPr>
          <w:rFonts w:hint="eastAsia"/>
        </w:rPr>
      </w:pPr>
      <w:r>
        <w:rPr>
          <w:rFonts w:hint="eastAsia"/>
        </w:rPr>
        <w:t>35</w:t>
      </w:r>
      <w:r>
        <w:t xml:space="preserve">.1 </w:t>
      </w:r>
      <w:r>
        <w:rPr>
          <w:rFonts w:hint="eastAsia"/>
        </w:rPr>
        <w:t>评标委员会将审查投标文件是否完整、总体编排是否有序、文件签署是否合格、投标供应商是否提交了投标保证金、有无计算上的错误等。</w:t>
      </w:r>
    </w:p>
    <w:p>
      <w:pPr>
        <w:tabs>
          <w:tab w:val="clear" w:pos="426"/>
        </w:tabs>
        <w:rPr>
          <w:rFonts w:hint="eastAsia"/>
        </w:rPr>
      </w:pPr>
      <w:r>
        <w:rPr>
          <w:rFonts w:hint="eastAsia"/>
        </w:rPr>
        <w:t>35.2  算术错误将按以下方法更正（次序排先者优先）：</w:t>
      </w:r>
    </w:p>
    <w:p>
      <w:pPr>
        <w:tabs>
          <w:tab w:val="clear" w:pos="426"/>
        </w:tabs>
        <w:rPr>
          <w:rFonts w:hint="eastAsia"/>
        </w:rPr>
      </w:pPr>
      <w:r>
        <w:rPr>
          <w:rFonts w:hint="eastAsia"/>
        </w:rPr>
        <w:t>35.2.1投标文件中开标一览表（报价表）内容与投标文件中相应内容不一致的，以开标一览表（报价表）为准；</w:t>
      </w:r>
    </w:p>
    <w:p>
      <w:pPr>
        <w:tabs>
          <w:tab w:val="clear" w:pos="426"/>
        </w:tabs>
        <w:rPr>
          <w:rFonts w:hint="eastAsia"/>
        </w:rPr>
      </w:pPr>
      <w:r>
        <w:rPr>
          <w:rFonts w:hint="eastAsia"/>
        </w:rPr>
        <w:t>35.2.2大写金额和小写金额不一致的，以大写金额为准；</w:t>
      </w:r>
    </w:p>
    <w:p>
      <w:pPr>
        <w:tabs>
          <w:tab w:val="clear" w:pos="426"/>
        </w:tabs>
        <w:rPr>
          <w:rFonts w:hint="eastAsia"/>
        </w:rPr>
      </w:pPr>
      <w:r>
        <w:rPr>
          <w:rFonts w:hint="eastAsia"/>
        </w:rPr>
        <w:t>35.2.3单价金额小数点或者百分比有明显错位的，以开标一览表的总价为准，并修改单价；</w:t>
      </w:r>
    </w:p>
    <w:p>
      <w:pPr>
        <w:tabs>
          <w:tab w:val="clear" w:pos="426"/>
        </w:tabs>
        <w:rPr>
          <w:rFonts w:hint="eastAsia"/>
        </w:rPr>
      </w:pPr>
      <w:r>
        <w:rPr>
          <w:rFonts w:hint="eastAsia"/>
        </w:rPr>
        <w:t>35.2.4总价金额与按单价汇总金额不一致的，以单价金额计算结果为准；</w:t>
      </w:r>
    </w:p>
    <w:p>
      <w:pPr>
        <w:tabs>
          <w:tab w:val="clear" w:pos="426"/>
        </w:tabs>
        <w:rPr>
          <w:rFonts w:hint="eastAsia"/>
        </w:rPr>
      </w:pPr>
      <w:r>
        <w:rPr>
          <w:rFonts w:hint="eastAsia"/>
        </w:rPr>
        <w:t>35.2.5 对不同文字文本投标文件的解释发生异议的，以中文文本为准。</w:t>
      </w:r>
    </w:p>
    <w:p>
      <w:pPr>
        <w:tabs>
          <w:tab w:val="clear" w:pos="426"/>
        </w:tabs>
        <w:rPr>
          <w:rFonts w:hint="eastAsia"/>
        </w:rPr>
      </w:pPr>
      <w:r>
        <w:rPr>
          <w:rFonts w:hint="eastAsia"/>
        </w:rPr>
        <w:t>35</w:t>
      </w:r>
      <w:r>
        <w:t xml:space="preserve">.3  </w:t>
      </w:r>
      <w:r>
        <w:rPr>
          <w:rFonts w:hint="eastAsia"/>
        </w:rPr>
        <w:t>对于投标文件中不构成实质性偏差的不正规、不一致或不规则，给评审带来不便，评标委员会可以接受。</w:t>
      </w:r>
    </w:p>
    <w:p>
      <w:pPr>
        <w:tabs>
          <w:tab w:val="clear" w:pos="426"/>
        </w:tabs>
        <w:rPr>
          <w:rFonts w:hint="eastAsia"/>
        </w:rPr>
      </w:pPr>
      <w:r>
        <w:rPr>
          <w:rFonts w:hint="eastAsia"/>
        </w:rPr>
        <w:t>35.4  投标供应商的投标报价是可变动价格的，或包含了价格调整要求的，或投标报价中提供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pPr>
        <w:tabs>
          <w:tab w:val="clear" w:pos="426"/>
        </w:tabs>
        <w:rPr>
          <w:rFonts w:hint="eastAsia"/>
        </w:rPr>
      </w:pPr>
      <w:r>
        <w:rPr>
          <w:rFonts w:hint="eastAsia"/>
        </w:rPr>
        <w:t>35.5根据上述修正错误的原则及方法调整或修正投标文件的投标报价，投标供应商同意后，调整后的投标报价对投标供应商起约束作用。</w:t>
      </w:r>
      <w:r>
        <w:rPr>
          <w:rFonts w:hint="eastAsia"/>
          <w:bCs/>
        </w:rPr>
        <w:t>如果投标供应商不接受修正后的报价，则其投标将被拒绝并且其投标保证金也将被没收，并不影响评标工作。</w:t>
      </w:r>
    </w:p>
    <w:p>
      <w:pPr>
        <w:tabs>
          <w:tab w:val="clear" w:pos="426"/>
        </w:tabs>
        <w:rPr>
          <w:rFonts w:hint="eastAsia"/>
        </w:rPr>
      </w:pPr>
      <w:r>
        <w:rPr>
          <w:rFonts w:hint="eastAsia"/>
        </w:rPr>
        <w:t>36．投标文件的比较与评价</w:t>
      </w:r>
    </w:p>
    <w:p>
      <w:pPr>
        <w:tabs>
          <w:tab w:val="clear" w:pos="426"/>
        </w:tabs>
        <w:rPr>
          <w:rFonts w:hint="eastAsia"/>
        </w:rPr>
      </w:pPr>
      <w:r>
        <w:rPr>
          <w:rFonts w:hint="eastAsia"/>
        </w:rPr>
        <w:t>36.1评标委员会将参照相关法律、法规、规定，仅对通过资格性审查和符合性审查的投标文件进行综合比较与评价。</w:t>
      </w:r>
    </w:p>
    <w:p>
      <w:pPr>
        <w:tabs>
          <w:tab w:val="clear" w:pos="426"/>
        </w:tabs>
        <w:rPr>
          <w:rFonts w:hint="eastAsia"/>
        </w:rPr>
      </w:pPr>
      <w:r>
        <w:rPr>
          <w:rFonts w:hint="eastAsia"/>
          <w:bCs/>
        </w:rPr>
        <w:t xml:space="preserve">36.2  </w:t>
      </w:r>
      <w:r>
        <w:rPr>
          <w:rFonts w:hint="eastAsia"/>
        </w:rPr>
        <w:t>评标委员会应当根据招标文件，审查并逐项列出投标文件的全部投标偏离。投标偏离分为重大偏离和细微偏离。</w:t>
      </w:r>
    </w:p>
    <w:p>
      <w:pPr>
        <w:tabs>
          <w:tab w:val="clear" w:pos="426"/>
        </w:tabs>
        <w:rPr>
          <w:rFonts w:hint="eastAsia"/>
        </w:rPr>
      </w:pPr>
      <w:r>
        <w:rPr>
          <w:rFonts w:hint="eastAsia"/>
        </w:rPr>
        <w:t>36.3 评标委员会应当对投标供应商的投标文件进行分析和比较。</w:t>
      </w:r>
    </w:p>
    <w:p>
      <w:pPr>
        <w:tabs>
          <w:tab w:val="clear" w:pos="426"/>
        </w:tabs>
        <w:rPr>
          <w:rFonts w:hint="eastAsia"/>
        </w:rPr>
      </w:pPr>
      <w:r>
        <w:rPr>
          <w:rFonts w:hint="eastAsia"/>
        </w:rPr>
        <w:t>36.4  评标委员会应当根据招标文件规定，对投标文件中的每项评审内容进行评审。</w:t>
      </w:r>
    </w:p>
    <w:p>
      <w:pPr>
        <w:tabs>
          <w:tab w:val="clear" w:pos="426"/>
        </w:tabs>
        <w:rPr>
          <w:rFonts w:hint="eastAsia"/>
          <w:kern w:val="10"/>
        </w:rPr>
      </w:pPr>
      <w:r>
        <w:rPr>
          <w:rFonts w:hint="eastAsia"/>
          <w:kern w:val="10"/>
        </w:rPr>
        <w:t>36.5  投标文件存在重大偏离的，应作废标处理。下列情况属于重大偏离：</w:t>
      </w:r>
    </w:p>
    <w:p>
      <w:pPr>
        <w:tabs>
          <w:tab w:val="clear" w:pos="426"/>
        </w:tabs>
        <w:rPr>
          <w:rFonts w:hint="eastAsia"/>
          <w:kern w:val="10"/>
        </w:rPr>
      </w:pPr>
      <w:r>
        <w:rPr>
          <w:rFonts w:hint="eastAsia"/>
          <w:kern w:val="10"/>
        </w:rPr>
        <w:t>36.5.1  投标供应商以他人的名义投标或出现下列串通投标、弄虚作假投标嫌疑的：</w:t>
      </w:r>
    </w:p>
    <w:p>
      <w:pPr>
        <w:tabs>
          <w:tab w:val="clear" w:pos="426"/>
        </w:tabs>
        <w:rPr>
          <w:rFonts w:hint="eastAsia"/>
          <w:kern w:val="10"/>
        </w:rPr>
      </w:pPr>
      <w:r>
        <w:rPr>
          <w:rFonts w:hint="eastAsia"/>
          <w:kern w:val="10"/>
        </w:rPr>
        <w:t xml:space="preserve">36.5.1.1  </w:t>
      </w:r>
      <w:r>
        <w:rPr>
          <w:kern w:val="10"/>
        </w:rPr>
        <w:t>不同投标供应商的投标文件内容存在非正常一致</w:t>
      </w:r>
      <w:r>
        <w:rPr>
          <w:rFonts w:hint="eastAsia"/>
          <w:kern w:val="10"/>
        </w:rPr>
        <w:t>的</w:t>
      </w:r>
      <w:r>
        <w:rPr>
          <w:kern w:val="10"/>
        </w:rPr>
        <w:t>；</w:t>
      </w:r>
    </w:p>
    <w:p>
      <w:pPr>
        <w:tabs>
          <w:tab w:val="clear" w:pos="426"/>
        </w:tabs>
        <w:rPr>
          <w:rFonts w:hint="eastAsia"/>
          <w:kern w:val="10"/>
        </w:rPr>
      </w:pPr>
      <w:r>
        <w:rPr>
          <w:rFonts w:hint="eastAsia"/>
          <w:kern w:val="10"/>
        </w:rPr>
        <w:t xml:space="preserve">36.5.1.2  </w:t>
      </w:r>
      <w:r>
        <w:rPr>
          <w:kern w:val="10"/>
        </w:rPr>
        <w:t>不同投标供应商的投标文件错漏之处一致的；</w:t>
      </w:r>
    </w:p>
    <w:p>
      <w:pPr>
        <w:tabs>
          <w:tab w:val="clear" w:pos="426"/>
        </w:tabs>
        <w:rPr>
          <w:rFonts w:hint="eastAsia"/>
          <w:kern w:val="10"/>
        </w:rPr>
      </w:pPr>
      <w:r>
        <w:rPr>
          <w:rFonts w:hint="eastAsia"/>
          <w:kern w:val="10"/>
        </w:rPr>
        <w:t xml:space="preserve">36.5.1.3  </w:t>
      </w:r>
      <w:r>
        <w:rPr>
          <w:kern w:val="10"/>
        </w:rPr>
        <w:t>不同投标供应商的投标报价或者报价组成异常一致或者呈规律性变化的；</w:t>
      </w:r>
    </w:p>
    <w:p>
      <w:pPr>
        <w:tabs>
          <w:tab w:val="clear" w:pos="426"/>
        </w:tabs>
        <w:rPr>
          <w:rFonts w:hint="eastAsia"/>
          <w:kern w:val="10"/>
        </w:rPr>
      </w:pPr>
      <w:r>
        <w:rPr>
          <w:rFonts w:hint="eastAsia"/>
          <w:kern w:val="10"/>
        </w:rPr>
        <w:t xml:space="preserve">36.5.1.4  </w:t>
      </w:r>
      <w:r>
        <w:rPr>
          <w:kern w:val="10"/>
        </w:rPr>
        <w:t>不同投标供应商的投标文件由同一单位或者同一个人编制的；</w:t>
      </w:r>
    </w:p>
    <w:p>
      <w:pPr>
        <w:tabs>
          <w:tab w:val="clear" w:pos="426"/>
        </w:tabs>
        <w:rPr>
          <w:rFonts w:hint="eastAsia"/>
          <w:kern w:val="10"/>
        </w:rPr>
      </w:pPr>
      <w:r>
        <w:rPr>
          <w:rFonts w:hint="eastAsia"/>
          <w:kern w:val="10"/>
        </w:rPr>
        <w:t xml:space="preserve">36.5.1.5  </w:t>
      </w:r>
      <w:r>
        <w:rPr>
          <w:kern w:val="10"/>
        </w:rPr>
        <w:t>不同投标供应商的投标文件载明的</w:t>
      </w:r>
      <w:r>
        <w:rPr>
          <w:rFonts w:hint="eastAsia"/>
          <w:kern w:val="10"/>
        </w:rPr>
        <w:t>项目负责人与主要技术人员</w:t>
      </w:r>
      <w:r>
        <w:rPr>
          <w:kern w:val="10"/>
        </w:rPr>
        <w:t>出现同一人的；</w:t>
      </w:r>
    </w:p>
    <w:p>
      <w:pPr>
        <w:tabs>
          <w:tab w:val="clear" w:pos="426"/>
        </w:tabs>
        <w:rPr>
          <w:rFonts w:hint="eastAsia"/>
          <w:kern w:val="10"/>
        </w:rPr>
      </w:pPr>
      <w:r>
        <w:rPr>
          <w:rFonts w:hint="eastAsia"/>
          <w:kern w:val="10"/>
        </w:rPr>
        <w:t xml:space="preserve">36.5.1.6  </w:t>
      </w:r>
      <w:r>
        <w:rPr>
          <w:kern w:val="10"/>
        </w:rPr>
        <w:t>不同投标供应商的投标文件相互混装的；</w:t>
      </w:r>
    </w:p>
    <w:p>
      <w:pPr>
        <w:tabs>
          <w:tab w:val="clear" w:pos="426"/>
        </w:tabs>
        <w:rPr>
          <w:rFonts w:hint="eastAsia"/>
          <w:kern w:val="10"/>
        </w:rPr>
      </w:pPr>
      <w:r>
        <w:rPr>
          <w:rFonts w:hint="eastAsia"/>
          <w:kern w:val="10"/>
        </w:rPr>
        <w:t xml:space="preserve">36.5.1.7  </w:t>
      </w:r>
      <w:r>
        <w:rPr>
          <w:kern w:val="10"/>
        </w:rPr>
        <w:t>不同投标供应商委托同一人投标的</w:t>
      </w:r>
      <w:r>
        <w:rPr>
          <w:rFonts w:hint="eastAsia"/>
          <w:kern w:val="10"/>
        </w:rPr>
        <w:t>；</w:t>
      </w:r>
    </w:p>
    <w:p>
      <w:pPr>
        <w:tabs>
          <w:tab w:val="clear" w:pos="426"/>
        </w:tabs>
        <w:rPr>
          <w:rFonts w:hint="eastAsia"/>
          <w:kern w:val="10"/>
        </w:rPr>
      </w:pPr>
      <w:r>
        <w:rPr>
          <w:rFonts w:hint="eastAsia"/>
          <w:kern w:val="10"/>
        </w:rPr>
        <w:t>36.5.1.8  不同投标供应商聘请同一人为其投标提供技术或者经济咨询服务的，但招标工程本身要求采用专有技术的除外；</w:t>
      </w:r>
    </w:p>
    <w:p>
      <w:pPr>
        <w:tabs>
          <w:tab w:val="clear" w:pos="426"/>
        </w:tabs>
        <w:rPr>
          <w:rFonts w:hint="eastAsia"/>
          <w:kern w:val="10"/>
        </w:rPr>
      </w:pPr>
      <w:r>
        <w:rPr>
          <w:rFonts w:hint="eastAsia"/>
          <w:kern w:val="10"/>
        </w:rPr>
        <w:t xml:space="preserve">36.5.1.9  </w:t>
      </w:r>
      <w:r>
        <w:rPr>
          <w:kern w:val="10"/>
        </w:rPr>
        <w:t>评标委员会认定的其他串通投标情形。</w:t>
      </w:r>
    </w:p>
    <w:p>
      <w:pPr>
        <w:tabs>
          <w:tab w:val="clear" w:pos="426"/>
        </w:tabs>
        <w:rPr>
          <w:rFonts w:hint="eastAsia"/>
        </w:rPr>
      </w:pPr>
      <w:r>
        <w:rPr>
          <w:rFonts w:hint="eastAsia"/>
          <w:kern w:val="10"/>
        </w:rPr>
        <w:t xml:space="preserve">36.5.2 </w:t>
      </w:r>
      <w:r>
        <w:rPr>
          <w:rFonts w:hint="eastAsia"/>
        </w:rPr>
        <w:t xml:space="preserve"> 投标文件不满足招标文件规定的任何一项实质性要求的；</w:t>
      </w:r>
    </w:p>
    <w:p>
      <w:pPr>
        <w:tabs>
          <w:tab w:val="clear" w:pos="426"/>
        </w:tabs>
        <w:rPr>
          <w:rFonts w:hint="eastAsia"/>
        </w:rPr>
      </w:pPr>
      <w:r>
        <w:rPr>
          <w:rFonts w:hint="eastAsia"/>
          <w:bCs/>
          <w:kern w:val="10"/>
        </w:rPr>
        <w:t xml:space="preserve">36.5.3 </w:t>
      </w:r>
      <w:r>
        <w:rPr>
          <w:rFonts w:hint="eastAsia"/>
        </w:rPr>
        <w:t xml:space="preserve"> 投标文件对招标文件规定的非实质性要求的偏离，超出允许偏离的最大范围或最高项数的；</w:t>
      </w:r>
    </w:p>
    <w:p>
      <w:pPr>
        <w:tabs>
          <w:tab w:val="clear" w:pos="426"/>
        </w:tabs>
        <w:rPr>
          <w:rFonts w:hint="eastAsia"/>
        </w:rPr>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评标委员会根据招标文件的规定对投标文件的投标价格进行调整，投标供应商不接受调整方式的，或不接受调整后的价格的；</w:t>
      </w:r>
    </w:p>
    <w:p>
      <w:pPr>
        <w:tabs>
          <w:tab w:val="clear" w:pos="426"/>
        </w:tabs>
        <w:rPr>
          <w:rFonts w:hint="eastAsia"/>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供应商造成不公平的结果。细微偏离不影响投标文件的有效性。</w:t>
      </w:r>
    </w:p>
    <w:p>
      <w:pPr>
        <w:tabs>
          <w:tab w:val="clear" w:pos="426"/>
        </w:tabs>
        <w:rPr>
          <w:rFonts w:hint="eastAsia"/>
          <w:kern w:val="10"/>
        </w:rPr>
      </w:pPr>
      <w:r>
        <w:rPr>
          <w:rFonts w:hint="eastAsia"/>
          <w:kern w:val="10"/>
        </w:rPr>
        <w:t>36.7 评标委员会应书面要求存在细微偏离的投标供应商在评标结束前予以补正。拒不补正的，在详细评审时可以对细微偏离按照不利于该投标供应商的原则进行调整，且投标供应商不得因此提出任何异议。</w:t>
      </w:r>
    </w:p>
    <w:p>
      <w:pPr>
        <w:tabs>
          <w:tab w:val="clear" w:pos="426"/>
        </w:tabs>
        <w:rPr>
          <w:rFonts w:hint="eastAsia"/>
        </w:rPr>
      </w:pPr>
      <w:r>
        <w:rPr>
          <w:rFonts w:hint="eastAsia"/>
        </w:rPr>
        <w:t>37.实地考察、演示或设备测试</w:t>
      </w:r>
    </w:p>
    <w:p>
      <w:pPr>
        <w:tabs>
          <w:tab w:val="clear" w:pos="426"/>
        </w:tabs>
        <w:rPr>
          <w:rFonts w:hint="eastAsia"/>
        </w:rPr>
      </w:pPr>
      <w:r>
        <w:rPr>
          <w:rFonts w:hint="eastAsia"/>
        </w:rPr>
        <w:t>37.1在招标过程中，评标委员会有权决定是否对本项目投标供应商进行现场勘察或实地考察或检验有关证明材料的原件。投标供应商应随时做好接受检查的准备。</w:t>
      </w:r>
    </w:p>
    <w:p>
      <w:pPr>
        <w:tabs>
          <w:tab w:val="clear" w:pos="426"/>
        </w:tabs>
        <w:rPr>
          <w:rFonts w:hint="eastAsia"/>
        </w:rPr>
      </w:pPr>
      <w:r>
        <w:rPr>
          <w:rFonts w:hint="eastAsia"/>
        </w:rPr>
        <w:t>37.2若招标文件要求进行现场演示或设备测试的，投标供应商应做好相应准备。</w:t>
      </w:r>
    </w:p>
    <w:p>
      <w:pPr>
        <w:tabs>
          <w:tab w:val="clear" w:pos="426"/>
        </w:tabs>
        <w:rPr>
          <w:rFonts w:hint="eastAsia"/>
        </w:rPr>
      </w:pPr>
      <w:r>
        <w:rPr>
          <w:rFonts w:hint="eastAsia"/>
        </w:rPr>
        <w:t>38．评标方法</w:t>
      </w:r>
    </w:p>
    <w:p>
      <w:pPr>
        <w:tabs>
          <w:tab w:val="clear" w:pos="426"/>
        </w:tabs>
        <w:rPr>
          <w:rFonts w:hint="eastAsia"/>
          <w:szCs w:val="21"/>
        </w:rPr>
      </w:pPr>
      <w:r>
        <w:rPr>
          <w:rFonts w:hint="eastAsia"/>
          <w:szCs w:val="21"/>
        </w:rPr>
        <w:t>38.1</w:t>
      </w:r>
      <w:r>
        <w:rPr>
          <w:rFonts w:hint="eastAsia"/>
        </w:rPr>
        <w:t>根据有关要求，</w:t>
      </w:r>
      <w:r>
        <w:rPr>
          <w:rFonts w:hint="eastAsia"/>
          <w:szCs w:val="21"/>
        </w:rPr>
        <w:t>项目评标方法根据是否是评定分离项目进行选择。</w:t>
      </w:r>
    </w:p>
    <w:p>
      <w:pPr>
        <w:tabs>
          <w:tab w:val="clear" w:pos="426"/>
        </w:tabs>
        <w:rPr>
          <w:rFonts w:hint="eastAsia"/>
        </w:rPr>
      </w:pPr>
      <w:r>
        <w:rPr>
          <w:rFonts w:hint="eastAsia"/>
        </w:rPr>
        <w:t>38.2非评定分离项目</w:t>
      </w:r>
    </w:p>
    <w:p>
      <w:pPr>
        <w:tabs>
          <w:tab w:val="clear" w:pos="426"/>
        </w:tabs>
        <w:rPr>
          <w:rFonts w:hint="eastAsia"/>
        </w:rPr>
      </w:pPr>
      <w:r>
        <w:rPr>
          <w:rFonts w:hint="eastAsia"/>
        </w:rPr>
        <w:t>非评定分离项目评分方法为最低评标价法、综合评标法、性价比法及法律、法规允许的其它评标办法。</w:t>
      </w:r>
    </w:p>
    <w:p>
      <w:pPr>
        <w:tabs>
          <w:tab w:val="clear" w:pos="426"/>
        </w:tabs>
        <w:rPr>
          <w:rFonts w:hint="eastAsia"/>
          <w:b/>
        </w:rPr>
      </w:pPr>
      <w:r>
        <w:rPr>
          <w:rFonts w:hint="eastAsia"/>
        </w:rPr>
        <w:t>38.2.1最低评标价法</w:t>
      </w:r>
    </w:p>
    <w:p>
      <w:pPr>
        <w:tabs>
          <w:tab w:val="clear" w:pos="426"/>
        </w:tabs>
        <w:rPr>
          <w:rFonts w:hint="eastAsia"/>
        </w:rPr>
      </w:pPr>
      <w:r>
        <w:rPr>
          <w:rFonts w:hint="eastAsia"/>
        </w:rPr>
        <w:t>最低价法是指以价格因素确定中标候选供应商的评标方法，即在满足招标文件实质性要求前提下，以报价最低的投标供应商作为中标候选供应商或中标供应商的评标方法；</w:t>
      </w:r>
    </w:p>
    <w:p>
      <w:pPr>
        <w:tabs>
          <w:tab w:val="clear" w:pos="426"/>
        </w:tabs>
        <w:rPr>
          <w:rFonts w:hint="eastAsia"/>
          <w:b/>
        </w:rPr>
      </w:pPr>
      <w:r>
        <w:rPr>
          <w:rFonts w:hint="eastAsia"/>
        </w:rPr>
        <w:t>38.2.2综合评分法</w:t>
      </w:r>
    </w:p>
    <w:p>
      <w:pPr>
        <w:tabs>
          <w:tab w:val="clear" w:pos="426"/>
        </w:tabs>
        <w:rPr>
          <w:rFonts w:hint="eastAsia"/>
        </w:rPr>
      </w:pPr>
      <w:r>
        <w:rPr>
          <w:rFonts w:hint="eastAsia"/>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pPr>
        <w:tabs>
          <w:tab w:val="clear" w:pos="426"/>
        </w:tabs>
        <w:rPr>
          <w:rFonts w:hint="eastAsia"/>
          <w:b/>
          <w:bCs/>
        </w:rPr>
      </w:pPr>
      <w:r>
        <w:rPr>
          <w:rFonts w:hint="eastAsia"/>
        </w:rPr>
        <w:t>38.2.3</w:t>
      </w:r>
      <w:r>
        <w:rPr>
          <w:rFonts w:hint="eastAsia"/>
          <w:bCs/>
        </w:rPr>
        <w:t>性价比法</w:t>
      </w:r>
    </w:p>
    <w:p>
      <w:pPr>
        <w:tabs>
          <w:tab w:val="clear" w:pos="426"/>
        </w:tabs>
        <w:rPr>
          <w:rFonts w:hint="eastAsia"/>
        </w:rPr>
      </w:pPr>
      <w:r>
        <w:rPr>
          <w:rFonts w:hint="eastAsia"/>
        </w:rPr>
        <w:t>性价比法是指除价格因素外，经对投标文件进行评审，计算出评分因素的总分，除以投标报价，以商数最高的投标供应商作为中标候选供应商或中标供应商的评标方法。</w:t>
      </w:r>
    </w:p>
    <w:p>
      <w:pPr>
        <w:tabs>
          <w:tab w:val="clear" w:pos="426"/>
        </w:tabs>
        <w:rPr>
          <w:rFonts w:hint="eastAsia"/>
        </w:rPr>
      </w:pPr>
      <w:r>
        <w:rPr>
          <w:rFonts w:hint="eastAsia"/>
        </w:rPr>
        <w:t>38.3评定分离项目</w:t>
      </w:r>
    </w:p>
    <w:p>
      <w:pPr>
        <w:tabs>
          <w:tab w:val="clear" w:pos="426"/>
        </w:tabs>
        <w:rPr>
          <w:rFonts w:hint="eastAsia"/>
        </w:rPr>
      </w:pPr>
      <w:r>
        <w:rPr>
          <w:rFonts w:hint="eastAsia"/>
        </w:rPr>
        <w:t>评定分离项目，评审委员会应当按照综合评分法、定性评审法、最低价法或者法律、法规及规章规定的其他评审方法对投标文件进行评审。</w:t>
      </w:r>
    </w:p>
    <w:p>
      <w:pPr>
        <w:tabs>
          <w:tab w:val="clear" w:pos="426"/>
        </w:tabs>
        <w:rPr>
          <w:rFonts w:hint="eastAsia"/>
          <w:b/>
        </w:rPr>
      </w:pPr>
      <w:r>
        <w:rPr>
          <w:rFonts w:hint="eastAsia"/>
        </w:rPr>
        <w:t>38.3.1综合评分法</w:t>
      </w:r>
    </w:p>
    <w:p>
      <w:pPr>
        <w:tabs>
          <w:tab w:val="clear" w:pos="426"/>
        </w:tabs>
        <w:rPr>
          <w:rFonts w:hint="eastAsia"/>
        </w:rPr>
      </w:pPr>
      <w:r>
        <w:rPr>
          <w:rFonts w:hint="eastAsia"/>
        </w:rPr>
        <w:t>综合评分法是指在最大限度满足招标文件实质性要求的前提下，按照招标文件中规定的各项因素进行综合评审，评审总得分排名前列的投标供应商，作为推荐的候选中标供应商。</w:t>
      </w:r>
    </w:p>
    <w:p>
      <w:pPr>
        <w:tabs>
          <w:tab w:val="clear" w:pos="426"/>
        </w:tabs>
        <w:rPr>
          <w:rFonts w:hint="eastAsia"/>
          <w:sz w:val="18"/>
          <w:szCs w:val="18"/>
          <w:shd w:val="clear" w:color="auto" w:fill="FFFFFF"/>
        </w:rPr>
      </w:pPr>
      <w:r>
        <w:rPr>
          <w:rFonts w:hint="eastAsia"/>
        </w:rPr>
        <w:t>38.3.2</w:t>
      </w:r>
      <w:r>
        <w:rPr>
          <w:rFonts w:hint="eastAsia"/>
          <w:bCs/>
        </w:rPr>
        <w:t>定性评审法</w:t>
      </w:r>
    </w:p>
    <w:p>
      <w:pPr>
        <w:tabs>
          <w:tab w:val="clear" w:pos="426"/>
        </w:tabs>
        <w:rPr>
          <w:rFonts w:hint="eastAsia"/>
        </w:rPr>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供应商，均推荐为候选中标供应商。</w:t>
      </w:r>
    </w:p>
    <w:p>
      <w:pPr>
        <w:tabs>
          <w:tab w:val="clear" w:pos="426"/>
        </w:tabs>
        <w:rPr>
          <w:rFonts w:hint="eastAsia"/>
        </w:rPr>
      </w:pPr>
      <w:r>
        <w:rPr>
          <w:rFonts w:hint="eastAsia"/>
        </w:rPr>
        <w:t>38.3.3最低价法</w:t>
      </w:r>
    </w:p>
    <w:p>
      <w:pPr>
        <w:tabs>
          <w:tab w:val="clear" w:pos="426"/>
        </w:tabs>
        <w:rPr>
          <w:rFonts w:hint="eastAsia"/>
        </w:rPr>
      </w:pPr>
      <w:r>
        <w:rPr>
          <w:rFonts w:hint="eastAsia"/>
        </w:rPr>
        <w:t>最低价法是指以价格为主要因素确定候选中标供应商的评审方法。</w:t>
      </w:r>
    </w:p>
    <w:p>
      <w:pPr>
        <w:tabs>
          <w:tab w:val="clear" w:pos="426"/>
        </w:tabs>
        <w:rPr>
          <w:rFonts w:hint="eastAsia"/>
        </w:rPr>
      </w:pPr>
      <w:r>
        <w:rPr>
          <w:rFonts w:hint="eastAsia"/>
        </w:rPr>
        <w:t>38.4本项目采用的评标方法见本项目招标文件专用条款的相关内容。</w:t>
      </w:r>
    </w:p>
    <w:p>
      <w:pPr>
        <w:pStyle w:val="5"/>
        <w:tabs>
          <w:tab w:val="clear" w:pos="426"/>
        </w:tabs>
        <w:rPr>
          <w:rFonts w:hint="eastAsia"/>
        </w:rPr>
      </w:pPr>
      <w:bookmarkStart w:id="184" w:name="_Toc530152528"/>
      <w:bookmarkStart w:id="185" w:name="_Toc14427260"/>
      <w:bookmarkStart w:id="186" w:name="_Toc529280587"/>
      <w:bookmarkStart w:id="187" w:name="_Toc10018"/>
      <w:r>
        <w:rPr>
          <w:rFonts w:hint="eastAsia"/>
        </w:rPr>
        <w:t>第七章 定标及公示</w:t>
      </w:r>
      <w:bookmarkEnd w:id="184"/>
      <w:bookmarkEnd w:id="185"/>
      <w:bookmarkEnd w:id="186"/>
      <w:bookmarkEnd w:id="187"/>
    </w:p>
    <w:p>
      <w:pPr>
        <w:tabs>
          <w:tab w:val="clear" w:pos="426"/>
        </w:tabs>
        <w:rPr>
          <w:rFonts w:hint="eastAsia"/>
        </w:rPr>
      </w:pPr>
      <w:r>
        <w:rPr>
          <w:rFonts w:hint="eastAsia"/>
        </w:rPr>
        <w:t>39．定标方法</w:t>
      </w:r>
    </w:p>
    <w:p>
      <w:pPr>
        <w:tabs>
          <w:tab w:val="clear" w:pos="426"/>
        </w:tabs>
        <w:rPr>
          <w:rFonts w:hint="eastAsia"/>
        </w:rPr>
      </w:pPr>
      <w:r>
        <w:rPr>
          <w:rFonts w:hint="eastAsia"/>
        </w:rPr>
        <w:t>39</w:t>
      </w:r>
      <w:r>
        <w:t>.</w:t>
      </w:r>
      <w:r>
        <w:rPr>
          <w:rFonts w:hint="eastAsia"/>
        </w:rPr>
        <w:t>1项目定标方法根据是否是评定分离项目进行选择。</w:t>
      </w:r>
    </w:p>
    <w:p>
      <w:pPr>
        <w:tabs>
          <w:tab w:val="clear" w:pos="426"/>
        </w:tabs>
        <w:rPr>
          <w:rFonts w:hint="eastAsia"/>
        </w:rPr>
      </w:pPr>
      <w:r>
        <w:rPr>
          <w:rFonts w:hint="eastAsia"/>
        </w:rPr>
        <w:t>39</w:t>
      </w:r>
      <w:r>
        <w:t>.</w:t>
      </w:r>
      <w:r>
        <w:rPr>
          <w:rFonts w:hint="eastAsia"/>
        </w:rPr>
        <w:t>2非评定分离项目</w:t>
      </w:r>
    </w:p>
    <w:p>
      <w:pPr>
        <w:tabs>
          <w:tab w:val="clear" w:pos="426"/>
        </w:tabs>
        <w:rPr>
          <w:rFonts w:hint="eastAsia"/>
        </w:rPr>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pPr>
        <w:tabs>
          <w:tab w:val="clear" w:pos="426"/>
        </w:tabs>
        <w:rPr>
          <w:rFonts w:hint="eastAsia"/>
        </w:rPr>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pPr>
        <w:tabs>
          <w:tab w:val="clear" w:pos="426"/>
        </w:tabs>
        <w:rPr>
          <w:rFonts w:hint="eastAsia"/>
        </w:rPr>
      </w:pPr>
      <w:r>
        <w:rPr>
          <w:rFonts w:hint="eastAsia"/>
        </w:rPr>
        <w:t>39</w:t>
      </w:r>
      <w:r>
        <w:t>.</w:t>
      </w:r>
      <w:r>
        <w:rPr>
          <w:rFonts w:hint="eastAsia"/>
        </w:rPr>
        <w:t>2.2</w:t>
      </w:r>
      <w:r>
        <w:t>采用综合评</w:t>
      </w:r>
      <w:r>
        <w:rPr>
          <w:rFonts w:hint="eastAsia"/>
        </w:rPr>
        <w:t>分</w:t>
      </w:r>
      <w:r>
        <w:t>法的，按评审后得分由高到低顺序排列。得分相同的，按投标报价由低到高顺序排列。得分且投标报价相同的，按技术指标优劣顺序排列。</w:t>
      </w:r>
    </w:p>
    <w:p>
      <w:pPr>
        <w:tabs>
          <w:tab w:val="clear" w:pos="426"/>
        </w:tabs>
        <w:rPr>
          <w:rFonts w:hint="eastAsia"/>
        </w:rPr>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pPr>
        <w:tabs>
          <w:tab w:val="clear" w:pos="426"/>
        </w:tabs>
        <w:rPr>
          <w:rFonts w:hint="eastAsia"/>
        </w:rPr>
      </w:pPr>
      <w:r>
        <w:rPr>
          <w:rFonts w:hint="eastAsia"/>
        </w:rPr>
        <w:t>39</w:t>
      </w:r>
      <w:r>
        <w:t>.</w:t>
      </w:r>
      <w:r>
        <w:rPr>
          <w:rFonts w:hint="eastAsia"/>
        </w:rPr>
        <w:t>3评定分离项目</w:t>
      </w:r>
    </w:p>
    <w:p>
      <w:pPr>
        <w:tabs>
          <w:tab w:val="clear" w:pos="426"/>
        </w:tabs>
        <w:rPr>
          <w:rFonts w:hint="eastAsia"/>
        </w:rPr>
      </w:pPr>
      <w:r>
        <w:rPr>
          <w:rFonts w:hint="eastAsia"/>
        </w:rPr>
        <w:t>适用评定分离的采购项目，采购人应当根据不同的项目选用自定法、抽签法、竞价法或者法律、法规及规章规定的其他定标方法确定中标供应商。</w:t>
      </w:r>
    </w:p>
    <w:p>
      <w:pPr>
        <w:tabs>
          <w:tab w:val="clear" w:pos="426"/>
        </w:tabs>
        <w:rPr>
          <w:rFonts w:hint="eastAsia"/>
        </w:rPr>
      </w:pPr>
      <w:r>
        <w:rPr>
          <w:rFonts w:hint="eastAsia"/>
        </w:rPr>
        <w:t>39</w:t>
      </w:r>
      <w:r>
        <w:t>.</w:t>
      </w:r>
      <w:r>
        <w:rPr>
          <w:rFonts w:hint="eastAsia"/>
        </w:rPr>
        <w:t>3.1自定法是指采购人组织定标委员会，由定标委员会在候选中标供应商中确定中标供应商。</w:t>
      </w:r>
    </w:p>
    <w:p>
      <w:pPr>
        <w:tabs>
          <w:tab w:val="clear" w:pos="426"/>
        </w:tabs>
        <w:rPr>
          <w:rFonts w:hint="eastAsia"/>
        </w:rPr>
      </w:pPr>
      <w:r>
        <w:rPr>
          <w:rFonts w:hint="eastAsia"/>
        </w:rPr>
        <w:t>39</w:t>
      </w:r>
      <w:r>
        <w:t>.</w:t>
      </w:r>
      <w:r>
        <w:rPr>
          <w:rFonts w:hint="eastAsia"/>
        </w:rPr>
        <w:t>3.2 抽签法是指候选中标供应商产生后，由采购人委托招标机构按照随机抽签的方式在候选中标供应商中确定中标供应商。 </w:t>
      </w:r>
    </w:p>
    <w:p>
      <w:pPr>
        <w:tabs>
          <w:tab w:val="clear" w:pos="426"/>
        </w:tabs>
        <w:rPr>
          <w:rFonts w:hint="eastAsia"/>
        </w:rPr>
      </w:pPr>
      <w:r>
        <w:rPr>
          <w:rFonts w:hint="eastAsia"/>
        </w:rPr>
        <w:t>39</w:t>
      </w:r>
      <w:r>
        <w:t>.</w:t>
      </w:r>
      <w:r>
        <w:rPr>
          <w:rFonts w:hint="eastAsia"/>
        </w:rPr>
        <w:t>3.3竞价法是指候选中标供应商产生后，由采购人委托招标机构组织候选中标供应商进行二次竞价，最终报价最低的为中标供应商</w:t>
      </w:r>
    </w:p>
    <w:p>
      <w:pPr>
        <w:tabs>
          <w:tab w:val="clear" w:pos="426"/>
        </w:tabs>
        <w:rPr>
          <w:rFonts w:hint="eastAsia"/>
        </w:rPr>
      </w:pPr>
      <w:r>
        <w:rPr>
          <w:rFonts w:hint="eastAsia"/>
        </w:rPr>
        <w:t>39.4本项目采用的定标方法见本项目招标文件专用条款的相关内容。</w:t>
      </w:r>
    </w:p>
    <w:p>
      <w:pPr>
        <w:tabs>
          <w:tab w:val="clear" w:pos="426"/>
        </w:tabs>
        <w:rPr>
          <w:rFonts w:hint="eastAsia"/>
        </w:rPr>
      </w:pPr>
      <w:r>
        <w:rPr>
          <w:rFonts w:hint="eastAsia"/>
        </w:rPr>
        <w:t>40．编写评标报告</w:t>
      </w:r>
    </w:p>
    <w:p>
      <w:pPr>
        <w:tabs>
          <w:tab w:val="clear" w:pos="426"/>
        </w:tabs>
        <w:rPr>
          <w:rFonts w:hint="eastAsia"/>
        </w:rPr>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rFonts w:hint="eastAsia"/>
        </w:rPr>
      </w:pPr>
      <w:r>
        <w:rPr>
          <w:rFonts w:hint="eastAsia"/>
        </w:rPr>
        <w:t>41．中标公告</w:t>
      </w:r>
    </w:p>
    <w:p>
      <w:pPr>
        <w:tabs>
          <w:tab w:val="clear" w:pos="426"/>
        </w:tabs>
        <w:rPr>
          <w:rFonts w:hint="eastAsia"/>
        </w:rPr>
      </w:pPr>
      <w:r>
        <w:rPr>
          <w:rFonts w:hint="eastAsia"/>
        </w:rPr>
        <w:t>41.1为体现“公开、公平、公正”的原则，评标结束后，将在深圳海关门户网  （</w:t>
      </w:r>
      <w:r>
        <w:t>http://shenzhen.customs.gov.cn</w:t>
      </w:r>
      <w:r>
        <w:rPr>
          <w:rFonts w:hint="eastAsia"/>
        </w:rPr>
        <w:t>）、中国政府采购网（http://www.ccgp.gov.cn）、采购代理机构官网：（</w:t>
      </w:r>
      <w:r>
        <w:t>http://www.szsszx.com/</w:t>
      </w:r>
      <w:r>
        <w:rPr>
          <w:rFonts w:hint="eastAsia"/>
        </w:rPr>
        <w:t>）上发布中标结果公告， 公示期为1个工作日。供应商如对评标结果有异议，请于公示期内，以书面的形式向我公司反映。若在公示期内未提出异议，则视为认同该评标结果。</w:t>
      </w:r>
    </w:p>
    <w:p>
      <w:pPr>
        <w:tabs>
          <w:tab w:val="clear" w:pos="426"/>
        </w:tabs>
        <w:rPr>
          <w:rFonts w:hint="eastAsia"/>
        </w:rPr>
      </w:pPr>
      <w:r>
        <w:rPr>
          <w:rFonts w:hint="eastAsia"/>
        </w:rPr>
        <w:t>41.2质疑投诉人应保证质疑投诉内容的真实性和可靠性，并承担相应的法律责任。</w:t>
      </w:r>
    </w:p>
    <w:p>
      <w:pPr>
        <w:tabs>
          <w:tab w:val="clear" w:pos="426"/>
        </w:tabs>
        <w:rPr>
          <w:rFonts w:hint="eastAsia"/>
        </w:rPr>
      </w:pPr>
      <w:r>
        <w:rPr>
          <w:rFonts w:hint="eastAsia"/>
        </w:rPr>
        <w:t>42．中标通知书</w:t>
      </w:r>
    </w:p>
    <w:p>
      <w:pPr>
        <w:tabs>
          <w:tab w:val="clear" w:pos="426"/>
        </w:tabs>
        <w:rPr>
          <w:rFonts w:hint="eastAsia"/>
        </w:rPr>
      </w:pPr>
      <w:r>
        <w:rPr>
          <w:rFonts w:hint="eastAsia"/>
        </w:rPr>
        <w:t>42</w:t>
      </w:r>
      <w:r>
        <w:t>.</w:t>
      </w:r>
      <w:r>
        <w:rPr>
          <w:rFonts w:hint="eastAsia"/>
        </w:rPr>
        <w:t>1中标公告公布后,公示期内无人投诉,请中标供应商凭单位证明及本人身份证到采购代理机构领取《中标通知书》。</w:t>
      </w:r>
    </w:p>
    <w:p>
      <w:pPr>
        <w:tabs>
          <w:tab w:val="clear" w:pos="426"/>
        </w:tabs>
        <w:rPr>
          <w:rFonts w:hint="eastAsia"/>
        </w:rPr>
      </w:pPr>
      <w:r>
        <w:rPr>
          <w:rFonts w:hint="eastAsia"/>
        </w:rPr>
        <w:t>42</w:t>
      </w:r>
      <w:r>
        <w:t>.2</w:t>
      </w:r>
      <w:r>
        <w:rPr>
          <w:rFonts w:hint="eastAsia"/>
        </w:rPr>
        <w:t>中标通知书是合同的重要组成部分。</w:t>
      </w:r>
    </w:p>
    <w:p>
      <w:pPr>
        <w:tabs>
          <w:tab w:val="clear" w:pos="426"/>
        </w:tabs>
        <w:rPr>
          <w:rFonts w:hint="eastAsia"/>
        </w:rPr>
      </w:pPr>
      <w:r>
        <w:rPr>
          <w:rFonts w:hint="eastAsia"/>
        </w:rPr>
        <w:t>42.3因质疑投诉或其它原因导致项目结果变更或采购终止的，我公司有权收回中标通知书或终止采购合同。</w:t>
      </w:r>
    </w:p>
    <w:p>
      <w:pPr>
        <w:pStyle w:val="5"/>
        <w:tabs>
          <w:tab w:val="clear" w:pos="426"/>
        </w:tabs>
        <w:rPr>
          <w:rFonts w:hint="eastAsia"/>
        </w:rPr>
      </w:pPr>
      <w:bookmarkStart w:id="188" w:name="_Toc529280588"/>
      <w:bookmarkStart w:id="189" w:name="_Toc14427261"/>
      <w:bookmarkStart w:id="190" w:name="_Toc1549"/>
      <w:bookmarkStart w:id="191" w:name="_Toc530152529"/>
      <w:r>
        <w:rPr>
          <w:rFonts w:hint="eastAsia"/>
        </w:rPr>
        <w:t>第八章 公开招标失败的后续处理</w:t>
      </w:r>
      <w:bookmarkEnd w:id="188"/>
      <w:bookmarkEnd w:id="189"/>
      <w:bookmarkEnd w:id="190"/>
      <w:bookmarkEnd w:id="191"/>
    </w:p>
    <w:p>
      <w:pPr>
        <w:rPr>
          <w:rFonts w:hAnsi="Times New Roman"/>
        </w:rPr>
      </w:pPr>
      <w:r>
        <w:rPr>
          <w:rFonts w:hint="eastAsia"/>
        </w:rPr>
        <w:t>43．公开招标失败的处理</w:t>
      </w:r>
    </w:p>
    <w:p>
      <w:pPr>
        <w:tabs>
          <w:tab w:val="clear" w:pos="426"/>
        </w:tabs>
        <w:rPr>
          <w:rFonts w:hint="eastAsia"/>
        </w:rPr>
      </w:pPr>
      <w:r>
        <w:rPr>
          <w:rFonts w:hint="eastAsia" w:hAnsi="Times New Roman"/>
          <w:szCs w:val="21"/>
        </w:rPr>
        <w:t>43.1</w:t>
      </w:r>
      <w:r>
        <w:rPr>
          <w:rFonts w:hint="eastAsia"/>
          <w:szCs w:val="21"/>
        </w:rPr>
        <w:t>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pPr>
        <w:tabs>
          <w:tab w:val="clear" w:pos="426"/>
        </w:tabs>
        <w:rPr>
          <w:rFonts w:hint="eastAsia"/>
        </w:rPr>
      </w:pPr>
      <w:r>
        <w:rPr>
          <w:rFonts w:hint="eastAsia"/>
        </w:rPr>
        <w:t>43.2对公开招标失败的项目，评标委员会在出具该项目招标失败结论的同时，提出重新采购组织形式的建议，以及进一步完善招标文件的资格、技术、商务要求的修改建议。</w:t>
      </w:r>
    </w:p>
    <w:p>
      <w:pPr>
        <w:tabs>
          <w:tab w:val="clear" w:pos="426"/>
        </w:tabs>
        <w:rPr>
          <w:rFonts w:hint="eastAsia"/>
        </w:rPr>
      </w:pPr>
      <w:r>
        <w:rPr>
          <w:rFonts w:hint="eastAsia"/>
        </w:rPr>
        <w:t>43.3评审委员会要在采购项目招标失败时，出具招标文件是否存在不合理条款的论证意见，要协助采购人、采购代理机构、财政部门答复质疑或处理投诉事项。</w:t>
      </w:r>
    </w:p>
    <w:p>
      <w:pPr>
        <w:tabs>
          <w:tab w:val="clear" w:pos="426"/>
        </w:tabs>
        <w:rPr>
          <w:rFonts w:hint="eastAsia"/>
        </w:rPr>
      </w:pPr>
      <w:r>
        <w:rPr>
          <w:rFonts w:hint="eastAsia"/>
        </w:rPr>
        <w:t>43.4重新组织采购有以下两种组织形式：</w:t>
      </w:r>
    </w:p>
    <w:p>
      <w:pPr>
        <w:tabs>
          <w:tab w:val="clear" w:pos="426"/>
        </w:tabs>
        <w:rPr>
          <w:rFonts w:hint="eastAsia"/>
        </w:rPr>
      </w:pPr>
      <w:r>
        <w:rPr>
          <w:rFonts w:hint="eastAsia"/>
        </w:rPr>
        <w:t>（1）由采购代理机构重新组织公开招标；</w:t>
      </w:r>
    </w:p>
    <w:p>
      <w:pPr>
        <w:tabs>
          <w:tab w:val="clear" w:pos="426"/>
        </w:tabs>
        <w:rPr>
          <w:rFonts w:hint="eastAsia"/>
        </w:rPr>
      </w:pPr>
      <w:r>
        <w:rPr>
          <w:rFonts w:hint="eastAsia"/>
        </w:rPr>
        <w:t>（2）根据实际情况需要向相关监督管理部门提出非公开招标方式申请，经相关监督管理部门批准公开招标失败采购项目可转为竞争性谈判或单一来源谈判方式采购。</w:t>
      </w:r>
    </w:p>
    <w:p>
      <w:pPr>
        <w:tabs>
          <w:tab w:val="clear" w:pos="426"/>
        </w:tabs>
        <w:rPr>
          <w:rFonts w:hint="eastAsia"/>
        </w:rPr>
      </w:pPr>
      <w:r>
        <w:rPr>
          <w:rFonts w:hint="eastAsia"/>
        </w:rPr>
        <w:t>43.5公开招标失败的采购项目重新组织公开招标，采购代理机构要重新按公开招标流程发布采购公告和招标文件、组成评标委员会等组织采购活动。</w:t>
      </w:r>
    </w:p>
    <w:p>
      <w:pPr>
        <w:tabs>
          <w:tab w:val="clear" w:pos="426"/>
        </w:tabs>
        <w:rPr>
          <w:rFonts w:hint="eastAsia"/>
        </w:rPr>
      </w:pPr>
      <w:r>
        <w:rPr>
          <w:rFonts w:hint="eastAsia"/>
        </w:rPr>
        <w:t>43.6公开招标失败的采购项目经相关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rFonts w:hint="eastAsia"/>
        </w:rPr>
      </w:pPr>
      <w:r>
        <w:rPr>
          <w:rFonts w:hint="eastAsia"/>
        </w:rPr>
        <w:t>44．公开招标失败项目转为竞争性谈判方式采购的</w:t>
      </w:r>
    </w:p>
    <w:p>
      <w:pPr>
        <w:tabs>
          <w:tab w:val="clear" w:pos="426"/>
        </w:tabs>
        <w:rPr>
          <w:rFonts w:hint="eastAsia"/>
        </w:rPr>
      </w:pPr>
      <w:r>
        <w:rPr>
          <w:rFonts w:hint="eastAsia"/>
        </w:rPr>
        <w:t>44.1谈判文件</w:t>
      </w:r>
    </w:p>
    <w:p>
      <w:pPr>
        <w:tabs>
          <w:tab w:val="clear" w:pos="426"/>
        </w:tabs>
        <w:rPr>
          <w:rFonts w:hint="eastAsia"/>
        </w:rPr>
      </w:pPr>
      <w:r>
        <w:rPr>
          <w:rFonts w:hint="eastAsia"/>
        </w:rPr>
        <w:t>44.1.1公开招标失败项目转为竞争性谈判方式采购的，原招标文件转为谈判文件。</w:t>
      </w:r>
    </w:p>
    <w:p>
      <w:pPr>
        <w:tabs>
          <w:tab w:val="clear" w:pos="426"/>
        </w:tabs>
        <w:rPr>
          <w:rFonts w:hint="eastAsia"/>
        </w:rPr>
      </w:pPr>
      <w:r>
        <w:rPr>
          <w:rFonts w:hint="eastAsia"/>
        </w:rPr>
        <w:t>44.2谈判小组</w:t>
      </w:r>
    </w:p>
    <w:p>
      <w:pPr>
        <w:tabs>
          <w:tab w:val="clear" w:pos="426"/>
        </w:tabs>
        <w:rPr>
          <w:rFonts w:hint="eastAsia"/>
        </w:rPr>
      </w:pPr>
      <w:r>
        <w:rPr>
          <w:rFonts w:hint="eastAsia"/>
        </w:rPr>
        <w:t>44.2.1公开招标失败项目转为竞争性谈判方式采购后，评标委员会转为谈判小组；专家可重新抽取也可继续采用评标委员会内专家。</w:t>
      </w:r>
    </w:p>
    <w:p>
      <w:pPr>
        <w:tabs>
          <w:tab w:val="clear" w:pos="426"/>
        </w:tabs>
        <w:rPr>
          <w:rFonts w:hint="eastAsia"/>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w:t>
      </w:r>
      <w:r>
        <w:rPr>
          <w:rFonts w:hint="eastAsia"/>
          <w:bCs/>
        </w:rPr>
        <w:t>”</w:t>
      </w:r>
      <w:r>
        <w:rPr>
          <w:rFonts w:hint="eastAsia"/>
        </w:rPr>
        <w:t>部分以及谈判邀请中相应的变动部分。</w:t>
      </w:r>
    </w:p>
    <w:p>
      <w:pPr>
        <w:tabs>
          <w:tab w:val="clear" w:pos="426"/>
        </w:tabs>
        <w:rPr>
          <w:rFonts w:hint="eastAsia"/>
        </w:rPr>
      </w:pPr>
      <w:r>
        <w:rPr>
          <w:rFonts w:hint="eastAsia"/>
        </w:rPr>
        <w:t>44.3谈判程序</w:t>
      </w:r>
    </w:p>
    <w:p>
      <w:pPr>
        <w:tabs>
          <w:tab w:val="clear" w:pos="426"/>
        </w:tabs>
        <w:rPr>
          <w:rFonts w:hint="eastAsia"/>
        </w:rPr>
      </w:pPr>
      <w:r>
        <w:rPr>
          <w:rFonts w:hint="eastAsia"/>
        </w:rPr>
        <w:t>44.3.1参加谈判的供应商和谈判小组成员填写谈判登记表，并交验证明文件（法定代表人证明书、法人授权委托书、被授权的谈判代表身份证原件）。</w:t>
      </w:r>
    </w:p>
    <w:p>
      <w:pPr>
        <w:tabs>
          <w:tab w:val="clear" w:pos="426"/>
        </w:tabs>
        <w:rPr>
          <w:rFonts w:hint="eastAsia"/>
        </w:rPr>
      </w:pPr>
      <w:r>
        <w:rPr>
          <w:rFonts w:hint="eastAsia"/>
        </w:rPr>
        <w:t>44.3</w:t>
      </w:r>
      <w:r>
        <w:t>.2</w:t>
      </w:r>
      <w:r>
        <w:rPr>
          <w:rFonts w:hint="eastAsia"/>
        </w:rPr>
        <w:t>谈判小组主持人宣布谈判规则和谈判纪律。</w:t>
      </w:r>
    </w:p>
    <w:p>
      <w:pPr>
        <w:tabs>
          <w:tab w:val="clear" w:pos="426"/>
        </w:tabs>
        <w:rPr>
          <w:rFonts w:hint="eastAsia"/>
        </w:rPr>
      </w:pPr>
      <w:r>
        <w:rPr>
          <w:rFonts w:hint="eastAsia"/>
        </w:rPr>
        <w:t>44.3</w:t>
      </w:r>
      <w:r>
        <w:t>.3</w:t>
      </w:r>
      <w:r>
        <w:rPr>
          <w:rFonts w:hint="eastAsia"/>
        </w:rPr>
        <w:t>在谈判中，谈判小组将就以下谈判内容跟供应商进行谈判：</w:t>
      </w:r>
    </w:p>
    <w:p>
      <w:pPr>
        <w:tabs>
          <w:tab w:val="clear" w:pos="426"/>
        </w:tabs>
        <w:rPr>
          <w:rFonts w:hint="eastAsia"/>
        </w:rPr>
      </w:pPr>
      <w:r>
        <w:rPr>
          <w:rFonts w:hint="eastAsia"/>
        </w:rPr>
        <w:t>（</w:t>
      </w:r>
      <w:r>
        <w:t>1</w:t>
      </w:r>
      <w:r>
        <w:rPr>
          <w:rFonts w:hint="eastAsia"/>
        </w:rPr>
        <w:t>）项目方案；</w:t>
      </w:r>
    </w:p>
    <w:p>
      <w:pPr>
        <w:tabs>
          <w:tab w:val="clear" w:pos="426"/>
        </w:tabs>
        <w:rPr>
          <w:rFonts w:hint="eastAsia"/>
        </w:rPr>
      </w:pPr>
      <w:r>
        <w:rPr>
          <w:rFonts w:hint="eastAsia"/>
        </w:rPr>
        <w:t>（2）报价；</w:t>
      </w:r>
    </w:p>
    <w:p>
      <w:pPr>
        <w:tabs>
          <w:tab w:val="clear" w:pos="426"/>
        </w:tabs>
        <w:rPr>
          <w:rFonts w:hint="eastAsia"/>
        </w:rPr>
      </w:pPr>
      <w:r>
        <w:rPr>
          <w:rFonts w:hint="eastAsia"/>
        </w:rPr>
        <w:t>（3）其它相关事项。</w:t>
      </w:r>
    </w:p>
    <w:p>
      <w:pPr>
        <w:tabs>
          <w:tab w:val="clear" w:pos="426"/>
        </w:tabs>
        <w:rPr>
          <w:rFonts w:hint="eastAsia"/>
        </w:rPr>
      </w:pPr>
      <w:r>
        <w:rPr>
          <w:rFonts w:hint="eastAsia"/>
        </w:rPr>
        <w:t>原招标文件或谈判邀请文件有实质性变动的，谈判小组应当通过采购代理机构通知所有参加谈判的供应商。</w:t>
      </w:r>
    </w:p>
    <w:p>
      <w:pPr>
        <w:tabs>
          <w:tab w:val="clear" w:pos="426"/>
        </w:tabs>
        <w:rPr>
          <w:rFonts w:hint="eastAsia"/>
        </w:rPr>
      </w:pPr>
      <w:r>
        <w:rPr>
          <w:rFonts w:hint="eastAsia"/>
        </w:rPr>
        <w:t>44.3.4谈判小组可以用书面形式要求各供应商对其谈判应答文件含义不明确的内容作必要的澄清或者说明，重要问题供应商应以书面形式进行澄清、说明。</w:t>
      </w:r>
    </w:p>
    <w:p>
      <w:pPr>
        <w:tabs>
          <w:tab w:val="clear" w:pos="426"/>
        </w:tabs>
        <w:rPr>
          <w:rFonts w:hint="eastAsia"/>
        </w:rPr>
      </w:pPr>
      <w:r>
        <w:rPr>
          <w:rFonts w:hint="eastAsia"/>
        </w:rPr>
        <w:t>44.3</w:t>
      </w:r>
      <w:r>
        <w:t>.</w:t>
      </w:r>
      <w:r>
        <w:rPr>
          <w:rFonts w:hint="eastAsia"/>
        </w:rPr>
        <w:t>5 允许供应商在谈判结束之前根据谈判小组提出的内容进行澄清、修改或完善，或对项目方案进行相应的调整。</w:t>
      </w:r>
    </w:p>
    <w:p>
      <w:pPr>
        <w:tabs>
          <w:tab w:val="clear" w:pos="426"/>
        </w:tabs>
        <w:rPr>
          <w:rFonts w:hint="eastAsia"/>
        </w:rPr>
      </w:pPr>
      <w:r>
        <w:rPr>
          <w:rFonts w:hint="eastAsia"/>
        </w:rPr>
        <w:t>44.3</w:t>
      </w:r>
      <w:r>
        <w:t>.</w:t>
      </w:r>
      <w:r>
        <w:rPr>
          <w:rFonts w:hint="eastAsia"/>
        </w:rPr>
        <w:t>6供应商对谈判应答文件进行修改，都应形成文字材料，并经供应商谈判授权人签字认可。</w:t>
      </w:r>
    </w:p>
    <w:p>
      <w:pPr>
        <w:tabs>
          <w:tab w:val="clear" w:pos="426"/>
        </w:tabs>
        <w:rPr>
          <w:rFonts w:hint="eastAsia"/>
        </w:rPr>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rFonts w:hint="eastAsia"/>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具体内容见原招标文件中不符合“资格、符合性评审条款”部分以及谈判邀请中相应的变动部分。</w:t>
      </w:r>
    </w:p>
    <w:p>
      <w:pPr>
        <w:tabs>
          <w:tab w:val="clear" w:pos="426"/>
        </w:tabs>
        <w:rPr>
          <w:rFonts w:hint="eastAsia"/>
        </w:rPr>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rPr>
          <w:rFonts w:hint="eastAsia"/>
        </w:rPr>
      </w:pPr>
      <w:r>
        <w:rPr>
          <w:rFonts w:hint="eastAsia"/>
        </w:rPr>
        <w:t>44.3.10谈判小组将对谈判过程进行记录，以存档备查。</w:t>
      </w:r>
    </w:p>
    <w:p>
      <w:pPr>
        <w:tabs>
          <w:tab w:val="clear" w:pos="426"/>
        </w:tabs>
        <w:rPr>
          <w:rFonts w:hint="eastAsia"/>
        </w:rPr>
      </w:pPr>
      <w:r>
        <w:rPr>
          <w:rFonts w:hint="eastAsia"/>
        </w:rPr>
        <w:t>44.4评标方法和定标原则</w:t>
      </w:r>
    </w:p>
    <w:p>
      <w:pPr>
        <w:tabs>
          <w:tab w:val="clear" w:pos="426"/>
        </w:tabs>
        <w:rPr>
          <w:rFonts w:hint="eastAsia"/>
        </w:rPr>
      </w:pPr>
      <w:r>
        <w:rPr>
          <w:rFonts w:hint="eastAsia"/>
        </w:rPr>
        <w:t>44.4.1竞争性谈判采购项目的评标方法要比照最低评标价法规定执行。如确因实际情况需要采用其他评标方法的，应报经同级相关监督管理部门批准。原招标文件若采用</w:t>
      </w:r>
      <w:r>
        <w:rPr>
          <w:rFonts w:hint="eastAsia"/>
          <w:bCs/>
        </w:rPr>
        <w:t>最低评标价法以外的评标方法，转为竞争性谈判后，评标方法应采用</w:t>
      </w:r>
      <w:r>
        <w:rPr>
          <w:rFonts w:hint="eastAsia"/>
        </w:rPr>
        <w:t>最低评标价法。</w:t>
      </w:r>
    </w:p>
    <w:p>
      <w:pPr>
        <w:tabs>
          <w:tab w:val="clear" w:pos="426"/>
        </w:tabs>
        <w:rPr>
          <w:rFonts w:hint="eastAsia"/>
        </w:rPr>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Cs/>
        </w:rPr>
        <w:t>最低评标价法</w:t>
      </w:r>
      <w:r>
        <w:rPr>
          <w:rFonts w:hint="eastAsia"/>
        </w:rPr>
        <w:t>进行评审。</w:t>
      </w:r>
    </w:p>
    <w:p>
      <w:pPr>
        <w:tabs>
          <w:tab w:val="clear" w:pos="426"/>
        </w:tabs>
        <w:rPr>
          <w:rFonts w:hint="eastAsia"/>
        </w:rPr>
      </w:pPr>
      <w:r>
        <w:rPr>
          <w:rFonts w:hint="eastAsia"/>
        </w:rPr>
        <w:t>44.4.3若要采用其他评标方法的，必须报经相关监督管理部门批准，谈判小组按批准的评标方法进行评审。谈判邀请文件中应注明批准的评标方法。</w:t>
      </w:r>
    </w:p>
    <w:p>
      <w:pPr>
        <w:tabs>
          <w:tab w:val="clear" w:pos="426"/>
        </w:tabs>
        <w:rPr>
          <w:rFonts w:hint="eastAsia"/>
        </w:rPr>
      </w:pPr>
      <w:r>
        <w:rPr>
          <w:rFonts w:hint="eastAsia"/>
        </w:rPr>
        <w:t>44.4.4谈判小组向采购代理机构提交书面评标报告，并推荐中标候选人或确定中标供应商。</w:t>
      </w:r>
    </w:p>
    <w:p>
      <w:pPr>
        <w:tabs>
          <w:tab w:val="clear" w:pos="426"/>
        </w:tabs>
        <w:rPr>
          <w:rFonts w:hint="eastAsia"/>
        </w:rPr>
      </w:pPr>
      <w:r>
        <w:rPr>
          <w:rFonts w:hint="eastAsia"/>
        </w:rPr>
        <w:t>45．公开招标失败项目转为单一来源谈判方式采购</w:t>
      </w:r>
    </w:p>
    <w:p>
      <w:pPr>
        <w:tabs>
          <w:tab w:val="clear" w:pos="426"/>
        </w:tabs>
        <w:rPr>
          <w:rFonts w:hint="eastAsia"/>
        </w:rPr>
      </w:pPr>
      <w:r>
        <w:rPr>
          <w:rFonts w:hint="eastAsia"/>
        </w:rPr>
        <w:t>45.1谈判文件</w:t>
      </w:r>
    </w:p>
    <w:p>
      <w:pPr>
        <w:tabs>
          <w:tab w:val="clear" w:pos="426"/>
        </w:tabs>
        <w:rPr>
          <w:rFonts w:hint="eastAsia"/>
        </w:rPr>
      </w:pPr>
      <w:r>
        <w:rPr>
          <w:rFonts w:hint="eastAsia"/>
        </w:rPr>
        <w:t>45.1.1公开招标失败项目转为单一来源谈判方式采购的，原招标文件转为谈判文件。</w:t>
      </w:r>
    </w:p>
    <w:p>
      <w:pPr>
        <w:tabs>
          <w:tab w:val="clear" w:pos="426"/>
        </w:tabs>
        <w:rPr>
          <w:rFonts w:hint="eastAsia"/>
        </w:rPr>
      </w:pPr>
      <w:r>
        <w:rPr>
          <w:rFonts w:hint="eastAsia"/>
        </w:rPr>
        <w:t>45.2谈判小组</w:t>
      </w:r>
    </w:p>
    <w:p>
      <w:pPr>
        <w:tabs>
          <w:tab w:val="clear" w:pos="426"/>
        </w:tabs>
        <w:rPr>
          <w:rFonts w:hint="eastAsia"/>
        </w:rPr>
      </w:pPr>
      <w:r>
        <w:rPr>
          <w:rFonts w:hint="eastAsia"/>
        </w:rPr>
        <w:t>45.2.1公开招标失败项目转为单一来源谈判方式采购后，评标委员会转为谈判小组，专家可重新抽取也可继续采用评标委员会内专家。</w:t>
      </w:r>
    </w:p>
    <w:p>
      <w:pPr>
        <w:tabs>
          <w:tab w:val="clear" w:pos="426"/>
        </w:tabs>
        <w:rPr>
          <w:rFonts w:hint="eastAsia"/>
        </w:rPr>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具体内容见原招标文件中“资格、符合性评审条款</w:t>
      </w:r>
      <w:r>
        <w:rPr>
          <w:rFonts w:hint="eastAsia"/>
          <w:bCs/>
        </w:rPr>
        <w:t>”</w:t>
      </w:r>
      <w:r>
        <w:rPr>
          <w:rFonts w:hint="eastAsia"/>
        </w:rPr>
        <w:t>部分以及谈判邀请中相应的变动部分。</w:t>
      </w:r>
    </w:p>
    <w:p>
      <w:pPr>
        <w:tabs>
          <w:tab w:val="clear" w:pos="426"/>
        </w:tabs>
        <w:rPr>
          <w:rFonts w:hint="eastAsia"/>
        </w:rPr>
      </w:pPr>
      <w:r>
        <w:rPr>
          <w:rFonts w:hint="eastAsia"/>
        </w:rPr>
        <w:t>45.3谈判程序</w:t>
      </w:r>
    </w:p>
    <w:p>
      <w:pPr>
        <w:tabs>
          <w:tab w:val="clear" w:pos="426"/>
        </w:tabs>
        <w:rPr>
          <w:rFonts w:hint="eastAsia"/>
        </w:rPr>
      </w:pPr>
      <w:r>
        <w:rPr>
          <w:rFonts w:hint="eastAsia"/>
        </w:rPr>
        <w:t>45.3.1参加谈判的供应商和谈判小组成员填写谈判登记表，并交验证明文件（法定代表人证明书、法人授权委托书、被授权的谈判代表身份证原件）。</w:t>
      </w:r>
    </w:p>
    <w:p>
      <w:pPr>
        <w:tabs>
          <w:tab w:val="clear" w:pos="426"/>
        </w:tabs>
        <w:rPr>
          <w:rFonts w:hint="eastAsia"/>
        </w:rPr>
      </w:pPr>
      <w:r>
        <w:rPr>
          <w:rFonts w:hint="eastAsia"/>
        </w:rPr>
        <w:t>45.3</w:t>
      </w:r>
      <w:r>
        <w:t>.2</w:t>
      </w:r>
      <w:r>
        <w:rPr>
          <w:rFonts w:hint="eastAsia"/>
        </w:rPr>
        <w:t>谈判小组主持人宣布谈判规则和谈判纪律。</w:t>
      </w:r>
    </w:p>
    <w:p>
      <w:pPr>
        <w:tabs>
          <w:tab w:val="clear" w:pos="426"/>
        </w:tabs>
        <w:rPr>
          <w:rFonts w:hint="eastAsia"/>
        </w:rPr>
      </w:pPr>
      <w:r>
        <w:rPr>
          <w:rFonts w:hint="eastAsia"/>
        </w:rPr>
        <w:t>45.3</w:t>
      </w:r>
      <w:r>
        <w:t>.3</w:t>
      </w:r>
      <w:r>
        <w:rPr>
          <w:rFonts w:hint="eastAsia"/>
        </w:rPr>
        <w:t>在谈判中，谈判小组将就以下谈判内容跟供应商进行谈判：</w:t>
      </w:r>
    </w:p>
    <w:p>
      <w:pPr>
        <w:tabs>
          <w:tab w:val="clear" w:pos="426"/>
        </w:tabs>
        <w:rPr>
          <w:rFonts w:hint="eastAsia"/>
        </w:rPr>
      </w:pPr>
      <w:r>
        <w:rPr>
          <w:rFonts w:hint="eastAsia"/>
        </w:rPr>
        <w:t>（</w:t>
      </w:r>
      <w:r>
        <w:t>1</w:t>
      </w:r>
      <w:r>
        <w:rPr>
          <w:rFonts w:hint="eastAsia"/>
        </w:rPr>
        <w:t>）项目方案；</w:t>
      </w:r>
    </w:p>
    <w:p>
      <w:pPr>
        <w:tabs>
          <w:tab w:val="clear" w:pos="426"/>
        </w:tabs>
        <w:rPr>
          <w:rFonts w:hint="eastAsia"/>
        </w:rPr>
      </w:pPr>
      <w:r>
        <w:rPr>
          <w:rFonts w:hint="eastAsia"/>
        </w:rPr>
        <w:t>（2）报价；</w:t>
      </w:r>
    </w:p>
    <w:p>
      <w:pPr>
        <w:tabs>
          <w:tab w:val="clear" w:pos="426"/>
        </w:tabs>
        <w:rPr>
          <w:rFonts w:hint="eastAsia"/>
        </w:rPr>
      </w:pPr>
      <w:r>
        <w:rPr>
          <w:rFonts w:hint="eastAsia"/>
        </w:rPr>
        <w:t>（3）其它相关事项。</w:t>
      </w:r>
    </w:p>
    <w:p>
      <w:pPr>
        <w:tabs>
          <w:tab w:val="clear" w:pos="426"/>
        </w:tabs>
        <w:rPr>
          <w:rFonts w:hint="eastAsia"/>
        </w:rPr>
      </w:pPr>
      <w:r>
        <w:rPr>
          <w:rFonts w:hint="eastAsia"/>
        </w:rPr>
        <w:t>原招标文件或谈判邀请文件有实质性变动的，谈判小组应当通过采购代理机构通知供应商。</w:t>
      </w:r>
    </w:p>
    <w:p>
      <w:pPr>
        <w:tabs>
          <w:tab w:val="clear" w:pos="426"/>
        </w:tabs>
        <w:rPr>
          <w:rFonts w:hint="eastAsia"/>
        </w:rPr>
      </w:pPr>
      <w:r>
        <w:rPr>
          <w:rFonts w:hint="eastAsia"/>
        </w:rPr>
        <w:t>45.3.4谈判小组可以用书面形式要求供应商对其谈判应答文件含义不明确的内容作必要的澄清或者说明，重要问题供应商应以书面形式进行澄清、说明。</w:t>
      </w:r>
    </w:p>
    <w:p>
      <w:pPr>
        <w:tabs>
          <w:tab w:val="clear" w:pos="426"/>
        </w:tabs>
        <w:rPr>
          <w:rFonts w:hint="eastAsia"/>
        </w:rPr>
      </w:pPr>
      <w:r>
        <w:rPr>
          <w:rFonts w:hint="eastAsia"/>
        </w:rPr>
        <w:t>45.3</w:t>
      </w:r>
      <w:r>
        <w:t>.</w:t>
      </w:r>
      <w:r>
        <w:rPr>
          <w:rFonts w:hint="eastAsia"/>
        </w:rPr>
        <w:t>5 允许供应商在谈判结束之前根据谈判小组提出的内容进行澄清、修改或完善，或对项目方案进行相应的调整。</w:t>
      </w:r>
    </w:p>
    <w:p>
      <w:pPr>
        <w:tabs>
          <w:tab w:val="clear" w:pos="426"/>
        </w:tabs>
        <w:rPr>
          <w:rFonts w:hint="eastAsia"/>
        </w:rPr>
      </w:pPr>
      <w:r>
        <w:rPr>
          <w:rFonts w:hint="eastAsia"/>
        </w:rPr>
        <w:t>45.3</w:t>
      </w:r>
      <w:r>
        <w:t>.</w:t>
      </w:r>
      <w:r>
        <w:rPr>
          <w:rFonts w:hint="eastAsia"/>
        </w:rPr>
        <w:t>6供应商对谈判应答文件进行修改，都应形成文字材料，并经供应商谈判授权人签字认可。</w:t>
      </w:r>
    </w:p>
    <w:p>
      <w:pPr>
        <w:tabs>
          <w:tab w:val="clear" w:pos="426"/>
        </w:tabs>
        <w:rPr>
          <w:rFonts w:hint="eastAsia"/>
        </w:rPr>
      </w:pPr>
      <w:r>
        <w:rPr>
          <w:rFonts w:hint="eastAsia"/>
        </w:rPr>
        <w:t>45.3.7谈判小组与单一来源供应商进行谈判。供应商有两次更改机会；供应商应在规定的时间内提出最后更改及书面承诺。</w:t>
      </w:r>
    </w:p>
    <w:p>
      <w:pPr>
        <w:tabs>
          <w:tab w:val="clear" w:pos="426"/>
        </w:tabs>
        <w:rPr>
          <w:rFonts w:hint="eastAsia"/>
          <w:szCs w:val="21"/>
        </w:rPr>
      </w:pPr>
      <w:r>
        <w:rPr>
          <w:rFonts w:hint="eastAsia"/>
          <w:szCs w:val="21"/>
        </w:rPr>
        <w:t>45.3.8有下列情形之一的，供应商的谈判结果作废标处理，</w:t>
      </w:r>
      <w:r>
        <w:rPr>
          <w:rFonts w:hint="eastAsia"/>
        </w:rPr>
        <w:t>具体内容见原招标文件中不符合“资格、符合性评审条款”部分以及谈判邀请中相应的变动部分。</w:t>
      </w:r>
    </w:p>
    <w:p>
      <w:pPr>
        <w:tabs>
          <w:tab w:val="clear" w:pos="426"/>
        </w:tabs>
        <w:rPr>
          <w:rFonts w:hint="eastAsia"/>
        </w:rPr>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rPr>
          <w:rFonts w:hint="eastAsia"/>
        </w:rPr>
      </w:pPr>
      <w:r>
        <w:rPr>
          <w:rFonts w:hint="eastAsia"/>
        </w:rPr>
        <w:t>45.3.10谈判小组将对谈判过程进行记录，以存档备查。</w:t>
      </w:r>
    </w:p>
    <w:p>
      <w:pPr>
        <w:tabs>
          <w:tab w:val="clear" w:pos="426"/>
        </w:tabs>
        <w:rPr>
          <w:rFonts w:hint="eastAsia"/>
        </w:rPr>
      </w:pPr>
      <w:r>
        <w:rPr>
          <w:rFonts w:hint="eastAsia"/>
        </w:rPr>
        <w:t>45.4评标方法和定标原则</w:t>
      </w:r>
    </w:p>
    <w:p>
      <w:pPr>
        <w:tabs>
          <w:tab w:val="clear" w:pos="426"/>
        </w:tabs>
        <w:rPr>
          <w:rFonts w:hint="eastAsia"/>
        </w:rPr>
      </w:pPr>
      <w:r>
        <w:rPr>
          <w:rFonts w:hint="eastAsia"/>
          <w:szCs w:val="21"/>
        </w:rPr>
        <w:t>45.4.1单一来源谈判采用最低评标价法。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Cs/>
        </w:rPr>
        <w:t>最低评标价法</w:t>
      </w:r>
      <w:r>
        <w:rPr>
          <w:rFonts w:hint="eastAsia"/>
        </w:rPr>
        <w:t>进行评审。</w:t>
      </w:r>
    </w:p>
    <w:p>
      <w:pPr>
        <w:tabs>
          <w:tab w:val="clear" w:pos="426"/>
        </w:tabs>
        <w:rPr>
          <w:rFonts w:hint="eastAsia"/>
          <w:szCs w:val="21"/>
        </w:rPr>
      </w:pPr>
      <w:r>
        <w:rPr>
          <w:rFonts w:hint="eastAsia"/>
        </w:rPr>
        <w:t>45.4.2谈判小组向采购代理机构提交书面评标报告，并推荐中标候选人或确定中标供应商。</w:t>
      </w:r>
    </w:p>
    <w:p>
      <w:pPr>
        <w:pStyle w:val="5"/>
        <w:tabs>
          <w:tab w:val="clear" w:pos="426"/>
        </w:tabs>
        <w:rPr>
          <w:rFonts w:hint="eastAsia"/>
          <w:sz w:val="28"/>
          <w:szCs w:val="28"/>
        </w:rPr>
      </w:pPr>
      <w:bookmarkStart w:id="192" w:name="_Toc530152530"/>
      <w:bookmarkStart w:id="193" w:name="_Toc529280589"/>
      <w:bookmarkStart w:id="194" w:name="_Toc14427262"/>
      <w:bookmarkStart w:id="195" w:name="_Toc27804"/>
      <w:r>
        <w:rPr>
          <w:rFonts w:hint="eastAsia"/>
        </w:rPr>
        <w:t>第九章 合同的授予与备案</w:t>
      </w:r>
      <w:bookmarkEnd w:id="192"/>
      <w:bookmarkEnd w:id="193"/>
      <w:bookmarkEnd w:id="194"/>
      <w:bookmarkEnd w:id="195"/>
    </w:p>
    <w:p>
      <w:pPr>
        <w:tabs>
          <w:tab w:val="clear" w:pos="426"/>
        </w:tabs>
        <w:rPr>
          <w:rFonts w:hint="eastAsia"/>
        </w:rPr>
      </w:pPr>
      <w:r>
        <w:rPr>
          <w:rFonts w:hint="eastAsia"/>
        </w:rPr>
        <w:t>46．  履约担保</w:t>
      </w:r>
    </w:p>
    <w:p>
      <w:pPr>
        <w:tabs>
          <w:tab w:val="clear" w:pos="426"/>
        </w:tabs>
        <w:rPr>
          <w:rFonts w:hint="eastAsia"/>
        </w:rPr>
      </w:pPr>
      <w:r>
        <w:rPr>
          <w:rFonts w:hint="eastAsia"/>
        </w:rPr>
        <w:t>46.1  本项目履约担保的相关要求：详见“投标须知前附表”。</w:t>
      </w:r>
    </w:p>
    <w:p>
      <w:pPr>
        <w:tabs>
          <w:tab w:val="clear" w:pos="426"/>
        </w:tabs>
        <w:rPr>
          <w:rFonts w:hint="eastAsia"/>
        </w:rPr>
      </w:pPr>
      <w:r>
        <w:rPr>
          <w:rFonts w:hint="eastAsia"/>
        </w:rPr>
        <w:t>46.2  在签订合同前，中标供应商应按规定向采购人提交履约担保，采用履约保函形式的可参照使用本招标文件提供的格式。</w:t>
      </w:r>
    </w:p>
    <w:p>
      <w:pPr>
        <w:tabs>
          <w:tab w:val="clear" w:pos="426"/>
        </w:tabs>
        <w:rPr>
          <w:rFonts w:hint="eastAsia"/>
        </w:rPr>
      </w:pPr>
      <w:r>
        <w:rPr>
          <w:rFonts w:hint="eastAsia"/>
        </w:rPr>
        <w:t>46.3  联合体中标的，其履约担保由联合体牵头人提交，并应符合本节第42.1条、第45.2条的规定。</w:t>
      </w:r>
    </w:p>
    <w:p>
      <w:pPr>
        <w:tabs>
          <w:tab w:val="clear" w:pos="426"/>
        </w:tabs>
        <w:rPr>
          <w:rFonts w:hint="eastAsia"/>
        </w:rPr>
      </w:pPr>
      <w:r>
        <w:rPr>
          <w:rFonts w:hint="eastAsia"/>
        </w:rPr>
        <w:t>46.4  如果中标供应商拒不提交本节第42.1条、第42.2条要求的履约担保的，采购人可取消其中标资格，并没收其投标担保。</w:t>
      </w:r>
    </w:p>
    <w:p>
      <w:pPr>
        <w:tabs>
          <w:tab w:val="clear" w:pos="426"/>
        </w:tabs>
        <w:rPr>
          <w:rFonts w:hint="eastAsia"/>
        </w:rPr>
      </w:pPr>
      <w:r>
        <w:rPr>
          <w:rFonts w:hint="eastAsia"/>
        </w:rPr>
        <w:t>47．  签订合同</w:t>
      </w:r>
    </w:p>
    <w:p>
      <w:pPr>
        <w:tabs>
          <w:tab w:val="clear" w:pos="426"/>
        </w:tabs>
        <w:rPr>
          <w:rFonts w:hint="eastAsia"/>
        </w:rPr>
      </w:pPr>
      <w:r>
        <w:rPr>
          <w:rFonts w:hint="eastAsia"/>
        </w:rPr>
        <w:t>47.1  采购人和中标供应商应当按“投标须知前附表”的规定，依据招标文件和中标供应商的投标文件订立书面合同。</w:t>
      </w:r>
    </w:p>
    <w:p>
      <w:pPr>
        <w:tabs>
          <w:tab w:val="clear" w:pos="426"/>
        </w:tabs>
        <w:rPr>
          <w:rFonts w:hint="eastAsia"/>
        </w:rPr>
      </w:pPr>
      <w:r>
        <w:rPr>
          <w:rFonts w:hint="eastAsia"/>
        </w:rPr>
        <w:t>47.2  中标供应商无正当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pPr>
        <w:pStyle w:val="5"/>
        <w:tabs>
          <w:tab w:val="clear" w:pos="426"/>
        </w:tabs>
        <w:rPr>
          <w:rFonts w:hint="eastAsia"/>
        </w:rPr>
      </w:pPr>
      <w:bookmarkStart w:id="196" w:name="_Toc14427263"/>
      <w:bookmarkStart w:id="197" w:name="_Toc529280590"/>
      <w:bookmarkStart w:id="198" w:name="_Toc4334"/>
      <w:bookmarkStart w:id="199" w:name="_Toc530152531"/>
      <w:r>
        <w:rPr>
          <w:rFonts w:hint="eastAsia"/>
        </w:rPr>
        <w:t>第十章 质疑受理</w:t>
      </w:r>
      <w:bookmarkEnd w:id="196"/>
      <w:bookmarkEnd w:id="197"/>
      <w:bookmarkEnd w:id="198"/>
      <w:bookmarkEnd w:id="199"/>
    </w:p>
    <w:p>
      <w:pPr>
        <w:tabs>
          <w:tab w:val="clear" w:pos="426"/>
        </w:tabs>
        <w:rPr>
          <w:rFonts w:hint="eastAsia"/>
        </w:rPr>
      </w:pPr>
      <w:r>
        <w:rPr>
          <w:rFonts w:hint="eastAsia"/>
        </w:rPr>
        <w:t>48.质疑受理机构</w:t>
      </w:r>
    </w:p>
    <w:p>
      <w:pPr>
        <w:tabs>
          <w:tab w:val="clear" w:pos="426"/>
        </w:tabs>
        <w:rPr>
          <w:rFonts w:hint="eastAsia"/>
          <w:sz w:val="22"/>
          <w:szCs w:val="22"/>
        </w:rPr>
      </w:pPr>
      <w:r>
        <w:rPr>
          <w:rFonts w:hint="eastAsia"/>
        </w:rPr>
        <w:t>采购代理机构及采购人</w:t>
      </w:r>
      <w:r>
        <w:t>负责受理和答复质疑</w:t>
      </w:r>
      <w:r>
        <w:rPr>
          <w:sz w:val="22"/>
          <w:szCs w:val="22"/>
        </w:rPr>
        <w:t>。</w:t>
      </w:r>
    </w:p>
    <w:p>
      <w:pPr>
        <w:tabs>
          <w:tab w:val="clear" w:pos="426"/>
        </w:tabs>
        <w:rPr>
          <w:rFonts w:hint="eastAsia"/>
        </w:rPr>
      </w:pPr>
      <w:r>
        <w:rPr>
          <w:rFonts w:hint="eastAsia"/>
        </w:rPr>
        <w:t>49.质疑处理原则</w:t>
      </w:r>
    </w:p>
    <w:p>
      <w:pPr>
        <w:tabs>
          <w:tab w:val="clear" w:pos="426"/>
        </w:tabs>
        <w:rPr>
          <w:rFonts w:hint="eastAsia"/>
        </w:rPr>
      </w:pPr>
      <w:r>
        <w:rPr>
          <w:rFonts w:hint="eastAsia"/>
        </w:rPr>
        <w:t>49.1</w:t>
      </w:r>
      <w:r>
        <w:t>质疑处理遵循公平、公正、规范、高效的原则。</w:t>
      </w:r>
    </w:p>
    <w:p>
      <w:pPr>
        <w:tabs>
          <w:tab w:val="clear" w:pos="426"/>
        </w:tabs>
        <w:rPr>
          <w:rFonts w:hint="eastAsia"/>
        </w:rPr>
      </w:pPr>
      <w:r>
        <w:rPr>
          <w:rFonts w:hint="eastAsia"/>
        </w:rPr>
        <w:t>49.2</w:t>
      </w:r>
      <w:r>
        <w:t>供应商质疑实行实名制和“谁质疑，谁举证”的原则，质疑应有具体的事项及事实根据。</w:t>
      </w:r>
    </w:p>
    <w:p>
      <w:pPr>
        <w:tabs>
          <w:tab w:val="clear" w:pos="426"/>
        </w:tabs>
        <w:rPr>
          <w:rFonts w:hint="eastAsia"/>
        </w:rPr>
      </w:pPr>
      <w:r>
        <w:rPr>
          <w:rFonts w:hint="eastAsia"/>
        </w:rPr>
        <w:t>50.质疑受理的时效和范围</w:t>
      </w:r>
    </w:p>
    <w:p>
      <w:pPr>
        <w:tabs>
          <w:tab w:val="clear" w:pos="426"/>
        </w:tabs>
        <w:rPr>
          <w:rFonts w:hint="eastAsia"/>
        </w:rPr>
      </w:pPr>
      <w:r>
        <w:rPr>
          <w:rFonts w:hint="eastAsia"/>
        </w:rPr>
        <w:t>50.1供应商认为采购文件、采购过程和中标、成交结果使自己权益受到损害的，可以在知道或者应知其权益受到损害之日起7个工作日内，以书面形式向采购代理机构提出质疑。</w:t>
      </w:r>
    </w:p>
    <w:p>
      <w:pPr>
        <w:tabs>
          <w:tab w:val="clear" w:pos="426"/>
        </w:tabs>
        <w:rPr>
          <w:rFonts w:hint="eastAsia"/>
        </w:rPr>
      </w:pPr>
      <w:r>
        <w:rPr>
          <w:rFonts w:hint="eastAsia"/>
        </w:rPr>
        <w:t>50.2供应商对采购文件有疑问的，采购代理机构及采购人按答疑程序处理；供应商对采购文件有异议的，按质疑程序处理。</w:t>
      </w:r>
    </w:p>
    <w:p>
      <w:pPr>
        <w:tabs>
          <w:tab w:val="clear" w:pos="426"/>
        </w:tabs>
        <w:rPr>
          <w:rFonts w:hint="eastAsia"/>
        </w:rPr>
      </w:pPr>
      <w:r>
        <w:rPr>
          <w:rFonts w:hint="eastAsia"/>
        </w:rPr>
        <w:t>51.质疑条件</w:t>
      </w:r>
    </w:p>
    <w:p>
      <w:pPr>
        <w:tabs>
          <w:tab w:val="clear" w:pos="426"/>
        </w:tabs>
        <w:rPr>
          <w:rFonts w:hint="eastAsia"/>
        </w:rPr>
      </w:pPr>
      <w:r>
        <w:rPr>
          <w:rFonts w:hint="eastAsia"/>
        </w:rPr>
        <w:t>51.1提出质疑的应是直接参与相应采购项目的供应商。以联合体形式参与的，由联合体共同提出；</w:t>
      </w:r>
    </w:p>
    <w:p>
      <w:pPr>
        <w:tabs>
          <w:tab w:val="clear" w:pos="426"/>
        </w:tabs>
        <w:rPr>
          <w:rFonts w:hint="eastAsia"/>
        </w:rPr>
      </w:pPr>
      <w:r>
        <w:rPr>
          <w:rFonts w:hint="eastAsia"/>
        </w:rPr>
        <w:t>51.2提供质疑的项目名称和编号、质疑供应商的单位名称、详细地址、邮政编码、联系人及联系电话等基本情况；</w:t>
      </w:r>
    </w:p>
    <w:p>
      <w:pPr>
        <w:tabs>
          <w:tab w:val="clear" w:pos="426"/>
        </w:tabs>
        <w:rPr>
          <w:rFonts w:hint="eastAsia"/>
        </w:rPr>
      </w:pPr>
      <w:r>
        <w:rPr>
          <w:rFonts w:hint="eastAsia"/>
        </w:rPr>
        <w:t>51.3有质疑的具体事项、请求及理由，并附相关证据材料；</w:t>
      </w:r>
    </w:p>
    <w:p>
      <w:pPr>
        <w:tabs>
          <w:tab w:val="clear" w:pos="426"/>
        </w:tabs>
        <w:rPr>
          <w:rFonts w:hint="eastAsia"/>
        </w:rPr>
      </w:pPr>
      <w:r>
        <w:rPr>
          <w:rFonts w:hint="eastAsia"/>
        </w:rPr>
        <w:t>51.4质疑书加盖公章，被授权人进行质疑的同时提交法人授权委托书；</w:t>
      </w:r>
    </w:p>
    <w:p>
      <w:pPr>
        <w:tabs>
          <w:tab w:val="clear" w:pos="426"/>
        </w:tabs>
        <w:rPr>
          <w:rFonts w:hint="eastAsia"/>
        </w:rPr>
      </w:pPr>
      <w:r>
        <w:rPr>
          <w:rFonts w:hint="eastAsia"/>
        </w:rPr>
        <w:t>51.5质疑材料中有外文资料的，应一并附上中文译本，并以中文译本为准。</w:t>
      </w:r>
    </w:p>
    <w:p>
      <w:pPr>
        <w:tabs>
          <w:tab w:val="clear" w:pos="426"/>
        </w:tabs>
        <w:rPr>
          <w:rFonts w:hint="eastAsia"/>
        </w:rPr>
      </w:pPr>
      <w:r>
        <w:rPr>
          <w:rFonts w:hint="eastAsia"/>
        </w:rPr>
        <w:t>51.6质疑不得超过质疑受理的时效和范围。</w:t>
      </w:r>
    </w:p>
    <w:p>
      <w:pPr>
        <w:tabs>
          <w:tab w:val="clear" w:pos="426"/>
        </w:tabs>
        <w:rPr>
          <w:rFonts w:hint="eastAsia"/>
        </w:rPr>
      </w:pPr>
      <w:r>
        <w:rPr>
          <w:rFonts w:hint="eastAsia"/>
        </w:rPr>
        <w:t>不符合上述条件的，我采购代理机构不予受理。</w:t>
      </w:r>
    </w:p>
    <w:p>
      <w:pPr>
        <w:tabs>
          <w:tab w:val="clear" w:pos="426"/>
        </w:tabs>
        <w:rPr>
          <w:rFonts w:hint="eastAsia"/>
        </w:rPr>
      </w:pPr>
      <w:r>
        <w:rPr>
          <w:rFonts w:hint="eastAsia"/>
        </w:rPr>
        <w:t>52.受理质疑办理程序</w:t>
      </w:r>
    </w:p>
    <w:p>
      <w:pPr>
        <w:tabs>
          <w:tab w:val="clear" w:pos="426"/>
        </w:tabs>
        <w:rPr>
          <w:rFonts w:hint="eastAsia"/>
        </w:rPr>
      </w:pPr>
      <w:r>
        <w:rPr>
          <w:rFonts w:hint="eastAsia"/>
        </w:rPr>
        <w:t>52.1先与质疑供应商进行沟通，以消除因误解或对采购规则和程序的不了解而引起的质疑。对沟通情况满意的，供应商撤回质疑，质疑处理程序终止。</w:t>
      </w:r>
    </w:p>
    <w:p>
      <w:pPr>
        <w:tabs>
          <w:tab w:val="clear" w:pos="426"/>
        </w:tabs>
        <w:rPr>
          <w:rFonts w:hint="eastAsia"/>
        </w:rPr>
      </w:pPr>
      <w:r>
        <w:rPr>
          <w:rFonts w:hint="eastAsia"/>
        </w:rPr>
        <w:t>52.2处理质疑一般进行书面审查；必要时听取各方当事人的陈述和申辩、进行相关调查；组织原评标委员会或谈判小组进行复议。</w:t>
      </w:r>
    </w:p>
    <w:p>
      <w:pPr>
        <w:tabs>
          <w:tab w:val="clear" w:pos="426"/>
        </w:tabs>
        <w:rPr>
          <w:rFonts w:hint="eastAsia"/>
        </w:rPr>
      </w:pPr>
      <w:r>
        <w:rPr>
          <w:rFonts w:hint="eastAsia"/>
        </w:rPr>
        <w:t>52.3在质疑处理期间，采购代理机构视情形决定暂停采购活动。</w:t>
      </w:r>
    </w:p>
    <w:p>
      <w:pPr>
        <w:tabs>
          <w:tab w:val="clear" w:pos="426"/>
        </w:tabs>
        <w:rPr>
          <w:rFonts w:hint="eastAsia"/>
        </w:rPr>
      </w:pPr>
      <w:r>
        <w:rPr>
          <w:rFonts w:hint="eastAsia"/>
        </w:rPr>
        <w:t>52.4采购代理机构原则上在质疑受理之日起7个工作日内书面答复质疑供应商。答复函以直接领取、传真或邮寄方式送达。</w:t>
      </w:r>
    </w:p>
    <w:p>
      <w:pPr>
        <w:tabs>
          <w:tab w:val="clear" w:pos="426"/>
        </w:tabs>
        <w:rPr>
          <w:rFonts w:hint="eastAsia"/>
        </w:rPr>
      </w:pPr>
      <w:r>
        <w:rPr>
          <w:rFonts w:hint="eastAsia"/>
        </w:rPr>
        <w:t>52.5供应商向采购代理机构提出质疑后，在质疑处理期限内，不得同时向其他方面提起同一质疑。质疑供应商如已就同一事项提起投诉、提请行政复议或诉讼的，质疑程序终止。</w:t>
      </w:r>
    </w:p>
    <w:p>
      <w:pPr>
        <w:tabs>
          <w:tab w:val="clear" w:pos="426"/>
        </w:tabs>
        <w:rPr>
          <w:rFonts w:hint="eastAsia"/>
        </w:rPr>
      </w:pPr>
      <w:r>
        <w:rPr>
          <w:rFonts w:hint="eastAsia"/>
        </w:rPr>
        <w:t>53.相关责任与义务</w:t>
      </w:r>
    </w:p>
    <w:p>
      <w:pPr>
        <w:tabs>
          <w:tab w:val="clear" w:pos="426"/>
        </w:tabs>
        <w:rPr>
          <w:rFonts w:hint="eastAsia"/>
        </w:rPr>
      </w:pPr>
      <w:r>
        <w:rPr>
          <w:rFonts w:hint="eastAsia"/>
        </w:rPr>
        <w:t>53.1采购单位、评标专家和相关供应商等当事人应积极配合采购代理机构进行质疑调查，如实反映情况，及时提供证明材料。</w:t>
      </w:r>
    </w:p>
    <w:p>
      <w:pPr>
        <w:tabs>
          <w:tab w:val="clear" w:pos="426"/>
        </w:tabs>
        <w:rPr>
          <w:rFonts w:hint="eastAsia"/>
        </w:rPr>
      </w:pPr>
      <w:r>
        <w:rPr>
          <w:rFonts w:hint="eastAsia"/>
        </w:rPr>
        <w:t>53.2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pPr>
        <w:tabs>
          <w:tab w:val="clear" w:pos="426"/>
        </w:tabs>
        <w:rPr>
          <w:rFonts w:hint="eastAsia"/>
        </w:rPr>
      </w:pPr>
      <w:r>
        <w:rPr>
          <w:rFonts w:hint="eastAsia"/>
        </w:rPr>
        <w:t>53.2.1捏造事实或提供虚假证明材料的；</w:t>
      </w:r>
    </w:p>
    <w:p>
      <w:pPr>
        <w:tabs>
          <w:tab w:val="clear" w:pos="426"/>
        </w:tabs>
        <w:rPr>
          <w:rFonts w:hint="eastAsia"/>
        </w:rPr>
      </w:pPr>
      <w:r>
        <w:rPr>
          <w:rFonts w:hint="eastAsia"/>
        </w:rPr>
        <w:t>53.2.2假冒他人名义进行质疑的；</w:t>
      </w:r>
    </w:p>
    <w:p>
      <w:pPr>
        <w:tabs>
          <w:tab w:val="clear" w:pos="426"/>
        </w:tabs>
        <w:rPr>
          <w:rFonts w:hint="eastAsia"/>
        </w:rPr>
      </w:pPr>
      <w:r>
        <w:rPr>
          <w:rFonts w:hint="eastAsia"/>
        </w:rPr>
        <w:t>53.2.3拒不配合进行有关调查、情节严重的。</w:t>
      </w:r>
    </w:p>
    <w:p>
      <w:pPr>
        <w:tabs>
          <w:tab w:val="clear" w:pos="426"/>
        </w:tabs>
        <w:rPr>
          <w:rFonts w:hint="eastAsia"/>
          <w:b/>
        </w:rPr>
      </w:pPr>
      <w:r>
        <w:rPr>
          <w:rFonts w:hint="eastAsia"/>
        </w:rPr>
        <w:t xml:space="preserve">54．  </w:t>
      </w:r>
      <w:r>
        <w:rPr>
          <w:rFonts w:hint="eastAsia"/>
          <w:b/>
        </w:rPr>
        <w:t>其他</w:t>
      </w:r>
    </w:p>
    <w:p>
      <w:pPr>
        <w:tabs>
          <w:tab w:val="clear" w:pos="426"/>
        </w:tabs>
        <w:rPr>
          <w:rFonts w:hint="eastAsia"/>
        </w:rPr>
      </w:pPr>
      <w:r>
        <w:rPr>
          <w:rFonts w:hint="eastAsia"/>
        </w:rPr>
        <w:t>54.1  本招标文件的解释权归采购代理机构所有，采购代理机构在征得采购人或相关主管部门同意后，有权在法律允许范围内调整本次招标活动的细节及保留最终解释权。</w:t>
      </w:r>
    </w:p>
    <w:p>
      <w:pPr>
        <w:tabs>
          <w:tab w:val="clear" w:pos="426"/>
        </w:tabs>
        <w:rPr>
          <w:rFonts w:hint="eastAsia"/>
        </w:rPr>
      </w:pPr>
      <w:r>
        <w:rPr>
          <w:rFonts w:hint="eastAsia"/>
        </w:rPr>
        <w:t>54.2 采购代理机构向投标供应商提供的资料和数据，是采购代理机构现有的能供投标供应商利用的资料，采购代理机构对投标供应商由此而作出的推论、理解和结论概不负责。</w:t>
      </w:r>
    </w:p>
    <w:p>
      <w:pPr>
        <w:tabs>
          <w:tab w:val="clear" w:pos="426"/>
        </w:tabs>
        <w:rPr>
          <w:rFonts w:hint="eastAsia"/>
        </w:rPr>
      </w:pPr>
      <w:r>
        <w:rPr>
          <w:rFonts w:hint="eastAsia"/>
        </w:rPr>
        <w:t>54.3 如果投标供应商实质上不符合投标资格，即使已购买招标文件、参加投标并缴纳各种费用，采购代理机构或采购人可以随时取消其投标或中标资格，采购代理机构或采购人对该投标供应商的一切损失概不责任。</w:t>
      </w:r>
    </w:p>
    <w:p>
      <w:pPr>
        <w:tabs>
          <w:tab w:val="clear" w:pos="426"/>
        </w:tabs>
        <w:rPr>
          <w:rFonts w:hint="eastAsia"/>
        </w:rPr>
      </w:pPr>
      <w:r>
        <w:rPr>
          <w:rFonts w:hint="eastAsia"/>
        </w:rPr>
        <w:t>54.4 中标无效的，发出的中标通知书和签订的合同自始没有法律约束力，但不影响合同中存在的有关解决争议方法的条款的效力。</w:t>
      </w:r>
    </w:p>
    <w:p>
      <w:pPr>
        <w:shd w:val="clear" w:color="auto" w:fill="auto"/>
        <w:tabs>
          <w:tab w:val="clear" w:pos="426"/>
        </w:tabs>
        <w:adjustRightInd/>
        <w:snapToGrid/>
        <w:spacing w:line="240" w:lineRule="auto"/>
        <w:jc w:val="left"/>
        <w:rPr>
          <w:rFonts w:hint="eastAsia"/>
        </w:rPr>
      </w:pPr>
      <w:r>
        <w:rPr>
          <w:rFonts w:hint="eastAsia"/>
        </w:rPr>
        <w:t>54.5 本招标文件所有的附件与本招标文件具有同等效力。</w:t>
      </w:r>
      <w:r>
        <w:br w:type="page"/>
      </w:r>
    </w:p>
    <w:p>
      <w:pPr>
        <w:pStyle w:val="81"/>
        <w:tabs>
          <w:tab w:val="clear" w:pos="426"/>
        </w:tabs>
      </w:pPr>
      <w:bookmarkStart w:id="200" w:name="_Toc14427264"/>
      <w:bookmarkStart w:id="201" w:name="_Toc13862"/>
      <w:bookmarkStart w:id="202" w:name="_Toc3627284"/>
      <w:r>
        <w:rPr>
          <w:rFonts w:hint="eastAsia"/>
        </w:rPr>
        <w:t>招标代理服务取费说明</w:t>
      </w:r>
      <w:bookmarkEnd w:id="200"/>
      <w:bookmarkEnd w:id="201"/>
      <w:bookmarkEnd w:id="202"/>
    </w:p>
    <w:p>
      <w:pPr>
        <w:tabs>
          <w:tab w:val="clear" w:pos="426"/>
        </w:tabs>
        <w:ind w:firstLine="440" w:firstLineChars="200"/>
        <w:rPr>
          <w:rFonts w:hint="eastAsia"/>
          <w:sz w:val="22"/>
        </w:rPr>
      </w:pPr>
      <w:r>
        <w:rPr>
          <w:rFonts w:hint="eastAsia"/>
          <w:sz w:val="22"/>
        </w:rPr>
        <w:t xml:space="preserve">招标代理服务收费以中标金额为计算基数，按差额定率累进法计算，向中标供应商收取，收费标准如下表所列： </w:t>
      </w:r>
    </w:p>
    <w:p>
      <w:pPr>
        <w:tabs>
          <w:tab w:val="clear" w:pos="426"/>
        </w:tabs>
        <w:ind w:firstLine="440" w:firstLineChars="200"/>
        <w:rPr>
          <w:rFonts w:hint="eastAsia"/>
          <w:sz w:val="22"/>
        </w:rPr>
      </w:pPr>
      <w:r>
        <w:rPr>
          <w:rFonts w:hint="eastAsia"/>
          <w:sz w:val="22"/>
        </w:rPr>
        <w:t>招标代理服务收费标准</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300" w:lineRule="auto"/>
              <w:jc w:val="right"/>
              <w:rPr>
                <w:rFonts w:hint="eastAsia"/>
                <w:szCs w:val="21"/>
              </w:rPr>
            </w:pPr>
            <w:r>
              <w:rPr>
                <w:rFonts w:hint="eastAsia"/>
                <w:szCs w:val="21"/>
              </w:rPr>
              <w:t>服务类型</w:t>
            </w:r>
          </w:p>
          <w:p>
            <w:pPr>
              <w:tabs>
                <w:tab w:val="clear" w:pos="426"/>
              </w:tabs>
              <w:spacing w:line="300" w:lineRule="auto"/>
              <w:jc w:val="center"/>
              <w:rPr>
                <w:rFonts w:hint="eastAsia"/>
                <w:szCs w:val="21"/>
              </w:rPr>
            </w:pPr>
            <w:r>
              <w:rPr>
                <w:rFonts w:hint="eastAsia"/>
                <w:szCs w:val="21"/>
              </w:rPr>
              <w:t>费率</w:t>
            </w:r>
          </w:p>
          <w:p>
            <w:pPr>
              <w:tabs>
                <w:tab w:val="clear" w:pos="426"/>
              </w:tabs>
              <w:spacing w:line="300" w:lineRule="auto"/>
              <w:rPr>
                <w:rFonts w:hint="eastAsia"/>
                <w:szCs w:val="21"/>
              </w:rPr>
            </w:pPr>
            <w:r>
              <w:rPr>
                <w:rFonts w:hint="eastAsia"/>
                <w:szCs w:val="21"/>
              </w:rPr>
              <w:t>中标金额</w:t>
            </w:r>
          </w:p>
        </w:tc>
        <w:tc>
          <w:tcPr>
            <w:tcW w:w="1845" w:type="dxa"/>
            <w:vAlign w:val="center"/>
          </w:tcPr>
          <w:p>
            <w:pPr>
              <w:spacing w:line="240" w:lineRule="auto"/>
              <w:jc w:val="center"/>
              <w:rPr>
                <w:rFonts w:hint="eastAsia"/>
                <w:szCs w:val="21"/>
              </w:rPr>
            </w:pPr>
            <w:r>
              <w:rPr>
                <w:rFonts w:hint="eastAsia"/>
                <w:szCs w:val="21"/>
              </w:rPr>
              <w:t>货物采购</w:t>
            </w:r>
          </w:p>
        </w:tc>
        <w:tc>
          <w:tcPr>
            <w:tcW w:w="1845" w:type="dxa"/>
            <w:vAlign w:val="center"/>
          </w:tcPr>
          <w:p>
            <w:pPr>
              <w:spacing w:line="240" w:lineRule="auto"/>
              <w:jc w:val="center"/>
              <w:rPr>
                <w:rFonts w:hint="eastAsia"/>
                <w:szCs w:val="21"/>
              </w:rPr>
            </w:pPr>
            <w:r>
              <w:rPr>
                <w:szCs w:val="21"/>
              </w:rPr>
              <w:t>服务采购</w:t>
            </w:r>
          </w:p>
        </w:tc>
        <w:tc>
          <w:tcPr>
            <w:tcW w:w="1846" w:type="dxa"/>
            <w:vAlign w:val="center"/>
          </w:tcPr>
          <w:p>
            <w:pPr>
              <w:spacing w:line="240" w:lineRule="auto"/>
              <w:jc w:val="center"/>
              <w:rPr>
                <w:rFonts w:hint="eastAsia"/>
                <w:szCs w:val="21"/>
              </w:rPr>
            </w:pPr>
            <w:r>
              <w:rPr>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tabs>
                <w:tab w:val="clear" w:pos="426"/>
              </w:tabs>
              <w:adjustRightInd/>
              <w:snapToGrid/>
              <w:spacing w:line="240" w:lineRule="auto"/>
              <w:jc w:val="left"/>
              <w:rPr>
                <w:rFonts w:hint="eastAsia"/>
                <w:szCs w:val="21"/>
              </w:rPr>
            </w:pPr>
            <w:r>
              <w:rPr>
                <w:rFonts w:hint="eastAsia"/>
                <w:szCs w:val="21"/>
              </w:rPr>
              <w:t>100万元以下</w:t>
            </w:r>
          </w:p>
        </w:tc>
        <w:tc>
          <w:tcPr>
            <w:tcW w:w="1845" w:type="dxa"/>
            <w:vAlign w:val="center"/>
          </w:tcPr>
          <w:p>
            <w:pPr>
              <w:spacing w:line="240" w:lineRule="auto"/>
              <w:jc w:val="center"/>
              <w:rPr>
                <w:rFonts w:hint="eastAsia"/>
                <w:szCs w:val="21"/>
              </w:rPr>
            </w:pPr>
            <w:r>
              <w:rPr>
                <w:rFonts w:hint="eastAsia"/>
                <w:szCs w:val="21"/>
              </w:rPr>
              <w:t>1.500%</w:t>
            </w:r>
          </w:p>
        </w:tc>
        <w:tc>
          <w:tcPr>
            <w:tcW w:w="1845" w:type="dxa"/>
            <w:vAlign w:val="center"/>
          </w:tcPr>
          <w:p>
            <w:pPr>
              <w:spacing w:line="240" w:lineRule="auto"/>
              <w:jc w:val="center"/>
              <w:rPr>
                <w:rFonts w:hint="eastAsia"/>
                <w:szCs w:val="21"/>
              </w:rPr>
            </w:pPr>
            <w:r>
              <w:rPr>
                <w:rFonts w:hint="eastAsia"/>
                <w:szCs w:val="21"/>
              </w:rPr>
              <w:t>1.500%</w:t>
            </w:r>
          </w:p>
        </w:tc>
        <w:tc>
          <w:tcPr>
            <w:tcW w:w="1846" w:type="dxa"/>
            <w:vAlign w:val="center"/>
          </w:tcPr>
          <w:p>
            <w:pPr>
              <w:spacing w:line="240" w:lineRule="auto"/>
              <w:jc w:val="center"/>
              <w:rPr>
                <w:rFonts w:hint="eastAsia"/>
                <w:szCs w:val="21"/>
              </w:rPr>
            </w:pPr>
            <w:r>
              <w:rPr>
                <w:rFonts w:hint="eastAsia"/>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100万元（含）-500万元</w:t>
            </w:r>
          </w:p>
        </w:tc>
        <w:tc>
          <w:tcPr>
            <w:tcW w:w="1845" w:type="dxa"/>
            <w:vAlign w:val="center"/>
          </w:tcPr>
          <w:p>
            <w:pPr>
              <w:spacing w:line="240" w:lineRule="auto"/>
              <w:jc w:val="center"/>
              <w:rPr>
                <w:rFonts w:hint="eastAsia"/>
                <w:szCs w:val="21"/>
              </w:rPr>
            </w:pPr>
            <w:r>
              <w:rPr>
                <w:rFonts w:hint="eastAsia"/>
                <w:szCs w:val="21"/>
              </w:rPr>
              <w:t>1.100%</w:t>
            </w:r>
          </w:p>
        </w:tc>
        <w:tc>
          <w:tcPr>
            <w:tcW w:w="1845" w:type="dxa"/>
            <w:vAlign w:val="center"/>
          </w:tcPr>
          <w:p>
            <w:pPr>
              <w:spacing w:line="240" w:lineRule="auto"/>
              <w:jc w:val="center"/>
              <w:rPr>
                <w:rFonts w:hint="eastAsia"/>
                <w:szCs w:val="21"/>
              </w:rPr>
            </w:pPr>
            <w:r>
              <w:rPr>
                <w:rFonts w:hint="eastAsia"/>
                <w:szCs w:val="21"/>
              </w:rPr>
              <w:t>0.800%</w:t>
            </w:r>
          </w:p>
        </w:tc>
        <w:tc>
          <w:tcPr>
            <w:tcW w:w="1846" w:type="dxa"/>
            <w:vAlign w:val="center"/>
          </w:tcPr>
          <w:p>
            <w:pPr>
              <w:spacing w:line="240" w:lineRule="auto"/>
              <w:jc w:val="center"/>
              <w:rPr>
                <w:rFonts w:hint="eastAsia"/>
                <w:szCs w:val="21"/>
              </w:rPr>
            </w:pPr>
            <w:r>
              <w:rPr>
                <w:rFonts w:hint="eastAsia"/>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500万元（含）-1000万元</w:t>
            </w:r>
          </w:p>
        </w:tc>
        <w:tc>
          <w:tcPr>
            <w:tcW w:w="1845" w:type="dxa"/>
            <w:vAlign w:val="center"/>
          </w:tcPr>
          <w:p>
            <w:pPr>
              <w:spacing w:line="240" w:lineRule="auto"/>
              <w:jc w:val="center"/>
              <w:rPr>
                <w:rFonts w:hint="eastAsia"/>
                <w:szCs w:val="21"/>
              </w:rPr>
            </w:pPr>
            <w:r>
              <w:rPr>
                <w:rFonts w:hint="eastAsia"/>
                <w:szCs w:val="21"/>
              </w:rPr>
              <w:t>0.800%</w:t>
            </w:r>
          </w:p>
        </w:tc>
        <w:tc>
          <w:tcPr>
            <w:tcW w:w="1845" w:type="dxa"/>
            <w:vAlign w:val="center"/>
          </w:tcPr>
          <w:p>
            <w:pPr>
              <w:spacing w:line="240" w:lineRule="auto"/>
              <w:jc w:val="center"/>
              <w:rPr>
                <w:rFonts w:hint="eastAsia"/>
                <w:szCs w:val="21"/>
              </w:rPr>
            </w:pPr>
            <w:r>
              <w:rPr>
                <w:rFonts w:hint="eastAsia"/>
                <w:szCs w:val="21"/>
              </w:rPr>
              <w:t>0.450%</w:t>
            </w:r>
          </w:p>
        </w:tc>
        <w:tc>
          <w:tcPr>
            <w:tcW w:w="1846" w:type="dxa"/>
            <w:vAlign w:val="center"/>
          </w:tcPr>
          <w:p>
            <w:pPr>
              <w:spacing w:line="240" w:lineRule="auto"/>
              <w:jc w:val="center"/>
              <w:rPr>
                <w:rFonts w:hint="eastAsia"/>
                <w:szCs w:val="21"/>
              </w:rPr>
            </w:pPr>
            <w:r>
              <w:rPr>
                <w:rFonts w:hint="eastAsia"/>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1000万元（含）-5000万元</w:t>
            </w:r>
          </w:p>
        </w:tc>
        <w:tc>
          <w:tcPr>
            <w:tcW w:w="1845" w:type="dxa"/>
            <w:vAlign w:val="center"/>
          </w:tcPr>
          <w:p>
            <w:pPr>
              <w:spacing w:line="240" w:lineRule="auto"/>
              <w:jc w:val="center"/>
              <w:rPr>
                <w:rFonts w:hint="eastAsia"/>
                <w:szCs w:val="21"/>
              </w:rPr>
            </w:pPr>
            <w:r>
              <w:rPr>
                <w:rFonts w:hint="eastAsia"/>
                <w:szCs w:val="21"/>
              </w:rPr>
              <w:t>0.500%</w:t>
            </w:r>
          </w:p>
        </w:tc>
        <w:tc>
          <w:tcPr>
            <w:tcW w:w="1845" w:type="dxa"/>
            <w:vAlign w:val="center"/>
          </w:tcPr>
          <w:p>
            <w:pPr>
              <w:spacing w:line="240" w:lineRule="auto"/>
              <w:jc w:val="center"/>
              <w:rPr>
                <w:rFonts w:hint="eastAsia"/>
                <w:szCs w:val="21"/>
              </w:rPr>
            </w:pPr>
            <w:r>
              <w:rPr>
                <w:rFonts w:hint="eastAsia"/>
                <w:szCs w:val="21"/>
              </w:rPr>
              <w:t>0.250%</w:t>
            </w:r>
          </w:p>
        </w:tc>
        <w:tc>
          <w:tcPr>
            <w:tcW w:w="1846" w:type="dxa"/>
            <w:vAlign w:val="center"/>
          </w:tcPr>
          <w:p>
            <w:pPr>
              <w:spacing w:line="240" w:lineRule="auto"/>
              <w:jc w:val="center"/>
              <w:rPr>
                <w:rFonts w:hint="eastAsia"/>
                <w:szCs w:val="21"/>
              </w:rPr>
            </w:pPr>
            <w:r>
              <w:rPr>
                <w:rFonts w:hint="eastAsia"/>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5000万元（含）-1亿元</w:t>
            </w:r>
          </w:p>
        </w:tc>
        <w:tc>
          <w:tcPr>
            <w:tcW w:w="1845" w:type="dxa"/>
            <w:vAlign w:val="center"/>
          </w:tcPr>
          <w:p>
            <w:pPr>
              <w:spacing w:line="240" w:lineRule="auto"/>
              <w:jc w:val="center"/>
              <w:rPr>
                <w:rFonts w:hint="eastAsia"/>
                <w:szCs w:val="21"/>
              </w:rPr>
            </w:pPr>
            <w:r>
              <w:rPr>
                <w:rFonts w:hint="eastAsia"/>
                <w:szCs w:val="21"/>
              </w:rPr>
              <w:t>0.250%</w:t>
            </w:r>
          </w:p>
        </w:tc>
        <w:tc>
          <w:tcPr>
            <w:tcW w:w="1845" w:type="dxa"/>
            <w:vAlign w:val="center"/>
          </w:tcPr>
          <w:p>
            <w:pPr>
              <w:spacing w:line="240" w:lineRule="auto"/>
              <w:jc w:val="center"/>
              <w:rPr>
                <w:rFonts w:hint="eastAsia"/>
                <w:szCs w:val="21"/>
              </w:rPr>
            </w:pPr>
            <w:r>
              <w:rPr>
                <w:rFonts w:hint="eastAsia"/>
                <w:szCs w:val="21"/>
              </w:rPr>
              <w:t>0.100%</w:t>
            </w:r>
          </w:p>
        </w:tc>
        <w:tc>
          <w:tcPr>
            <w:tcW w:w="1846" w:type="dxa"/>
            <w:vAlign w:val="center"/>
          </w:tcPr>
          <w:p>
            <w:pPr>
              <w:spacing w:line="240" w:lineRule="auto"/>
              <w:jc w:val="center"/>
              <w:rPr>
                <w:rFonts w:hint="eastAsia"/>
                <w:szCs w:val="21"/>
              </w:rPr>
            </w:pPr>
            <w:r>
              <w:rPr>
                <w:rFonts w:hint="eastAsia"/>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1亿元（含）-5亿元</w:t>
            </w:r>
          </w:p>
        </w:tc>
        <w:tc>
          <w:tcPr>
            <w:tcW w:w="1845" w:type="dxa"/>
            <w:vAlign w:val="center"/>
          </w:tcPr>
          <w:p>
            <w:pPr>
              <w:spacing w:line="240" w:lineRule="auto"/>
              <w:jc w:val="center"/>
              <w:rPr>
                <w:rFonts w:hint="eastAsia"/>
                <w:szCs w:val="21"/>
              </w:rPr>
            </w:pPr>
            <w:r>
              <w:rPr>
                <w:rFonts w:hint="eastAsia"/>
                <w:szCs w:val="21"/>
              </w:rPr>
              <w:t>0.050%</w:t>
            </w:r>
          </w:p>
        </w:tc>
        <w:tc>
          <w:tcPr>
            <w:tcW w:w="1845" w:type="dxa"/>
            <w:vAlign w:val="center"/>
          </w:tcPr>
          <w:p>
            <w:pPr>
              <w:spacing w:line="240" w:lineRule="auto"/>
              <w:jc w:val="center"/>
              <w:rPr>
                <w:rFonts w:hint="eastAsia"/>
                <w:szCs w:val="21"/>
              </w:rPr>
            </w:pPr>
            <w:r>
              <w:rPr>
                <w:rFonts w:hint="eastAsia"/>
                <w:szCs w:val="21"/>
              </w:rPr>
              <w:t>0.050%</w:t>
            </w:r>
          </w:p>
        </w:tc>
        <w:tc>
          <w:tcPr>
            <w:tcW w:w="1846" w:type="dxa"/>
            <w:vAlign w:val="center"/>
          </w:tcPr>
          <w:p>
            <w:pPr>
              <w:spacing w:line="240" w:lineRule="auto"/>
              <w:jc w:val="center"/>
              <w:rPr>
                <w:rFonts w:hint="eastAsia"/>
                <w:szCs w:val="21"/>
              </w:rPr>
            </w:pPr>
            <w:r>
              <w:rPr>
                <w:rFonts w:hint="eastAsia"/>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5亿元（含）-10亿元</w:t>
            </w:r>
          </w:p>
        </w:tc>
        <w:tc>
          <w:tcPr>
            <w:tcW w:w="1845" w:type="dxa"/>
            <w:vAlign w:val="center"/>
          </w:tcPr>
          <w:p>
            <w:pPr>
              <w:spacing w:line="240" w:lineRule="auto"/>
              <w:jc w:val="center"/>
              <w:rPr>
                <w:rFonts w:hint="eastAsia"/>
                <w:szCs w:val="21"/>
              </w:rPr>
            </w:pPr>
            <w:r>
              <w:rPr>
                <w:rFonts w:hint="eastAsia"/>
                <w:szCs w:val="21"/>
              </w:rPr>
              <w:t>0.035%</w:t>
            </w:r>
          </w:p>
        </w:tc>
        <w:tc>
          <w:tcPr>
            <w:tcW w:w="1845" w:type="dxa"/>
            <w:vAlign w:val="center"/>
          </w:tcPr>
          <w:p>
            <w:pPr>
              <w:spacing w:line="240" w:lineRule="auto"/>
              <w:jc w:val="center"/>
              <w:rPr>
                <w:rFonts w:hint="eastAsia"/>
                <w:szCs w:val="21"/>
              </w:rPr>
            </w:pPr>
            <w:r>
              <w:rPr>
                <w:rFonts w:hint="eastAsia"/>
                <w:szCs w:val="21"/>
              </w:rPr>
              <w:t>0.035%</w:t>
            </w:r>
          </w:p>
        </w:tc>
        <w:tc>
          <w:tcPr>
            <w:tcW w:w="1846" w:type="dxa"/>
            <w:vAlign w:val="center"/>
          </w:tcPr>
          <w:p>
            <w:pPr>
              <w:spacing w:line="240" w:lineRule="auto"/>
              <w:jc w:val="center"/>
              <w:rPr>
                <w:rFonts w:hint="eastAsia"/>
                <w:szCs w:val="21"/>
              </w:rPr>
            </w:pPr>
            <w:r>
              <w:rPr>
                <w:rFonts w:hint="eastAsia"/>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10亿元（含）-50亿元</w:t>
            </w:r>
          </w:p>
        </w:tc>
        <w:tc>
          <w:tcPr>
            <w:tcW w:w="1845" w:type="dxa"/>
            <w:vAlign w:val="center"/>
          </w:tcPr>
          <w:p>
            <w:pPr>
              <w:spacing w:line="240" w:lineRule="auto"/>
              <w:jc w:val="center"/>
              <w:rPr>
                <w:rFonts w:hint="eastAsia"/>
                <w:szCs w:val="21"/>
              </w:rPr>
            </w:pPr>
            <w:r>
              <w:rPr>
                <w:rFonts w:hint="eastAsia"/>
                <w:szCs w:val="21"/>
              </w:rPr>
              <w:t>0.008%</w:t>
            </w:r>
          </w:p>
        </w:tc>
        <w:tc>
          <w:tcPr>
            <w:tcW w:w="1845" w:type="dxa"/>
            <w:vAlign w:val="center"/>
          </w:tcPr>
          <w:p>
            <w:pPr>
              <w:spacing w:line="240" w:lineRule="auto"/>
              <w:jc w:val="center"/>
              <w:rPr>
                <w:rFonts w:hint="eastAsia"/>
                <w:szCs w:val="21"/>
              </w:rPr>
            </w:pPr>
            <w:r>
              <w:rPr>
                <w:rFonts w:hint="eastAsia"/>
                <w:szCs w:val="21"/>
              </w:rPr>
              <w:t>0.008%</w:t>
            </w:r>
          </w:p>
        </w:tc>
        <w:tc>
          <w:tcPr>
            <w:tcW w:w="1846" w:type="dxa"/>
            <w:vAlign w:val="center"/>
          </w:tcPr>
          <w:p>
            <w:pPr>
              <w:spacing w:line="240" w:lineRule="auto"/>
              <w:jc w:val="center"/>
              <w:rPr>
                <w:rFonts w:hint="eastAsia"/>
                <w:szCs w:val="21"/>
              </w:rPr>
            </w:pPr>
            <w:r>
              <w:rPr>
                <w:rFonts w:hint="eastAsia"/>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50亿元（含）-100亿元</w:t>
            </w:r>
          </w:p>
        </w:tc>
        <w:tc>
          <w:tcPr>
            <w:tcW w:w="1845" w:type="dxa"/>
            <w:vAlign w:val="center"/>
          </w:tcPr>
          <w:p>
            <w:pPr>
              <w:spacing w:line="240" w:lineRule="auto"/>
              <w:jc w:val="center"/>
              <w:rPr>
                <w:rFonts w:hint="eastAsia"/>
                <w:szCs w:val="21"/>
              </w:rPr>
            </w:pPr>
            <w:r>
              <w:rPr>
                <w:rFonts w:hint="eastAsia"/>
                <w:szCs w:val="21"/>
              </w:rPr>
              <w:t>0.006%</w:t>
            </w:r>
          </w:p>
        </w:tc>
        <w:tc>
          <w:tcPr>
            <w:tcW w:w="1845" w:type="dxa"/>
            <w:vAlign w:val="center"/>
          </w:tcPr>
          <w:p>
            <w:pPr>
              <w:spacing w:line="240" w:lineRule="auto"/>
              <w:jc w:val="center"/>
              <w:rPr>
                <w:rFonts w:hint="eastAsia"/>
                <w:szCs w:val="21"/>
              </w:rPr>
            </w:pPr>
            <w:r>
              <w:rPr>
                <w:rFonts w:hint="eastAsia"/>
                <w:szCs w:val="21"/>
              </w:rPr>
              <w:t>0.006%</w:t>
            </w:r>
          </w:p>
        </w:tc>
        <w:tc>
          <w:tcPr>
            <w:tcW w:w="1846" w:type="dxa"/>
            <w:vAlign w:val="center"/>
          </w:tcPr>
          <w:p>
            <w:pPr>
              <w:spacing w:line="240" w:lineRule="auto"/>
              <w:jc w:val="center"/>
              <w:rPr>
                <w:rFonts w:hint="eastAsia"/>
                <w:szCs w:val="21"/>
              </w:rPr>
            </w:pPr>
            <w:r>
              <w:rPr>
                <w:rFonts w:hint="eastAsia"/>
                <w:szCs w:val="21"/>
              </w:rPr>
              <w:t>0.006%</w:t>
            </w:r>
          </w:p>
        </w:tc>
      </w:tr>
    </w:tbl>
    <w:p>
      <w:pPr>
        <w:tabs>
          <w:tab w:val="clear" w:pos="426"/>
        </w:tabs>
        <w:ind w:left="424" w:leftChars="202" w:firstLine="440" w:firstLineChars="200"/>
        <w:rPr>
          <w:rFonts w:hint="eastAsia"/>
          <w:sz w:val="22"/>
        </w:rPr>
      </w:pPr>
      <w:r>
        <w:rPr>
          <w:rFonts w:hint="eastAsia"/>
          <w:sz w:val="22"/>
        </w:rPr>
        <w:t>以某5000万项目货物类招标为例：</w:t>
      </w:r>
    </w:p>
    <w:p>
      <w:pPr>
        <w:tabs>
          <w:tab w:val="clear" w:pos="426"/>
        </w:tabs>
        <w:ind w:left="424" w:leftChars="202" w:firstLine="440" w:firstLineChars="200"/>
        <w:rPr>
          <w:rFonts w:hint="eastAsia"/>
          <w:sz w:val="22"/>
        </w:rPr>
      </w:pPr>
      <w:r>
        <w:rPr>
          <w:rFonts w:hint="eastAsia"/>
          <w:sz w:val="22"/>
        </w:rPr>
        <w:t>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pPr>
        <w:tabs>
          <w:tab w:val="clear" w:pos="426"/>
        </w:tabs>
        <w:ind w:left="424" w:leftChars="202" w:firstLine="440" w:firstLineChars="200"/>
        <w:rPr>
          <w:rFonts w:hint="eastAsia"/>
          <w:sz w:val="22"/>
        </w:rPr>
      </w:pPr>
      <w:r>
        <w:rPr>
          <w:rFonts w:hint="eastAsia"/>
          <w:sz w:val="22"/>
        </w:rPr>
        <w:t xml:space="preserve">100万元×1.5%=1.5万元   </w:t>
      </w:r>
    </w:p>
    <w:p>
      <w:pPr>
        <w:tabs>
          <w:tab w:val="clear" w:pos="426"/>
        </w:tabs>
        <w:ind w:left="424" w:leftChars="202" w:firstLine="440" w:firstLineChars="200"/>
        <w:rPr>
          <w:rFonts w:hint="eastAsia"/>
          <w:sz w:val="22"/>
        </w:rPr>
      </w:pPr>
      <w:r>
        <w:rPr>
          <w:rFonts w:hint="eastAsia"/>
          <w:sz w:val="22"/>
        </w:rPr>
        <w:t>（500-100）万元×</w:t>
      </w:r>
      <w:r>
        <w:rPr>
          <w:sz w:val="22"/>
        </w:rPr>
        <w:t>1.1</w:t>
      </w:r>
      <w:r>
        <w:rPr>
          <w:rFonts w:hint="eastAsia"/>
          <w:sz w:val="22"/>
        </w:rPr>
        <w:t>%=</w:t>
      </w:r>
      <w:r>
        <w:rPr>
          <w:sz w:val="22"/>
        </w:rPr>
        <w:t>4.4</w:t>
      </w:r>
      <w:r>
        <w:rPr>
          <w:rFonts w:hint="eastAsia"/>
          <w:sz w:val="22"/>
        </w:rPr>
        <w:t xml:space="preserve">万元 </w:t>
      </w:r>
    </w:p>
    <w:p>
      <w:pPr>
        <w:tabs>
          <w:tab w:val="clear" w:pos="426"/>
        </w:tabs>
        <w:ind w:left="424" w:leftChars="202" w:firstLine="440" w:firstLineChars="200"/>
        <w:rPr>
          <w:rFonts w:hint="eastAsia"/>
          <w:sz w:val="22"/>
        </w:rPr>
      </w:pPr>
      <w:r>
        <w:rPr>
          <w:rFonts w:hint="eastAsia"/>
          <w:sz w:val="22"/>
        </w:rPr>
        <w:t>（1000-500）万元×</w:t>
      </w:r>
      <w:r>
        <w:rPr>
          <w:sz w:val="22"/>
        </w:rPr>
        <w:t>0.8</w:t>
      </w:r>
      <w:r>
        <w:rPr>
          <w:rFonts w:hint="eastAsia"/>
          <w:sz w:val="22"/>
        </w:rPr>
        <w:t>%=</w:t>
      </w:r>
      <w:r>
        <w:rPr>
          <w:sz w:val="22"/>
        </w:rPr>
        <w:t>4</w:t>
      </w:r>
      <w:r>
        <w:rPr>
          <w:rFonts w:hint="eastAsia"/>
          <w:sz w:val="22"/>
        </w:rPr>
        <w:t xml:space="preserve">万元 </w:t>
      </w:r>
    </w:p>
    <w:p>
      <w:pPr>
        <w:tabs>
          <w:tab w:val="clear" w:pos="426"/>
        </w:tabs>
        <w:ind w:left="424" w:leftChars="202" w:firstLine="440" w:firstLineChars="200"/>
        <w:rPr>
          <w:rFonts w:hint="eastAsia"/>
          <w:sz w:val="22"/>
        </w:rPr>
      </w:pPr>
      <w:r>
        <w:rPr>
          <w:rFonts w:hint="eastAsia"/>
          <w:sz w:val="22"/>
        </w:rPr>
        <w:t>（5000-1000）万元×0.</w:t>
      </w:r>
      <w:r>
        <w:rPr>
          <w:sz w:val="22"/>
        </w:rPr>
        <w:t>5</w:t>
      </w:r>
      <w:r>
        <w:rPr>
          <w:rFonts w:hint="eastAsia"/>
          <w:sz w:val="22"/>
        </w:rPr>
        <w:t>%=</w:t>
      </w:r>
      <w:r>
        <w:rPr>
          <w:sz w:val="22"/>
        </w:rPr>
        <w:t>20</w:t>
      </w:r>
      <w:r>
        <w:rPr>
          <w:rFonts w:hint="eastAsia"/>
          <w:sz w:val="22"/>
        </w:rPr>
        <w:t>万元</w:t>
      </w:r>
    </w:p>
    <w:p>
      <w:pPr>
        <w:tabs>
          <w:tab w:val="clear" w:pos="426"/>
        </w:tabs>
        <w:ind w:left="424" w:leftChars="202" w:firstLine="440" w:firstLineChars="200"/>
        <w:rPr>
          <w:rFonts w:hint="eastAsia"/>
          <w:sz w:val="22"/>
        </w:rPr>
      </w:pPr>
      <w:r>
        <w:rPr>
          <w:rFonts w:hint="eastAsia"/>
          <w:sz w:val="22"/>
        </w:rPr>
        <w:t>因此，招标代理服务费为：1.5+</w:t>
      </w:r>
      <w:r>
        <w:rPr>
          <w:sz w:val="22"/>
        </w:rPr>
        <w:t>4.4</w:t>
      </w:r>
      <w:r>
        <w:rPr>
          <w:rFonts w:hint="eastAsia"/>
          <w:sz w:val="22"/>
        </w:rPr>
        <w:t>+</w:t>
      </w:r>
      <w:r>
        <w:rPr>
          <w:sz w:val="22"/>
        </w:rPr>
        <w:t>4</w:t>
      </w:r>
      <w:r>
        <w:rPr>
          <w:rFonts w:hint="eastAsia"/>
          <w:sz w:val="22"/>
        </w:rPr>
        <w:t>+</w:t>
      </w:r>
      <w:r>
        <w:rPr>
          <w:sz w:val="22"/>
        </w:rPr>
        <w:t>2</w:t>
      </w:r>
      <w:r>
        <w:rPr>
          <w:rFonts w:hint="eastAsia"/>
          <w:sz w:val="22"/>
        </w:rPr>
        <w:t>0=</w:t>
      </w:r>
      <w:r>
        <w:rPr>
          <w:sz w:val="22"/>
        </w:rPr>
        <w:t>29.9</w:t>
      </w:r>
      <w:r>
        <w:rPr>
          <w:rFonts w:hint="eastAsia"/>
          <w:sz w:val="22"/>
        </w:rPr>
        <w:t>万元。</w:t>
      </w:r>
    </w:p>
    <w:p>
      <w:pPr>
        <w:shd w:val="clear" w:color="auto" w:fill="auto"/>
        <w:tabs>
          <w:tab w:val="clear" w:pos="426"/>
        </w:tabs>
        <w:adjustRightInd/>
        <w:snapToGrid/>
        <w:spacing w:line="240" w:lineRule="auto"/>
        <w:jc w:val="left"/>
        <w:rPr>
          <w:rFonts w:ascii="Arial" w:hAnsi="Arial" w:cs="Times New Roman"/>
          <w:bCs/>
          <w:kern w:val="2"/>
          <w:sz w:val="36"/>
          <w:szCs w:val="32"/>
        </w:rPr>
      </w:pPr>
    </w:p>
    <w:sectPr>
      <w:headerReference r:id="rId7" w:type="first"/>
      <w:footerReference r:id="rId9" w:type="first"/>
      <w:headerReference r:id="rId6" w:type="default"/>
      <w:footerReference r:id="rId8" w:type="default"/>
      <w:pgSz w:w="11906" w:h="16838"/>
      <w:pgMar w:top="1134" w:right="1134" w:bottom="1134" w:left="1418" w:header="851" w:footer="992" w:gutter="0"/>
      <w:pgNumType w:start="1"/>
      <w:cols w:space="720" w:num="1"/>
      <w:titlePg/>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82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133"/>
      </w:rPr>
    </w:pPr>
    <w:r>
      <w:fldChar w:fldCharType="begin"/>
    </w:r>
    <w:r>
      <w:rPr>
        <w:rStyle w:val="133"/>
      </w:rPr>
      <w:instrText xml:space="preserve">PAGE  </w:instrText>
    </w:r>
    <w:r>
      <w:fldChar w:fldCharType="separate"/>
    </w:r>
    <w:r>
      <w:rPr>
        <w:rStyle w:val="133"/>
      </w:rPr>
      <w:t>65</w:t>
    </w:r>
    <w:r>
      <w:fldChar w:fldCharType="end"/>
    </w:r>
  </w:p>
  <w:p>
    <w:pPr>
      <w:pStyle w:val="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21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line="240" w:lineRule="auto"/>
    </w:pPr>
    <w:r>
      <w:rPr>
        <w:rFonts w:hint="eastAsia"/>
      </w:rPr>
      <w:t>深圳市深水水务咨询有限公司招标文件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rPr>
      <w:t>深圳市深水水务咨询有限公司招标文件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suff w:val="nothing"/>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5"/>
    <w:multiLevelType w:val="multilevel"/>
    <w:tmpl w:val="00000005"/>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2DF849D3"/>
    <w:multiLevelType w:val="multilevel"/>
    <w:tmpl w:val="2DF849D3"/>
    <w:lvl w:ilvl="0" w:tentative="0">
      <w:start w:val="1"/>
      <w:numFmt w:val="chineseCountingThousand"/>
      <w:suff w:val="nothing"/>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5">
    <w:nsid w:val="726C71F1"/>
    <w:multiLevelType w:val="multilevel"/>
    <w:tmpl w:val="726C71F1"/>
    <w:lvl w:ilvl="0" w:tentative="0">
      <w:start w:val="1"/>
      <w:numFmt w:val="chineseCountingThousand"/>
      <w:pStyle w:val="554"/>
      <w:suff w:val="nothing"/>
      <w:lvlText w:val="%1、"/>
      <w:lvlJc w:val="left"/>
      <w:pPr>
        <w:ind w:left="0" w:firstLine="0"/>
      </w:pPr>
      <w:rPr>
        <w:rFonts w:hint="eastAsia"/>
        <w:b/>
        <w:lang w:val="en-US"/>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734F656C"/>
    <w:multiLevelType w:val="multilevel"/>
    <w:tmpl w:val="734F656C"/>
    <w:lvl w:ilvl="0" w:tentative="0">
      <w:start w:val="1"/>
      <w:numFmt w:val="decimal"/>
      <w:suff w:val="nothing"/>
      <w:lvlText w:val="%1"/>
      <w:lvlJc w:val="left"/>
      <w:pPr>
        <w:ind w:left="6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4NzIwNzA4ZTJjN2M2YzAzODJmMmZmNWFlZjU1OTAifQ=="/>
  </w:docVars>
  <w:rsids>
    <w:rsidRoot w:val="006C5683"/>
    <w:rsid w:val="0000037F"/>
    <w:rsid w:val="000006B9"/>
    <w:rsid w:val="00000915"/>
    <w:rsid w:val="00000941"/>
    <w:rsid w:val="00000AFB"/>
    <w:rsid w:val="00000DA4"/>
    <w:rsid w:val="0000145B"/>
    <w:rsid w:val="0000159C"/>
    <w:rsid w:val="00001AEA"/>
    <w:rsid w:val="00001CE0"/>
    <w:rsid w:val="00002054"/>
    <w:rsid w:val="000020FF"/>
    <w:rsid w:val="00002F93"/>
    <w:rsid w:val="00002F9F"/>
    <w:rsid w:val="00003526"/>
    <w:rsid w:val="000036F7"/>
    <w:rsid w:val="000038EB"/>
    <w:rsid w:val="00003B2E"/>
    <w:rsid w:val="00003CC2"/>
    <w:rsid w:val="00004225"/>
    <w:rsid w:val="00004251"/>
    <w:rsid w:val="0000488C"/>
    <w:rsid w:val="00004952"/>
    <w:rsid w:val="000049E7"/>
    <w:rsid w:val="00005215"/>
    <w:rsid w:val="00005A10"/>
    <w:rsid w:val="00005AB7"/>
    <w:rsid w:val="00005AFC"/>
    <w:rsid w:val="00006D66"/>
    <w:rsid w:val="00007123"/>
    <w:rsid w:val="000073A7"/>
    <w:rsid w:val="000078FF"/>
    <w:rsid w:val="00007B76"/>
    <w:rsid w:val="00007FCD"/>
    <w:rsid w:val="00010102"/>
    <w:rsid w:val="00010A6F"/>
    <w:rsid w:val="000111B4"/>
    <w:rsid w:val="0001175B"/>
    <w:rsid w:val="0001231B"/>
    <w:rsid w:val="000124E2"/>
    <w:rsid w:val="0001275D"/>
    <w:rsid w:val="000128AD"/>
    <w:rsid w:val="00012C0A"/>
    <w:rsid w:val="00013044"/>
    <w:rsid w:val="0001325A"/>
    <w:rsid w:val="00014018"/>
    <w:rsid w:val="00014026"/>
    <w:rsid w:val="00014AA6"/>
    <w:rsid w:val="00014E10"/>
    <w:rsid w:val="00014F58"/>
    <w:rsid w:val="000151D5"/>
    <w:rsid w:val="00015433"/>
    <w:rsid w:val="000154D8"/>
    <w:rsid w:val="00015968"/>
    <w:rsid w:val="00015E98"/>
    <w:rsid w:val="0001634A"/>
    <w:rsid w:val="000168E6"/>
    <w:rsid w:val="00016D58"/>
    <w:rsid w:val="00016ED5"/>
    <w:rsid w:val="00017112"/>
    <w:rsid w:val="0001716B"/>
    <w:rsid w:val="000177C0"/>
    <w:rsid w:val="0001792D"/>
    <w:rsid w:val="0001794C"/>
    <w:rsid w:val="00020321"/>
    <w:rsid w:val="000211EA"/>
    <w:rsid w:val="000218B0"/>
    <w:rsid w:val="00021B1A"/>
    <w:rsid w:val="00022196"/>
    <w:rsid w:val="00022548"/>
    <w:rsid w:val="00022E19"/>
    <w:rsid w:val="000233D6"/>
    <w:rsid w:val="000234B2"/>
    <w:rsid w:val="0002382E"/>
    <w:rsid w:val="0002401D"/>
    <w:rsid w:val="000244E1"/>
    <w:rsid w:val="000245FE"/>
    <w:rsid w:val="000246D4"/>
    <w:rsid w:val="000252D1"/>
    <w:rsid w:val="00025673"/>
    <w:rsid w:val="00025E39"/>
    <w:rsid w:val="00026A09"/>
    <w:rsid w:val="00026CAC"/>
    <w:rsid w:val="00027F8E"/>
    <w:rsid w:val="0003072D"/>
    <w:rsid w:val="000308B1"/>
    <w:rsid w:val="0003148B"/>
    <w:rsid w:val="00031700"/>
    <w:rsid w:val="00031A97"/>
    <w:rsid w:val="00031E25"/>
    <w:rsid w:val="00031F18"/>
    <w:rsid w:val="00031F6E"/>
    <w:rsid w:val="00032001"/>
    <w:rsid w:val="00032090"/>
    <w:rsid w:val="000325A7"/>
    <w:rsid w:val="00032926"/>
    <w:rsid w:val="00033051"/>
    <w:rsid w:val="00033725"/>
    <w:rsid w:val="0003373D"/>
    <w:rsid w:val="000339DE"/>
    <w:rsid w:val="00033B7B"/>
    <w:rsid w:val="00034B41"/>
    <w:rsid w:val="00034D82"/>
    <w:rsid w:val="0003503F"/>
    <w:rsid w:val="0003509A"/>
    <w:rsid w:val="0003617B"/>
    <w:rsid w:val="000372DD"/>
    <w:rsid w:val="000377F6"/>
    <w:rsid w:val="00037F52"/>
    <w:rsid w:val="00037F54"/>
    <w:rsid w:val="0004000A"/>
    <w:rsid w:val="00040A4B"/>
    <w:rsid w:val="00040D3C"/>
    <w:rsid w:val="0004120F"/>
    <w:rsid w:val="00041611"/>
    <w:rsid w:val="00041A75"/>
    <w:rsid w:val="00041B72"/>
    <w:rsid w:val="00041B9A"/>
    <w:rsid w:val="00041BD2"/>
    <w:rsid w:val="00041E1A"/>
    <w:rsid w:val="00041E58"/>
    <w:rsid w:val="000423A2"/>
    <w:rsid w:val="00042404"/>
    <w:rsid w:val="00042BE4"/>
    <w:rsid w:val="00042CE2"/>
    <w:rsid w:val="00043131"/>
    <w:rsid w:val="0004348E"/>
    <w:rsid w:val="00043A89"/>
    <w:rsid w:val="00043C31"/>
    <w:rsid w:val="00044204"/>
    <w:rsid w:val="00044591"/>
    <w:rsid w:val="00044926"/>
    <w:rsid w:val="00044A73"/>
    <w:rsid w:val="00045739"/>
    <w:rsid w:val="00045AD6"/>
    <w:rsid w:val="00046354"/>
    <w:rsid w:val="00046767"/>
    <w:rsid w:val="0004790E"/>
    <w:rsid w:val="00050B31"/>
    <w:rsid w:val="00050F3E"/>
    <w:rsid w:val="000510B6"/>
    <w:rsid w:val="00051D3E"/>
    <w:rsid w:val="00051F3F"/>
    <w:rsid w:val="0005204E"/>
    <w:rsid w:val="00052798"/>
    <w:rsid w:val="00052BC1"/>
    <w:rsid w:val="0005365D"/>
    <w:rsid w:val="00053715"/>
    <w:rsid w:val="0005381C"/>
    <w:rsid w:val="000538BE"/>
    <w:rsid w:val="000539E2"/>
    <w:rsid w:val="00053A25"/>
    <w:rsid w:val="00055013"/>
    <w:rsid w:val="00055256"/>
    <w:rsid w:val="000557BC"/>
    <w:rsid w:val="0005582B"/>
    <w:rsid w:val="00055C4B"/>
    <w:rsid w:val="000566D1"/>
    <w:rsid w:val="0005677F"/>
    <w:rsid w:val="00056E39"/>
    <w:rsid w:val="00057332"/>
    <w:rsid w:val="0005740C"/>
    <w:rsid w:val="000601F6"/>
    <w:rsid w:val="000602D1"/>
    <w:rsid w:val="0006039A"/>
    <w:rsid w:val="00060DD9"/>
    <w:rsid w:val="00060E5A"/>
    <w:rsid w:val="0006171E"/>
    <w:rsid w:val="00061BBA"/>
    <w:rsid w:val="00061DCB"/>
    <w:rsid w:val="0006267A"/>
    <w:rsid w:val="00062882"/>
    <w:rsid w:val="00062B74"/>
    <w:rsid w:val="00062BA0"/>
    <w:rsid w:val="00062C42"/>
    <w:rsid w:val="00063131"/>
    <w:rsid w:val="00063857"/>
    <w:rsid w:val="000638E3"/>
    <w:rsid w:val="00063A79"/>
    <w:rsid w:val="00063CD3"/>
    <w:rsid w:val="00063F40"/>
    <w:rsid w:val="00063FD9"/>
    <w:rsid w:val="00065E3F"/>
    <w:rsid w:val="0006640B"/>
    <w:rsid w:val="0006670C"/>
    <w:rsid w:val="00066EA8"/>
    <w:rsid w:val="00066EF6"/>
    <w:rsid w:val="0006703A"/>
    <w:rsid w:val="00067390"/>
    <w:rsid w:val="00067A02"/>
    <w:rsid w:val="00067B7F"/>
    <w:rsid w:val="00067D5E"/>
    <w:rsid w:val="00070409"/>
    <w:rsid w:val="000704BF"/>
    <w:rsid w:val="0007051D"/>
    <w:rsid w:val="00070736"/>
    <w:rsid w:val="00070929"/>
    <w:rsid w:val="000709E4"/>
    <w:rsid w:val="00071CDD"/>
    <w:rsid w:val="00071F7E"/>
    <w:rsid w:val="0007261A"/>
    <w:rsid w:val="00072D8F"/>
    <w:rsid w:val="00072DAB"/>
    <w:rsid w:val="00072DD1"/>
    <w:rsid w:val="0007310B"/>
    <w:rsid w:val="00073180"/>
    <w:rsid w:val="000732C9"/>
    <w:rsid w:val="00073E77"/>
    <w:rsid w:val="000740B8"/>
    <w:rsid w:val="0007455E"/>
    <w:rsid w:val="000750DC"/>
    <w:rsid w:val="0007542D"/>
    <w:rsid w:val="00075C4A"/>
    <w:rsid w:val="00076BF2"/>
    <w:rsid w:val="00076EDC"/>
    <w:rsid w:val="00077188"/>
    <w:rsid w:val="00077784"/>
    <w:rsid w:val="00080925"/>
    <w:rsid w:val="0008103C"/>
    <w:rsid w:val="00081639"/>
    <w:rsid w:val="000818BE"/>
    <w:rsid w:val="00081A6E"/>
    <w:rsid w:val="000820FF"/>
    <w:rsid w:val="00082667"/>
    <w:rsid w:val="00082B2F"/>
    <w:rsid w:val="00082DBC"/>
    <w:rsid w:val="00083AAF"/>
    <w:rsid w:val="00083DA4"/>
    <w:rsid w:val="00083DC6"/>
    <w:rsid w:val="000840C5"/>
    <w:rsid w:val="00085023"/>
    <w:rsid w:val="00085592"/>
    <w:rsid w:val="00085624"/>
    <w:rsid w:val="00085B5B"/>
    <w:rsid w:val="00085D12"/>
    <w:rsid w:val="000862AC"/>
    <w:rsid w:val="000864B8"/>
    <w:rsid w:val="0008698E"/>
    <w:rsid w:val="000869D8"/>
    <w:rsid w:val="00086B77"/>
    <w:rsid w:val="00086BB4"/>
    <w:rsid w:val="00086C4F"/>
    <w:rsid w:val="0008735D"/>
    <w:rsid w:val="00087A08"/>
    <w:rsid w:val="00087C7C"/>
    <w:rsid w:val="000909A1"/>
    <w:rsid w:val="00091179"/>
    <w:rsid w:val="0009141A"/>
    <w:rsid w:val="000915F3"/>
    <w:rsid w:val="00091657"/>
    <w:rsid w:val="000924E5"/>
    <w:rsid w:val="00092590"/>
    <w:rsid w:val="0009269A"/>
    <w:rsid w:val="000927D9"/>
    <w:rsid w:val="00092CD0"/>
    <w:rsid w:val="00092FC7"/>
    <w:rsid w:val="00093003"/>
    <w:rsid w:val="00093890"/>
    <w:rsid w:val="00093C08"/>
    <w:rsid w:val="0009421D"/>
    <w:rsid w:val="000946EC"/>
    <w:rsid w:val="00094EB7"/>
    <w:rsid w:val="000950A7"/>
    <w:rsid w:val="000951B4"/>
    <w:rsid w:val="00095480"/>
    <w:rsid w:val="000954D5"/>
    <w:rsid w:val="00095596"/>
    <w:rsid w:val="00095778"/>
    <w:rsid w:val="00095A25"/>
    <w:rsid w:val="0009618D"/>
    <w:rsid w:val="000961F2"/>
    <w:rsid w:val="0009709B"/>
    <w:rsid w:val="0009778F"/>
    <w:rsid w:val="00097D27"/>
    <w:rsid w:val="000A0441"/>
    <w:rsid w:val="000A0B8E"/>
    <w:rsid w:val="000A0BF6"/>
    <w:rsid w:val="000A1206"/>
    <w:rsid w:val="000A21E9"/>
    <w:rsid w:val="000A28A6"/>
    <w:rsid w:val="000A2927"/>
    <w:rsid w:val="000A2C6D"/>
    <w:rsid w:val="000A48A7"/>
    <w:rsid w:val="000A599B"/>
    <w:rsid w:val="000A5F2D"/>
    <w:rsid w:val="000A6726"/>
    <w:rsid w:val="000A6BCB"/>
    <w:rsid w:val="000A6C1B"/>
    <w:rsid w:val="000A6EE8"/>
    <w:rsid w:val="000A6F39"/>
    <w:rsid w:val="000A756F"/>
    <w:rsid w:val="000A7726"/>
    <w:rsid w:val="000B05E2"/>
    <w:rsid w:val="000B0E71"/>
    <w:rsid w:val="000B11E0"/>
    <w:rsid w:val="000B1345"/>
    <w:rsid w:val="000B20FB"/>
    <w:rsid w:val="000B2311"/>
    <w:rsid w:val="000B2568"/>
    <w:rsid w:val="000B2BAE"/>
    <w:rsid w:val="000B2BB0"/>
    <w:rsid w:val="000B381C"/>
    <w:rsid w:val="000B41A9"/>
    <w:rsid w:val="000B428A"/>
    <w:rsid w:val="000B44C8"/>
    <w:rsid w:val="000B4591"/>
    <w:rsid w:val="000B4777"/>
    <w:rsid w:val="000B4988"/>
    <w:rsid w:val="000B49C5"/>
    <w:rsid w:val="000B5097"/>
    <w:rsid w:val="000B5447"/>
    <w:rsid w:val="000B56CC"/>
    <w:rsid w:val="000B6961"/>
    <w:rsid w:val="000B69EB"/>
    <w:rsid w:val="000B6B59"/>
    <w:rsid w:val="000B6DE4"/>
    <w:rsid w:val="000B73D3"/>
    <w:rsid w:val="000B76A8"/>
    <w:rsid w:val="000B7ABC"/>
    <w:rsid w:val="000B7AF7"/>
    <w:rsid w:val="000C0173"/>
    <w:rsid w:val="000C0559"/>
    <w:rsid w:val="000C0D71"/>
    <w:rsid w:val="000C1C71"/>
    <w:rsid w:val="000C1EE4"/>
    <w:rsid w:val="000C2446"/>
    <w:rsid w:val="000C2FC5"/>
    <w:rsid w:val="000C3360"/>
    <w:rsid w:val="000C33C0"/>
    <w:rsid w:val="000C3497"/>
    <w:rsid w:val="000C3C43"/>
    <w:rsid w:val="000C3D9C"/>
    <w:rsid w:val="000C4198"/>
    <w:rsid w:val="000C427C"/>
    <w:rsid w:val="000C4425"/>
    <w:rsid w:val="000C4518"/>
    <w:rsid w:val="000C5044"/>
    <w:rsid w:val="000C580F"/>
    <w:rsid w:val="000C587B"/>
    <w:rsid w:val="000C5F59"/>
    <w:rsid w:val="000C61EA"/>
    <w:rsid w:val="000C6975"/>
    <w:rsid w:val="000C6AF5"/>
    <w:rsid w:val="000C6BA7"/>
    <w:rsid w:val="000C6F2D"/>
    <w:rsid w:val="000C70F7"/>
    <w:rsid w:val="000C7CA5"/>
    <w:rsid w:val="000C7D81"/>
    <w:rsid w:val="000C7E7E"/>
    <w:rsid w:val="000D1055"/>
    <w:rsid w:val="000D1275"/>
    <w:rsid w:val="000D12AA"/>
    <w:rsid w:val="000D1330"/>
    <w:rsid w:val="000D1A7D"/>
    <w:rsid w:val="000D1D09"/>
    <w:rsid w:val="000D20CD"/>
    <w:rsid w:val="000D2309"/>
    <w:rsid w:val="000D2390"/>
    <w:rsid w:val="000D23AD"/>
    <w:rsid w:val="000D2C15"/>
    <w:rsid w:val="000D350D"/>
    <w:rsid w:val="000D35B7"/>
    <w:rsid w:val="000D38F9"/>
    <w:rsid w:val="000D40F0"/>
    <w:rsid w:val="000D4106"/>
    <w:rsid w:val="000D41F0"/>
    <w:rsid w:val="000D495E"/>
    <w:rsid w:val="000D4CFC"/>
    <w:rsid w:val="000D4E09"/>
    <w:rsid w:val="000D53B3"/>
    <w:rsid w:val="000D5864"/>
    <w:rsid w:val="000D58D2"/>
    <w:rsid w:val="000D5DD9"/>
    <w:rsid w:val="000D6197"/>
    <w:rsid w:val="000D695F"/>
    <w:rsid w:val="000D6AF1"/>
    <w:rsid w:val="000D6DA4"/>
    <w:rsid w:val="000D77FE"/>
    <w:rsid w:val="000E0040"/>
    <w:rsid w:val="000E01F1"/>
    <w:rsid w:val="000E0227"/>
    <w:rsid w:val="000E0239"/>
    <w:rsid w:val="000E065D"/>
    <w:rsid w:val="000E0885"/>
    <w:rsid w:val="000E121E"/>
    <w:rsid w:val="000E14A4"/>
    <w:rsid w:val="000E14C6"/>
    <w:rsid w:val="000E166A"/>
    <w:rsid w:val="000E1C23"/>
    <w:rsid w:val="000E2321"/>
    <w:rsid w:val="000E2F34"/>
    <w:rsid w:val="000E301B"/>
    <w:rsid w:val="000E34E1"/>
    <w:rsid w:val="000E41C0"/>
    <w:rsid w:val="000E4687"/>
    <w:rsid w:val="000E48ED"/>
    <w:rsid w:val="000E49EB"/>
    <w:rsid w:val="000E4DE8"/>
    <w:rsid w:val="000E60B2"/>
    <w:rsid w:val="000E62FD"/>
    <w:rsid w:val="000E6681"/>
    <w:rsid w:val="000E69FE"/>
    <w:rsid w:val="000E6C5E"/>
    <w:rsid w:val="000E6C9A"/>
    <w:rsid w:val="000E6DB4"/>
    <w:rsid w:val="000E6EC0"/>
    <w:rsid w:val="000E7D2D"/>
    <w:rsid w:val="000F0265"/>
    <w:rsid w:val="000F10F7"/>
    <w:rsid w:val="000F179C"/>
    <w:rsid w:val="000F1DD5"/>
    <w:rsid w:val="000F1FA3"/>
    <w:rsid w:val="000F2065"/>
    <w:rsid w:val="000F2359"/>
    <w:rsid w:val="000F2A88"/>
    <w:rsid w:val="000F2D1B"/>
    <w:rsid w:val="000F353A"/>
    <w:rsid w:val="000F3A80"/>
    <w:rsid w:val="000F3ADB"/>
    <w:rsid w:val="000F3FA1"/>
    <w:rsid w:val="000F4351"/>
    <w:rsid w:val="000F4752"/>
    <w:rsid w:val="000F48D9"/>
    <w:rsid w:val="000F4A59"/>
    <w:rsid w:val="000F4B7E"/>
    <w:rsid w:val="000F4E82"/>
    <w:rsid w:val="000F51DA"/>
    <w:rsid w:val="000F5577"/>
    <w:rsid w:val="000F565B"/>
    <w:rsid w:val="000F57BF"/>
    <w:rsid w:val="000F5F3F"/>
    <w:rsid w:val="000F5F65"/>
    <w:rsid w:val="000F67AA"/>
    <w:rsid w:val="001005C3"/>
    <w:rsid w:val="00100844"/>
    <w:rsid w:val="001018E7"/>
    <w:rsid w:val="00101C3F"/>
    <w:rsid w:val="00101DD0"/>
    <w:rsid w:val="00102555"/>
    <w:rsid w:val="00102F06"/>
    <w:rsid w:val="00103D3E"/>
    <w:rsid w:val="00103DFC"/>
    <w:rsid w:val="00103ECC"/>
    <w:rsid w:val="001047E8"/>
    <w:rsid w:val="00104B2A"/>
    <w:rsid w:val="00104F15"/>
    <w:rsid w:val="001051A9"/>
    <w:rsid w:val="00105B3E"/>
    <w:rsid w:val="00105B99"/>
    <w:rsid w:val="00105BA0"/>
    <w:rsid w:val="001061D3"/>
    <w:rsid w:val="00106748"/>
    <w:rsid w:val="0010723E"/>
    <w:rsid w:val="001075B1"/>
    <w:rsid w:val="00107D54"/>
    <w:rsid w:val="00110079"/>
    <w:rsid w:val="00110173"/>
    <w:rsid w:val="00110A90"/>
    <w:rsid w:val="00110CD5"/>
    <w:rsid w:val="0011108B"/>
    <w:rsid w:val="001111F7"/>
    <w:rsid w:val="00111A14"/>
    <w:rsid w:val="00111C87"/>
    <w:rsid w:val="00112EF6"/>
    <w:rsid w:val="001136E5"/>
    <w:rsid w:val="001138DA"/>
    <w:rsid w:val="00115711"/>
    <w:rsid w:val="0011585F"/>
    <w:rsid w:val="00115973"/>
    <w:rsid w:val="00115A55"/>
    <w:rsid w:val="00115AD7"/>
    <w:rsid w:val="00116971"/>
    <w:rsid w:val="001172D4"/>
    <w:rsid w:val="00117316"/>
    <w:rsid w:val="00117A19"/>
    <w:rsid w:val="00117E2F"/>
    <w:rsid w:val="001205E7"/>
    <w:rsid w:val="001208AF"/>
    <w:rsid w:val="00120A84"/>
    <w:rsid w:val="001212EF"/>
    <w:rsid w:val="001213CE"/>
    <w:rsid w:val="001215C5"/>
    <w:rsid w:val="001217DC"/>
    <w:rsid w:val="00121AA9"/>
    <w:rsid w:val="0012203F"/>
    <w:rsid w:val="00122238"/>
    <w:rsid w:val="00122873"/>
    <w:rsid w:val="0012293C"/>
    <w:rsid w:val="00122EAA"/>
    <w:rsid w:val="00122FB3"/>
    <w:rsid w:val="00123243"/>
    <w:rsid w:val="00123987"/>
    <w:rsid w:val="00123CC6"/>
    <w:rsid w:val="001241FC"/>
    <w:rsid w:val="00124A28"/>
    <w:rsid w:val="00124E97"/>
    <w:rsid w:val="00125200"/>
    <w:rsid w:val="00125202"/>
    <w:rsid w:val="00125B11"/>
    <w:rsid w:val="00125C68"/>
    <w:rsid w:val="00125C8A"/>
    <w:rsid w:val="00125CF2"/>
    <w:rsid w:val="00125E74"/>
    <w:rsid w:val="00126080"/>
    <w:rsid w:val="0012649A"/>
    <w:rsid w:val="001264D8"/>
    <w:rsid w:val="00126813"/>
    <w:rsid w:val="00126953"/>
    <w:rsid w:val="00126AD5"/>
    <w:rsid w:val="00126C43"/>
    <w:rsid w:val="00126EEB"/>
    <w:rsid w:val="00127777"/>
    <w:rsid w:val="00127A00"/>
    <w:rsid w:val="00127AD2"/>
    <w:rsid w:val="00127CD1"/>
    <w:rsid w:val="0013053B"/>
    <w:rsid w:val="001305BF"/>
    <w:rsid w:val="001307D9"/>
    <w:rsid w:val="00130827"/>
    <w:rsid w:val="001308A2"/>
    <w:rsid w:val="00130C56"/>
    <w:rsid w:val="00131668"/>
    <w:rsid w:val="001319AB"/>
    <w:rsid w:val="00131E17"/>
    <w:rsid w:val="001321FC"/>
    <w:rsid w:val="0013288F"/>
    <w:rsid w:val="00132F55"/>
    <w:rsid w:val="00132FAF"/>
    <w:rsid w:val="001330B3"/>
    <w:rsid w:val="001333A3"/>
    <w:rsid w:val="00133C13"/>
    <w:rsid w:val="00133D2B"/>
    <w:rsid w:val="00133F4C"/>
    <w:rsid w:val="00134014"/>
    <w:rsid w:val="001342FB"/>
    <w:rsid w:val="00134374"/>
    <w:rsid w:val="001343C8"/>
    <w:rsid w:val="001346A2"/>
    <w:rsid w:val="001348BB"/>
    <w:rsid w:val="00134AF9"/>
    <w:rsid w:val="00134B47"/>
    <w:rsid w:val="00134B53"/>
    <w:rsid w:val="00134C5F"/>
    <w:rsid w:val="00134D6D"/>
    <w:rsid w:val="00135640"/>
    <w:rsid w:val="00136467"/>
    <w:rsid w:val="00136543"/>
    <w:rsid w:val="00137027"/>
    <w:rsid w:val="0014046D"/>
    <w:rsid w:val="00140645"/>
    <w:rsid w:val="0014143D"/>
    <w:rsid w:val="00142838"/>
    <w:rsid w:val="00143156"/>
    <w:rsid w:val="00143282"/>
    <w:rsid w:val="00143653"/>
    <w:rsid w:val="0014396D"/>
    <w:rsid w:val="00143B3A"/>
    <w:rsid w:val="00144298"/>
    <w:rsid w:val="001446E6"/>
    <w:rsid w:val="0014521C"/>
    <w:rsid w:val="0014549B"/>
    <w:rsid w:val="00145601"/>
    <w:rsid w:val="001467D4"/>
    <w:rsid w:val="00146AE7"/>
    <w:rsid w:val="00147350"/>
    <w:rsid w:val="001474D5"/>
    <w:rsid w:val="001479A4"/>
    <w:rsid w:val="00147AE8"/>
    <w:rsid w:val="00147B3F"/>
    <w:rsid w:val="00150829"/>
    <w:rsid w:val="00151AFE"/>
    <w:rsid w:val="00152070"/>
    <w:rsid w:val="001520F3"/>
    <w:rsid w:val="00152CBF"/>
    <w:rsid w:val="00152FB5"/>
    <w:rsid w:val="0015305A"/>
    <w:rsid w:val="001530CC"/>
    <w:rsid w:val="001530FC"/>
    <w:rsid w:val="00153212"/>
    <w:rsid w:val="00153237"/>
    <w:rsid w:val="00153387"/>
    <w:rsid w:val="0015340E"/>
    <w:rsid w:val="0015359C"/>
    <w:rsid w:val="0015369F"/>
    <w:rsid w:val="00154156"/>
    <w:rsid w:val="00154CC9"/>
    <w:rsid w:val="001559C0"/>
    <w:rsid w:val="001560F0"/>
    <w:rsid w:val="001566EE"/>
    <w:rsid w:val="001568C1"/>
    <w:rsid w:val="00156D80"/>
    <w:rsid w:val="001573D7"/>
    <w:rsid w:val="00157A9B"/>
    <w:rsid w:val="00157E23"/>
    <w:rsid w:val="00157E58"/>
    <w:rsid w:val="00157FC3"/>
    <w:rsid w:val="0016028E"/>
    <w:rsid w:val="00160352"/>
    <w:rsid w:val="00160354"/>
    <w:rsid w:val="001603CE"/>
    <w:rsid w:val="00160854"/>
    <w:rsid w:val="00160EAC"/>
    <w:rsid w:val="001610A3"/>
    <w:rsid w:val="00161C84"/>
    <w:rsid w:val="001623F2"/>
    <w:rsid w:val="00162564"/>
    <w:rsid w:val="00162651"/>
    <w:rsid w:val="001626BD"/>
    <w:rsid w:val="001628F9"/>
    <w:rsid w:val="00162B2B"/>
    <w:rsid w:val="00162D28"/>
    <w:rsid w:val="001632C1"/>
    <w:rsid w:val="001635AE"/>
    <w:rsid w:val="001635DB"/>
    <w:rsid w:val="0016379F"/>
    <w:rsid w:val="00163812"/>
    <w:rsid w:val="00163865"/>
    <w:rsid w:val="00163E9E"/>
    <w:rsid w:val="00163FB5"/>
    <w:rsid w:val="0016482C"/>
    <w:rsid w:val="0016483A"/>
    <w:rsid w:val="001649DE"/>
    <w:rsid w:val="00164A38"/>
    <w:rsid w:val="00164C3F"/>
    <w:rsid w:val="00164DA5"/>
    <w:rsid w:val="00164E23"/>
    <w:rsid w:val="001650F8"/>
    <w:rsid w:val="00165222"/>
    <w:rsid w:val="0016595F"/>
    <w:rsid w:val="00165A06"/>
    <w:rsid w:val="00165F24"/>
    <w:rsid w:val="00166372"/>
    <w:rsid w:val="001664B0"/>
    <w:rsid w:val="00166A2C"/>
    <w:rsid w:val="00167972"/>
    <w:rsid w:val="00167E9C"/>
    <w:rsid w:val="0017070C"/>
    <w:rsid w:val="00170D23"/>
    <w:rsid w:val="00170E88"/>
    <w:rsid w:val="001711DB"/>
    <w:rsid w:val="00171D51"/>
    <w:rsid w:val="00171D7E"/>
    <w:rsid w:val="00172D74"/>
    <w:rsid w:val="0017320F"/>
    <w:rsid w:val="0017350C"/>
    <w:rsid w:val="00173696"/>
    <w:rsid w:val="00173A74"/>
    <w:rsid w:val="001746C2"/>
    <w:rsid w:val="00174840"/>
    <w:rsid w:val="00175235"/>
    <w:rsid w:val="0017584B"/>
    <w:rsid w:val="00175E0B"/>
    <w:rsid w:val="00175E43"/>
    <w:rsid w:val="001760B2"/>
    <w:rsid w:val="00176286"/>
    <w:rsid w:val="001766D0"/>
    <w:rsid w:val="00176BC7"/>
    <w:rsid w:val="00176EED"/>
    <w:rsid w:val="00177167"/>
    <w:rsid w:val="001772DF"/>
    <w:rsid w:val="00180F96"/>
    <w:rsid w:val="0018102F"/>
    <w:rsid w:val="0018120A"/>
    <w:rsid w:val="00181DFA"/>
    <w:rsid w:val="0018205E"/>
    <w:rsid w:val="0018206A"/>
    <w:rsid w:val="00182A09"/>
    <w:rsid w:val="001834DC"/>
    <w:rsid w:val="00183959"/>
    <w:rsid w:val="00183B1B"/>
    <w:rsid w:val="00183C79"/>
    <w:rsid w:val="00183C8B"/>
    <w:rsid w:val="00183E75"/>
    <w:rsid w:val="00184125"/>
    <w:rsid w:val="00184225"/>
    <w:rsid w:val="00184465"/>
    <w:rsid w:val="001845CF"/>
    <w:rsid w:val="00184677"/>
    <w:rsid w:val="00184BF0"/>
    <w:rsid w:val="001851CF"/>
    <w:rsid w:val="001857BB"/>
    <w:rsid w:val="00185969"/>
    <w:rsid w:val="001865BB"/>
    <w:rsid w:val="00187339"/>
    <w:rsid w:val="00187438"/>
    <w:rsid w:val="00187518"/>
    <w:rsid w:val="00187885"/>
    <w:rsid w:val="00187941"/>
    <w:rsid w:val="0019005E"/>
    <w:rsid w:val="00190351"/>
    <w:rsid w:val="00190FB6"/>
    <w:rsid w:val="00191101"/>
    <w:rsid w:val="001912E3"/>
    <w:rsid w:val="001913D0"/>
    <w:rsid w:val="001933A1"/>
    <w:rsid w:val="001938DF"/>
    <w:rsid w:val="00193911"/>
    <w:rsid w:val="00193C6E"/>
    <w:rsid w:val="00194444"/>
    <w:rsid w:val="0019464F"/>
    <w:rsid w:val="00194FD4"/>
    <w:rsid w:val="001952F2"/>
    <w:rsid w:val="0019560F"/>
    <w:rsid w:val="00195AC6"/>
    <w:rsid w:val="00195D58"/>
    <w:rsid w:val="00195D5B"/>
    <w:rsid w:val="00195DED"/>
    <w:rsid w:val="00196B4E"/>
    <w:rsid w:val="00196F09"/>
    <w:rsid w:val="0019703B"/>
    <w:rsid w:val="00197BE9"/>
    <w:rsid w:val="00197EE5"/>
    <w:rsid w:val="00197F24"/>
    <w:rsid w:val="001A01E7"/>
    <w:rsid w:val="001A027A"/>
    <w:rsid w:val="001A0554"/>
    <w:rsid w:val="001A0C05"/>
    <w:rsid w:val="001A0D2C"/>
    <w:rsid w:val="001A173F"/>
    <w:rsid w:val="001A1AB1"/>
    <w:rsid w:val="001A1BB8"/>
    <w:rsid w:val="001A1EE6"/>
    <w:rsid w:val="001A2431"/>
    <w:rsid w:val="001A30E6"/>
    <w:rsid w:val="001A3425"/>
    <w:rsid w:val="001A35A9"/>
    <w:rsid w:val="001A3862"/>
    <w:rsid w:val="001A398D"/>
    <w:rsid w:val="001A3AD6"/>
    <w:rsid w:val="001A41EA"/>
    <w:rsid w:val="001A422B"/>
    <w:rsid w:val="001A440A"/>
    <w:rsid w:val="001A4441"/>
    <w:rsid w:val="001A4A55"/>
    <w:rsid w:val="001A4F44"/>
    <w:rsid w:val="001A54D4"/>
    <w:rsid w:val="001A54DC"/>
    <w:rsid w:val="001A58FE"/>
    <w:rsid w:val="001A5F3D"/>
    <w:rsid w:val="001A6A4F"/>
    <w:rsid w:val="001A76B7"/>
    <w:rsid w:val="001B0900"/>
    <w:rsid w:val="001B0C8A"/>
    <w:rsid w:val="001B0E7A"/>
    <w:rsid w:val="001B1339"/>
    <w:rsid w:val="001B197E"/>
    <w:rsid w:val="001B1FC5"/>
    <w:rsid w:val="001B2B6A"/>
    <w:rsid w:val="001B32B8"/>
    <w:rsid w:val="001B3D57"/>
    <w:rsid w:val="001B41B1"/>
    <w:rsid w:val="001B4A03"/>
    <w:rsid w:val="001B4AD1"/>
    <w:rsid w:val="001B5B57"/>
    <w:rsid w:val="001B5C8A"/>
    <w:rsid w:val="001B6B20"/>
    <w:rsid w:val="001B783E"/>
    <w:rsid w:val="001B7BEC"/>
    <w:rsid w:val="001B7ECD"/>
    <w:rsid w:val="001C033C"/>
    <w:rsid w:val="001C04B2"/>
    <w:rsid w:val="001C0D59"/>
    <w:rsid w:val="001C0DED"/>
    <w:rsid w:val="001C150B"/>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4FD9"/>
    <w:rsid w:val="001C5839"/>
    <w:rsid w:val="001C61B1"/>
    <w:rsid w:val="001C6AF5"/>
    <w:rsid w:val="001C725D"/>
    <w:rsid w:val="001C77E1"/>
    <w:rsid w:val="001C7ADA"/>
    <w:rsid w:val="001D08C2"/>
    <w:rsid w:val="001D12B2"/>
    <w:rsid w:val="001D1635"/>
    <w:rsid w:val="001D1872"/>
    <w:rsid w:val="001D1B74"/>
    <w:rsid w:val="001D1C05"/>
    <w:rsid w:val="001D1C72"/>
    <w:rsid w:val="001D1EE5"/>
    <w:rsid w:val="001D2C4D"/>
    <w:rsid w:val="001D2F0C"/>
    <w:rsid w:val="001D3351"/>
    <w:rsid w:val="001D3543"/>
    <w:rsid w:val="001D46EF"/>
    <w:rsid w:val="001D4AF5"/>
    <w:rsid w:val="001D4DEE"/>
    <w:rsid w:val="001D5600"/>
    <w:rsid w:val="001D58E5"/>
    <w:rsid w:val="001D5F4C"/>
    <w:rsid w:val="001D6191"/>
    <w:rsid w:val="001D650B"/>
    <w:rsid w:val="001D6CA4"/>
    <w:rsid w:val="001D76AD"/>
    <w:rsid w:val="001D785D"/>
    <w:rsid w:val="001D7943"/>
    <w:rsid w:val="001D7A5C"/>
    <w:rsid w:val="001E086E"/>
    <w:rsid w:val="001E08AE"/>
    <w:rsid w:val="001E17B2"/>
    <w:rsid w:val="001E1B14"/>
    <w:rsid w:val="001E200A"/>
    <w:rsid w:val="001E2067"/>
    <w:rsid w:val="001E226F"/>
    <w:rsid w:val="001E24A9"/>
    <w:rsid w:val="001E2502"/>
    <w:rsid w:val="001E292F"/>
    <w:rsid w:val="001E2B40"/>
    <w:rsid w:val="001E3202"/>
    <w:rsid w:val="001E328E"/>
    <w:rsid w:val="001E3964"/>
    <w:rsid w:val="001E3CD1"/>
    <w:rsid w:val="001E3FDB"/>
    <w:rsid w:val="001E474D"/>
    <w:rsid w:val="001E47E9"/>
    <w:rsid w:val="001E4F0E"/>
    <w:rsid w:val="001E4FA1"/>
    <w:rsid w:val="001E5210"/>
    <w:rsid w:val="001E53B7"/>
    <w:rsid w:val="001E5580"/>
    <w:rsid w:val="001E582A"/>
    <w:rsid w:val="001E5A81"/>
    <w:rsid w:val="001E5AFC"/>
    <w:rsid w:val="001E5C3D"/>
    <w:rsid w:val="001E6DFF"/>
    <w:rsid w:val="001E72B2"/>
    <w:rsid w:val="001E72E6"/>
    <w:rsid w:val="001E7E98"/>
    <w:rsid w:val="001F0169"/>
    <w:rsid w:val="001F01B8"/>
    <w:rsid w:val="001F0349"/>
    <w:rsid w:val="001F05AE"/>
    <w:rsid w:val="001F09FD"/>
    <w:rsid w:val="001F0B74"/>
    <w:rsid w:val="001F15EE"/>
    <w:rsid w:val="001F1A0D"/>
    <w:rsid w:val="001F1E59"/>
    <w:rsid w:val="001F2335"/>
    <w:rsid w:val="001F295C"/>
    <w:rsid w:val="001F2B19"/>
    <w:rsid w:val="001F2D18"/>
    <w:rsid w:val="001F37E0"/>
    <w:rsid w:val="001F40A5"/>
    <w:rsid w:val="001F41F6"/>
    <w:rsid w:val="001F45A1"/>
    <w:rsid w:val="001F4AE1"/>
    <w:rsid w:val="001F4EB8"/>
    <w:rsid w:val="001F5E52"/>
    <w:rsid w:val="001F6F6A"/>
    <w:rsid w:val="001F7077"/>
    <w:rsid w:val="001F7139"/>
    <w:rsid w:val="001F7595"/>
    <w:rsid w:val="00200B34"/>
    <w:rsid w:val="00200B4C"/>
    <w:rsid w:val="002019F2"/>
    <w:rsid w:val="00201C2A"/>
    <w:rsid w:val="00201CDA"/>
    <w:rsid w:val="002021A8"/>
    <w:rsid w:val="00202326"/>
    <w:rsid w:val="002027C7"/>
    <w:rsid w:val="00202DE2"/>
    <w:rsid w:val="00202E03"/>
    <w:rsid w:val="00202F71"/>
    <w:rsid w:val="00203267"/>
    <w:rsid w:val="002033A2"/>
    <w:rsid w:val="0020391D"/>
    <w:rsid w:val="00204482"/>
    <w:rsid w:val="002044BC"/>
    <w:rsid w:val="00204EFE"/>
    <w:rsid w:val="00205010"/>
    <w:rsid w:val="00205519"/>
    <w:rsid w:val="00205F9C"/>
    <w:rsid w:val="00206F27"/>
    <w:rsid w:val="00207369"/>
    <w:rsid w:val="00207BDB"/>
    <w:rsid w:val="00207C8F"/>
    <w:rsid w:val="002100F0"/>
    <w:rsid w:val="00210605"/>
    <w:rsid w:val="00210771"/>
    <w:rsid w:val="00210815"/>
    <w:rsid w:val="00211470"/>
    <w:rsid w:val="00211885"/>
    <w:rsid w:val="00211AB7"/>
    <w:rsid w:val="00211C59"/>
    <w:rsid w:val="002126BA"/>
    <w:rsid w:val="002129C2"/>
    <w:rsid w:val="0021428F"/>
    <w:rsid w:val="002146BC"/>
    <w:rsid w:val="00214715"/>
    <w:rsid w:val="00215699"/>
    <w:rsid w:val="002159DE"/>
    <w:rsid w:val="00215CE6"/>
    <w:rsid w:val="00215E99"/>
    <w:rsid w:val="0021637C"/>
    <w:rsid w:val="002166A6"/>
    <w:rsid w:val="00216A61"/>
    <w:rsid w:val="00216ADB"/>
    <w:rsid w:val="00216BB6"/>
    <w:rsid w:val="00216C30"/>
    <w:rsid w:val="00217B45"/>
    <w:rsid w:val="0022006A"/>
    <w:rsid w:val="0022048B"/>
    <w:rsid w:val="00220692"/>
    <w:rsid w:val="00220998"/>
    <w:rsid w:val="00222078"/>
    <w:rsid w:val="00222103"/>
    <w:rsid w:val="00222261"/>
    <w:rsid w:val="00222616"/>
    <w:rsid w:val="00222AD9"/>
    <w:rsid w:val="00222D3C"/>
    <w:rsid w:val="0022369A"/>
    <w:rsid w:val="002237D3"/>
    <w:rsid w:val="00223960"/>
    <w:rsid w:val="00223B07"/>
    <w:rsid w:val="00224084"/>
    <w:rsid w:val="0022436A"/>
    <w:rsid w:val="00224AD6"/>
    <w:rsid w:val="00224E52"/>
    <w:rsid w:val="00225736"/>
    <w:rsid w:val="00225884"/>
    <w:rsid w:val="0022590D"/>
    <w:rsid w:val="00225E64"/>
    <w:rsid w:val="00226098"/>
    <w:rsid w:val="0022669A"/>
    <w:rsid w:val="002267CE"/>
    <w:rsid w:val="002272AB"/>
    <w:rsid w:val="00227C71"/>
    <w:rsid w:val="00227D49"/>
    <w:rsid w:val="00227FC7"/>
    <w:rsid w:val="00230C43"/>
    <w:rsid w:val="00231740"/>
    <w:rsid w:val="002319E6"/>
    <w:rsid w:val="002325A8"/>
    <w:rsid w:val="00232EED"/>
    <w:rsid w:val="002341F6"/>
    <w:rsid w:val="0023440D"/>
    <w:rsid w:val="002347B1"/>
    <w:rsid w:val="00234DDE"/>
    <w:rsid w:val="00235101"/>
    <w:rsid w:val="0023552A"/>
    <w:rsid w:val="00235A21"/>
    <w:rsid w:val="00235D25"/>
    <w:rsid w:val="00235E13"/>
    <w:rsid w:val="002365B5"/>
    <w:rsid w:val="0023694C"/>
    <w:rsid w:val="00236E72"/>
    <w:rsid w:val="00236F13"/>
    <w:rsid w:val="0023706D"/>
    <w:rsid w:val="002372F4"/>
    <w:rsid w:val="00237ABD"/>
    <w:rsid w:val="00237D17"/>
    <w:rsid w:val="0024029A"/>
    <w:rsid w:val="002407C8"/>
    <w:rsid w:val="00240ADA"/>
    <w:rsid w:val="00240F4D"/>
    <w:rsid w:val="002410F9"/>
    <w:rsid w:val="002411E2"/>
    <w:rsid w:val="002412C3"/>
    <w:rsid w:val="002412FE"/>
    <w:rsid w:val="002417F8"/>
    <w:rsid w:val="00241FC8"/>
    <w:rsid w:val="00242328"/>
    <w:rsid w:val="002424AD"/>
    <w:rsid w:val="00242C4A"/>
    <w:rsid w:val="002437D9"/>
    <w:rsid w:val="00243B56"/>
    <w:rsid w:val="00243C8D"/>
    <w:rsid w:val="00243FC7"/>
    <w:rsid w:val="002440FD"/>
    <w:rsid w:val="002446A3"/>
    <w:rsid w:val="0024472B"/>
    <w:rsid w:val="00244C00"/>
    <w:rsid w:val="00244E56"/>
    <w:rsid w:val="002454BE"/>
    <w:rsid w:val="00245C4C"/>
    <w:rsid w:val="00246221"/>
    <w:rsid w:val="00246447"/>
    <w:rsid w:val="00246CCD"/>
    <w:rsid w:val="0024727D"/>
    <w:rsid w:val="002478E5"/>
    <w:rsid w:val="00247C53"/>
    <w:rsid w:val="0025073C"/>
    <w:rsid w:val="00250F42"/>
    <w:rsid w:val="00250FD2"/>
    <w:rsid w:val="00251A8F"/>
    <w:rsid w:val="002529C2"/>
    <w:rsid w:val="00253EA0"/>
    <w:rsid w:val="0025434B"/>
    <w:rsid w:val="00254439"/>
    <w:rsid w:val="00254B44"/>
    <w:rsid w:val="00254E99"/>
    <w:rsid w:val="00255460"/>
    <w:rsid w:val="00255BAF"/>
    <w:rsid w:val="0025614D"/>
    <w:rsid w:val="0025673C"/>
    <w:rsid w:val="0025674A"/>
    <w:rsid w:val="0025753B"/>
    <w:rsid w:val="00257AAE"/>
    <w:rsid w:val="0026010B"/>
    <w:rsid w:val="0026027A"/>
    <w:rsid w:val="002602E7"/>
    <w:rsid w:val="00260423"/>
    <w:rsid w:val="00260533"/>
    <w:rsid w:val="00260B94"/>
    <w:rsid w:val="00260ED8"/>
    <w:rsid w:val="002615F8"/>
    <w:rsid w:val="00261A54"/>
    <w:rsid w:val="00261C8F"/>
    <w:rsid w:val="00261D37"/>
    <w:rsid w:val="00261E00"/>
    <w:rsid w:val="00263081"/>
    <w:rsid w:val="00263607"/>
    <w:rsid w:val="00263874"/>
    <w:rsid w:val="00263AA1"/>
    <w:rsid w:val="00263D34"/>
    <w:rsid w:val="00263EF1"/>
    <w:rsid w:val="0026411A"/>
    <w:rsid w:val="00264912"/>
    <w:rsid w:val="00264FC8"/>
    <w:rsid w:val="002654E8"/>
    <w:rsid w:val="002656E1"/>
    <w:rsid w:val="00265946"/>
    <w:rsid w:val="00265CFF"/>
    <w:rsid w:val="00266719"/>
    <w:rsid w:val="002674E3"/>
    <w:rsid w:val="0026768C"/>
    <w:rsid w:val="00267755"/>
    <w:rsid w:val="00267A65"/>
    <w:rsid w:val="00267B69"/>
    <w:rsid w:val="002705FE"/>
    <w:rsid w:val="002706F0"/>
    <w:rsid w:val="00270CF7"/>
    <w:rsid w:val="00270D82"/>
    <w:rsid w:val="00270EEB"/>
    <w:rsid w:val="002713DB"/>
    <w:rsid w:val="00271599"/>
    <w:rsid w:val="002715AC"/>
    <w:rsid w:val="00271ADB"/>
    <w:rsid w:val="00272219"/>
    <w:rsid w:val="0027245C"/>
    <w:rsid w:val="00272A40"/>
    <w:rsid w:val="00272C99"/>
    <w:rsid w:val="00272D7E"/>
    <w:rsid w:val="0027302B"/>
    <w:rsid w:val="00273278"/>
    <w:rsid w:val="00273AFD"/>
    <w:rsid w:val="00273F2B"/>
    <w:rsid w:val="002741A0"/>
    <w:rsid w:val="002746D8"/>
    <w:rsid w:val="0027475A"/>
    <w:rsid w:val="00274B50"/>
    <w:rsid w:val="00275343"/>
    <w:rsid w:val="00275641"/>
    <w:rsid w:val="002762E6"/>
    <w:rsid w:val="00276AE0"/>
    <w:rsid w:val="00276D6A"/>
    <w:rsid w:val="00277E64"/>
    <w:rsid w:val="002802D7"/>
    <w:rsid w:val="00280337"/>
    <w:rsid w:val="00280AB5"/>
    <w:rsid w:val="00280B32"/>
    <w:rsid w:val="00280EDC"/>
    <w:rsid w:val="0028218E"/>
    <w:rsid w:val="002821E9"/>
    <w:rsid w:val="00282363"/>
    <w:rsid w:val="00282DE4"/>
    <w:rsid w:val="0028305F"/>
    <w:rsid w:val="0028324E"/>
    <w:rsid w:val="00284163"/>
    <w:rsid w:val="00284F37"/>
    <w:rsid w:val="00285523"/>
    <w:rsid w:val="002857C6"/>
    <w:rsid w:val="002859F5"/>
    <w:rsid w:val="002865A0"/>
    <w:rsid w:val="002868A6"/>
    <w:rsid w:val="002868BE"/>
    <w:rsid w:val="00286EAA"/>
    <w:rsid w:val="0028710F"/>
    <w:rsid w:val="002872C3"/>
    <w:rsid w:val="00287B1D"/>
    <w:rsid w:val="002903E2"/>
    <w:rsid w:val="0029077C"/>
    <w:rsid w:val="002908A7"/>
    <w:rsid w:val="002913FD"/>
    <w:rsid w:val="002916D1"/>
    <w:rsid w:val="00291D71"/>
    <w:rsid w:val="00292115"/>
    <w:rsid w:val="00292681"/>
    <w:rsid w:val="00292F66"/>
    <w:rsid w:val="0029315D"/>
    <w:rsid w:val="00293D6E"/>
    <w:rsid w:val="00293E79"/>
    <w:rsid w:val="0029421A"/>
    <w:rsid w:val="0029449E"/>
    <w:rsid w:val="002947C7"/>
    <w:rsid w:val="00294A35"/>
    <w:rsid w:val="00294C8B"/>
    <w:rsid w:val="00294E8F"/>
    <w:rsid w:val="0029504D"/>
    <w:rsid w:val="00295401"/>
    <w:rsid w:val="0029570C"/>
    <w:rsid w:val="0029625F"/>
    <w:rsid w:val="002965E0"/>
    <w:rsid w:val="0029696A"/>
    <w:rsid w:val="00296D2B"/>
    <w:rsid w:val="00296F46"/>
    <w:rsid w:val="00296F8A"/>
    <w:rsid w:val="002A01FD"/>
    <w:rsid w:val="002A05C9"/>
    <w:rsid w:val="002A0AAC"/>
    <w:rsid w:val="002A12BA"/>
    <w:rsid w:val="002A180F"/>
    <w:rsid w:val="002A183F"/>
    <w:rsid w:val="002A1873"/>
    <w:rsid w:val="002A1AE1"/>
    <w:rsid w:val="002A2060"/>
    <w:rsid w:val="002A2857"/>
    <w:rsid w:val="002A2D7B"/>
    <w:rsid w:val="002A33FE"/>
    <w:rsid w:val="002A353A"/>
    <w:rsid w:val="002A367A"/>
    <w:rsid w:val="002A391D"/>
    <w:rsid w:val="002A3B40"/>
    <w:rsid w:val="002A3C27"/>
    <w:rsid w:val="002A40BC"/>
    <w:rsid w:val="002A4404"/>
    <w:rsid w:val="002A46A3"/>
    <w:rsid w:val="002A4C57"/>
    <w:rsid w:val="002A51E9"/>
    <w:rsid w:val="002A52E3"/>
    <w:rsid w:val="002A5425"/>
    <w:rsid w:val="002A547D"/>
    <w:rsid w:val="002A556E"/>
    <w:rsid w:val="002A55A2"/>
    <w:rsid w:val="002A5B44"/>
    <w:rsid w:val="002A5CA0"/>
    <w:rsid w:val="002A6170"/>
    <w:rsid w:val="002A61F9"/>
    <w:rsid w:val="002A63AF"/>
    <w:rsid w:val="002A6AD1"/>
    <w:rsid w:val="002A6E8E"/>
    <w:rsid w:val="002A6FBE"/>
    <w:rsid w:val="002A7622"/>
    <w:rsid w:val="002A7869"/>
    <w:rsid w:val="002A7BB5"/>
    <w:rsid w:val="002A7F5B"/>
    <w:rsid w:val="002B0D78"/>
    <w:rsid w:val="002B0D89"/>
    <w:rsid w:val="002B0F46"/>
    <w:rsid w:val="002B1BB2"/>
    <w:rsid w:val="002B2078"/>
    <w:rsid w:val="002B22D4"/>
    <w:rsid w:val="002B2334"/>
    <w:rsid w:val="002B259E"/>
    <w:rsid w:val="002B291F"/>
    <w:rsid w:val="002B2E6C"/>
    <w:rsid w:val="002B3178"/>
    <w:rsid w:val="002B37A1"/>
    <w:rsid w:val="002B3A68"/>
    <w:rsid w:val="002B3C14"/>
    <w:rsid w:val="002B3C46"/>
    <w:rsid w:val="002B3FD0"/>
    <w:rsid w:val="002B43FA"/>
    <w:rsid w:val="002B46E6"/>
    <w:rsid w:val="002B46F6"/>
    <w:rsid w:val="002B4D9A"/>
    <w:rsid w:val="002B5C84"/>
    <w:rsid w:val="002B65D5"/>
    <w:rsid w:val="002B65D8"/>
    <w:rsid w:val="002B6B22"/>
    <w:rsid w:val="002B73B2"/>
    <w:rsid w:val="002B7969"/>
    <w:rsid w:val="002C06D1"/>
    <w:rsid w:val="002C0B3E"/>
    <w:rsid w:val="002C0BB1"/>
    <w:rsid w:val="002C0FA3"/>
    <w:rsid w:val="002C14A5"/>
    <w:rsid w:val="002C2252"/>
    <w:rsid w:val="002C28E2"/>
    <w:rsid w:val="002C2DB8"/>
    <w:rsid w:val="002C3066"/>
    <w:rsid w:val="002C314B"/>
    <w:rsid w:val="002C31E5"/>
    <w:rsid w:val="002C40D9"/>
    <w:rsid w:val="002C41DC"/>
    <w:rsid w:val="002C423C"/>
    <w:rsid w:val="002C4533"/>
    <w:rsid w:val="002C474F"/>
    <w:rsid w:val="002C4822"/>
    <w:rsid w:val="002C4CA9"/>
    <w:rsid w:val="002C5A63"/>
    <w:rsid w:val="002C5B61"/>
    <w:rsid w:val="002C5FD6"/>
    <w:rsid w:val="002C63F6"/>
    <w:rsid w:val="002C7064"/>
    <w:rsid w:val="002C73FD"/>
    <w:rsid w:val="002C754B"/>
    <w:rsid w:val="002C79D7"/>
    <w:rsid w:val="002C7A9A"/>
    <w:rsid w:val="002D0356"/>
    <w:rsid w:val="002D06E7"/>
    <w:rsid w:val="002D07C0"/>
    <w:rsid w:val="002D0829"/>
    <w:rsid w:val="002D0904"/>
    <w:rsid w:val="002D0905"/>
    <w:rsid w:val="002D0C19"/>
    <w:rsid w:val="002D0FC6"/>
    <w:rsid w:val="002D1101"/>
    <w:rsid w:val="002D138C"/>
    <w:rsid w:val="002D14B7"/>
    <w:rsid w:val="002D1822"/>
    <w:rsid w:val="002D18BC"/>
    <w:rsid w:val="002D1A3D"/>
    <w:rsid w:val="002D2385"/>
    <w:rsid w:val="002D2A68"/>
    <w:rsid w:val="002D32C9"/>
    <w:rsid w:val="002D34D0"/>
    <w:rsid w:val="002D36F6"/>
    <w:rsid w:val="002D3B3F"/>
    <w:rsid w:val="002D3EC8"/>
    <w:rsid w:val="002D403E"/>
    <w:rsid w:val="002D4325"/>
    <w:rsid w:val="002D45BF"/>
    <w:rsid w:val="002D46FB"/>
    <w:rsid w:val="002D4776"/>
    <w:rsid w:val="002D4A85"/>
    <w:rsid w:val="002D4D0F"/>
    <w:rsid w:val="002D4E7E"/>
    <w:rsid w:val="002D5365"/>
    <w:rsid w:val="002D553B"/>
    <w:rsid w:val="002D5AE2"/>
    <w:rsid w:val="002D64DF"/>
    <w:rsid w:val="002D6681"/>
    <w:rsid w:val="002D69D3"/>
    <w:rsid w:val="002D71F8"/>
    <w:rsid w:val="002E000C"/>
    <w:rsid w:val="002E02AA"/>
    <w:rsid w:val="002E0BB3"/>
    <w:rsid w:val="002E13E0"/>
    <w:rsid w:val="002E1950"/>
    <w:rsid w:val="002E2864"/>
    <w:rsid w:val="002E2900"/>
    <w:rsid w:val="002E2D4A"/>
    <w:rsid w:val="002E3159"/>
    <w:rsid w:val="002E38DB"/>
    <w:rsid w:val="002E39E2"/>
    <w:rsid w:val="002E4657"/>
    <w:rsid w:val="002E4708"/>
    <w:rsid w:val="002E4F35"/>
    <w:rsid w:val="002E5256"/>
    <w:rsid w:val="002E5271"/>
    <w:rsid w:val="002E538F"/>
    <w:rsid w:val="002E539A"/>
    <w:rsid w:val="002E55DD"/>
    <w:rsid w:val="002E5892"/>
    <w:rsid w:val="002E5995"/>
    <w:rsid w:val="002E5E77"/>
    <w:rsid w:val="002E5F31"/>
    <w:rsid w:val="002E69E6"/>
    <w:rsid w:val="002E72B2"/>
    <w:rsid w:val="002E7B71"/>
    <w:rsid w:val="002E7EA2"/>
    <w:rsid w:val="002F005B"/>
    <w:rsid w:val="002F059B"/>
    <w:rsid w:val="002F0F75"/>
    <w:rsid w:val="002F0FA6"/>
    <w:rsid w:val="002F1008"/>
    <w:rsid w:val="002F108D"/>
    <w:rsid w:val="002F117A"/>
    <w:rsid w:val="002F127D"/>
    <w:rsid w:val="002F12EB"/>
    <w:rsid w:val="002F14F5"/>
    <w:rsid w:val="002F1BD1"/>
    <w:rsid w:val="002F2B7A"/>
    <w:rsid w:val="002F3105"/>
    <w:rsid w:val="002F33CD"/>
    <w:rsid w:val="002F37D0"/>
    <w:rsid w:val="002F45FE"/>
    <w:rsid w:val="002F4604"/>
    <w:rsid w:val="002F4675"/>
    <w:rsid w:val="002F485F"/>
    <w:rsid w:val="002F493D"/>
    <w:rsid w:val="002F49C5"/>
    <w:rsid w:val="002F54F6"/>
    <w:rsid w:val="002F554B"/>
    <w:rsid w:val="002F5836"/>
    <w:rsid w:val="002F5892"/>
    <w:rsid w:val="002F5EB8"/>
    <w:rsid w:val="002F6071"/>
    <w:rsid w:val="002F6F94"/>
    <w:rsid w:val="002F72FF"/>
    <w:rsid w:val="002F797B"/>
    <w:rsid w:val="002F79CC"/>
    <w:rsid w:val="002F7AE0"/>
    <w:rsid w:val="002F7BE7"/>
    <w:rsid w:val="002F7C59"/>
    <w:rsid w:val="002F7F8F"/>
    <w:rsid w:val="00300149"/>
    <w:rsid w:val="00300264"/>
    <w:rsid w:val="00300B45"/>
    <w:rsid w:val="00300D13"/>
    <w:rsid w:val="00300F4E"/>
    <w:rsid w:val="003014B1"/>
    <w:rsid w:val="003019D9"/>
    <w:rsid w:val="0030242B"/>
    <w:rsid w:val="00302595"/>
    <w:rsid w:val="00303041"/>
    <w:rsid w:val="003030F5"/>
    <w:rsid w:val="003036F3"/>
    <w:rsid w:val="00304222"/>
    <w:rsid w:val="0030463E"/>
    <w:rsid w:val="00304AB6"/>
    <w:rsid w:val="00304D17"/>
    <w:rsid w:val="00304ED6"/>
    <w:rsid w:val="00305EAA"/>
    <w:rsid w:val="003062A7"/>
    <w:rsid w:val="003064BF"/>
    <w:rsid w:val="00306521"/>
    <w:rsid w:val="00307223"/>
    <w:rsid w:val="00307B47"/>
    <w:rsid w:val="0031034B"/>
    <w:rsid w:val="003107C6"/>
    <w:rsid w:val="00310825"/>
    <w:rsid w:val="00310FAC"/>
    <w:rsid w:val="00311632"/>
    <w:rsid w:val="00311993"/>
    <w:rsid w:val="00311FAD"/>
    <w:rsid w:val="00312079"/>
    <w:rsid w:val="0031239E"/>
    <w:rsid w:val="003123BD"/>
    <w:rsid w:val="003126DC"/>
    <w:rsid w:val="00312AB8"/>
    <w:rsid w:val="00312B6E"/>
    <w:rsid w:val="00313197"/>
    <w:rsid w:val="0031398C"/>
    <w:rsid w:val="00313CE4"/>
    <w:rsid w:val="00313D9B"/>
    <w:rsid w:val="00313E76"/>
    <w:rsid w:val="00313F79"/>
    <w:rsid w:val="00314102"/>
    <w:rsid w:val="00314410"/>
    <w:rsid w:val="00315212"/>
    <w:rsid w:val="00315306"/>
    <w:rsid w:val="00315A06"/>
    <w:rsid w:val="00315CD2"/>
    <w:rsid w:val="0031615F"/>
    <w:rsid w:val="003163DC"/>
    <w:rsid w:val="00316600"/>
    <w:rsid w:val="003166C1"/>
    <w:rsid w:val="00316A8B"/>
    <w:rsid w:val="00316BF6"/>
    <w:rsid w:val="0031733B"/>
    <w:rsid w:val="00317756"/>
    <w:rsid w:val="00317E87"/>
    <w:rsid w:val="0032081F"/>
    <w:rsid w:val="00320952"/>
    <w:rsid w:val="00321122"/>
    <w:rsid w:val="00322121"/>
    <w:rsid w:val="0032244B"/>
    <w:rsid w:val="003225FB"/>
    <w:rsid w:val="00322604"/>
    <w:rsid w:val="00323503"/>
    <w:rsid w:val="003235CB"/>
    <w:rsid w:val="00323759"/>
    <w:rsid w:val="00323A7C"/>
    <w:rsid w:val="00323ABB"/>
    <w:rsid w:val="00323C32"/>
    <w:rsid w:val="00323FC7"/>
    <w:rsid w:val="003247BA"/>
    <w:rsid w:val="00324A1D"/>
    <w:rsid w:val="00325742"/>
    <w:rsid w:val="00325B63"/>
    <w:rsid w:val="00326196"/>
    <w:rsid w:val="00326240"/>
    <w:rsid w:val="003278A1"/>
    <w:rsid w:val="00327909"/>
    <w:rsid w:val="0032791F"/>
    <w:rsid w:val="00327AB3"/>
    <w:rsid w:val="00327D3F"/>
    <w:rsid w:val="00327DA2"/>
    <w:rsid w:val="0033008F"/>
    <w:rsid w:val="003305B0"/>
    <w:rsid w:val="00330D77"/>
    <w:rsid w:val="00331120"/>
    <w:rsid w:val="003318D5"/>
    <w:rsid w:val="00331E0F"/>
    <w:rsid w:val="00331E9D"/>
    <w:rsid w:val="00331ECF"/>
    <w:rsid w:val="003327DF"/>
    <w:rsid w:val="00332FCC"/>
    <w:rsid w:val="0033364A"/>
    <w:rsid w:val="0033371C"/>
    <w:rsid w:val="00333A2F"/>
    <w:rsid w:val="00333D6D"/>
    <w:rsid w:val="00333E8D"/>
    <w:rsid w:val="003349B3"/>
    <w:rsid w:val="00334CA7"/>
    <w:rsid w:val="00334E59"/>
    <w:rsid w:val="0033592F"/>
    <w:rsid w:val="003369FF"/>
    <w:rsid w:val="00336AEA"/>
    <w:rsid w:val="00336B35"/>
    <w:rsid w:val="003373AC"/>
    <w:rsid w:val="0033758C"/>
    <w:rsid w:val="003375D7"/>
    <w:rsid w:val="0033764B"/>
    <w:rsid w:val="00340778"/>
    <w:rsid w:val="00340B2C"/>
    <w:rsid w:val="00340B44"/>
    <w:rsid w:val="0034134C"/>
    <w:rsid w:val="003414CC"/>
    <w:rsid w:val="0034170C"/>
    <w:rsid w:val="00341A2A"/>
    <w:rsid w:val="00341CED"/>
    <w:rsid w:val="00342759"/>
    <w:rsid w:val="00342DC1"/>
    <w:rsid w:val="00343BDF"/>
    <w:rsid w:val="00343E87"/>
    <w:rsid w:val="00343F41"/>
    <w:rsid w:val="0034459F"/>
    <w:rsid w:val="00344676"/>
    <w:rsid w:val="00344CAF"/>
    <w:rsid w:val="00344FD2"/>
    <w:rsid w:val="00345300"/>
    <w:rsid w:val="00345424"/>
    <w:rsid w:val="00345517"/>
    <w:rsid w:val="003459F3"/>
    <w:rsid w:val="00345D89"/>
    <w:rsid w:val="00345EA7"/>
    <w:rsid w:val="0034625F"/>
    <w:rsid w:val="0034652C"/>
    <w:rsid w:val="00346679"/>
    <w:rsid w:val="00347598"/>
    <w:rsid w:val="0034765D"/>
    <w:rsid w:val="00347D0E"/>
    <w:rsid w:val="00347F10"/>
    <w:rsid w:val="0035067B"/>
    <w:rsid w:val="00350D8B"/>
    <w:rsid w:val="00350E0D"/>
    <w:rsid w:val="00351B01"/>
    <w:rsid w:val="00351FB4"/>
    <w:rsid w:val="003528EA"/>
    <w:rsid w:val="00352B65"/>
    <w:rsid w:val="00352D4B"/>
    <w:rsid w:val="00353025"/>
    <w:rsid w:val="003530E5"/>
    <w:rsid w:val="00353220"/>
    <w:rsid w:val="00353878"/>
    <w:rsid w:val="00353A00"/>
    <w:rsid w:val="00354A1F"/>
    <w:rsid w:val="00354DAA"/>
    <w:rsid w:val="00355567"/>
    <w:rsid w:val="00355B11"/>
    <w:rsid w:val="00355B28"/>
    <w:rsid w:val="00356117"/>
    <w:rsid w:val="0035640C"/>
    <w:rsid w:val="00356F31"/>
    <w:rsid w:val="00357DFD"/>
    <w:rsid w:val="00357E85"/>
    <w:rsid w:val="00360494"/>
    <w:rsid w:val="0036063B"/>
    <w:rsid w:val="00362527"/>
    <w:rsid w:val="003626C0"/>
    <w:rsid w:val="00362C5E"/>
    <w:rsid w:val="00362E6F"/>
    <w:rsid w:val="00362FA9"/>
    <w:rsid w:val="00363417"/>
    <w:rsid w:val="003635F2"/>
    <w:rsid w:val="003639E5"/>
    <w:rsid w:val="00363D7A"/>
    <w:rsid w:val="00363F6E"/>
    <w:rsid w:val="0036404A"/>
    <w:rsid w:val="003640A7"/>
    <w:rsid w:val="0036449F"/>
    <w:rsid w:val="00364EA5"/>
    <w:rsid w:val="0036508D"/>
    <w:rsid w:val="003650E8"/>
    <w:rsid w:val="003651C8"/>
    <w:rsid w:val="003652EA"/>
    <w:rsid w:val="003657CA"/>
    <w:rsid w:val="00365A25"/>
    <w:rsid w:val="00365B48"/>
    <w:rsid w:val="00366214"/>
    <w:rsid w:val="00366CAC"/>
    <w:rsid w:val="00367440"/>
    <w:rsid w:val="00367894"/>
    <w:rsid w:val="003679BA"/>
    <w:rsid w:val="00367F25"/>
    <w:rsid w:val="003700A3"/>
    <w:rsid w:val="00370217"/>
    <w:rsid w:val="00370B40"/>
    <w:rsid w:val="003721FB"/>
    <w:rsid w:val="0037240A"/>
    <w:rsid w:val="00372AE4"/>
    <w:rsid w:val="00372C5B"/>
    <w:rsid w:val="003730D6"/>
    <w:rsid w:val="00373411"/>
    <w:rsid w:val="00373D40"/>
    <w:rsid w:val="00374251"/>
    <w:rsid w:val="003744B3"/>
    <w:rsid w:val="003745F4"/>
    <w:rsid w:val="00374910"/>
    <w:rsid w:val="00374D89"/>
    <w:rsid w:val="003751B4"/>
    <w:rsid w:val="00375509"/>
    <w:rsid w:val="00375848"/>
    <w:rsid w:val="00375D29"/>
    <w:rsid w:val="00375D91"/>
    <w:rsid w:val="00376E2B"/>
    <w:rsid w:val="0037769E"/>
    <w:rsid w:val="00377BE4"/>
    <w:rsid w:val="00380094"/>
    <w:rsid w:val="003800F0"/>
    <w:rsid w:val="00382306"/>
    <w:rsid w:val="003827EC"/>
    <w:rsid w:val="0038292B"/>
    <w:rsid w:val="00382B86"/>
    <w:rsid w:val="00383071"/>
    <w:rsid w:val="003832EF"/>
    <w:rsid w:val="003836DD"/>
    <w:rsid w:val="003837F4"/>
    <w:rsid w:val="003840D8"/>
    <w:rsid w:val="003845A4"/>
    <w:rsid w:val="003846D9"/>
    <w:rsid w:val="00384F9D"/>
    <w:rsid w:val="00384FED"/>
    <w:rsid w:val="0038564A"/>
    <w:rsid w:val="0038576C"/>
    <w:rsid w:val="00385800"/>
    <w:rsid w:val="00385B99"/>
    <w:rsid w:val="00385F39"/>
    <w:rsid w:val="0038680B"/>
    <w:rsid w:val="0038743E"/>
    <w:rsid w:val="003879DF"/>
    <w:rsid w:val="00387DFA"/>
    <w:rsid w:val="00390081"/>
    <w:rsid w:val="0039083F"/>
    <w:rsid w:val="00390A30"/>
    <w:rsid w:val="00390D65"/>
    <w:rsid w:val="00390EC0"/>
    <w:rsid w:val="00391374"/>
    <w:rsid w:val="00391FAB"/>
    <w:rsid w:val="00392050"/>
    <w:rsid w:val="00392539"/>
    <w:rsid w:val="00392677"/>
    <w:rsid w:val="00392C99"/>
    <w:rsid w:val="0039365B"/>
    <w:rsid w:val="003936EA"/>
    <w:rsid w:val="00393987"/>
    <w:rsid w:val="003940F7"/>
    <w:rsid w:val="00394981"/>
    <w:rsid w:val="00394986"/>
    <w:rsid w:val="003953A8"/>
    <w:rsid w:val="00395E7E"/>
    <w:rsid w:val="003965D8"/>
    <w:rsid w:val="00396766"/>
    <w:rsid w:val="003968D5"/>
    <w:rsid w:val="00396D36"/>
    <w:rsid w:val="00396D6E"/>
    <w:rsid w:val="00396E80"/>
    <w:rsid w:val="00396FF0"/>
    <w:rsid w:val="0039746F"/>
    <w:rsid w:val="0039788E"/>
    <w:rsid w:val="00397F3C"/>
    <w:rsid w:val="003A0529"/>
    <w:rsid w:val="003A0962"/>
    <w:rsid w:val="003A0BA4"/>
    <w:rsid w:val="003A195A"/>
    <w:rsid w:val="003A1E28"/>
    <w:rsid w:val="003A2385"/>
    <w:rsid w:val="003A3551"/>
    <w:rsid w:val="003A37E9"/>
    <w:rsid w:val="003A38F0"/>
    <w:rsid w:val="003A42F3"/>
    <w:rsid w:val="003A443D"/>
    <w:rsid w:val="003A4932"/>
    <w:rsid w:val="003A556D"/>
    <w:rsid w:val="003A5B55"/>
    <w:rsid w:val="003A5C97"/>
    <w:rsid w:val="003A6627"/>
    <w:rsid w:val="003A6A5A"/>
    <w:rsid w:val="003A7025"/>
    <w:rsid w:val="003A72E9"/>
    <w:rsid w:val="003A7807"/>
    <w:rsid w:val="003B0173"/>
    <w:rsid w:val="003B0398"/>
    <w:rsid w:val="003B0DA5"/>
    <w:rsid w:val="003B0E74"/>
    <w:rsid w:val="003B25B0"/>
    <w:rsid w:val="003B36B9"/>
    <w:rsid w:val="003B3EB8"/>
    <w:rsid w:val="003B4A4A"/>
    <w:rsid w:val="003B4E74"/>
    <w:rsid w:val="003B53A5"/>
    <w:rsid w:val="003B59EE"/>
    <w:rsid w:val="003B5B72"/>
    <w:rsid w:val="003B5C06"/>
    <w:rsid w:val="003B5D98"/>
    <w:rsid w:val="003B5DD0"/>
    <w:rsid w:val="003B60F7"/>
    <w:rsid w:val="003B658D"/>
    <w:rsid w:val="003B68A6"/>
    <w:rsid w:val="003B6D71"/>
    <w:rsid w:val="003B6EF2"/>
    <w:rsid w:val="003B7E7A"/>
    <w:rsid w:val="003C0463"/>
    <w:rsid w:val="003C0599"/>
    <w:rsid w:val="003C05F5"/>
    <w:rsid w:val="003C0905"/>
    <w:rsid w:val="003C0F5F"/>
    <w:rsid w:val="003C1CBE"/>
    <w:rsid w:val="003C1EAF"/>
    <w:rsid w:val="003C241F"/>
    <w:rsid w:val="003C2615"/>
    <w:rsid w:val="003C3460"/>
    <w:rsid w:val="003C346B"/>
    <w:rsid w:val="003C3F12"/>
    <w:rsid w:val="003C40EE"/>
    <w:rsid w:val="003C4206"/>
    <w:rsid w:val="003C42F7"/>
    <w:rsid w:val="003C479F"/>
    <w:rsid w:val="003C4884"/>
    <w:rsid w:val="003C4DC7"/>
    <w:rsid w:val="003C5092"/>
    <w:rsid w:val="003C5A73"/>
    <w:rsid w:val="003C5DEF"/>
    <w:rsid w:val="003C641E"/>
    <w:rsid w:val="003C6C81"/>
    <w:rsid w:val="003C6F33"/>
    <w:rsid w:val="003D047F"/>
    <w:rsid w:val="003D0748"/>
    <w:rsid w:val="003D0FBC"/>
    <w:rsid w:val="003D1145"/>
    <w:rsid w:val="003D2333"/>
    <w:rsid w:val="003D272F"/>
    <w:rsid w:val="003D2912"/>
    <w:rsid w:val="003D2FBA"/>
    <w:rsid w:val="003D3161"/>
    <w:rsid w:val="003D3227"/>
    <w:rsid w:val="003D3600"/>
    <w:rsid w:val="003D36B8"/>
    <w:rsid w:val="003D36EE"/>
    <w:rsid w:val="003D3A55"/>
    <w:rsid w:val="003D408F"/>
    <w:rsid w:val="003D4347"/>
    <w:rsid w:val="003D5393"/>
    <w:rsid w:val="003D5413"/>
    <w:rsid w:val="003D54E0"/>
    <w:rsid w:val="003D56EA"/>
    <w:rsid w:val="003D5996"/>
    <w:rsid w:val="003D5D5D"/>
    <w:rsid w:val="003D6163"/>
    <w:rsid w:val="003D6407"/>
    <w:rsid w:val="003D647A"/>
    <w:rsid w:val="003D6A90"/>
    <w:rsid w:val="003D6B1D"/>
    <w:rsid w:val="003D6E30"/>
    <w:rsid w:val="003D70B5"/>
    <w:rsid w:val="003D7B41"/>
    <w:rsid w:val="003D7B45"/>
    <w:rsid w:val="003E03E3"/>
    <w:rsid w:val="003E05FE"/>
    <w:rsid w:val="003E0CD7"/>
    <w:rsid w:val="003E0DF7"/>
    <w:rsid w:val="003E1085"/>
    <w:rsid w:val="003E14F0"/>
    <w:rsid w:val="003E1E5D"/>
    <w:rsid w:val="003E21E4"/>
    <w:rsid w:val="003E2569"/>
    <w:rsid w:val="003E2784"/>
    <w:rsid w:val="003E2850"/>
    <w:rsid w:val="003E2D79"/>
    <w:rsid w:val="003E32D8"/>
    <w:rsid w:val="003E3A04"/>
    <w:rsid w:val="003E3B65"/>
    <w:rsid w:val="003E3E19"/>
    <w:rsid w:val="003E3E1E"/>
    <w:rsid w:val="003E427F"/>
    <w:rsid w:val="003E47DE"/>
    <w:rsid w:val="003E4CFE"/>
    <w:rsid w:val="003E4F42"/>
    <w:rsid w:val="003E5075"/>
    <w:rsid w:val="003E5233"/>
    <w:rsid w:val="003E57D6"/>
    <w:rsid w:val="003E5F95"/>
    <w:rsid w:val="003E61FD"/>
    <w:rsid w:val="003E67BC"/>
    <w:rsid w:val="003E68A8"/>
    <w:rsid w:val="003E6F0B"/>
    <w:rsid w:val="003E7503"/>
    <w:rsid w:val="003E7F82"/>
    <w:rsid w:val="003F0031"/>
    <w:rsid w:val="003F00D4"/>
    <w:rsid w:val="003F00DF"/>
    <w:rsid w:val="003F018C"/>
    <w:rsid w:val="003F09CB"/>
    <w:rsid w:val="003F1045"/>
    <w:rsid w:val="003F10D3"/>
    <w:rsid w:val="003F1150"/>
    <w:rsid w:val="003F140D"/>
    <w:rsid w:val="003F143C"/>
    <w:rsid w:val="003F1548"/>
    <w:rsid w:val="003F176D"/>
    <w:rsid w:val="003F20AE"/>
    <w:rsid w:val="003F228F"/>
    <w:rsid w:val="003F274F"/>
    <w:rsid w:val="003F2B3D"/>
    <w:rsid w:val="003F3105"/>
    <w:rsid w:val="003F319D"/>
    <w:rsid w:val="003F3303"/>
    <w:rsid w:val="003F3328"/>
    <w:rsid w:val="003F33F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94C"/>
    <w:rsid w:val="003F6ECC"/>
    <w:rsid w:val="003F75A8"/>
    <w:rsid w:val="003F7EFA"/>
    <w:rsid w:val="00400C90"/>
    <w:rsid w:val="00402D65"/>
    <w:rsid w:val="00402E02"/>
    <w:rsid w:val="004030FE"/>
    <w:rsid w:val="00403364"/>
    <w:rsid w:val="00403780"/>
    <w:rsid w:val="00403941"/>
    <w:rsid w:val="00403971"/>
    <w:rsid w:val="00404027"/>
    <w:rsid w:val="0040415C"/>
    <w:rsid w:val="0040422B"/>
    <w:rsid w:val="00404737"/>
    <w:rsid w:val="00404D74"/>
    <w:rsid w:val="0040518A"/>
    <w:rsid w:val="004056F3"/>
    <w:rsid w:val="00405F4B"/>
    <w:rsid w:val="0040616D"/>
    <w:rsid w:val="00406EF0"/>
    <w:rsid w:val="00407760"/>
    <w:rsid w:val="00410CB2"/>
    <w:rsid w:val="00411285"/>
    <w:rsid w:val="00411BB1"/>
    <w:rsid w:val="00411C96"/>
    <w:rsid w:val="00411CA9"/>
    <w:rsid w:val="00411F19"/>
    <w:rsid w:val="004126A1"/>
    <w:rsid w:val="00412A32"/>
    <w:rsid w:val="00414210"/>
    <w:rsid w:val="0041450E"/>
    <w:rsid w:val="00414514"/>
    <w:rsid w:val="004148E1"/>
    <w:rsid w:val="00414FE4"/>
    <w:rsid w:val="0041506A"/>
    <w:rsid w:val="00415370"/>
    <w:rsid w:val="004155B8"/>
    <w:rsid w:val="00415762"/>
    <w:rsid w:val="00415781"/>
    <w:rsid w:val="00415800"/>
    <w:rsid w:val="00415A0B"/>
    <w:rsid w:val="00415C60"/>
    <w:rsid w:val="00415CE0"/>
    <w:rsid w:val="00415F80"/>
    <w:rsid w:val="00416BB6"/>
    <w:rsid w:val="00416F40"/>
    <w:rsid w:val="00417246"/>
    <w:rsid w:val="00417769"/>
    <w:rsid w:val="00417A3D"/>
    <w:rsid w:val="004202A7"/>
    <w:rsid w:val="004207F5"/>
    <w:rsid w:val="00420819"/>
    <w:rsid w:val="00420A85"/>
    <w:rsid w:val="00420C0A"/>
    <w:rsid w:val="004215BB"/>
    <w:rsid w:val="0042173F"/>
    <w:rsid w:val="0042192C"/>
    <w:rsid w:val="00421994"/>
    <w:rsid w:val="00421A87"/>
    <w:rsid w:val="00421EF2"/>
    <w:rsid w:val="00421F34"/>
    <w:rsid w:val="0042241E"/>
    <w:rsid w:val="00422668"/>
    <w:rsid w:val="00422EBD"/>
    <w:rsid w:val="00422EC3"/>
    <w:rsid w:val="004230B6"/>
    <w:rsid w:val="00423339"/>
    <w:rsid w:val="004235A9"/>
    <w:rsid w:val="004235EE"/>
    <w:rsid w:val="00423623"/>
    <w:rsid w:val="00423782"/>
    <w:rsid w:val="00423AE9"/>
    <w:rsid w:val="00423F33"/>
    <w:rsid w:val="00424B17"/>
    <w:rsid w:val="00424CC9"/>
    <w:rsid w:val="00424D00"/>
    <w:rsid w:val="0042548C"/>
    <w:rsid w:val="004259E2"/>
    <w:rsid w:val="00426176"/>
    <w:rsid w:val="004266B1"/>
    <w:rsid w:val="00426865"/>
    <w:rsid w:val="00426892"/>
    <w:rsid w:val="00426979"/>
    <w:rsid w:val="00426C49"/>
    <w:rsid w:val="00426CA0"/>
    <w:rsid w:val="004271DD"/>
    <w:rsid w:val="00427460"/>
    <w:rsid w:val="0042747D"/>
    <w:rsid w:val="004277E6"/>
    <w:rsid w:val="00427B6B"/>
    <w:rsid w:val="00430622"/>
    <w:rsid w:val="004306B1"/>
    <w:rsid w:val="004310B0"/>
    <w:rsid w:val="004311CE"/>
    <w:rsid w:val="0043166B"/>
    <w:rsid w:val="004316D2"/>
    <w:rsid w:val="00431AC1"/>
    <w:rsid w:val="00431C7A"/>
    <w:rsid w:val="004322D7"/>
    <w:rsid w:val="00432468"/>
    <w:rsid w:val="00432989"/>
    <w:rsid w:val="004329C9"/>
    <w:rsid w:val="00432C23"/>
    <w:rsid w:val="00432CD5"/>
    <w:rsid w:val="00432D2B"/>
    <w:rsid w:val="004335DE"/>
    <w:rsid w:val="004338F0"/>
    <w:rsid w:val="00433C2C"/>
    <w:rsid w:val="00434450"/>
    <w:rsid w:val="0043499F"/>
    <w:rsid w:val="00434AAB"/>
    <w:rsid w:val="00434F05"/>
    <w:rsid w:val="00435893"/>
    <w:rsid w:val="00435997"/>
    <w:rsid w:val="00435D95"/>
    <w:rsid w:val="00435F06"/>
    <w:rsid w:val="004363FA"/>
    <w:rsid w:val="004364CC"/>
    <w:rsid w:val="00436B89"/>
    <w:rsid w:val="00437003"/>
    <w:rsid w:val="004376C0"/>
    <w:rsid w:val="00437875"/>
    <w:rsid w:val="004405B0"/>
    <w:rsid w:val="00440CB7"/>
    <w:rsid w:val="00440CCD"/>
    <w:rsid w:val="00440D3E"/>
    <w:rsid w:val="00440FFC"/>
    <w:rsid w:val="00441440"/>
    <w:rsid w:val="0044169D"/>
    <w:rsid w:val="004417BD"/>
    <w:rsid w:val="00441A35"/>
    <w:rsid w:val="00441FF9"/>
    <w:rsid w:val="00442A49"/>
    <w:rsid w:val="00442B54"/>
    <w:rsid w:val="00442D02"/>
    <w:rsid w:val="004431D7"/>
    <w:rsid w:val="0044363A"/>
    <w:rsid w:val="004436E9"/>
    <w:rsid w:val="004437B2"/>
    <w:rsid w:val="0044382F"/>
    <w:rsid w:val="00443D71"/>
    <w:rsid w:val="00443DE8"/>
    <w:rsid w:val="0044408A"/>
    <w:rsid w:val="004441C8"/>
    <w:rsid w:val="004442EB"/>
    <w:rsid w:val="004443A5"/>
    <w:rsid w:val="004448B1"/>
    <w:rsid w:val="00444C64"/>
    <w:rsid w:val="0044507C"/>
    <w:rsid w:val="0044541F"/>
    <w:rsid w:val="00445A50"/>
    <w:rsid w:val="00445B86"/>
    <w:rsid w:val="00445DF5"/>
    <w:rsid w:val="00445E95"/>
    <w:rsid w:val="00445EE3"/>
    <w:rsid w:val="004510A4"/>
    <w:rsid w:val="0045135E"/>
    <w:rsid w:val="00451544"/>
    <w:rsid w:val="004515FF"/>
    <w:rsid w:val="004525DD"/>
    <w:rsid w:val="00452F43"/>
    <w:rsid w:val="004535B0"/>
    <w:rsid w:val="00453A9A"/>
    <w:rsid w:val="00453E31"/>
    <w:rsid w:val="00454597"/>
    <w:rsid w:val="0045467E"/>
    <w:rsid w:val="004548E6"/>
    <w:rsid w:val="0045493D"/>
    <w:rsid w:val="004552F4"/>
    <w:rsid w:val="0045541F"/>
    <w:rsid w:val="0045543A"/>
    <w:rsid w:val="004556D9"/>
    <w:rsid w:val="00455D22"/>
    <w:rsid w:val="004561F9"/>
    <w:rsid w:val="0045637C"/>
    <w:rsid w:val="0045669F"/>
    <w:rsid w:val="0045695D"/>
    <w:rsid w:val="00460190"/>
    <w:rsid w:val="004610C6"/>
    <w:rsid w:val="00461391"/>
    <w:rsid w:val="00461BF2"/>
    <w:rsid w:val="004626F8"/>
    <w:rsid w:val="00462CAE"/>
    <w:rsid w:val="00462D35"/>
    <w:rsid w:val="00463416"/>
    <w:rsid w:val="00463540"/>
    <w:rsid w:val="00463869"/>
    <w:rsid w:val="00463A89"/>
    <w:rsid w:val="00463CF9"/>
    <w:rsid w:val="00463E79"/>
    <w:rsid w:val="00463EAF"/>
    <w:rsid w:val="00464A9C"/>
    <w:rsid w:val="00464BE1"/>
    <w:rsid w:val="00464E8F"/>
    <w:rsid w:val="00464F23"/>
    <w:rsid w:val="0046569F"/>
    <w:rsid w:val="004657B3"/>
    <w:rsid w:val="00465E1C"/>
    <w:rsid w:val="00466341"/>
    <w:rsid w:val="00466395"/>
    <w:rsid w:val="004667A9"/>
    <w:rsid w:val="00466C93"/>
    <w:rsid w:val="004678C8"/>
    <w:rsid w:val="00467BC2"/>
    <w:rsid w:val="00467C44"/>
    <w:rsid w:val="00467CFB"/>
    <w:rsid w:val="00470418"/>
    <w:rsid w:val="00470ED0"/>
    <w:rsid w:val="00470F62"/>
    <w:rsid w:val="00471065"/>
    <w:rsid w:val="0047196C"/>
    <w:rsid w:val="00471E81"/>
    <w:rsid w:val="004724AF"/>
    <w:rsid w:val="00472620"/>
    <w:rsid w:val="0047272A"/>
    <w:rsid w:val="004727C4"/>
    <w:rsid w:val="004727E8"/>
    <w:rsid w:val="00472CD7"/>
    <w:rsid w:val="0047322A"/>
    <w:rsid w:val="00473379"/>
    <w:rsid w:val="0047352D"/>
    <w:rsid w:val="004743CB"/>
    <w:rsid w:val="00474B50"/>
    <w:rsid w:val="00475898"/>
    <w:rsid w:val="00475D4E"/>
    <w:rsid w:val="00475DCF"/>
    <w:rsid w:val="0047643C"/>
    <w:rsid w:val="0047652F"/>
    <w:rsid w:val="00476821"/>
    <w:rsid w:val="00476A79"/>
    <w:rsid w:val="00476FE9"/>
    <w:rsid w:val="0047742A"/>
    <w:rsid w:val="00477597"/>
    <w:rsid w:val="00477E4A"/>
    <w:rsid w:val="00477EE3"/>
    <w:rsid w:val="00477FAF"/>
    <w:rsid w:val="0048027B"/>
    <w:rsid w:val="0048050F"/>
    <w:rsid w:val="004809AD"/>
    <w:rsid w:val="00481213"/>
    <w:rsid w:val="00481272"/>
    <w:rsid w:val="004817B5"/>
    <w:rsid w:val="00481E94"/>
    <w:rsid w:val="00482199"/>
    <w:rsid w:val="0048231B"/>
    <w:rsid w:val="00482478"/>
    <w:rsid w:val="00482736"/>
    <w:rsid w:val="00482CCF"/>
    <w:rsid w:val="00482DF5"/>
    <w:rsid w:val="00483131"/>
    <w:rsid w:val="00483170"/>
    <w:rsid w:val="00483508"/>
    <w:rsid w:val="0048383D"/>
    <w:rsid w:val="004844AC"/>
    <w:rsid w:val="00484509"/>
    <w:rsid w:val="004851E8"/>
    <w:rsid w:val="00485580"/>
    <w:rsid w:val="00485811"/>
    <w:rsid w:val="00485DD7"/>
    <w:rsid w:val="00485E3C"/>
    <w:rsid w:val="004869F8"/>
    <w:rsid w:val="00486A68"/>
    <w:rsid w:val="00486B09"/>
    <w:rsid w:val="00486C0C"/>
    <w:rsid w:val="00487644"/>
    <w:rsid w:val="00487CFA"/>
    <w:rsid w:val="004901CA"/>
    <w:rsid w:val="00490A10"/>
    <w:rsid w:val="00490A62"/>
    <w:rsid w:val="00490E9E"/>
    <w:rsid w:val="00491F9F"/>
    <w:rsid w:val="004920D9"/>
    <w:rsid w:val="0049242A"/>
    <w:rsid w:val="00492735"/>
    <w:rsid w:val="00492B25"/>
    <w:rsid w:val="00492EC7"/>
    <w:rsid w:val="004931EB"/>
    <w:rsid w:val="004934C8"/>
    <w:rsid w:val="00493C96"/>
    <w:rsid w:val="004945D4"/>
    <w:rsid w:val="00494932"/>
    <w:rsid w:val="00494D50"/>
    <w:rsid w:val="00494FC9"/>
    <w:rsid w:val="00494FF0"/>
    <w:rsid w:val="004950F8"/>
    <w:rsid w:val="00495211"/>
    <w:rsid w:val="004956F2"/>
    <w:rsid w:val="00495B23"/>
    <w:rsid w:val="00495E19"/>
    <w:rsid w:val="00496087"/>
    <w:rsid w:val="00496AD4"/>
    <w:rsid w:val="00496CBE"/>
    <w:rsid w:val="00497512"/>
    <w:rsid w:val="00497818"/>
    <w:rsid w:val="00497D2A"/>
    <w:rsid w:val="004A0324"/>
    <w:rsid w:val="004A034D"/>
    <w:rsid w:val="004A065C"/>
    <w:rsid w:val="004A06B2"/>
    <w:rsid w:val="004A0BDB"/>
    <w:rsid w:val="004A0C25"/>
    <w:rsid w:val="004A0D4D"/>
    <w:rsid w:val="004A0D79"/>
    <w:rsid w:val="004A0E76"/>
    <w:rsid w:val="004A1222"/>
    <w:rsid w:val="004A1EA2"/>
    <w:rsid w:val="004A201B"/>
    <w:rsid w:val="004A2604"/>
    <w:rsid w:val="004A27B0"/>
    <w:rsid w:val="004A2B6F"/>
    <w:rsid w:val="004A2EB2"/>
    <w:rsid w:val="004A3807"/>
    <w:rsid w:val="004A3A38"/>
    <w:rsid w:val="004A3BB0"/>
    <w:rsid w:val="004A3BB4"/>
    <w:rsid w:val="004A4377"/>
    <w:rsid w:val="004A4D2B"/>
    <w:rsid w:val="004A525D"/>
    <w:rsid w:val="004A52C4"/>
    <w:rsid w:val="004A53C4"/>
    <w:rsid w:val="004A57EB"/>
    <w:rsid w:val="004A5824"/>
    <w:rsid w:val="004A6211"/>
    <w:rsid w:val="004B0095"/>
    <w:rsid w:val="004B02EA"/>
    <w:rsid w:val="004B181D"/>
    <w:rsid w:val="004B1CAB"/>
    <w:rsid w:val="004B204F"/>
    <w:rsid w:val="004B274E"/>
    <w:rsid w:val="004B36ED"/>
    <w:rsid w:val="004B398F"/>
    <w:rsid w:val="004B3D44"/>
    <w:rsid w:val="004B40A0"/>
    <w:rsid w:val="004B41B5"/>
    <w:rsid w:val="004B4C04"/>
    <w:rsid w:val="004B5171"/>
    <w:rsid w:val="004B57A6"/>
    <w:rsid w:val="004B5895"/>
    <w:rsid w:val="004B5F8F"/>
    <w:rsid w:val="004B612E"/>
    <w:rsid w:val="004B6202"/>
    <w:rsid w:val="004B623B"/>
    <w:rsid w:val="004B63F2"/>
    <w:rsid w:val="004B6D84"/>
    <w:rsid w:val="004B6E31"/>
    <w:rsid w:val="004B7226"/>
    <w:rsid w:val="004C0625"/>
    <w:rsid w:val="004C1315"/>
    <w:rsid w:val="004C1931"/>
    <w:rsid w:val="004C1BAB"/>
    <w:rsid w:val="004C1E13"/>
    <w:rsid w:val="004C1EA7"/>
    <w:rsid w:val="004C2101"/>
    <w:rsid w:val="004C21B7"/>
    <w:rsid w:val="004C231F"/>
    <w:rsid w:val="004C2A81"/>
    <w:rsid w:val="004C31EF"/>
    <w:rsid w:val="004C3BF9"/>
    <w:rsid w:val="004C3E02"/>
    <w:rsid w:val="004C3EE4"/>
    <w:rsid w:val="004C4010"/>
    <w:rsid w:val="004C422D"/>
    <w:rsid w:val="004C4A9A"/>
    <w:rsid w:val="004C4CEB"/>
    <w:rsid w:val="004C4D63"/>
    <w:rsid w:val="004C56BE"/>
    <w:rsid w:val="004C5CF1"/>
    <w:rsid w:val="004C667A"/>
    <w:rsid w:val="004C66A9"/>
    <w:rsid w:val="004C6D8E"/>
    <w:rsid w:val="004C7634"/>
    <w:rsid w:val="004C76FA"/>
    <w:rsid w:val="004C7A27"/>
    <w:rsid w:val="004C7CAC"/>
    <w:rsid w:val="004C7CE4"/>
    <w:rsid w:val="004D000F"/>
    <w:rsid w:val="004D0538"/>
    <w:rsid w:val="004D0551"/>
    <w:rsid w:val="004D07A8"/>
    <w:rsid w:val="004D0D3E"/>
    <w:rsid w:val="004D1BE7"/>
    <w:rsid w:val="004D2379"/>
    <w:rsid w:val="004D28EF"/>
    <w:rsid w:val="004D2A4E"/>
    <w:rsid w:val="004D3733"/>
    <w:rsid w:val="004D3A58"/>
    <w:rsid w:val="004D414F"/>
    <w:rsid w:val="004D466E"/>
    <w:rsid w:val="004D47CE"/>
    <w:rsid w:val="004D49C4"/>
    <w:rsid w:val="004D4AE0"/>
    <w:rsid w:val="004D4CF1"/>
    <w:rsid w:val="004D5A88"/>
    <w:rsid w:val="004D6019"/>
    <w:rsid w:val="004D60A0"/>
    <w:rsid w:val="004D69A2"/>
    <w:rsid w:val="004D6E54"/>
    <w:rsid w:val="004D6FAD"/>
    <w:rsid w:val="004D7BF4"/>
    <w:rsid w:val="004D7C41"/>
    <w:rsid w:val="004D7C92"/>
    <w:rsid w:val="004E00B8"/>
    <w:rsid w:val="004E0471"/>
    <w:rsid w:val="004E077B"/>
    <w:rsid w:val="004E0A57"/>
    <w:rsid w:val="004E0BD9"/>
    <w:rsid w:val="004E0E95"/>
    <w:rsid w:val="004E1156"/>
    <w:rsid w:val="004E1509"/>
    <w:rsid w:val="004E18E0"/>
    <w:rsid w:val="004E19BA"/>
    <w:rsid w:val="004E1AF8"/>
    <w:rsid w:val="004E23D0"/>
    <w:rsid w:val="004E242C"/>
    <w:rsid w:val="004E25FB"/>
    <w:rsid w:val="004E3061"/>
    <w:rsid w:val="004E3253"/>
    <w:rsid w:val="004E326C"/>
    <w:rsid w:val="004E35BF"/>
    <w:rsid w:val="004E38B2"/>
    <w:rsid w:val="004E3936"/>
    <w:rsid w:val="004E45B6"/>
    <w:rsid w:val="004E4AD8"/>
    <w:rsid w:val="004E4E4F"/>
    <w:rsid w:val="004E5760"/>
    <w:rsid w:val="004E57F7"/>
    <w:rsid w:val="004E58E4"/>
    <w:rsid w:val="004E5926"/>
    <w:rsid w:val="004E5D9C"/>
    <w:rsid w:val="004E6B8E"/>
    <w:rsid w:val="004E6E2E"/>
    <w:rsid w:val="004E7388"/>
    <w:rsid w:val="004E7BFA"/>
    <w:rsid w:val="004E7E87"/>
    <w:rsid w:val="004F031D"/>
    <w:rsid w:val="004F0543"/>
    <w:rsid w:val="004F0DDD"/>
    <w:rsid w:val="004F104E"/>
    <w:rsid w:val="004F114F"/>
    <w:rsid w:val="004F1E2E"/>
    <w:rsid w:val="004F1F62"/>
    <w:rsid w:val="004F243E"/>
    <w:rsid w:val="004F25B7"/>
    <w:rsid w:val="004F2F11"/>
    <w:rsid w:val="004F4435"/>
    <w:rsid w:val="004F48D9"/>
    <w:rsid w:val="004F4ACD"/>
    <w:rsid w:val="004F578B"/>
    <w:rsid w:val="004F63F8"/>
    <w:rsid w:val="004F713A"/>
    <w:rsid w:val="004F72AD"/>
    <w:rsid w:val="004F7408"/>
    <w:rsid w:val="004F7BA5"/>
    <w:rsid w:val="00500035"/>
    <w:rsid w:val="0050023A"/>
    <w:rsid w:val="0050088F"/>
    <w:rsid w:val="00500BDE"/>
    <w:rsid w:val="00500E97"/>
    <w:rsid w:val="00500F7A"/>
    <w:rsid w:val="00501184"/>
    <w:rsid w:val="005011A4"/>
    <w:rsid w:val="005012AD"/>
    <w:rsid w:val="00501F97"/>
    <w:rsid w:val="005020EF"/>
    <w:rsid w:val="00502122"/>
    <w:rsid w:val="0050241C"/>
    <w:rsid w:val="005027BB"/>
    <w:rsid w:val="0050319C"/>
    <w:rsid w:val="005037E1"/>
    <w:rsid w:val="00503B5C"/>
    <w:rsid w:val="00503B96"/>
    <w:rsid w:val="0050456A"/>
    <w:rsid w:val="00505563"/>
    <w:rsid w:val="00505E1D"/>
    <w:rsid w:val="005068E1"/>
    <w:rsid w:val="00506CE0"/>
    <w:rsid w:val="005070EA"/>
    <w:rsid w:val="0050760D"/>
    <w:rsid w:val="005076E3"/>
    <w:rsid w:val="005077C5"/>
    <w:rsid w:val="00507A65"/>
    <w:rsid w:val="00510870"/>
    <w:rsid w:val="005110BA"/>
    <w:rsid w:val="0051168A"/>
    <w:rsid w:val="00512085"/>
    <w:rsid w:val="005122F4"/>
    <w:rsid w:val="00513007"/>
    <w:rsid w:val="00513BC7"/>
    <w:rsid w:val="00514197"/>
    <w:rsid w:val="005141DA"/>
    <w:rsid w:val="00514DDB"/>
    <w:rsid w:val="00514E36"/>
    <w:rsid w:val="00515172"/>
    <w:rsid w:val="00515316"/>
    <w:rsid w:val="00515422"/>
    <w:rsid w:val="005156A6"/>
    <w:rsid w:val="00515794"/>
    <w:rsid w:val="0051636C"/>
    <w:rsid w:val="00516393"/>
    <w:rsid w:val="005170C9"/>
    <w:rsid w:val="0052073C"/>
    <w:rsid w:val="00520949"/>
    <w:rsid w:val="00520B4F"/>
    <w:rsid w:val="00521E21"/>
    <w:rsid w:val="0052237A"/>
    <w:rsid w:val="00522423"/>
    <w:rsid w:val="00522DB0"/>
    <w:rsid w:val="00523306"/>
    <w:rsid w:val="00523B66"/>
    <w:rsid w:val="00523EB7"/>
    <w:rsid w:val="00523EF2"/>
    <w:rsid w:val="00523F51"/>
    <w:rsid w:val="00524016"/>
    <w:rsid w:val="005244A4"/>
    <w:rsid w:val="00524AD7"/>
    <w:rsid w:val="00525727"/>
    <w:rsid w:val="0052591E"/>
    <w:rsid w:val="00525B43"/>
    <w:rsid w:val="00525F07"/>
    <w:rsid w:val="0052639A"/>
    <w:rsid w:val="00526477"/>
    <w:rsid w:val="005265B9"/>
    <w:rsid w:val="00526691"/>
    <w:rsid w:val="00526D7E"/>
    <w:rsid w:val="00527AE0"/>
    <w:rsid w:val="0053027E"/>
    <w:rsid w:val="005312E8"/>
    <w:rsid w:val="005313F7"/>
    <w:rsid w:val="00531ACC"/>
    <w:rsid w:val="00531E8D"/>
    <w:rsid w:val="00531F39"/>
    <w:rsid w:val="00532607"/>
    <w:rsid w:val="00532767"/>
    <w:rsid w:val="005328BA"/>
    <w:rsid w:val="00532B70"/>
    <w:rsid w:val="005333EA"/>
    <w:rsid w:val="00533920"/>
    <w:rsid w:val="00533DC4"/>
    <w:rsid w:val="0053480E"/>
    <w:rsid w:val="00534CB2"/>
    <w:rsid w:val="00534ED5"/>
    <w:rsid w:val="00535324"/>
    <w:rsid w:val="0053540E"/>
    <w:rsid w:val="00535521"/>
    <w:rsid w:val="00535969"/>
    <w:rsid w:val="005359D9"/>
    <w:rsid w:val="00535A1B"/>
    <w:rsid w:val="00535D6D"/>
    <w:rsid w:val="00535F4E"/>
    <w:rsid w:val="0053602B"/>
    <w:rsid w:val="005363C4"/>
    <w:rsid w:val="005366F8"/>
    <w:rsid w:val="0053678B"/>
    <w:rsid w:val="00536D31"/>
    <w:rsid w:val="00536DEF"/>
    <w:rsid w:val="005371C4"/>
    <w:rsid w:val="005371D4"/>
    <w:rsid w:val="0053749F"/>
    <w:rsid w:val="005404B0"/>
    <w:rsid w:val="005405E2"/>
    <w:rsid w:val="0054125E"/>
    <w:rsid w:val="005412E1"/>
    <w:rsid w:val="005418B9"/>
    <w:rsid w:val="005419F2"/>
    <w:rsid w:val="00541A05"/>
    <w:rsid w:val="00541C30"/>
    <w:rsid w:val="0054209B"/>
    <w:rsid w:val="0054216F"/>
    <w:rsid w:val="005422EB"/>
    <w:rsid w:val="0054294B"/>
    <w:rsid w:val="00542969"/>
    <w:rsid w:val="00542993"/>
    <w:rsid w:val="00542D37"/>
    <w:rsid w:val="00542F18"/>
    <w:rsid w:val="00543397"/>
    <w:rsid w:val="005439A1"/>
    <w:rsid w:val="00543C00"/>
    <w:rsid w:val="00544492"/>
    <w:rsid w:val="005446D3"/>
    <w:rsid w:val="00544824"/>
    <w:rsid w:val="00544853"/>
    <w:rsid w:val="00544984"/>
    <w:rsid w:val="00544B83"/>
    <w:rsid w:val="005450E2"/>
    <w:rsid w:val="005452E2"/>
    <w:rsid w:val="005453A0"/>
    <w:rsid w:val="005456F8"/>
    <w:rsid w:val="0054576E"/>
    <w:rsid w:val="00545F3B"/>
    <w:rsid w:val="0054750F"/>
    <w:rsid w:val="00547A40"/>
    <w:rsid w:val="00547AC8"/>
    <w:rsid w:val="00547E4C"/>
    <w:rsid w:val="0055001C"/>
    <w:rsid w:val="005500B1"/>
    <w:rsid w:val="0055086B"/>
    <w:rsid w:val="005508E3"/>
    <w:rsid w:val="00550D43"/>
    <w:rsid w:val="00550DD7"/>
    <w:rsid w:val="005511E2"/>
    <w:rsid w:val="005512D5"/>
    <w:rsid w:val="0055175A"/>
    <w:rsid w:val="00551B0D"/>
    <w:rsid w:val="00551DEC"/>
    <w:rsid w:val="00552096"/>
    <w:rsid w:val="0055245B"/>
    <w:rsid w:val="0055255F"/>
    <w:rsid w:val="00552717"/>
    <w:rsid w:val="005529FC"/>
    <w:rsid w:val="00553371"/>
    <w:rsid w:val="00553918"/>
    <w:rsid w:val="00553D54"/>
    <w:rsid w:val="00553F9F"/>
    <w:rsid w:val="005546BF"/>
    <w:rsid w:val="00554CB6"/>
    <w:rsid w:val="00554D3D"/>
    <w:rsid w:val="00554FC3"/>
    <w:rsid w:val="00555523"/>
    <w:rsid w:val="00555E0D"/>
    <w:rsid w:val="00556BF7"/>
    <w:rsid w:val="00556E02"/>
    <w:rsid w:val="00556F4A"/>
    <w:rsid w:val="0055764E"/>
    <w:rsid w:val="0055783F"/>
    <w:rsid w:val="00557CF4"/>
    <w:rsid w:val="00557D04"/>
    <w:rsid w:val="00560528"/>
    <w:rsid w:val="00560A5E"/>
    <w:rsid w:val="00560CD3"/>
    <w:rsid w:val="00560D92"/>
    <w:rsid w:val="005615E3"/>
    <w:rsid w:val="00561923"/>
    <w:rsid w:val="00561D24"/>
    <w:rsid w:val="0056295E"/>
    <w:rsid w:val="00562ED2"/>
    <w:rsid w:val="0056310A"/>
    <w:rsid w:val="00563B00"/>
    <w:rsid w:val="00563C49"/>
    <w:rsid w:val="0056592B"/>
    <w:rsid w:val="00565AC1"/>
    <w:rsid w:val="00565B0F"/>
    <w:rsid w:val="00565D0D"/>
    <w:rsid w:val="00566286"/>
    <w:rsid w:val="005668DF"/>
    <w:rsid w:val="00566920"/>
    <w:rsid w:val="00567223"/>
    <w:rsid w:val="00567A04"/>
    <w:rsid w:val="00567F76"/>
    <w:rsid w:val="00570215"/>
    <w:rsid w:val="00570239"/>
    <w:rsid w:val="005704CB"/>
    <w:rsid w:val="00570D7F"/>
    <w:rsid w:val="005710A9"/>
    <w:rsid w:val="005711C5"/>
    <w:rsid w:val="00571718"/>
    <w:rsid w:val="0057178D"/>
    <w:rsid w:val="00571D59"/>
    <w:rsid w:val="00571DED"/>
    <w:rsid w:val="00571F91"/>
    <w:rsid w:val="005725C5"/>
    <w:rsid w:val="00572CF9"/>
    <w:rsid w:val="00572E3E"/>
    <w:rsid w:val="00573335"/>
    <w:rsid w:val="00573345"/>
    <w:rsid w:val="00573619"/>
    <w:rsid w:val="005737F5"/>
    <w:rsid w:val="005741C2"/>
    <w:rsid w:val="00574209"/>
    <w:rsid w:val="0057420B"/>
    <w:rsid w:val="0057434B"/>
    <w:rsid w:val="005756E7"/>
    <w:rsid w:val="0057571E"/>
    <w:rsid w:val="00575951"/>
    <w:rsid w:val="00576330"/>
    <w:rsid w:val="0057657F"/>
    <w:rsid w:val="00577E70"/>
    <w:rsid w:val="00577E77"/>
    <w:rsid w:val="00580280"/>
    <w:rsid w:val="0058031C"/>
    <w:rsid w:val="005806CF"/>
    <w:rsid w:val="0058107A"/>
    <w:rsid w:val="0058135A"/>
    <w:rsid w:val="005815FE"/>
    <w:rsid w:val="005827AE"/>
    <w:rsid w:val="0058298F"/>
    <w:rsid w:val="00582C36"/>
    <w:rsid w:val="00583AB1"/>
    <w:rsid w:val="00583B4D"/>
    <w:rsid w:val="00583FDC"/>
    <w:rsid w:val="00584058"/>
    <w:rsid w:val="005847E2"/>
    <w:rsid w:val="00584E0C"/>
    <w:rsid w:val="00585571"/>
    <w:rsid w:val="005855F8"/>
    <w:rsid w:val="00585991"/>
    <w:rsid w:val="00585B91"/>
    <w:rsid w:val="005869CA"/>
    <w:rsid w:val="00586BF1"/>
    <w:rsid w:val="00586EB2"/>
    <w:rsid w:val="005872CC"/>
    <w:rsid w:val="0058745C"/>
    <w:rsid w:val="00587AE1"/>
    <w:rsid w:val="0059039A"/>
    <w:rsid w:val="005903E4"/>
    <w:rsid w:val="00590565"/>
    <w:rsid w:val="00590954"/>
    <w:rsid w:val="00591256"/>
    <w:rsid w:val="005917DF"/>
    <w:rsid w:val="00592899"/>
    <w:rsid w:val="00593386"/>
    <w:rsid w:val="00593C6E"/>
    <w:rsid w:val="00593F3D"/>
    <w:rsid w:val="0059424C"/>
    <w:rsid w:val="005943AE"/>
    <w:rsid w:val="0059442B"/>
    <w:rsid w:val="005946CA"/>
    <w:rsid w:val="00594826"/>
    <w:rsid w:val="0059494C"/>
    <w:rsid w:val="005950D6"/>
    <w:rsid w:val="00595486"/>
    <w:rsid w:val="005958D0"/>
    <w:rsid w:val="005962B6"/>
    <w:rsid w:val="005966B3"/>
    <w:rsid w:val="00596ED3"/>
    <w:rsid w:val="0059751C"/>
    <w:rsid w:val="00597827"/>
    <w:rsid w:val="0059786C"/>
    <w:rsid w:val="00597919"/>
    <w:rsid w:val="005A0000"/>
    <w:rsid w:val="005A03A2"/>
    <w:rsid w:val="005A0506"/>
    <w:rsid w:val="005A08FB"/>
    <w:rsid w:val="005A0B9F"/>
    <w:rsid w:val="005A0C48"/>
    <w:rsid w:val="005A0D08"/>
    <w:rsid w:val="005A0D31"/>
    <w:rsid w:val="005A1625"/>
    <w:rsid w:val="005A2D88"/>
    <w:rsid w:val="005A2FCE"/>
    <w:rsid w:val="005A3095"/>
    <w:rsid w:val="005A3ACA"/>
    <w:rsid w:val="005A3B1B"/>
    <w:rsid w:val="005A42FD"/>
    <w:rsid w:val="005A4385"/>
    <w:rsid w:val="005A4707"/>
    <w:rsid w:val="005A47E3"/>
    <w:rsid w:val="005A496B"/>
    <w:rsid w:val="005A4CEF"/>
    <w:rsid w:val="005A5171"/>
    <w:rsid w:val="005A5815"/>
    <w:rsid w:val="005A5D1A"/>
    <w:rsid w:val="005A6089"/>
    <w:rsid w:val="005A63D8"/>
    <w:rsid w:val="005A73D7"/>
    <w:rsid w:val="005A7467"/>
    <w:rsid w:val="005A7527"/>
    <w:rsid w:val="005A7DBE"/>
    <w:rsid w:val="005A7E63"/>
    <w:rsid w:val="005B04DF"/>
    <w:rsid w:val="005B075B"/>
    <w:rsid w:val="005B1082"/>
    <w:rsid w:val="005B152A"/>
    <w:rsid w:val="005B1EB5"/>
    <w:rsid w:val="005B21E6"/>
    <w:rsid w:val="005B2378"/>
    <w:rsid w:val="005B270C"/>
    <w:rsid w:val="005B2C3A"/>
    <w:rsid w:val="005B32CE"/>
    <w:rsid w:val="005B33DC"/>
    <w:rsid w:val="005B3479"/>
    <w:rsid w:val="005B34EE"/>
    <w:rsid w:val="005B3568"/>
    <w:rsid w:val="005B3606"/>
    <w:rsid w:val="005B3972"/>
    <w:rsid w:val="005B3ED7"/>
    <w:rsid w:val="005B446E"/>
    <w:rsid w:val="005B49B6"/>
    <w:rsid w:val="005B4A45"/>
    <w:rsid w:val="005B4D55"/>
    <w:rsid w:val="005B54AB"/>
    <w:rsid w:val="005B5D5E"/>
    <w:rsid w:val="005B5FDA"/>
    <w:rsid w:val="005B68A7"/>
    <w:rsid w:val="005B6986"/>
    <w:rsid w:val="005B6AD2"/>
    <w:rsid w:val="005B6E36"/>
    <w:rsid w:val="005B74C5"/>
    <w:rsid w:val="005B7733"/>
    <w:rsid w:val="005B7A22"/>
    <w:rsid w:val="005C00C1"/>
    <w:rsid w:val="005C047D"/>
    <w:rsid w:val="005C04C8"/>
    <w:rsid w:val="005C0602"/>
    <w:rsid w:val="005C1820"/>
    <w:rsid w:val="005C19A8"/>
    <w:rsid w:val="005C1D01"/>
    <w:rsid w:val="005C2114"/>
    <w:rsid w:val="005C2362"/>
    <w:rsid w:val="005C25DD"/>
    <w:rsid w:val="005C2B3C"/>
    <w:rsid w:val="005C2E28"/>
    <w:rsid w:val="005C3015"/>
    <w:rsid w:val="005C3069"/>
    <w:rsid w:val="005C343C"/>
    <w:rsid w:val="005C37F5"/>
    <w:rsid w:val="005C3C22"/>
    <w:rsid w:val="005C3DB2"/>
    <w:rsid w:val="005C3ECE"/>
    <w:rsid w:val="005C3F10"/>
    <w:rsid w:val="005C40C7"/>
    <w:rsid w:val="005C42B0"/>
    <w:rsid w:val="005C430E"/>
    <w:rsid w:val="005C438F"/>
    <w:rsid w:val="005C4A96"/>
    <w:rsid w:val="005C4C7F"/>
    <w:rsid w:val="005C4CC6"/>
    <w:rsid w:val="005C5042"/>
    <w:rsid w:val="005C5B37"/>
    <w:rsid w:val="005C63FA"/>
    <w:rsid w:val="005C75D1"/>
    <w:rsid w:val="005C773A"/>
    <w:rsid w:val="005C7C28"/>
    <w:rsid w:val="005C7DD7"/>
    <w:rsid w:val="005D00CC"/>
    <w:rsid w:val="005D0512"/>
    <w:rsid w:val="005D058E"/>
    <w:rsid w:val="005D082B"/>
    <w:rsid w:val="005D0976"/>
    <w:rsid w:val="005D097F"/>
    <w:rsid w:val="005D0E7C"/>
    <w:rsid w:val="005D0E9B"/>
    <w:rsid w:val="005D1576"/>
    <w:rsid w:val="005D1762"/>
    <w:rsid w:val="005D1D9F"/>
    <w:rsid w:val="005D2217"/>
    <w:rsid w:val="005D2507"/>
    <w:rsid w:val="005D2667"/>
    <w:rsid w:val="005D3E22"/>
    <w:rsid w:val="005D3EBB"/>
    <w:rsid w:val="005D3ED4"/>
    <w:rsid w:val="005D42B4"/>
    <w:rsid w:val="005D4AFC"/>
    <w:rsid w:val="005D4CF7"/>
    <w:rsid w:val="005D51D9"/>
    <w:rsid w:val="005D52FB"/>
    <w:rsid w:val="005D5347"/>
    <w:rsid w:val="005D570F"/>
    <w:rsid w:val="005D5CC5"/>
    <w:rsid w:val="005D5E85"/>
    <w:rsid w:val="005D6732"/>
    <w:rsid w:val="005D69FE"/>
    <w:rsid w:val="005D787B"/>
    <w:rsid w:val="005D7E93"/>
    <w:rsid w:val="005E0949"/>
    <w:rsid w:val="005E0E20"/>
    <w:rsid w:val="005E0F03"/>
    <w:rsid w:val="005E12BE"/>
    <w:rsid w:val="005E1374"/>
    <w:rsid w:val="005E1467"/>
    <w:rsid w:val="005E3DF8"/>
    <w:rsid w:val="005E4660"/>
    <w:rsid w:val="005E4976"/>
    <w:rsid w:val="005E49F5"/>
    <w:rsid w:val="005E4B27"/>
    <w:rsid w:val="005E515C"/>
    <w:rsid w:val="005E6499"/>
    <w:rsid w:val="005E6505"/>
    <w:rsid w:val="005E6FD7"/>
    <w:rsid w:val="005E75E3"/>
    <w:rsid w:val="005E7BE6"/>
    <w:rsid w:val="005E7ECD"/>
    <w:rsid w:val="005E7F37"/>
    <w:rsid w:val="005F01E5"/>
    <w:rsid w:val="005F0215"/>
    <w:rsid w:val="005F0EF5"/>
    <w:rsid w:val="005F1267"/>
    <w:rsid w:val="005F1A0D"/>
    <w:rsid w:val="005F1D43"/>
    <w:rsid w:val="005F2132"/>
    <w:rsid w:val="005F2A12"/>
    <w:rsid w:val="005F2E4C"/>
    <w:rsid w:val="005F2EA8"/>
    <w:rsid w:val="005F322F"/>
    <w:rsid w:val="005F3322"/>
    <w:rsid w:val="005F3751"/>
    <w:rsid w:val="005F3EC3"/>
    <w:rsid w:val="005F4136"/>
    <w:rsid w:val="005F446D"/>
    <w:rsid w:val="005F4492"/>
    <w:rsid w:val="005F4713"/>
    <w:rsid w:val="005F48D6"/>
    <w:rsid w:val="005F584B"/>
    <w:rsid w:val="005F637A"/>
    <w:rsid w:val="005F64C6"/>
    <w:rsid w:val="005F6B1A"/>
    <w:rsid w:val="005F6E55"/>
    <w:rsid w:val="005F6F87"/>
    <w:rsid w:val="005F76FB"/>
    <w:rsid w:val="005F784D"/>
    <w:rsid w:val="005F7A0B"/>
    <w:rsid w:val="00600089"/>
    <w:rsid w:val="00600677"/>
    <w:rsid w:val="0060081A"/>
    <w:rsid w:val="006008F1"/>
    <w:rsid w:val="00600C01"/>
    <w:rsid w:val="006014DB"/>
    <w:rsid w:val="00601735"/>
    <w:rsid w:val="006018B5"/>
    <w:rsid w:val="00601BE4"/>
    <w:rsid w:val="006022E0"/>
    <w:rsid w:val="006025F2"/>
    <w:rsid w:val="00602AC4"/>
    <w:rsid w:val="00602B46"/>
    <w:rsid w:val="00602BD2"/>
    <w:rsid w:val="00603480"/>
    <w:rsid w:val="006039B8"/>
    <w:rsid w:val="00603A79"/>
    <w:rsid w:val="00603D7A"/>
    <w:rsid w:val="00604174"/>
    <w:rsid w:val="00604356"/>
    <w:rsid w:val="00604B87"/>
    <w:rsid w:val="00605275"/>
    <w:rsid w:val="00605529"/>
    <w:rsid w:val="006059DB"/>
    <w:rsid w:val="00605A3E"/>
    <w:rsid w:val="00605CAB"/>
    <w:rsid w:val="00605DAE"/>
    <w:rsid w:val="00605DB9"/>
    <w:rsid w:val="0060650E"/>
    <w:rsid w:val="006065CF"/>
    <w:rsid w:val="00606604"/>
    <w:rsid w:val="00606A48"/>
    <w:rsid w:val="00606E5D"/>
    <w:rsid w:val="0060725E"/>
    <w:rsid w:val="006076EF"/>
    <w:rsid w:val="006079C8"/>
    <w:rsid w:val="0061066F"/>
    <w:rsid w:val="00610CBA"/>
    <w:rsid w:val="00610F39"/>
    <w:rsid w:val="00611DEF"/>
    <w:rsid w:val="00611F28"/>
    <w:rsid w:val="00612E59"/>
    <w:rsid w:val="0061315B"/>
    <w:rsid w:val="006132CC"/>
    <w:rsid w:val="0061352F"/>
    <w:rsid w:val="0061375F"/>
    <w:rsid w:val="00613C12"/>
    <w:rsid w:val="00613C47"/>
    <w:rsid w:val="00614071"/>
    <w:rsid w:val="00614292"/>
    <w:rsid w:val="006148AC"/>
    <w:rsid w:val="006153E5"/>
    <w:rsid w:val="00615525"/>
    <w:rsid w:val="00615544"/>
    <w:rsid w:val="00615651"/>
    <w:rsid w:val="00615654"/>
    <w:rsid w:val="00615901"/>
    <w:rsid w:val="00616201"/>
    <w:rsid w:val="00616225"/>
    <w:rsid w:val="00616C1C"/>
    <w:rsid w:val="00616D5E"/>
    <w:rsid w:val="00616EEC"/>
    <w:rsid w:val="00617270"/>
    <w:rsid w:val="00617A8B"/>
    <w:rsid w:val="00617C23"/>
    <w:rsid w:val="006200B8"/>
    <w:rsid w:val="0062040C"/>
    <w:rsid w:val="00620422"/>
    <w:rsid w:val="00620552"/>
    <w:rsid w:val="006208F9"/>
    <w:rsid w:val="00620A9B"/>
    <w:rsid w:val="00620CE4"/>
    <w:rsid w:val="006219A0"/>
    <w:rsid w:val="00621F46"/>
    <w:rsid w:val="0062224C"/>
    <w:rsid w:val="006223C7"/>
    <w:rsid w:val="006227FA"/>
    <w:rsid w:val="00622FEA"/>
    <w:rsid w:val="0062349B"/>
    <w:rsid w:val="006239E8"/>
    <w:rsid w:val="00623B67"/>
    <w:rsid w:val="00623CDF"/>
    <w:rsid w:val="00623DB1"/>
    <w:rsid w:val="00623FC2"/>
    <w:rsid w:val="006241D2"/>
    <w:rsid w:val="006245F3"/>
    <w:rsid w:val="006246AF"/>
    <w:rsid w:val="00624B63"/>
    <w:rsid w:val="00624E6F"/>
    <w:rsid w:val="006252E6"/>
    <w:rsid w:val="0062552F"/>
    <w:rsid w:val="00625966"/>
    <w:rsid w:val="00625B47"/>
    <w:rsid w:val="00625D54"/>
    <w:rsid w:val="00625FC9"/>
    <w:rsid w:val="00626A11"/>
    <w:rsid w:val="00626BE7"/>
    <w:rsid w:val="0062726B"/>
    <w:rsid w:val="00627ED6"/>
    <w:rsid w:val="006304D2"/>
    <w:rsid w:val="00630C76"/>
    <w:rsid w:val="006319CA"/>
    <w:rsid w:val="00633107"/>
    <w:rsid w:val="00633A3C"/>
    <w:rsid w:val="00634498"/>
    <w:rsid w:val="00634932"/>
    <w:rsid w:val="00634EC0"/>
    <w:rsid w:val="00635D83"/>
    <w:rsid w:val="0063627F"/>
    <w:rsid w:val="006362FE"/>
    <w:rsid w:val="006364D6"/>
    <w:rsid w:val="00636C26"/>
    <w:rsid w:val="006370A6"/>
    <w:rsid w:val="00637785"/>
    <w:rsid w:val="00637988"/>
    <w:rsid w:val="00637A76"/>
    <w:rsid w:val="00637EE5"/>
    <w:rsid w:val="00640F42"/>
    <w:rsid w:val="006411E4"/>
    <w:rsid w:val="0064140B"/>
    <w:rsid w:val="00641868"/>
    <w:rsid w:val="006419A2"/>
    <w:rsid w:val="00641EFC"/>
    <w:rsid w:val="00641F02"/>
    <w:rsid w:val="0064266A"/>
    <w:rsid w:val="00642ADE"/>
    <w:rsid w:val="00642B24"/>
    <w:rsid w:val="00642D72"/>
    <w:rsid w:val="006431BC"/>
    <w:rsid w:val="00643671"/>
    <w:rsid w:val="00643819"/>
    <w:rsid w:val="00643B4C"/>
    <w:rsid w:val="00643C2F"/>
    <w:rsid w:val="00643F85"/>
    <w:rsid w:val="006443CB"/>
    <w:rsid w:val="00644A19"/>
    <w:rsid w:val="00644F80"/>
    <w:rsid w:val="00645874"/>
    <w:rsid w:val="00646D79"/>
    <w:rsid w:val="006479E0"/>
    <w:rsid w:val="00647A43"/>
    <w:rsid w:val="00647B53"/>
    <w:rsid w:val="00647D78"/>
    <w:rsid w:val="00647F7B"/>
    <w:rsid w:val="0065074A"/>
    <w:rsid w:val="00650DD0"/>
    <w:rsid w:val="00650E7A"/>
    <w:rsid w:val="00650EE4"/>
    <w:rsid w:val="0065124B"/>
    <w:rsid w:val="00651382"/>
    <w:rsid w:val="006517DD"/>
    <w:rsid w:val="00651E96"/>
    <w:rsid w:val="00652AB2"/>
    <w:rsid w:val="00652CCD"/>
    <w:rsid w:val="006530C9"/>
    <w:rsid w:val="006533F3"/>
    <w:rsid w:val="00653579"/>
    <w:rsid w:val="00653622"/>
    <w:rsid w:val="00653FE6"/>
    <w:rsid w:val="0065446A"/>
    <w:rsid w:val="00654767"/>
    <w:rsid w:val="00654C11"/>
    <w:rsid w:val="00654EB9"/>
    <w:rsid w:val="006551F6"/>
    <w:rsid w:val="0065552B"/>
    <w:rsid w:val="006558F8"/>
    <w:rsid w:val="006564DF"/>
    <w:rsid w:val="006566ED"/>
    <w:rsid w:val="00656B4B"/>
    <w:rsid w:val="006577CC"/>
    <w:rsid w:val="006578D7"/>
    <w:rsid w:val="00660024"/>
    <w:rsid w:val="00660B46"/>
    <w:rsid w:val="00660F6F"/>
    <w:rsid w:val="00661283"/>
    <w:rsid w:val="0066129E"/>
    <w:rsid w:val="00661918"/>
    <w:rsid w:val="00661F08"/>
    <w:rsid w:val="00662130"/>
    <w:rsid w:val="0066226E"/>
    <w:rsid w:val="00662A5A"/>
    <w:rsid w:val="00662B31"/>
    <w:rsid w:val="00662B7E"/>
    <w:rsid w:val="00662F7D"/>
    <w:rsid w:val="0066318E"/>
    <w:rsid w:val="006641C4"/>
    <w:rsid w:val="00664875"/>
    <w:rsid w:val="006653D7"/>
    <w:rsid w:val="006654F3"/>
    <w:rsid w:val="00665F5E"/>
    <w:rsid w:val="00666129"/>
    <w:rsid w:val="006665BA"/>
    <w:rsid w:val="006665FE"/>
    <w:rsid w:val="00666A4F"/>
    <w:rsid w:val="00667106"/>
    <w:rsid w:val="00667111"/>
    <w:rsid w:val="0066720F"/>
    <w:rsid w:val="00667328"/>
    <w:rsid w:val="00667662"/>
    <w:rsid w:val="006703AA"/>
    <w:rsid w:val="006703CD"/>
    <w:rsid w:val="006703D9"/>
    <w:rsid w:val="006704B8"/>
    <w:rsid w:val="006704F6"/>
    <w:rsid w:val="006708EA"/>
    <w:rsid w:val="00671091"/>
    <w:rsid w:val="00671AC7"/>
    <w:rsid w:val="00672154"/>
    <w:rsid w:val="00672B6A"/>
    <w:rsid w:val="00672D8D"/>
    <w:rsid w:val="0067426D"/>
    <w:rsid w:val="006745EC"/>
    <w:rsid w:val="00674713"/>
    <w:rsid w:val="0067545E"/>
    <w:rsid w:val="006758D1"/>
    <w:rsid w:val="0067650C"/>
    <w:rsid w:val="00676E43"/>
    <w:rsid w:val="00677435"/>
    <w:rsid w:val="00677C33"/>
    <w:rsid w:val="00680102"/>
    <w:rsid w:val="006803B4"/>
    <w:rsid w:val="00680936"/>
    <w:rsid w:val="00680D8C"/>
    <w:rsid w:val="00681236"/>
    <w:rsid w:val="0068165C"/>
    <w:rsid w:val="006818B4"/>
    <w:rsid w:val="00681C66"/>
    <w:rsid w:val="006820E0"/>
    <w:rsid w:val="00682221"/>
    <w:rsid w:val="006826B4"/>
    <w:rsid w:val="00682725"/>
    <w:rsid w:val="006828DF"/>
    <w:rsid w:val="00682AED"/>
    <w:rsid w:val="00682D87"/>
    <w:rsid w:val="00683158"/>
    <w:rsid w:val="00683502"/>
    <w:rsid w:val="006836B2"/>
    <w:rsid w:val="00683A1C"/>
    <w:rsid w:val="00683A1E"/>
    <w:rsid w:val="0068413E"/>
    <w:rsid w:val="00684387"/>
    <w:rsid w:val="006845A2"/>
    <w:rsid w:val="006853A4"/>
    <w:rsid w:val="0068558F"/>
    <w:rsid w:val="006856C0"/>
    <w:rsid w:val="006862B9"/>
    <w:rsid w:val="006864E1"/>
    <w:rsid w:val="00686546"/>
    <w:rsid w:val="006865F1"/>
    <w:rsid w:val="00686871"/>
    <w:rsid w:val="00686948"/>
    <w:rsid w:val="006876CE"/>
    <w:rsid w:val="006877FF"/>
    <w:rsid w:val="0068793A"/>
    <w:rsid w:val="00687B34"/>
    <w:rsid w:val="00690781"/>
    <w:rsid w:val="006907A1"/>
    <w:rsid w:val="00690B17"/>
    <w:rsid w:val="00690CD7"/>
    <w:rsid w:val="0069128F"/>
    <w:rsid w:val="00691404"/>
    <w:rsid w:val="00691580"/>
    <w:rsid w:val="006920A6"/>
    <w:rsid w:val="00692582"/>
    <w:rsid w:val="006926E2"/>
    <w:rsid w:val="006929D9"/>
    <w:rsid w:val="00692FF6"/>
    <w:rsid w:val="00692FFA"/>
    <w:rsid w:val="0069350A"/>
    <w:rsid w:val="00693652"/>
    <w:rsid w:val="0069369F"/>
    <w:rsid w:val="0069376C"/>
    <w:rsid w:val="006939E7"/>
    <w:rsid w:val="00693D3E"/>
    <w:rsid w:val="006942F7"/>
    <w:rsid w:val="0069438B"/>
    <w:rsid w:val="00695396"/>
    <w:rsid w:val="006954A0"/>
    <w:rsid w:val="00695620"/>
    <w:rsid w:val="00695659"/>
    <w:rsid w:val="0069582C"/>
    <w:rsid w:val="00695D76"/>
    <w:rsid w:val="00696A0F"/>
    <w:rsid w:val="006971D2"/>
    <w:rsid w:val="00697413"/>
    <w:rsid w:val="00697669"/>
    <w:rsid w:val="00697AE8"/>
    <w:rsid w:val="00697F01"/>
    <w:rsid w:val="006A15BA"/>
    <w:rsid w:val="006A1AAE"/>
    <w:rsid w:val="006A1EEA"/>
    <w:rsid w:val="006A2150"/>
    <w:rsid w:val="006A241D"/>
    <w:rsid w:val="006A24EA"/>
    <w:rsid w:val="006A2B0C"/>
    <w:rsid w:val="006A2C61"/>
    <w:rsid w:val="006A2D13"/>
    <w:rsid w:val="006A3288"/>
    <w:rsid w:val="006A35A2"/>
    <w:rsid w:val="006A3C54"/>
    <w:rsid w:val="006A3DE6"/>
    <w:rsid w:val="006A3E6B"/>
    <w:rsid w:val="006A43E6"/>
    <w:rsid w:val="006A45B1"/>
    <w:rsid w:val="006A4A1E"/>
    <w:rsid w:val="006A50C7"/>
    <w:rsid w:val="006A5741"/>
    <w:rsid w:val="006A5CD5"/>
    <w:rsid w:val="006A5D9B"/>
    <w:rsid w:val="006A5E28"/>
    <w:rsid w:val="006A5E65"/>
    <w:rsid w:val="006A5EF5"/>
    <w:rsid w:val="006A67BC"/>
    <w:rsid w:val="006A6A3A"/>
    <w:rsid w:val="006A70BE"/>
    <w:rsid w:val="006A7662"/>
    <w:rsid w:val="006A7ACA"/>
    <w:rsid w:val="006A7F39"/>
    <w:rsid w:val="006A7FD0"/>
    <w:rsid w:val="006B0121"/>
    <w:rsid w:val="006B0128"/>
    <w:rsid w:val="006B0260"/>
    <w:rsid w:val="006B0334"/>
    <w:rsid w:val="006B059F"/>
    <w:rsid w:val="006B0C6D"/>
    <w:rsid w:val="006B1011"/>
    <w:rsid w:val="006B134D"/>
    <w:rsid w:val="006B1A20"/>
    <w:rsid w:val="006B1C7C"/>
    <w:rsid w:val="006B1EC8"/>
    <w:rsid w:val="006B2136"/>
    <w:rsid w:val="006B2B64"/>
    <w:rsid w:val="006B2BD2"/>
    <w:rsid w:val="006B3063"/>
    <w:rsid w:val="006B3086"/>
    <w:rsid w:val="006B3568"/>
    <w:rsid w:val="006B3D99"/>
    <w:rsid w:val="006B4547"/>
    <w:rsid w:val="006B5752"/>
    <w:rsid w:val="006B5BF9"/>
    <w:rsid w:val="006B63D8"/>
    <w:rsid w:val="006B6BD0"/>
    <w:rsid w:val="006B6F32"/>
    <w:rsid w:val="006B7130"/>
    <w:rsid w:val="006B7D4A"/>
    <w:rsid w:val="006B7E8A"/>
    <w:rsid w:val="006B7EF5"/>
    <w:rsid w:val="006C0D76"/>
    <w:rsid w:val="006C1401"/>
    <w:rsid w:val="006C201C"/>
    <w:rsid w:val="006C211C"/>
    <w:rsid w:val="006C397B"/>
    <w:rsid w:val="006C408A"/>
    <w:rsid w:val="006C4150"/>
    <w:rsid w:val="006C4728"/>
    <w:rsid w:val="006C507B"/>
    <w:rsid w:val="006C5186"/>
    <w:rsid w:val="006C5189"/>
    <w:rsid w:val="006C51DA"/>
    <w:rsid w:val="006C5214"/>
    <w:rsid w:val="006C5683"/>
    <w:rsid w:val="006C5E33"/>
    <w:rsid w:val="006C5E48"/>
    <w:rsid w:val="006C6295"/>
    <w:rsid w:val="006C6434"/>
    <w:rsid w:val="006C6552"/>
    <w:rsid w:val="006C65CC"/>
    <w:rsid w:val="006C6B08"/>
    <w:rsid w:val="006C6CD8"/>
    <w:rsid w:val="006C6CF4"/>
    <w:rsid w:val="006C7FD4"/>
    <w:rsid w:val="006D013F"/>
    <w:rsid w:val="006D017F"/>
    <w:rsid w:val="006D032D"/>
    <w:rsid w:val="006D0696"/>
    <w:rsid w:val="006D08DF"/>
    <w:rsid w:val="006D0A14"/>
    <w:rsid w:val="006D0A45"/>
    <w:rsid w:val="006D10BF"/>
    <w:rsid w:val="006D11E1"/>
    <w:rsid w:val="006D17B1"/>
    <w:rsid w:val="006D1836"/>
    <w:rsid w:val="006D1D3F"/>
    <w:rsid w:val="006D20B4"/>
    <w:rsid w:val="006D211A"/>
    <w:rsid w:val="006D253B"/>
    <w:rsid w:val="006D2CCC"/>
    <w:rsid w:val="006D3C1D"/>
    <w:rsid w:val="006D3C4F"/>
    <w:rsid w:val="006D44D0"/>
    <w:rsid w:val="006D471A"/>
    <w:rsid w:val="006D4C56"/>
    <w:rsid w:val="006D4F07"/>
    <w:rsid w:val="006D5625"/>
    <w:rsid w:val="006D57CB"/>
    <w:rsid w:val="006D5A82"/>
    <w:rsid w:val="006D5D92"/>
    <w:rsid w:val="006D60EE"/>
    <w:rsid w:val="006D6CDD"/>
    <w:rsid w:val="006D719D"/>
    <w:rsid w:val="006D7444"/>
    <w:rsid w:val="006E044C"/>
    <w:rsid w:val="006E0A61"/>
    <w:rsid w:val="006E1999"/>
    <w:rsid w:val="006E2251"/>
    <w:rsid w:val="006E2812"/>
    <w:rsid w:val="006E3587"/>
    <w:rsid w:val="006E36D4"/>
    <w:rsid w:val="006E3711"/>
    <w:rsid w:val="006E3992"/>
    <w:rsid w:val="006E3AAD"/>
    <w:rsid w:val="006E4118"/>
    <w:rsid w:val="006E4238"/>
    <w:rsid w:val="006E447A"/>
    <w:rsid w:val="006E4560"/>
    <w:rsid w:val="006E48D2"/>
    <w:rsid w:val="006E4F8C"/>
    <w:rsid w:val="006E50C3"/>
    <w:rsid w:val="006E5BA6"/>
    <w:rsid w:val="006E665F"/>
    <w:rsid w:val="006E68AD"/>
    <w:rsid w:val="006E6948"/>
    <w:rsid w:val="006E6EAA"/>
    <w:rsid w:val="006E720E"/>
    <w:rsid w:val="006E7A57"/>
    <w:rsid w:val="006E7B97"/>
    <w:rsid w:val="006E7C1C"/>
    <w:rsid w:val="006E7D02"/>
    <w:rsid w:val="006E7D23"/>
    <w:rsid w:val="006F05FD"/>
    <w:rsid w:val="006F063E"/>
    <w:rsid w:val="006F0B83"/>
    <w:rsid w:val="006F15F3"/>
    <w:rsid w:val="006F1BBB"/>
    <w:rsid w:val="006F1D39"/>
    <w:rsid w:val="006F2173"/>
    <w:rsid w:val="006F2235"/>
    <w:rsid w:val="006F2318"/>
    <w:rsid w:val="006F2550"/>
    <w:rsid w:val="006F2CA3"/>
    <w:rsid w:val="006F3B10"/>
    <w:rsid w:val="006F3EA8"/>
    <w:rsid w:val="006F41E7"/>
    <w:rsid w:val="006F4740"/>
    <w:rsid w:val="006F49A7"/>
    <w:rsid w:val="006F4A47"/>
    <w:rsid w:val="006F568F"/>
    <w:rsid w:val="006F5862"/>
    <w:rsid w:val="006F58F8"/>
    <w:rsid w:val="006F5E56"/>
    <w:rsid w:val="006F62F2"/>
    <w:rsid w:val="006F6798"/>
    <w:rsid w:val="006F6D4C"/>
    <w:rsid w:val="006F6E67"/>
    <w:rsid w:val="006F7157"/>
    <w:rsid w:val="006F786E"/>
    <w:rsid w:val="006F78E0"/>
    <w:rsid w:val="006F7FE0"/>
    <w:rsid w:val="0070032D"/>
    <w:rsid w:val="00701590"/>
    <w:rsid w:val="0070176D"/>
    <w:rsid w:val="00701CF4"/>
    <w:rsid w:val="00702150"/>
    <w:rsid w:val="00702468"/>
    <w:rsid w:val="00702B1B"/>
    <w:rsid w:val="00702C43"/>
    <w:rsid w:val="00702CFE"/>
    <w:rsid w:val="00702EFE"/>
    <w:rsid w:val="0070395E"/>
    <w:rsid w:val="00703C76"/>
    <w:rsid w:val="00704164"/>
    <w:rsid w:val="00704473"/>
    <w:rsid w:val="00704E3D"/>
    <w:rsid w:val="00705031"/>
    <w:rsid w:val="00705134"/>
    <w:rsid w:val="007053D4"/>
    <w:rsid w:val="00705FFB"/>
    <w:rsid w:val="00706277"/>
    <w:rsid w:val="00706A58"/>
    <w:rsid w:val="00706CAF"/>
    <w:rsid w:val="00706D75"/>
    <w:rsid w:val="00707670"/>
    <w:rsid w:val="00707EC8"/>
    <w:rsid w:val="007101A0"/>
    <w:rsid w:val="007110E1"/>
    <w:rsid w:val="0071113D"/>
    <w:rsid w:val="00711CFE"/>
    <w:rsid w:val="0071204E"/>
    <w:rsid w:val="007126A8"/>
    <w:rsid w:val="007127F4"/>
    <w:rsid w:val="00712AF8"/>
    <w:rsid w:val="00712C30"/>
    <w:rsid w:val="007135B0"/>
    <w:rsid w:val="00713662"/>
    <w:rsid w:val="00713753"/>
    <w:rsid w:val="007139C3"/>
    <w:rsid w:val="00713ADE"/>
    <w:rsid w:val="00713CE8"/>
    <w:rsid w:val="00714394"/>
    <w:rsid w:val="007143BC"/>
    <w:rsid w:val="007150B9"/>
    <w:rsid w:val="00715AAC"/>
    <w:rsid w:val="007163F8"/>
    <w:rsid w:val="00716B9D"/>
    <w:rsid w:val="00716C46"/>
    <w:rsid w:val="00716D40"/>
    <w:rsid w:val="00716D64"/>
    <w:rsid w:val="0071729C"/>
    <w:rsid w:val="0072057C"/>
    <w:rsid w:val="00720A60"/>
    <w:rsid w:val="00720E0B"/>
    <w:rsid w:val="00720E0F"/>
    <w:rsid w:val="007210F5"/>
    <w:rsid w:val="00721282"/>
    <w:rsid w:val="00721946"/>
    <w:rsid w:val="00721D10"/>
    <w:rsid w:val="00721F54"/>
    <w:rsid w:val="00721F7E"/>
    <w:rsid w:val="0072238C"/>
    <w:rsid w:val="007225B1"/>
    <w:rsid w:val="00722E29"/>
    <w:rsid w:val="007238C5"/>
    <w:rsid w:val="00723F67"/>
    <w:rsid w:val="00724507"/>
    <w:rsid w:val="00724606"/>
    <w:rsid w:val="00724B92"/>
    <w:rsid w:val="00724E85"/>
    <w:rsid w:val="00725318"/>
    <w:rsid w:val="00725346"/>
    <w:rsid w:val="00725860"/>
    <w:rsid w:val="00725FAE"/>
    <w:rsid w:val="007266DD"/>
    <w:rsid w:val="00726815"/>
    <w:rsid w:val="00726B00"/>
    <w:rsid w:val="00726D0F"/>
    <w:rsid w:val="00726DA7"/>
    <w:rsid w:val="00727583"/>
    <w:rsid w:val="00727806"/>
    <w:rsid w:val="00727DDC"/>
    <w:rsid w:val="00730073"/>
    <w:rsid w:val="007304C9"/>
    <w:rsid w:val="007305BB"/>
    <w:rsid w:val="007306E5"/>
    <w:rsid w:val="00730839"/>
    <w:rsid w:val="00730DAF"/>
    <w:rsid w:val="00730F89"/>
    <w:rsid w:val="00731296"/>
    <w:rsid w:val="00731542"/>
    <w:rsid w:val="00731923"/>
    <w:rsid w:val="00731FC8"/>
    <w:rsid w:val="00732170"/>
    <w:rsid w:val="00732B28"/>
    <w:rsid w:val="00732E20"/>
    <w:rsid w:val="00733025"/>
    <w:rsid w:val="00733094"/>
    <w:rsid w:val="0073320D"/>
    <w:rsid w:val="007334DC"/>
    <w:rsid w:val="00733996"/>
    <w:rsid w:val="00733B19"/>
    <w:rsid w:val="007343AA"/>
    <w:rsid w:val="00734858"/>
    <w:rsid w:val="00734887"/>
    <w:rsid w:val="00734994"/>
    <w:rsid w:val="00734A44"/>
    <w:rsid w:val="00734D06"/>
    <w:rsid w:val="0073642E"/>
    <w:rsid w:val="007365B6"/>
    <w:rsid w:val="00736B84"/>
    <w:rsid w:val="00737E64"/>
    <w:rsid w:val="00737EBD"/>
    <w:rsid w:val="007401E2"/>
    <w:rsid w:val="0074077D"/>
    <w:rsid w:val="00740780"/>
    <w:rsid w:val="0074081A"/>
    <w:rsid w:val="00740B49"/>
    <w:rsid w:val="00740E33"/>
    <w:rsid w:val="007411E5"/>
    <w:rsid w:val="00742233"/>
    <w:rsid w:val="007424A6"/>
    <w:rsid w:val="007424CF"/>
    <w:rsid w:val="00742D57"/>
    <w:rsid w:val="00742F8A"/>
    <w:rsid w:val="007431CD"/>
    <w:rsid w:val="007443C2"/>
    <w:rsid w:val="007447A4"/>
    <w:rsid w:val="00744FA3"/>
    <w:rsid w:val="00745ED9"/>
    <w:rsid w:val="00746755"/>
    <w:rsid w:val="00746951"/>
    <w:rsid w:val="0074722C"/>
    <w:rsid w:val="0074791E"/>
    <w:rsid w:val="0075001A"/>
    <w:rsid w:val="00750376"/>
    <w:rsid w:val="00750904"/>
    <w:rsid w:val="00750A08"/>
    <w:rsid w:val="00750A66"/>
    <w:rsid w:val="00750B28"/>
    <w:rsid w:val="00750D0C"/>
    <w:rsid w:val="00750D30"/>
    <w:rsid w:val="0075115D"/>
    <w:rsid w:val="007524D7"/>
    <w:rsid w:val="007525FF"/>
    <w:rsid w:val="0075283C"/>
    <w:rsid w:val="00752BB7"/>
    <w:rsid w:val="00753069"/>
    <w:rsid w:val="007532A7"/>
    <w:rsid w:val="00753890"/>
    <w:rsid w:val="007538F6"/>
    <w:rsid w:val="00753B7D"/>
    <w:rsid w:val="00753E5A"/>
    <w:rsid w:val="00754464"/>
    <w:rsid w:val="00754EEC"/>
    <w:rsid w:val="00754FEC"/>
    <w:rsid w:val="0075500C"/>
    <w:rsid w:val="0075501A"/>
    <w:rsid w:val="007555DF"/>
    <w:rsid w:val="00755818"/>
    <w:rsid w:val="00755B12"/>
    <w:rsid w:val="00755D21"/>
    <w:rsid w:val="00755E75"/>
    <w:rsid w:val="007565B5"/>
    <w:rsid w:val="0075720A"/>
    <w:rsid w:val="007573A5"/>
    <w:rsid w:val="007577CB"/>
    <w:rsid w:val="0076032C"/>
    <w:rsid w:val="00760C40"/>
    <w:rsid w:val="00761434"/>
    <w:rsid w:val="00761721"/>
    <w:rsid w:val="007618EF"/>
    <w:rsid w:val="00761FD5"/>
    <w:rsid w:val="00762065"/>
    <w:rsid w:val="007624BB"/>
    <w:rsid w:val="00762BCF"/>
    <w:rsid w:val="00763027"/>
    <w:rsid w:val="00763072"/>
    <w:rsid w:val="00763D30"/>
    <w:rsid w:val="00763D3A"/>
    <w:rsid w:val="00763D4B"/>
    <w:rsid w:val="00763DB6"/>
    <w:rsid w:val="00763EE6"/>
    <w:rsid w:val="0076460E"/>
    <w:rsid w:val="00764668"/>
    <w:rsid w:val="00764B49"/>
    <w:rsid w:val="00764CBE"/>
    <w:rsid w:val="00764DBD"/>
    <w:rsid w:val="00764E4E"/>
    <w:rsid w:val="00764F70"/>
    <w:rsid w:val="00765CC3"/>
    <w:rsid w:val="00765DD8"/>
    <w:rsid w:val="007666DD"/>
    <w:rsid w:val="007669D3"/>
    <w:rsid w:val="00766D36"/>
    <w:rsid w:val="00766EB1"/>
    <w:rsid w:val="007673C6"/>
    <w:rsid w:val="00767607"/>
    <w:rsid w:val="00767A1C"/>
    <w:rsid w:val="00767E47"/>
    <w:rsid w:val="0077067D"/>
    <w:rsid w:val="007709CB"/>
    <w:rsid w:val="00771587"/>
    <w:rsid w:val="0077158D"/>
    <w:rsid w:val="0077165F"/>
    <w:rsid w:val="00771972"/>
    <w:rsid w:val="0077228D"/>
    <w:rsid w:val="00772FA4"/>
    <w:rsid w:val="0077314F"/>
    <w:rsid w:val="007735C4"/>
    <w:rsid w:val="007736BA"/>
    <w:rsid w:val="00773874"/>
    <w:rsid w:val="00773B7E"/>
    <w:rsid w:val="00773C0D"/>
    <w:rsid w:val="0077477A"/>
    <w:rsid w:val="00774FDC"/>
    <w:rsid w:val="00775048"/>
    <w:rsid w:val="00775273"/>
    <w:rsid w:val="00775861"/>
    <w:rsid w:val="0077589B"/>
    <w:rsid w:val="00775952"/>
    <w:rsid w:val="00775B52"/>
    <w:rsid w:val="00775EED"/>
    <w:rsid w:val="007762DB"/>
    <w:rsid w:val="007765DF"/>
    <w:rsid w:val="007766D8"/>
    <w:rsid w:val="00776AD1"/>
    <w:rsid w:val="007770B9"/>
    <w:rsid w:val="007770E1"/>
    <w:rsid w:val="007778D4"/>
    <w:rsid w:val="00777BA4"/>
    <w:rsid w:val="007803F2"/>
    <w:rsid w:val="00780661"/>
    <w:rsid w:val="00780A4F"/>
    <w:rsid w:val="00780D88"/>
    <w:rsid w:val="00780F42"/>
    <w:rsid w:val="0078126C"/>
    <w:rsid w:val="007813B4"/>
    <w:rsid w:val="00781AD1"/>
    <w:rsid w:val="00781FAF"/>
    <w:rsid w:val="007833C7"/>
    <w:rsid w:val="00783B85"/>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87EB5"/>
    <w:rsid w:val="00790739"/>
    <w:rsid w:val="00790DFB"/>
    <w:rsid w:val="00791098"/>
    <w:rsid w:val="007910EB"/>
    <w:rsid w:val="00791B10"/>
    <w:rsid w:val="0079218E"/>
    <w:rsid w:val="00792447"/>
    <w:rsid w:val="00792659"/>
    <w:rsid w:val="00792679"/>
    <w:rsid w:val="0079270E"/>
    <w:rsid w:val="00792855"/>
    <w:rsid w:val="007937CB"/>
    <w:rsid w:val="0079385A"/>
    <w:rsid w:val="007943DF"/>
    <w:rsid w:val="00794A05"/>
    <w:rsid w:val="00794A3A"/>
    <w:rsid w:val="00795B64"/>
    <w:rsid w:val="00795F96"/>
    <w:rsid w:val="0079694C"/>
    <w:rsid w:val="00796DBD"/>
    <w:rsid w:val="00797450"/>
    <w:rsid w:val="0079773A"/>
    <w:rsid w:val="00797FAD"/>
    <w:rsid w:val="007A0AF5"/>
    <w:rsid w:val="007A2AEF"/>
    <w:rsid w:val="007A354D"/>
    <w:rsid w:val="007A38D8"/>
    <w:rsid w:val="007A452F"/>
    <w:rsid w:val="007A4C77"/>
    <w:rsid w:val="007A4E17"/>
    <w:rsid w:val="007A520F"/>
    <w:rsid w:val="007A56E3"/>
    <w:rsid w:val="007A5704"/>
    <w:rsid w:val="007A5AF4"/>
    <w:rsid w:val="007A641B"/>
    <w:rsid w:val="007A660D"/>
    <w:rsid w:val="007A68DC"/>
    <w:rsid w:val="007A6D0D"/>
    <w:rsid w:val="007A79D8"/>
    <w:rsid w:val="007A7F6D"/>
    <w:rsid w:val="007B01C5"/>
    <w:rsid w:val="007B058B"/>
    <w:rsid w:val="007B0FBD"/>
    <w:rsid w:val="007B172E"/>
    <w:rsid w:val="007B1BAF"/>
    <w:rsid w:val="007B1C65"/>
    <w:rsid w:val="007B1E34"/>
    <w:rsid w:val="007B2245"/>
    <w:rsid w:val="007B2331"/>
    <w:rsid w:val="007B2896"/>
    <w:rsid w:val="007B2CDD"/>
    <w:rsid w:val="007B3154"/>
    <w:rsid w:val="007B31C1"/>
    <w:rsid w:val="007B35F7"/>
    <w:rsid w:val="007B3948"/>
    <w:rsid w:val="007B396F"/>
    <w:rsid w:val="007B3B4C"/>
    <w:rsid w:val="007B41D6"/>
    <w:rsid w:val="007B461D"/>
    <w:rsid w:val="007B4F47"/>
    <w:rsid w:val="007B4F72"/>
    <w:rsid w:val="007B5192"/>
    <w:rsid w:val="007B5445"/>
    <w:rsid w:val="007B5C63"/>
    <w:rsid w:val="007B65CA"/>
    <w:rsid w:val="007B67FC"/>
    <w:rsid w:val="007B6896"/>
    <w:rsid w:val="007B698D"/>
    <w:rsid w:val="007B6D9F"/>
    <w:rsid w:val="007B757D"/>
    <w:rsid w:val="007B75F6"/>
    <w:rsid w:val="007B7764"/>
    <w:rsid w:val="007B7942"/>
    <w:rsid w:val="007B79F5"/>
    <w:rsid w:val="007B7BE9"/>
    <w:rsid w:val="007C0A01"/>
    <w:rsid w:val="007C0E04"/>
    <w:rsid w:val="007C123B"/>
    <w:rsid w:val="007C13DF"/>
    <w:rsid w:val="007C21F1"/>
    <w:rsid w:val="007C2827"/>
    <w:rsid w:val="007C2B1F"/>
    <w:rsid w:val="007C3224"/>
    <w:rsid w:val="007C344C"/>
    <w:rsid w:val="007C3813"/>
    <w:rsid w:val="007C3858"/>
    <w:rsid w:val="007C3A26"/>
    <w:rsid w:val="007C3A80"/>
    <w:rsid w:val="007C40BB"/>
    <w:rsid w:val="007C41F0"/>
    <w:rsid w:val="007C42C0"/>
    <w:rsid w:val="007C4CB1"/>
    <w:rsid w:val="007C5029"/>
    <w:rsid w:val="007C527A"/>
    <w:rsid w:val="007C543F"/>
    <w:rsid w:val="007C6A0A"/>
    <w:rsid w:val="007C6DD2"/>
    <w:rsid w:val="007C6E85"/>
    <w:rsid w:val="007C6EA8"/>
    <w:rsid w:val="007C6F36"/>
    <w:rsid w:val="007C70A7"/>
    <w:rsid w:val="007C73B0"/>
    <w:rsid w:val="007C74E5"/>
    <w:rsid w:val="007C76FB"/>
    <w:rsid w:val="007D060B"/>
    <w:rsid w:val="007D0698"/>
    <w:rsid w:val="007D0E43"/>
    <w:rsid w:val="007D0FFB"/>
    <w:rsid w:val="007D13E7"/>
    <w:rsid w:val="007D1991"/>
    <w:rsid w:val="007D1E37"/>
    <w:rsid w:val="007D2037"/>
    <w:rsid w:val="007D227D"/>
    <w:rsid w:val="007D232F"/>
    <w:rsid w:val="007D2385"/>
    <w:rsid w:val="007D2E2D"/>
    <w:rsid w:val="007D39AC"/>
    <w:rsid w:val="007D3D9D"/>
    <w:rsid w:val="007D3F52"/>
    <w:rsid w:val="007D45F8"/>
    <w:rsid w:val="007D48B3"/>
    <w:rsid w:val="007D4DCF"/>
    <w:rsid w:val="007D52CA"/>
    <w:rsid w:val="007D563E"/>
    <w:rsid w:val="007D577F"/>
    <w:rsid w:val="007D5B51"/>
    <w:rsid w:val="007D5BA5"/>
    <w:rsid w:val="007D5F71"/>
    <w:rsid w:val="007D5FC1"/>
    <w:rsid w:val="007D6485"/>
    <w:rsid w:val="007D6C3F"/>
    <w:rsid w:val="007D715A"/>
    <w:rsid w:val="007D733A"/>
    <w:rsid w:val="007D740C"/>
    <w:rsid w:val="007E0153"/>
    <w:rsid w:val="007E0A3F"/>
    <w:rsid w:val="007E0E9E"/>
    <w:rsid w:val="007E10A9"/>
    <w:rsid w:val="007E1199"/>
    <w:rsid w:val="007E17B3"/>
    <w:rsid w:val="007E19DC"/>
    <w:rsid w:val="007E1CEA"/>
    <w:rsid w:val="007E21FB"/>
    <w:rsid w:val="007E2347"/>
    <w:rsid w:val="007E26A8"/>
    <w:rsid w:val="007E2E3F"/>
    <w:rsid w:val="007E329D"/>
    <w:rsid w:val="007E3474"/>
    <w:rsid w:val="007E35DC"/>
    <w:rsid w:val="007E39E7"/>
    <w:rsid w:val="007E420B"/>
    <w:rsid w:val="007E47D2"/>
    <w:rsid w:val="007E4932"/>
    <w:rsid w:val="007E49D4"/>
    <w:rsid w:val="007E502C"/>
    <w:rsid w:val="007E598A"/>
    <w:rsid w:val="007E5A74"/>
    <w:rsid w:val="007E5BD7"/>
    <w:rsid w:val="007E6023"/>
    <w:rsid w:val="007E659E"/>
    <w:rsid w:val="007E69C0"/>
    <w:rsid w:val="007E75F0"/>
    <w:rsid w:val="007E7968"/>
    <w:rsid w:val="007E7E7A"/>
    <w:rsid w:val="007E7EA9"/>
    <w:rsid w:val="007F013A"/>
    <w:rsid w:val="007F067A"/>
    <w:rsid w:val="007F0691"/>
    <w:rsid w:val="007F088F"/>
    <w:rsid w:val="007F1890"/>
    <w:rsid w:val="007F193D"/>
    <w:rsid w:val="007F1CE5"/>
    <w:rsid w:val="007F1FB0"/>
    <w:rsid w:val="007F2857"/>
    <w:rsid w:val="007F2D90"/>
    <w:rsid w:val="007F3EFD"/>
    <w:rsid w:val="007F4211"/>
    <w:rsid w:val="007F4F82"/>
    <w:rsid w:val="007F53A5"/>
    <w:rsid w:val="007F54DB"/>
    <w:rsid w:val="007F5DE4"/>
    <w:rsid w:val="007F67D0"/>
    <w:rsid w:val="007F6A9A"/>
    <w:rsid w:val="007F6B93"/>
    <w:rsid w:val="007F6B9F"/>
    <w:rsid w:val="007F709F"/>
    <w:rsid w:val="007F73DA"/>
    <w:rsid w:val="007F78FA"/>
    <w:rsid w:val="0080042A"/>
    <w:rsid w:val="008008F3"/>
    <w:rsid w:val="008013D6"/>
    <w:rsid w:val="008014FC"/>
    <w:rsid w:val="008018AD"/>
    <w:rsid w:val="00801CA0"/>
    <w:rsid w:val="00801EEA"/>
    <w:rsid w:val="00802493"/>
    <w:rsid w:val="00802785"/>
    <w:rsid w:val="00802D6D"/>
    <w:rsid w:val="008039FE"/>
    <w:rsid w:val="00804653"/>
    <w:rsid w:val="00804A2E"/>
    <w:rsid w:val="00805D36"/>
    <w:rsid w:val="00806336"/>
    <w:rsid w:val="00806579"/>
    <w:rsid w:val="008066F8"/>
    <w:rsid w:val="00806A84"/>
    <w:rsid w:val="00806F66"/>
    <w:rsid w:val="008073D2"/>
    <w:rsid w:val="0080750E"/>
    <w:rsid w:val="00807C6C"/>
    <w:rsid w:val="00807F4C"/>
    <w:rsid w:val="0081138B"/>
    <w:rsid w:val="00811F8C"/>
    <w:rsid w:val="0081243E"/>
    <w:rsid w:val="00812687"/>
    <w:rsid w:val="00812B10"/>
    <w:rsid w:val="00813278"/>
    <w:rsid w:val="00813385"/>
    <w:rsid w:val="0081340B"/>
    <w:rsid w:val="00813D52"/>
    <w:rsid w:val="00813DA5"/>
    <w:rsid w:val="00813E59"/>
    <w:rsid w:val="0081628A"/>
    <w:rsid w:val="00816304"/>
    <w:rsid w:val="00816703"/>
    <w:rsid w:val="00816BD8"/>
    <w:rsid w:val="00816C39"/>
    <w:rsid w:val="00816E37"/>
    <w:rsid w:val="00817A98"/>
    <w:rsid w:val="00817BB4"/>
    <w:rsid w:val="00817DFE"/>
    <w:rsid w:val="00817E89"/>
    <w:rsid w:val="00817E9F"/>
    <w:rsid w:val="00820BE8"/>
    <w:rsid w:val="00821021"/>
    <w:rsid w:val="008214BB"/>
    <w:rsid w:val="00821609"/>
    <w:rsid w:val="00821B58"/>
    <w:rsid w:val="0082202C"/>
    <w:rsid w:val="00822117"/>
    <w:rsid w:val="0082211D"/>
    <w:rsid w:val="008225E3"/>
    <w:rsid w:val="00822922"/>
    <w:rsid w:val="00822D06"/>
    <w:rsid w:val="00822D4E"/>
    <w:rsid w:val="00822DC0"/>
    <w:rsid w:val="00823329"/>
    <w:rsid w:val="00823487"/>
    <w:rsid w:val="00823B4E"/>
    <w:rsid w:val="00823CEC"/>
    <w:rsid w:val="00824594"/>
    <w:rsid w:val="0082460C"/>
    <w:rsid w:val="008249B0"/>
    <w:rsid w:val="00824A07"/>
    <w:rsid w:val="00824E60"/>
    <w:rsid w:val="0082529F"/>
    <w:rsid w:val="00825661"/>
    <w:rsid w:val="00825BF1"/>
    <w:rsid w:val="008268A1"/>
    <w:rsid w:val="00826AC0"/>
    <w:rsid w:val="00826CD4"/>
    <w:rsid w:val="00826D8D"/>
    <w:rsid w:val="00826F17"/>
    <w:rsid w:val="00826F4C"/>
    <w:rsid w:val="00827183"/>
    <w:rsid w:val="0082722A"/>
    <w:rsid w:val="00827797"/>
    <w:rsid w:val="00827B01"/>
    <w:rsid w:val="008302F0"/>
    <w:rsid w:val="008309A3"/>
    <w:rsid w:val="0083135D"/>
    <w:rsid w:val="00832524"/>
    <w:rsid w:val="008329DB"/>
    <w:rsid w:val="00833014"/>
    <w:rsid w:val="008330FB"/>
    <w:rsid w:val="00833970"/>
    <w:rsid w:val="00833F66"/>
    <w:rsid w:val="00833FBB"/>
    <w:rsid w:val="00834846"/>
    <w:rsid w:val="00834A99"/>
    <w:rsid w:val="00834BCA"/>
    <w:rsid w:val="00834F10"/>
    <w:rsid w:val="008350BD"/>
    <w:rsid w:val="00835237"/>
    <w:rsid w:val="0083544C"/>
    <w:rsid w:val="00835503"/>
    <w:rsid w:val="008356E1"/>
    <w:rsid w:val="00835EEB"/>
    <w:rsid w:val="00836193"/>
    <w:rsid w:val="00836A4D"/>
    <w:rsid w:val="00836F94"/>
    <w:rsid w:val="0083737F"/>
    <w:rsid w:val="00837699"/>
    <w:rsid w:val="008377DA"/>
    <w:rsid w:val="00837B93"/>
    <w:rsid w:val="00837DF6"/>
    <w:rsid w:val="00837FEE"/>
    <w:rsid w:val="008409B9"/>
    <w:rsid w:val="00840AEB"/>
    <w:rsid w:val="00840AFF"/>
    <w:rsid w:val="00840E57"/>
    <w:rsid w:val="008417B3"/>
    <w:rsid w:val="008425DD"/>
    <w:rsid w:val="008428DE"/>
    <w:rsid w:val="00842A25"/>
    <w:rsid w:val="00843122"/>
    <w:rsid w:val="00843427"/>
    <w:rsid w:val="00843842"/>
    <w:rsid w:val="00844002"/>
    <w:rsid w:val="0084439F"/>
    <w:rsid w:val="0084459B"/>
    <w:rsid w:val="008448DD"/>
    <w:rsid w:val="00844D06"/>
    <w:rsid w:val="00844EC9"/>
    <w:rsid w:val="00845811"/>
    <w:rsid w:val="00845A15"/>
    <w:rsid w:val="00845ED5"/>
    <w:rsid w:val="0084632F"/>
    <w:rsid w:val="0084708B"/>
    <w:rsid w:val="00847121"/>
    <w:rsid w:val="00847309"/>
    <w:rsid w:val="008475A9"/>
    <w:rsid w:val="0084765F"/>
    <w:rsid w:val="00847C0D"/>
    <w:rsid w:val="00847C2B"/>
    <w:rsid w:val="00847DA7"/>
    <w:rsid w:val="00850C0F"/>
    <w:rsid w:val="00850EF7"/>
    <w:rsid w:val="0085106A"/>
    <w:rsid w:val="008523F6"/>
    <w:rsid w:val="00852945"/>
    <w:rsid w:val="00852A1F"/>
    <w:rsid w:val="00853195"/>
    <w:rsid w:val="0085381C"/>
    <w:rsid w:val="00853C37"/>
    <w:rsid w:val="00853F10"/>
    <w:rsid w:val="00853F6C"/>
    <w:rsid w:val="008541E3"/>
    <w:rsid w:val="0085468B"/>
    <w:rsid w:val="00854D3D"/>
    <w:rsid w:val="00854EA0"/>
    <w:rsid w:val="008552FC"/>
    <w:rsid w:val="00855423"/>
    <w:rsid w:val="008556A6"/>
    <w:rsid w:val="008556B3"/>
    <w:rsid w:val="00855B06"/>
    <w:rsid w:val="008561BB"/>
    <w:rsid w:val="008565AA"/>
    <w:rsid w:val="008575F9"/>
    <w:rsid w:val="00857641"/>
    <w:rsid w:val="00857D29"/>
    <w:rsid w:val="00857E25"/>
    <w:rsid w:val="00860071"/>
    <w:rsid w:val="00860A30"/>
    <w:rsid w:val="00861DC6"/>
    <w:rsid w:val="00862095"/>
    <w:rsid w:val="0086214C"/>
    <w:rsid w:val="008629A8"/>
    <w:rsid w:val="00862E46"/>
    <w:rsid w:val="00863089"/>
    <w:rsid w:val="00863198"/>
    <w:rsid w:val="008633A9"/>
    <w:rsid w:val="00863544"/>
    <w:rsid w:val="00863B3D"/>
    <w:rsid w:val="00863C98"/>
    <w:rsid w:val="00863E32"/>
    <w:rsid w:val="008640B5"/>
    <w:rsid w:val="00864C32"/>
    <w:rsid w:val="00864C9F"/>
    <w:rsid w:val="00864D55"/>
    <w:rsid w:val="00865199"/>
    <w:rsid w:val="00865426"/>
    <w:rsid w:val="008655BA"/>
    <w:rsid w:val="00865F44"/>
    <w:rsid w:val="0086605D"/>
    <w:rsid w:val="00866572"/>
    <w:rsid w:val="008667FD"/>
    <w:rsid w:val="008679DC"/>
    <w:rsid w:val="00870272"/>
    <w:rsid w:val="008706AE"/>
    <w:rsid w:val="00870CB6"/>
    <w:rsid w:val="00870D76"/>
    <w:rsid w:val="00871421"/>
    <w:rsid w:val="00871499"/>
    <w:rsid w:val="0087163B"/>
    <w:rsid w:val="0087270F"/>
    <w:rsid w:val="00872828"/>
    <w:rsid w:val="00872882"/>
    <w:rsid w:val="00872C79"/>
    <w:rsid w:val="00873D3D"/>
    <w:rsid w:val="00873FEA"/>
    <w:rsid w:val="0087419B"/>
    <w:rsid w:val="008743DF"/>
    <w:rsid w:val="00874592"/>
    <w:rsid w:val="0087475F"/>
    <w:rsid w:val="00874E59"/>
    <w:rsid w:val="00874F9A"/>
    <w:rsid w:val="0087516A"/>
    <w:rsid w:val="00875679"/>
    <w:rsid w:val="00875ADE"/>
    <w:rsid w:val="00875E1F"/>
    <w:rsid w:val="00875E91"/>
    <w:rsid w:val="008762F2"/>
    <w:rsid w:val="0087655C"/>
    <w:rsid w:val="00876F84"/>
    <w:rsid w:val="00876FF9"/>
    <w:rsid w:val="00877741"/>
    <w:rsid w:val="008777A6"/>
    <w:rsid w:val="008778FD"/>
    <w:rsid w:val="00877DF5"/>
    <w:rsid w:val="00877E5C"/>
    <w:rsid w:val="0088028E"/>
    <w:rsid w:val="008807EE"/>
    <w:rsid w:val="00880A96"/>
    <w:rsid w:val="008814F2"/>
    <w:rsid w:val="008818F6"/>
    <w:rsid w:val="00881FFE"/>
    <w:rsid w:val="00882056"/>
    <w:rsid w:val="00882EC4"/>
    <w:rsid w:val="00882F6D"/>
    <w:rsid w:val="00883059"/>
    <w:rsid w:val="0088398E"/>
    <w:rsid w:val="008844D7"/>
    <w:rsid w:val="00884B9F"/>
    <w:rsid w:val="00885BEA"/>
    <w:rsid w:val="008862AF"/>
    <w:rsid w:val="008864AD"/>
    <w:rsid w:val="00886AC5"/>
    <w:rsid w:val="008871C1"/>
    <w:rsid w:val="00887705"/>
    <w:rsid w:val="00887887"/>
    <w:rsid w:val="00887AA0"/>
    <w:rsid w:val="00887C2D"/>
    <w:rsid w:val="00887E02"/>
    <w:rsid w:val="00890237"/>
    <w:rsid w:val="00890535"/>
    <w:rsid w:val="008909F3"/>
    <w:rsid w:val="00890B0F"/>
    <w:rsid w:val="00890CA8"/>
    <w:rsid w:val="00890D7C"/>
    <w:rsid w:val="00890F2E"/>
    <w:rsid w:val="00891E92"/>
    <w:rsid w:val="00892580"/>
    <w:rsid w:val="008929A4"/>
    <w:rsid w:val="00892ADF"/>
    <w:rsid w:val="0089305C"/>
    <w:rsid w:val="008933A7"/>
    <w:rsid w:val="00893479"/>
    <w:rsid w:val="00894121"/>
    <w:rsid w:val="00894A90"/>
    <w:rsid w:val="00894CC7"/>
    <w:rsid w:val="00894EAA"/>
    <w:rsid w:val="00894FC1"/>
    <w:rsid w:val="00895433"/>
    <w:rsid w:val="00895C1C"/>
    <w:rsid w:val="00895CA9"/>
    <w:rsid w:val="00896ADB"/>
    <w:rsid w:val="008977CD"/>
    <w:rsid w:val="00897A3D"/>
    <w:rsid w:val="00897E03"/>
    <w:rsid w:val="00897F77"/>
    <w:rsid w:val="008A0547"/>
    <w:rsid w:val="008A05E0"/>
    <w:rsid w:val="008A072C"/>
    <w:rsid w:val="008A0FB6"/>
    <w:rsid w:val="008A1517"/>
    <w:rsid w:val="008A1C47"/>
    <w:rsid w:val="008A2400"/>
    <w:rsid w:val="008A28A5"/>
    <w:rsid w:val="008A3084"/>
    <w:rsid w:val="008A34BF"/>
    <w:rsid w:val="008A35AB"/>
    <w:rsid w:val="008A35E7"/>
    <w:rsid w:val="008A465B"/>
    <w:rsid w:val="008A48FF"/>
    <w:rsid w:val="008A4CBF"/>
    <w:rsid w:val="008A4E38"/>
    <w:rsid w:val="008A5290"/>
    <w:rsid w:val="008A5549"/>
    <w:rsid w:val="008A5684"/>
    <w:rsid w:val="008A58A2"/>
    <w:rsid w:val="008A593A"/>
    <w:rsid w:val="008A5A27"/>
    <w:rsid w:val="008A6C5A"/>
    <w:rsid w:val="008B0061"/>
    <w:rsid w:val="008B0202"/>
    <w:rsid w:val="008B031D"/>
    <w:rsid w:val="008B0EAD"/>
    <w:rsid w:val="008B1718"/>
    <w:rsid w:val="008B190C"/>
    <w:rsid w:val="008B1983"/>
    <w:rsid w:val="008B1CA3"/>
    <w:rsid w:val="008B1E83"/>
    <w:rsid w:val="008B1EF5"/>
    <w:rsid w:val="008B219A"/>
    <w:rsid w:val="008B2537"/>
    <w:rsid w:val="008B27A3"/>
    <w:rsid w:val="008B2C9C"/>
    <w:rsid w:val="008B2DF3"/>
    <w:rsid w:val="008B2E4C"/>
    <w:rsid w:val="008B349C"/>
    <w:rsid w:val="008B369E"/>
    <w:rsid w:val="008B376A"/>
    <w:rsid w:val="008B3B97"/>
    <w:rsid w:val="008B3F57"/>
    <w:rsid w:val="008B4969"/>
    <w:rsid w:val="008B5660"/>
    <w:rsid w:val="008B5790"/>
    <w:rsid w:val="008B6576"/>
    <w:rsid w:val="008B69C4"/>
    <w:rsid w:val="008B7220"/>
    <w:rsid w:val="008B75D5"/>
    <w:rsid w:val="008B78D8"/>
    <w:rsid w:val="008B79AB"/>
    <w:rsid w:val="008B7BAA"/>
    <w:rsid w:val="008C00CA"/>
    <w:rsid w:val="008C0246"/>
    <w:rsid w:val="008C031A"/>
    <w:rsid w:val="008C08A5"/>
    <w:rsid w:val="008C1349"/>
    <w:rsid w:val="008C31A3"/>
    <w:rsid w:val="008C3413"/>
    <w:rsid w:val="008C347E"/>
    <w:rsid w:val="008C36B2"/>
    <w:rsid w:val="008C384A"/>
    <w:rsid w:val="008C44D9"/>
    <w:rsid w:val="008C4510"/>
    <w:rsid w:val="008C479C"/>
    <w:rsid w:val="008C47B4"/>
    <w:rsid w:val="008C4AB7"/>
    <w:rsid w:val="008C4D4B"/>
    <w:rsid w:val="008C4E14"/>
    <w:rsid w:val="008C4EDA"/>
    <w:rsid w:val="008C4F75"/>
    <w:rsid w:val="008C543B"/>
    <w:rsid w:val="008C55A4"/>
    <w:rsid w:val="008C57A4"/>
    <w:rsid w:val="008C5C97"/>
    <w:rsid w:val="008C64E3"/>
    <w:rsid w:val="008C6EB6"/>
    <w:rsid w:val="008C725D"/>
    <w:rsid w:val="008C743F"/>
    <w:rsid w:val="008C74C6"/>
    <w:rsid w:val="008C769B"/>
    <w:rsid w:val="008C76BF"/>
    <w:rsid w:val="008C7741"/>
    <w:rsid w:val="008C7868"/>
    <w:rsid w:val="008C7883"/>
    <w:rsid w:val="008C78F9"/>
    <w:rsid w:val="008C7B5C"/>
    <w:rsid w:val="008D044B"/>
    <w:rsid w:val="008D0D1E"/>
    <w:rsid w:val="008D110C"/>
    <w:rsid w:val="008D1E79"/>
    <w:rsid w:val="008D25CD"/>
    <w:rsid w:val="008D29A6"/>
    <w:rsid w:val="008D3103"/>
    <w:rsid w:val="008D3201"/>
    <w:rsid w:val="008D32AF"/>
    <w:rsid w:val="008D33C1"/>
    <w:rsid w:val="008D345F"/>
    <w:rsid w:val="008D3735"/>
    <w:rsid w:val="008D3775"/>
    <w:rsid w:val="008D4677"/>
    <w:rsid w:val="008D49A4"/>
    <w:rsid w:val="008D5693"/>
    <w:rsid w:val="008D58D2"/>
    <w:rsid w:val="008D592A"/>
    <w:rsid w:val="008D59DD"/>
    <w:rsid w:val="008D5BAA"/>
    <w:rsid w:val="008D5D3C"/>
    <w:rsid w:val="008D776F"/>
    <w:rsid w:val="008D7A19"/>
    <w:rsid w:val="008D7E13"/>
    <w:rsid w:val="008E0D5B"/>
    <w:rsid w:val="008E1068"/>
    <w:rsid w:val="008E18A0"/>
    <w:rsid w:val="008E1CC0"/>
    <w:rsid w:val="008E1E54"/>
    <w:rsid w:val="008E2AA2"/>
    <w:rsid w:val="008E38CF"/>
    <w:rsid w:val="008E3921"/>
    <w:rsid w:val="008E3958"/>
    <w:rsid w:val="008E3B12"/>
    <w:rsid w:val="008E3B7C"/>
    <w:rsid w:val="008E3C88"/>
    <w:rsid w:val="008E47E0"/>
    <w:rsid w:val="008E4880"/>
    <w:rsid w:val="008E5643"/>
    <w:rsid w:val="008E6810"/>
    <w:rsid w:val="008E7082"/>
    <w:rsid w:val="008E7211"/>
    <w:rsid w:val="008E75CF"/>
    <w:rsid w:val="008E78F2"/>
    <w:rsid w:val="008E792D"/>
    <w:rsid w:val="008E7A90"/>
    <w:rsid w:val="008F0055"/>
    <w:rsid w:val="008F022C"/>
    <w:rsid w:val="008F089A"/>
    <w:rsid w:val="008F0AB5"/>
    <w:rsid w:val="008F0E05"/>
    <w:rsid w:val="008F0E9C"/>
    <w:rsid w:val="008F12B1"/>
    <w:rsid w:val="008F141E"/>
    <w:rsid w:val="008F1521"/>
    <w:rsid w:val="008F1F09"/>
    <w:rsid w:val="008F25A3"/>
    <w:rsid w:val="008F2838"/>
    <w:rsid w:val="008F2A9A"/>
    <w:rsid w:val="008F2CDD"/>
    <w:rsid w:val="008F41ED"/>
    <w:rsid w:val="008F4886"/>
    <w:rsid w:val="008F55DF"/>
    <w:rsid w:val="008F5988"/>
    <w:rsid w:val="008F6667"/>
    <w:rsid w:val="008F677B"/>
    <w:rsid w:val="008F6794"/>
    <w:rsid w:val="008F6E36"/>
    <w:rsid w:val="008F7069"/>
    <w:rsid w:val="008F783D"/>
    <w:rsid w:val="008F7853"/>
    <w:rsid w:val="008F7AA3"/>
    <w:rsid w:val="009000B6"/>
    <w:rsid w:val="009003DE"/>
    <w:rsid w:val="009003EA"/>
    <w:rsid w:val="00900C7B"/>
    <w:rsid w:val="00901569"/>
    <w:rsid w:val="009024F8"/>
    <w:rsid w:val="00902929"/>
    <w:rsid w:val="00902EC7"/>
    <w:rsid w:val="0090318C"/>
    <w:rsid w:val="00903488"/>
    <w:rsid w:val="009040A3"/>
    <w:rsid w:val="00904795"/>
    <w:rsid w:val="009049FD"/>
    <w:rsid w:val="00904AA8"/>
    <w:rsid w:val="00904C26"/>
    <w:rsid w:val="00904F24"/>
    <w:rsid w:val="00904FB5"/>
    <w:rsid w:val="00905021"/>
    <w:rsid w:val="009059E1"/>
    <w:rsid w:val="00905D12"/>
    <w:rsid w:val="00906619"/>
    <w:rsid w:val="00906A71"/>
    <w:rsid w:val="00906F35"/>
    <w:rsid w:val="0090727F"/>
    <w:rsid w:val="009077BA"/>
    <w:rsid w:val="00907955"/>
    <w:rsid w:val="00907957"/>
    <w:rsid w:val="0090799A"/>
    <w:rsid w:val="00907B8B"/>
    <w:rsid w:val="00910D7E"/>
    <w:rsid w:val="00910D90"/>
    <w:rsid w:val="0091140F"/>
    <w:rsid w:val="009115F6"/>
    <w:rsid w:val="0091270C"/>
    <w:rsid w:val="00912DE0"/>
    <w:rsid w:val="00913421"/>
    <w:rsid w:val="0091394B"/>
    <w:rsid w:val="009145E9"/>
    <w:rsid w:val="00914825"/>
    <w:rsid w:val="009148DC"/>
    <w:rsid w:val="00916805"/>
    <w:rsid w:val="00916A15"/>
    <w:rsid w:val="00916E58"/>
    <w:rsid w:val="00916FE3"/>
    <w:rsid w:val="00917380"/>
    <w:rsid w:val="00917887"/>
    <w:rsid w:val="00917E45"/>
    <w:rsid w:val="0092007B"/>
    <w:rsid w:val="009207DB"/>
    <w:rsid w:val="009207E1"/>
    <w:rsid w:val="0092117F"/>
    <w:rsid w:val="00921BCD"/>
    <w:rsid w:val="00922024"/>
    <w:rsid w:val="00922AF6"/>
    <w:rsid w:val="00922DF4"/>
    <w:rsid w:val="00922FE4"/>
    <w:rsid w:val="009244A4"/>
    <w:rsid w:val="009246F6"/>
    <w:rsid w:val="00924B93"/>
    <w:rsid w:val="00924BF3"/>
    <w:rsid w:val="00924E99"/>
    <w:rsid w:val="00925288"/>
    <w:rsid w:val="009254AC"/>
    <w:rsid w:val="00925501"/>
    <w:rsid w:val="009255B5"/>
    <w:rsid w:val="00925C4F"/>
    <w:rsid w:val="00925E17"/>
    <w:rsid w:val="00925E32"/>
    <w:rsid w:val="00926301"/>
    <w:rsid w:val="00926982"/>
    <w:rsid w:val="00926BC8"/>
    <w:rsid w:val="00926BF2"/>
    <w:rsid w:val="00926C8F"/>
    <w:rsid w:val="00926C94"/>
    <w:rsid w:val="009270C4"/>
    <w:rsid w:val="00930542"/>
    <w:rsid w:val="00930AA4"/>
    <w:rsid w:val="00930B54"/>
    <w:rsid w:val="00930DF3"/>
    <w:rsid w:val="00930E8A"/>
    <w:rsid w:val="00930F71"/>
    <w:rsid w:val="00931317"/>
    <w:rsid w:val="00931B25"/>
    <w:rsid w:val="00931C34"/>
    <w:rsid w:val="00931D3F"/>
    <w:rsid w:val="0093200A"/>
    <w:rsid w:val="0093208D"/>
    <w:rsid w:val="00932096"/>
    <w:rsid w:val="00932196"/>
    <w:rsid w:val="009321A3"/>
    <w:rsid w:val="0093226D"/>
    <w:rsid w:val="00932459"/>
    <w:rsid w:val="00932B16"/>
    <w:rsid w:val="00932FE6"/>
    <w:rsid w:val="0093412A"/>
    <w:rsid w:val="0093461F"/>
    <w:rsid w:val="00934FA8"/>
    <w:rsid w:val="009363BC"/>
    <w:rsid w:val="00936535"/>
    <w:rsid w:val="0093740F"/>
    <w:rsid w:val="00937B4A"/>
    <w:rsid w:val="00937C1D"/>
    <w:rsid w:val="009405AC"/>
    <w:rsid w:val="009405DB"/>
    <w:rsid w:val="00940712"/>
    <w:rsid w:val="00940A16"/>
    <w:rsid w:val="00940F58"/>
    <w:rsid w:val="00940FC3"/>
    <w:rsid w:val="0094131D"/>
    <w:rsid w:val="0094185C"/>
    <w:rsid w:val="00941BCB"/>
    <w:rsid w:val="00941C49"/>
    <w:rsid w:val="00941F69"/>
    <w:rsid w:val="00942120"/>
    <w:rsid w:val="00942316"/>
    <w:rsid w:val="009425F7"/>
    <w:rsid w:val="00942A91"/>
    <w:rsid w:val="00942F09"/>
    <w:rsid w:val="00942FE3"/>
    <w:rsid w:val="009437F6"/>
    <w:rsid w:val="00943DD5"/>
    <w:rsid w:val="00943F26"/>
    <w:rsid w:val="00944637"/>
    <w:rsid w:val="00944813"/>
    <w:rsid w:val="00944BC7"/>
    <w:rsid w:val="00944BF0"/>
    <w:rsid w:val="00945072"/>
    <w:rsid w:val="009450E6"/>
    <w:rsid w:val="009458E3"/>
    <w:rsid w:val="00946136"/>
    <w:rsid w:val="00946208"/>
    <w:rsid w:val="00946C1D"/>
    <w:rsid w:val="00947B25"/>
    <w:rsid w:val="00950B62"/>
    <w:rsid w:val="0095124C"/>
    <w:rsid w:val="009512F4"/>
    <w:rsid w:val="00951A3E"/>
    <w:rsid w:val="00951FA8"/>
    <w:rsid w:val="009520CE"/>
    <w:rsid w:val="00952FEE"/>
    <w:rsid w:val="0095348B"/>
    <w:rsid w:val="00953596"/>
    <w:rsid w:val="00953BA0"/>
    <w:rsid w:val="00953BB4"/>
    <w:rsid w:val="00954282"/>
    <w:rsid w:val="009543E5"/>
    <w:rsid w:val="00954427"/>
    <w:rsid w:val="0095467D"/>
    <w:rsid w:val="00954E74"/>
    <w:rsid w:val="00955150"/>
    <w:rsid w:val="009555AB"/>
    <w:rsid w:val="009560A6"/>
    <w:rsid w:val="009562BF"/>
    <w:rsid w:val="00956A2A"/>
    <w:rsid w:val="00956BBB"/>
    <w:rsid w:val="00956DC3"/>
    <w:rsid w:val="00957A1B"/>
    <w:rsid w:val="009607DA"/>
    <w:rsid w:val="00960C03"/>
    <w:rsid w:val="00961505"/>
    <w:rsid w:val="009618F2"/>
    <w:rsid w:val="00961B3E"/>
    <w:rsid w:val="00961C0C"/>
    <w:rsid w:val="0096205F"/>
    <w:rsid w:val="0096323E"/>
    <w:rsid w:val="009633FD"/>
    <w:rsid w:val="00963FAA"/>
    <w:rsid w:val="0096475C"/>
    <w:rsid w:val="00964924"/>
    <w:rsid w:val="00964F4E"/>
    <w:rsid w:val="00965161"/>
    <w:rsid w:val="00965401"/>
    <w:rsid w:val="00965A7A"/>
    <w:rsid w:val="00965E37"/>
    <w:rsid w:val="00965F51"/>
    <w:rsid w:val="00966425"/>
    <w:rsid w:val="0096646C"/>
    <w:rsid w:val="009664D4"/>
    <w:rsid w:val="009666AA"/>
    <w:rsid w:val="00966E16"/>
    <w:rsid w:val="0096797D"/>
    <w:rsid w:val="00967C2F"/>
    <w:rsid w:val="0097030A"/>
    <w:rsid w:val="009710C3"/>
    <w:rsid w:val="00971262"/>
    <w:rsid w:val="009713DD"/>
    <w:rsid w:val="00971A57"/>
    <w:rsid w:val="00971C53"/>
    <w:rsid w:val="009725F2"/>
    <w:rsid w:val="00972DC6"/>
    <w:rsid w:val="00972F2E"/>
    <w:rsid w:val="0097311D"/>
    <w:rsid w:val="00973179"/>
    <w:rsid w:val="00974105"/>
    <w:rsid w:val="00974795"/>
    <w:rsid w:val="00974B4D"/>
    <w:rsid w:val="00975C75"/>
    <w:rsid w:val="009761BB"/>
    <w:rsid w:val="00976390"/>
    <w:rsid w:val="00976582"/>
    <w:rsid w:val="0097766C"/>
    <w:rsid w:val="00977BCA"/>
    <w:rsid w:val="0098054A"/>
    <w:rsid w:val="0098056F"/>
    <w:rsid w:val="009806FB"/>
    <w:rsid w:val="009809DE"/>
    <w:rsid w:val="00981000"/>
    <w:rsid w:val="0098177A"/>
    <w:rsid w:val="00981ABB"/>
    <w:rsid w:val="00982997"/>
    <w:rsid w:val="009833A5"/>
    <w:rsid w:val="0098393F"/>
    <w:rsid w:val="00983CE9"/>
    <w:rsid w:val="00983EFD"/>
    <w:rsid w:val="0098422A"/>
    <w:rsid w:val="009845AF"/>
    <w:rsid w:val="009849BB"/>
    <w:rsid w:val="00984A8A"/>
    <w:rsid w:val="009855E7"/>
    <w:rsid w:val="00985855"/>
    <w:rsid w:val="00985D58"/>
    <w:rsid w:val="00985DFA"/>
    <w:rsid w:val="00986257"/>
    <w:rsid w:val="0098643B"/>
    <w:rsid w:val="00986466"/>
    <w:rsid w:val="009864CE"/>
    <w:rsid w:val="009867A7"/>
    <w:rsid w:val="00986861"/>
    <w:rsid w:val="009868C9"/>
    <w:rsid w:val="00986A32"/>
    <w:rsid w:val="009878A0"/>
    <w:rsid w:val="00987BF5"/>
    <w:rsid w:val="00987CBC"/>
    <w:rsid w:val="00987FE7"/>
    <w:rsid w:val="00990519"/>
    <w:rsid w:val="00990609"/>
    <w:rsid w:val="00990904"/>
    <w:rsid w:val="00990AAE"/>
    <w:rsid w:val="00990D2C"/>
    <w:rsid w:val="00990DB9"/>
    <w:rsid w:val="00991706"/>
    <w:rsid w:val="009917E6"/>
    <w:rsid w:val="00992022"/>
    <w:rsid w:val="0099228A"/>
    <w:rsid w:val="009924B9"/>
    <w:rsid w:val="009925AC"/>
    <w:rsid w:val="00992815"/>
    <w:rsid w:val="00992935"/>
    <w:rsid w:val="00992AFB"/>
    <w:rsid w:val="00992E3D"/>
    <w:rsid w:val="0099301E"/>
    <w:rsid w:val="0099337A"/>
    <w:rsid w:val="009936DB"/>
    <w:rsid w:val="00993F17"/>
    <w:rsid w:val="00993FFC"/>
    <w:rsid w:val="00994268"/>
    <w:rsid w:val="009943CA"/>
    <w:rsid w:val="00994EA1"/>
    <w:rsid w:val="00995141"/>
    <w:rsid w:val="0099589D"/>
    <w:rsid w:val="00995E04"/>
    <w:rsid w:val="009961D6"/>
    <w:rsid w:val="00996326"/>
    <w:rsid w:val="00996349"/>
    <w:rsid w:val="00996415"/>
    <w:rsid w:val="00996546"/>
    <w:rsid w:val="009966A8"/>
    <w:rsid w:val="0099687E"/>
    <w:rsid w:val="00996C6A"/>
    <w:rsid w:val="00996CA3"/>
    <w:rsid w:val="00996E73"/>
    <w:rsid w:val="0099723F"/>
    <w:rsid w:val="009978A9"/>
    <w:rsid w:val="00997F31"/>
    <w:rsid w:val="009A09B4"/>
    <w:rsid w:val="009A10A4"/>
    <w:rsid w:val="009A1411"/>
    <w:rsid w:val="009A1CD8"/>
    <w:rsid w:val="009A1F25"/>
    <w:rsid w:val="009A214E"/>
    <w:rsid w:val="009A2838"/>
    <w:rsid w:val="009A28B2"/>
    <w:rsid w:val="009A2EFF"/>
    <w:rsid w:val="009A2FDF"/>
    <w:rsid w:val="009A327E"/>
    <w:rsid w:val="009A3451"/>
    <w:rsid w:val="009A3567"/>
    <w:rsid w:val="009A44E8"/>
    <w:rsid w:val="009A4654"/>
    <w:rsid w:val="009A4A0D"/>
    <w:rsid w:val="009A4F69"/>
    <w:rsid w:val="009A5B4A"/>
    <w:rsid w:val="009A5F6E"/>
    <w:rsid w:val="009A602D"/>
    <w:rsid w:val="009A61FF"/>
    <w:rsid w:val="009A6BC0"/>
    <w:rsid w:val="009A74CB"/>
    <w:rsid w:val="009A775A"/>
    <w:rsid w:val="009A7A01"/>
    <w:rsid w:val="009A7C99"/>
    <w:rsid w:val="009B09C4"/>
    <w:rsid w:val="009B0FD8"/>
    <w:rsid w:val="009B1D07"/>
    <w:rsid w:val="009B1DA5"/>
    <w:rsid w:val="009B2453"/>
    <w:rsid w:val="009B2861"/>
    <w:rsid w:val="009B28FD"/>
    <w:rsid w:val="009B2AD6"/>
    <w:rsid w:val="009B2B64"/>
    <w:rsid w:val="009B34B9"/>
    <w:rsid w:val="009B35D6"/>
    <w:rsid w:val="009B37F0"/>
    <w:rsid w:val="009B3F30"/>
    <w:rsid w:val="009B3FF1"/>
    <w:rsid w:val="009B45AC"/>
    <w:rsid w:val="009B45F0"/>
    <w:rsid w:val="009B4BDC"/>
    <w:rsid w:val="009B4F14"/>
    <w:rsid w:val="009B5594"/>
    <w:rsid w:val="009B568E"/>
    <w:rsid w:val="009B57DF"/>
    <w:rsid w:val="009B5879"/>
    <w:rsid w:val="009B5A37"/>
    <w:rsid w:val="009B6792"/>
    <w:rsid w:val="009B7144"/>
    <w:rsid w:val="009B729E"/>
    <w:rsid w:val="009B738C"/>
    <w:rsid w:val="009B7498"/>
    <w:rsid w:val="009B74A2"/>
    <w:rsid w:val="009B74BB"/>
    <w:rsid w:val="009B758E"/>
    <w:rsid w:val="009B77D9"/>
    <w:rsid w:val="009B7ED4"/>
    <w:rsid w:val="009C067A"/>
    <w:rsid w:val="009C0A95"/>
    <w:rsid w:val="009C0A9A"/>
    <w:rsid w:val="009C0CB4"/>
    <w:rsid w:val="009C0F5B"/>
    <w:rsid w:val="009C104A"/>
    <w:rsid w:val="009C1083"/>
    <w:rsid w:val="009C169C"/>
    <w:rsid w:val="009C178B"/>
    <w:rsid w:val="009C17E8"/>
    <w:rsid w:val="009C221F"/>
    <w:rsid w:val="009C27F8"/>
    <w:rsid w:val="009C34CB"/>
    <w:rsid w:val="009C3BFC"/>
    <w:rsid w:val="009C3D84"/>
    <w:rsid w:val="009C411A"/>
    <w:rsid w:val="009C4228"/>
    <w:rsid w:val="009C42B4"/>
    <w:rsid w:val="009C443A"/>
    <w:rsid w:val="009C469D"/>
    <w:rsid w:val="009C4701"/>
    <w:rsid w:val="009C4B41"/>
    <w:rsid w:val="009C50B7"/>
    <w:rsid w:val="009C51B3"/>
    <w:rsid w:val="009C5923"/>
    <w:rsid w:val="009C6283"/>
    <w:rsid w:val="009C6981"/>
    <w:rsid w:val="009C6BB4"/>
    <w:rsid w:val="009C7773"/>
    <w:rsid w:val="009C781D"/>
    <w:rsid w:val="009C79FD"/>
    <w:rsid w:val="009C7A50"/>
    <w:rsid w:val="009C7B1D"/>
    <w:rsid w:val="009D03F1"/>
    <w:rsid w:val="009D1844"/>
    <w:rsid w:val="009D19B9"/>
    <w:rsid w:val="009D1C41"/>
    <w:rsid w:val="009D1CF4"/>
    <w:rsid w:val="009D2E19"/>
    <w:rsid w:val="009D2E2B"/>
    <w:rsid w:val="009D3528"/>
    <w:rsid w:val="009D380F"/>
    <w:rsid w:val="009D402B"/>
    <w:rsid w:val="009D49AF"/>
    <w:rsid w:val="009D5001"/>
    <w:rsid w:val="009D57A7"/>
    <w:rsid w:val="009D5A1E"/>
    <w:rsid w:val="009D678C"/>
    <w:rsid w:val="009D77C9"/>
    <w:rsid w:val="009D7D70"/>
    <w:rsid w:val="009E0410"/>
    <w:rsid w:val="009E0B59"/>
    <w:rsid w:val="009E0BFF"/>
    <w:rsid w:val="009E13B0"/>
    <w:rsid w:val="009E13F3"/>
    <w:rsid w:val="009E1607"/>
    <w:rsid w:val="009E2227"/>
    <w:rsid w:val="009E237E"/>
    <w:rsid w:val="009E2D39"/>
    <w:rsid w:val="009E2E06"/>
    <w:rsid w:val="009E2E5A"/>
    <w:rsid w:val="009E33D1"/>
    <w:rsid w:val="009E3FEF"/>
    <w:rsid w:val="009E4CF8"/>
    <w:rsid w:val="009E4D3E"/>
    <w:rsid w:val="009E52D3"/>
    <w:rsid w:val="009E53EC"/>
    <w:rsid w:val="009E6A55"/>
    <w:rsid w:val="009E6DD0"/>
    <w:rsid w:val="009E6F5C"/>
    <w:rsid w:val="009E7562"/>
    <w:rsid w:val="009E7ADC"/>
    <w:rsid w:val="009E7B6B"/>
    <w:rsid w:val="009F0861"/>
    <w:rsid w:val="009F0BD9"/>
    <w:rsid w:val="009F0C30"/>
    <w:rsid w:val="009F1A0A"/>
    <w:rsid w:val="009F1EB9"/>
    <w:rsid w:val="009F21DC"/>
    <w:rsid w:val="009F2803"/>
    <w:rsid w:val="009F293D"/>
    <w:rsid w:val="009F2BA2"/>
    <w:rsid w:val="009F2C42"/>
    <w:rsid w:val="009F31A9"/>
    <w:rsid w:val="009F3332"/>
    <w:rsid w:val="009F33FA"/>
    <w:rsid w:val="009F344F"/>
    <w:rsid w:val="009F3645"/>
    <w:rsid w:val="009F3AC7"/>
    <w:rsid w:val="009F4283"/>
    <w:rsid w:val="009F42F3"/>
    <w:rsid w:val="009F4BCE"/>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0FC7"/>
    <w:rsid w:val="00A00FF1"/>
    <w:rsid w:val="00A01149"/>
    <w:rsid w:val="00A01C1F"/>
    <w:rsid w:val="00A01C86"/>
    <w:rsid w:val="00A01C98"/>
    <w:rsid w:val="00A01D92"/>
    <w:rsid w:val="00A02A9F"/>
    <w:rsid w:val="00A02CE8"/>
    <w:rsid w:val="00A02EE0"/>
    <w:rsid w:val="00A02F54"/>
    <w:rsid w:val="00A035F2"/>
    <w:rsid w:val="00A03C90"/>
    <w:rsid w:val="00A04C41"/>
    <w:rsid w:val="00A051FC"/>
    <w:rsid w:val="00A0521B"/>
    <w:rsid w:val="00A052AE"/>
    <w:rsid w:val="00A05322"/>
    <w:rsid w:val="00A05A92"/>
    <w:rsid w:val="00A05ACF"/>
    <w:rsid w:val="00A05D66"/>
    <w:rsid w:val="00A06A54"/>
    <w:rsid w:val="00A06E0F"/>
    <w:rsid w:val="00A06E22"/>
    <w:rsid w:val="00A06EFA"/>
    <w:rsid w:val="00A0749B"/>
    <w:rsid w:val="00A077FC"/>
    <w:rsid w:val="00A10207"/>
    <w:rsid w:val="00A10423"/>
    <w:rsid w:val="00A1050E"/>
    <w:rsid w:val="00A1061C"/>
    <w:rsid w:val="00A10D02"/>
    <w:rsid w:val="00A11911"/>
    <w:rsid w:val="00A11972"/>
    <w:rsid w:val="00A1238B"/>
    <w:rsid w:val="00A1260D"/>
    <w:rsid w:val="00A129CC"/>
    <w:rsid w:val="00A136C8"/>
    <w:rsid w:val="00A137EE"/>
    <w:rsid w:val="00A13CAB"/>
    <w:rsid w:val="00A14034"/>
    <w:rsid w:val="00A14AA2"/>
    <w:rsid w:val="00A152F6"/>
    <w:rsid w:val="00A1548E"/>
    <w:rsid w:val="00A15A52"/>
    <w:rsid w:val="00A1614F"/>
    <w:rsid w:val="00A162F2"/>
    <w:rsid w:val="00A171E1"/>
    <w:rsid w:val="00A172FD"/>
    <w:rsid w:val="00A179AD"/>
    <w:rsid w:val="00A17AEF"/>
    <w:rsid w:val="00A17CFF"/>
    <w:rsid w:val="00A201CF"/>
    <w:rsid w:val="00A20889"/>
    <w:rsid w:val="00A20A26"/>
    <w:rsid w:val="00A21221"/>
    <w:rsid w:val="00A218FE"/>
    <w:rsid w:val="00A21F85"/>
    <w:rsid w:val="00A22536"/>
    <w:rsid w:val="00A227AB"/>
    <w:rsid w:val="00A2283C"/>
    <w:rsid w:val="00A230B1"/>
    <w:rsid w:val="00A2323D"/>
    <w:rsid w:val="00A240AC"/>
    <w:rsid w:val="00A240FF"/>
    <w:rsid w:val="00A2594C"/>
    <w:rsid w:val="00A266C7"/>
    <w:rsid w:val="00A26C96"/>
    <w:rsid w:val="00A2732C"/>
    <w:rsid w:val="00A277C7"/>
    <w:rsid w:val="00A27A71"/>
    <w:rsid w:val="00A27F02"/>
    <w:rsid w:val="00A30047"/>
    <w:rsid w:val="00A301BA"/>
    <w:rsid w:val="00A310C7"/>
    <w:rsid w:val="00A311A8"/>
    <w:rsid w:val="00A314E5"/>
    <w:rsid w:val="00A31CC5"/>
    <w:rsid w:val="00A31DF9"/>
    <w:rsid w:val="00A32078"/>
    <w:rsid w:val="00A32211"/>
    <w:rsid w:val="00A323FD"/>
    <w:rsid w:val="00A32462"/>
    <w:rsid w:val="00A326EF"/>
    <w:rsid w:val="00A32D14"/>
    <w:rsid w:val="00A33876"/>
    <w:rsid w:val="00A33D3A"/>
    <w:rsid w:val="00A34114"/>
    <w:rsid w:val="00A34B29"/>
    <w:rsid w:val="00A34BEA"/>
    <w:rsid w:val="00A34C81"/>
    <w:rsid w:val="00A34E19"/>
    <w:rsid w:val="00A35040"/>
    <w:rsid w:val="00A353D8"/>
    <w:rsid w:val="00A35615"/>
    <w:rsid w:val="00A35B31"/>
    <w:rsid w:val="00A35F00"/>
    <w:rsid w:val="00A361AE"/>
    <w:rsid w:val="00A3664B"/>
    <w:rsid w:val="00A36B46"/>
    <w:rsid w:val="00A36BD5"/>
    <w:rsid w:val="00A37269"/>
    <w:rsid w:val="00A374B1"/>
    <w:rsid w:val="00A401BF"/>
    <w:rsid w:val="00A40906"/>
    <w:rsid w:val="00A409B8"/>
    <w:rsid w:val="00A40C3D"/>
    <w:rsid w:val="00A40D0C"/>
    <w:rsid w:val="00A41302"/>
    <w:rsid w:val="00A415E2"/>
    <w:rsid w:val="00A41C59"/>
    <w:rsid w:val="00A41C63"/>
    <w:rsid w:val="00A420F4"/>
    <w:rsid w:val="00A42130"/>
    <w:rsid w:val="00A421C0"/>
    <w:rsid w:val="00A4271D"/>
    <w:rsid w:val="00A42B3E"/>
    <w:rsid w:val="00A43021"/>
    <w:rsid w:val="00A43278"/>
    <w:rsid w:val="00A4349B"/>
    <w:rsid w:val="00A434EC"/>
    <w:rsid w:val="00A44F68"/>
    <w:rsid w:val="00A459D9"/>
    <w:rsid w:val="00A463EB"/>
    <w:rsid w:val="00A466BC"/>
    <w:rsid w:val="00A469C6"/>
    <w:rsid w:val="00A47029"/>
    <w:rsid w:val="00A47341"/>
    <w:rsid w:val="00A50299"/>
    <w:rsid w:val="00A503CF"/>
    <w:rsid w:val="00A50F4B"/>
    <w:rsid w:val="00A510C2"/>
    <w:rsid w:val="00A518F3"/>
    <w:rsid w:val="00A51D1A"/>
    <w:rsid w:val="00A51D94"/>
    <w:rsid w:val="00A52100"/>
    <w:rsid w:val="00A525EC"/>
    <w:rsid w:val="00A52885"/>
    <w:rsid w:val="00A52FC1"/>
    <w:rsid w:val="00A53048"/>
    <w:rsid w:val="00A5334A"/>
    <w:rsid w:val="00A536D5"/>
    <w:rsid w:val="00A53FCE"/>
    <w:rsid w:val="00A5425D"/>
    <w:rsid w:val="00A5510E"/>
    <w:rsid w:val="00A554CB"/>
    <w:rsid w:val="00A559F4"/>
    <w:rsid w:val="00A56001"/>
    <w:rsid w:val="00A56547"/>
    <w:rsid w:val="00A56BBE"/>
    <w:rsid w:val="00A56D12"/>
    <w:rsid w:val="00A570AE"/>
    <w:rsid w:val="00A570E0"/>
    <w:rsid w:val="00A57343"/>
    <w:rsid w:val="00A57566"/>
    <w:rsid w:val="00A57593"/>
    <w:rsid w:val="00A57889"/>
    <w:rsid w:val="00A606A0"/>
    <w:rsid w:val="00A60754"/>
    <w:rsid w:val="00A60AEA"/>
    <w:rsid w:val="00A60E0C"/>
    <w:rsid w:val="00A61263"/>
    <w:rsid w:val="00A614AD"/>
    <w:rsid w:val="00A61886"/>
    <w:rsid w:val="00A61C42"/>
    <w:rsid w:val="00A6300B"/>
    <w:rsid w:val="00A63706"/>
    <w:rsid w:val="00A63A0E"/>
    <w:rsid w:val="00A63D89"/>
    <w:rsid w:val="00A64DAD"/>
    <w:rsid w:val="00A650DB"/>
    <w:rsid w:val="00A65406"/>
    <w:rsid w:val="00A65E52"/>
    <w:rsid w:val="00A66B3D"/>
    <w:rsid w:val="00A66E04"/>
    <w:rsid w:val="00A671B3"/>
    <w:rsid w:val="00A673BA"/>
    <w:rsid w:val="00A6775B"/>
    <w:rsid w:val="00A67E84"/>
    <w:rsid w:val="00A67F13"/>
    <w:rsid w:val="00A71084"/>
    <w:rsid w:val="00A71181"/>
    <w:rsid w:val="00A71996"/>
    <w:rsid w:val="00A722F7"/>
    <w:rsid w:val="00A726AA"/>
    <w:rsid w:val="00A7290C"/>
    <w:rsid w:val="00A72ADA"/>
    <w:rsid w:val="00A733CD"/>
    <w:rsid w:val="00A73642"/>
    <w:rsid w:val="00A73647"/>
    <w:rsid w:val="00A73915"/>
    <w:rsid w:val="00A740A9"/>
    <w:rsid w:val="00A740DC"/>
    <w:rsid w:val="00A749A2"/>
    <w:rsid w:val="00A74C0B"/>
    <w:rsid w:val="00A74CED"/>
    <w:rsid w:val="00A75085"/>
    <w:rsid w:val="00A753C1"/>
    <w:rsid w:val="00A7588B"/>
    <w:rsid w:val="00A758A0"/>
    <w:rsid w:val="00A75E31"/>
    <w:rsid w:val="00A76063"/>
    <w:rsid w:val="00A7661A"/>
    <w:rsid w:val="00A767A1"/>
    <w:rsid w:val="00A767FD"/>
    <w:rsid w:val="00A76850"/>
    <w:rsid w:val="00A771BF"/>
    <w:rsid w:val="00A77A3F"/>
    <w:rsid w:val="00A801BC"/>
    <w:rsid w:val="00A80822"/>
    <w:rsid w:val="00A80B84"/>
    <w:rsid w:val="00A80D67"/>
    <w:rsid w:val="00A815D0"/>
    <w:rsid w:val="00A81953"/>
    <w:rsid w:val="00A81DB2"/>
    <w:rsid w:val="00A82156"/>
    <w:rsid w:val="00A82385"/>
    <w:rsid w:val="00A823AB"/>
    <w:rsid w:val="00A82C6D"/>
    <w:rsid w:val="00A83B5A"/>
    <w:rsid w:val="00A8409E"/>
    <w:rsid w:val="00A84155"/>
    <w:rsid w:val="00A84A64"/>
    <w:rsid w:val="00A84AE2"/>
    <w:rsid w:val="00A84AEB"/>
    <w:rsid w:val="00A861F3"/>
    <w:rsid w:val="00A86A5D"/>
    <w:rsid w:val="00A86F1A"/>
    <w:rsid w:val="00A874F5"/>
    <w:rsid w:val="00A87A3E"/>
    <w:rsid w:val="00A87A52"/>
    <w:rsid w:val="00A87B18"/>
    <w:rsid w:val="00A900ED"/>
    <w:rsid w:val="00A907B1"/>
    <w:rsid w:val="00A90888"/>
    <w:rsid w:val="00A90A43"/>
    <w:rsid w:val="00A90B1F"/>
    <w:rsid w:val="00A90DB1"/>
    <w:rsid w:val="00A90DCE"/>
    <w:rsid w:val="00A910CC"/>
    <w:rsid w:val="00A9147B"/>
    <w:rsid w:val="00A915DC"/>
    <w:rsid w:val="00A9162D"/>
    <w:rsid w:val="00A91BA8"/>
    <w:rsid w:val="00A91DB9"/>
    <w:rsid w:val="00A91EF1"/>
    <w:rsid w:val="00A91EF2"/>
    <w:rsid w:val="00A91EF4"/>
    <w:rsid w:val="00A92331"/>
    <w:rsid w:val="00A92E10"/>
    <w:rsid w:val="00A9325C"/>
    <w:rsid w:val="00A9325E"/>
    <w:rsid w:val="00A9390E"/>
    <w:rsid w:val="00A93B3D"/>
    <w:rsid w:val="00A94171"/>
    <w:rsid w:val="00A947DA"/>
    <w:rsid w:val="00A94AF3"/>
    <w:rsid w:val="00A94FD5"/>
    <w:rsid w:val="00A95227"/>
    <w:rsid w:val="00A95559"/>
    <w:rsid w:val="00A95F9F"/>
    <w:rsid w:val="00A95FC9"/>
    <w:rsid w:val="00A9676C"/>
    <w:rsid w:val="00A96896"/>
    <w:rsid w:val="00A96CAB"/>
    <w:rsid w:val="00A96E85"/>
    <w:rsid w:val="00A96FC6"/>
    <w:rsid w:val="00A97942"/>
    <w:rsid w:val="00A97ACC"/>
    <w:rsid w:val="00A97B61"/>
    <w:rsid w:val="00A97CAF"/>
    <w:rsid w:val="00AA01DA"/>
    <w:rsid w:val="00AA046E"/>
    <w:rsid w:val="00AA06AB"/>
    <w:rsid w:val="00AA0929"/>
    <w:rsid w:val="00AA0C2D"/>
    <w:rsid w:val="00AA0CA2"/>
    <w:rsid w:val="00AA0F42"/>
    <w:rsid w:val="00AA0FDD"/>
    <w:rsid w:val="00AA115C"/>
    <w:rsid w:val="00AA1211"/>
    <w:rsid w:val="00AA1579"/>
    <w:rsid w:val="00AA1ED0"/>
    <w:rsid w:val="00AA2101"/>
    <w:rsid w:val="00AA2774"/>
    <w:rsid w:val="00AA2E76"/>
    <w:rsid w:val="00AA35E5"/>
    <w:rsid w:val="00AA37D3"/>
    <w:rsid w:val="00AA41E9"/>
    <w:rsid w:val="00AA4358"/>
    <w:rsid w:val="00AA4482"/>
    <w:rsid w:val="00AA450C"/>
    <w:rsid w:val="00AA46FE"/>
    <w:rsid w:val="00AA4AE0"/>
    <w:rsid w:val="00AA5139"/>
    <w:rsid w:val="00AA5265"/>
    <w:rsid w:val="00AA560A"/>
    <w:rsid w:val="00AA5AEF"/>
    <w:rsid w:val="00AA5E20"/>
    <w:rsid w:val="00AA5E31"/>
    <w:rsid w:val="00AA6884"/>
    <w:rsid w:val="00AA6E71"/>
    <w:rsid w:val="00AA6EDF"/>
    <w:rsid w:val="00AA70F2"/>
    <w:rsid w:val="00AA7247"/>
    <w:rsid w:val="00AA7437"/>
    <w:rsid w:val="00AA750C"/>
    <w:rsid w:val="00AA7A5E"/>
    <w:rsid w:val="00AB0229"/>
    <w:rsid w:val="00AB07D1"/>
    <w:rsid w:val="00AB07D9"/>
    <w:rsid w:val="00AB0879"/>
    <w:rsid w:val="00AB0966"/>
    <w:rsid w:val="00AB0AA6"/>
    <w:rsid w:val="00AB0E99"/>
    <w:rsid w:val="00AB0F03"/>
    <w:rsid w:val="00AB1287"/>
    <w:rsid w:val="00AB1CE8"/>
    <w:rsid w:val="00AB1FC9"/>
    <w:rsid w:val="00AB25CE"/>
    <w:rsid w:val="00AB2F20"/>
    <w:rsid w:val="00AB3201"/>
    <w:rsid w:val="00AB3F7B"/>
    <w:rsid w:val="00AB4356"/>
    <w:rsid w:val="00AB4419"/>
    <w:rsid w:val="00AB4AD8"/>
    <w:rsid w:val="00AB4E22"/>
    <w:rsid w:val="00AB5597"/>
    <w:rsid w:val="00AB5BAA"/>
    <w:rsid w:val="00AB66AC"/>
    <w:rsid w:val="00AB695B"/>
    <w:rsid w:val="00AB6DFC"/>
    <w:rsid w:val="00AB6EBB"/>
    <w:rsid w:val="00AB6FF1"/>
    <w:rsid w:val="00AB7A79"/>
    <w:rsid w:val="00AC0189"/>
    <w:rsid w:val="00AC09CD"/>
    <w:rsid w:val="00AC1004"/>
    <w:rsid w:val="00AC165A"/>
    <w:rsid w:val="00AC2524"/>
    <w:rsid w:val="00AC2588"/>
    <w:rsid w:val="00AC2832"/>
    <w:rsid w:val="00AC2885"/>
    <w:rsid w:val="00AC332B"/>
    <w:rsid w:val="00AC3739"/>
    <w:rsid w:val="00AC37AF"/>
    <w:rsid w:val="00AC3DB7"/>
    <w:rsid w:val="00AC400E"/>
    <w:rsid w:val="00AC4293"/>
    <w:rsid w:val="00AC438A"/>
    <w:rsid w:val="00AC4E38"/>
    <w:rsid w:val="00AC5606"/>
    <w:rsid w:val="00AC561A"/>
    <w:rsid w:val="00AC570E"/>
    <w:rsid w:val="00AC57D2"/>
    <w:rsid w:val="00AC5FFC"/>
    <w:rsid w:val="00AC658F"/>
    <w:rsid w:val="00AC6954"/>
    <w:rsid w:val="00AC7899"/>
    <w:rsid w:val="00AC7F42"/>
    <w:rsid w:val="00AC7F95"/>
    <w:rsid w:val="00AD0B96"/>
    <w:rsid w:val="00AD1A5F"/>
    <w:rsid w:val="00AD1A60"/>
    <w:rsid w:val="00AD2762"/>
    <w:rsid w:val="00AD27FC"/>
    <w:rsid w:val="00AD2808"/>
    <w:rsid w:val="00AD2ACE"/>
    <w:rsid w:val="00AD378E"/>
    <w:rsid w:val="00AD3FA7"/>
    <w:rsid w:val="00AD4029"/>
    <w:rsid w:val="00AD44C7"/>
    <w:rsid w:val="00AD4532"/>
    <w:rsid w:val="00AD49F3"/>
    <w:rsid w:val="00AD4B09"/>
    <w:rsid w:val="00AD4EF7"/>
    <w:rsid w:val="00AD4F1C"/>
    <w:rsid w:val="00AD4FA3"/>
    <w:rsid w:val="00AD50AD"/>
    <w:rsid w:val="00AD514D"/>
    <w:rsid w:val="00AD516C"/>
    <w:rsid w:val="00AD5DEF"/>
    <w:rsid w:val="00AD5FD1"/>
    <w:rsid w:val="00AD6407"/>
    <w:rsid w:val="00AD6E95"/>
    <w:rsid w:val="00AD724E"/>
    <w:rsid w:val="00AD752F"/>
    <w:rsid w:val="00AD79BB"/>
    <w:rsid w:val="00AD7D7F"/>
    <w:rsid w:val="00AE00CA"/>
    <w:rsid w:val="00AE0C89"/>
    <w:rsid w:val="00AE10C4"/>
    <w:rsid w:val="00AE1197"/>
    <w:rsid w:val="00AE1524"/>
    <w:rsid w:val="00AE1AE1"/>
    <w:rsid w:val="00AE254F"/>
    <w:rsid w:val="00AE260E"/>
    <w:rsid w:val="00AE2C77"/>
    <w:rsid w:val="00AE2D01"/>
    <w:rsid w:val="00AE2EE6"/>
    <w:rsid w:val="00AE33A7"/>
    <w:rsid w:val="00AE3C7F"/>
    <w:rsid w:val="00AE415F"/>
    <w:rsid w:val="00AE4AB0"/>
    <w:rsid w:val="00AE4C8E"/>
    <w:rsid w:val="00AE4E21"/>
    <w:rsid w:val="00AE4F15"/>
    <w:rsid w:val="00AE5430"/>
    <w:rsid w:val="00AE55BC"/>
    <w:rsid w:val="00AE57D2"/>
    <w:rsid w:val="00AE638D"/>
    <w:rsid w:val="00AE686D"/>
    <w:rsid w:val="00AE6B19"/>
    <w:rsid w:val="00AE6B27"/>
    <w:rsid w:val="00AE6D6A"/>
    <w:rsid w:val="00AE6F0F"/>
    <w:rsid w:val="00AE7656"/>
    <w:rsid w:val="00AE7663"/>
    <w:rsid w:val="00AF00D2"/>
    <w:rsid w:val="00AF083D"/>
    <w:rsid w:val="00AF0B16"/>
    <w:rsid w:val="00AF0F96"/>
    <w:rsid w:val="00AF1021"/>
    <w:rsid w:val="00AF21D7"/>
    <w:rsid w:val="00AF222F"/>
    <w:rsid w:val="00AF2893"/>
    <w:rsid w:val="00AF28EB"/>
    <w:rsid w:val="00AF2ED6"/>
    <w:rsid w:val="00AF3178"/>
    <w:rsid w:val="00AF36B6"/>
    <w:rsid w:val="00AF36BA"/>
    <w:rsid w:val="00AF3A61"/>
    <w:rsid w:val="00AF3C6C"/>
    <w:rsid w:val="00AF49AE"/>
    <w:rsid w:val="00AF4AB5"/>
    <w:rsid w:val="00AF4E1B"/>
    <w:rsid w:val="00AF527E"/>
    <w:rsid w:val="00AF5407"/>
    <w:rsid w:val="00AF5AC5"/>
    <w:rsid w:val="00AF5D56"/>
    <w:rsid w:val="00AF6595"/>
    <w:rsid w:val="00AF6E19"/>
    <w:rsid w:val="00AF7444"/>
    <w:rsid w:val="00AF782D"/>
    <w:rsid w:val="00AF7E50"/>
    <w:rsid w:val="00B00936"/>
    <w:rsid w:val="00B00D08"/>
    <w:rsid w:val="00B00ED5"/>
    <w:rsid w:val="00B017AB"/>
    <w:rsid w:val="00B017EA"/>
    <w:rsid w:val="00B01B8C"/>
    <w:rsid w:val="00B01F2E"/>
    <w:rsid w:val="00B022CF"/>
    <w:rsid w:val="00B02808"/>
    <w:rsid w:val="00B028B0"/>
    <w:rsid w:val="00B028BC"/>
    <w:rsid w:val="00B02BF0"/>
    <w:rsid w:val="00B02C08"/>
    <w:rsid w:val="00B02EEE"/>
    <w:rsid w:val="00B037DC"/>
    <w:rsid w:val="00B038A2"/>
    <w:rsid w:val="00B03920"/>
    <w:rsid w:val="00B03AB4"/>
    <w:rsid w:val="00B03ABD"/>
    <w:rsid w:val="00B043EB"/>
    <w:rsid w:val="00B04580"/>
    <w:rsid w:val="00B0459A"/>
    <w:rsid w:val="00B04830"/>
    <w:rsid w:val="00B04972"/>
    <w:rsid w:val="00B04A5D"/>
    <w:rsid w:val="00B04BED"/>
    <w:rsid w:val="00B05384"/>
    <w:rsid w:val="00B05B34"/>
    <w:rsid w:val="00B05B91"/>
    <w:rsid w:val="00B05C65"/>
    <w:rsid w:val="00B05F77"/>
    <w:rsid w:val="00B05FAD"/>
    <w:rsid w:val="00B05FE5"/>
    <w:rsid w:val="00B0613A"/>
    <w:rsid w:val="00B062A6"/>
    <w:rsid w:val="00B0689A"/>
    <w:rsid w:val="00B069BA"/>
    <w:rsid w:val="00B06DD5"/>
    <w:rsid w:val="00B07297"/>
    <w:rsid w:val="00B077CC"/>
    <w:rsid w:val="00B07CD8"/>
    <w:rsid w:val="00B07F33"/>
    <w:rsid w:val="00B10346"/>
    <w:rsid w:val="00B10762"/>
    <w:rsid w:val="00B10AE6"/>
    <w:rsid w:val="00B10B90"/>
    <w:rsid w:val="00B1114A"/>
    <w:rsid w:val="00B11197"/>
    <w:rsid w:val="00B119A6"/>
    <w:rsid w:val="00B11D78"/>
    <w:rsid w:val="00B11E88"/>
    <w:rsid w:val="00B11F38"/>
    <w:rsid w:val="00B11FEA"/>
    <w:rsid w:val="00B12FD0"/>
    <w:rsid w:val="00B13088"/>
    <w:rsid w:val="00B1325A"/>
    <w:rsid w:val="00B1355A"/>
    <w:rsid w:val="00B13933"/>
    <w:rsid w:val="00B13F7C"/>
    <w:rsid w:val="00B1401B"/>
    <w:rsid w:val="00B1482F"/>
    <w:rsid w:val="00B14E03"/>
    <w:rsid w:val="00B1524E"/>
    <w:rsid w:val="00B152C6"/>
    <w:rsid w:val="00B1551C"/>
    <w:rsid w:val="00B1597B"/>
    <w:rsid w:val="00B15BB2"/>
    <w:rsid w:val="00B16611"/>
    <w:rsid w:val="00B169C8"/>
    <w:rsid w:val="00B17016"/>
    <w:rsid w:val="00B20AF2"/>
    <w:rsid w:val="00B214DD"/>
    <w:rsid w:val="00B216F9"/>
    <w:rsid w:val="00B229BE"/>
    <w:rsid w:val="00B22C92"/>
    <w:rsid w:val="00B22D02"/>
    <w:rsid w:val="00B23157"/>
    <w:rsid w:val="00B23821"/>
    <w:rsid w:val="00B23C29"/>
    <w:rsid w:val="00B241E3"/>
    <w:rsid w:val="00B24E14"/>
    <w:rsid w:val="00B2511B"/>
    <w:rsid w:val="00B25549"/>
    <w:rsid w:val="00B258F7"/>
    <w:rsid w:val="00B25C72"/>
    <w:rsid w:val="00B25E6F"/>
    <w:rsid w:val="00B269C1"/>
    <w:rsid w:val="00B27220"/>
    <w:rsid w:val="00B27A6D"/>
    <w:rsid w:val="00B27CC0"/>
    <w:rsid w:val="00B308F8"/>
    <w:rsid w:val="00B3098F"/>
    <w:rsid w:val="00B30A2A"/>
    <w:rsid w:val="00B30B07"/>
    <w:rsid w:val="00B30BCF"/>
    <w:rsid w:val="00B30D67"/>
    <w:rsid w:val="00B314D0"/>
    <w:rsid w:val="00B31F6E"/>
    <w:rsid w:val="00B324B7"/>
    <w:rsid w:val="00B3254C"/>
    <w:rsid w:val="00B325BF"/>
    <w:rsid w:val="00B329FF"/>
    <w:rsid w:val="00B32C0C"/>
    <w:rsid w:val="00B32E23"/>
    <w:rsid w:val="00B32F2D"/>
    <w:rsid w:val="00B33321"/>
    <w:rsid w:val="00B3370B"/>
    <w:rsid w:val="00B33ACE"/>
    <w:rsid w:val="00B34296"/>
    <w:rsid w:val="00B344C2"/>
    <w:rsid w:val="00B34C4E"/>
    <w:rsid w:val="00B3517D"/>
    <w:rsid w:val="00B35221"/>
    <w:rsid w:val="00B3547E"/>
    <w:rsid w:val="00B35514"/>
    <w:rsid w:val="00B35520"/>
    <w:rsid w:val="00B3621F"/>
    <w:rsid w:val="00B3690C"/>
    <w:rsid w:val="00B370C8"/>
    <w:rsid w:val="00B371AD"/>
    <w:rsid w:val="00B37B57"/>
    <w:rsid w:val="00B40330"/>
    <w:rsid w:val="00B406E5"/>
    <w:rsid w:val="00B4180D"/>
    <w:rsid w:val="00B41B90"/>
    <w:rsid w:val="00B4283B"/>
    <w:rsid w:val="00B42868"/>
    <w:rsid w:val="00B4299A"/>
    <w:rsid w:val="00B42A94"/>
    <w:rsid w:val="00B42C20"/>
    <w:rsid w:val="00B42D9A"/>
    <w:rsid w:val="00B42F20"/>
    <w:rsid w:val="00B434EA"/>
    <w:rsid w:val="00B43697"/>
    <w:rsid w:val="00B43CED"/>
    <w:rsid w:val="00B444DD"/>
    <w:rsid w:val="00B44D47"/>
    <w:rsid w:val="00B44D96"/>
    <w:rsid w:val="00B4521F"/>
    <w:rsid w:val="00B45928"/>
    <w:rsid w:val="00B4592B"/>
    <w:rsid w:val="00B45977"/>
    <w:rsid w:val="00B45E16"/>
    <w:rsid w:val="00B45E8C"/>
    <w:rsid w:val="00B46B3C"/>
    <w:rsid w:val="00B46F19"/>
    <w:rsid w:val="00B470FE"/>
    <w:rsid w:val="00B47148"/>
    <w:rsid w:val="00B479D1"/>
    <w:rsid w:val="00B47E90"/>
    <w:rsid w:val="00B47ED4"/>
    <w:rsid w:val="00B47FE8"/>
    <w:rsid w:val="00B50036"/>
    <w:rsid w:val="00B50B5A"/>
    <w:rsid w:val="00B50F51"/>
    <w:rsid w:val="00B50F82"/>
    <w:rsid w:val="00B51403"/>
    <w:rsid w:val="00B51A2F"/>
    <w:rsid w:val="00B51B5B"/>
    <w:rsid w:val="00B51D30"/>
    <w:rsid w:val="00B52111"/>
    <w:rsid w:val="00B528D0"/>
    <w:rsid w:val="00B52F30"/>
    <w:rsid w:val="00B52FAF"/>
    <w:rsid w:val="00B5323F"/>
    <w:rsid w:val="00B539EB"/>
    <w:rsid w:val="00B54550"/>
    <w:rsid w:val="00B5495B"/>
    <w:rsid w:val="00B54A5A"/>
    <w:rsid w:val="00B54FEB"/>
    <w:rsid w:val="00B55695"/>
    <w:rsid w:val="00B562E6"/>
    <w:rsid w:val="00B5639B"/>
    <w:rsid w:val="00B5660B"/>
    <w:rsid w:val="00B57638"/>
    <w:rsid w:val="00B576C3"/>
    <w:rsid w:val="00B576E1"/>
    <w:rsid w:val="00B6004E"/>
    <w:rsid w:val="00B60477"/>
    <w:rsid w:val="00B60722"/>
    <w:rsid w:val="00B6072A"/>
    <w:rsid w:val="00B608F1"/>
    <w:rsid w:val="00B60E97"/>
    <w:rsid w:val="00B60F79"/>
    <w:rsid w:val="00B61337"/>
    <w:rsid w:val="00B6166D"/>
    <w:rsid w:val="00B61B49"/>
    <w:rsid w:val="00B6254F"/>
    <w:rsid w:val="00B62EE3"/>
    <w:rsid w:val="00B6317C"/>
    <w:rsid w:val="00B63591"/>
    <w:rsid w:val="00B635C6"/>
    <w:rsid w:val="00B63704"/>
    <w:rsid w:val="00B63742"/>
    <w:rsid w:val="00B637D9"/>
    <w:rsid w:val="00B63B4A"/>
    <w:rsid w:val="00B64496"/>
    <w:rsid w:val="00B64498"/>
    <w:rsid w:val="00B6604C"/>
    <w:rsid w:val="00B664B0"/>
    <w:rsid w:val="00B667A5"/>
    <w:rsid w:val="00B66853"/>
    <w:rsid w:val="00B67120"/>
    <w:rsid w:val="00B673CA"/>
    <w:rsid w:val="00B6753E"/>
    <w:rsid w:val="00B67550"/>
    <w:rsid w:val="00B676CA"/>
    <w:rsid w:val="00B679F5"/>
    <w:rsid w:val="00B70D3E"/>
    <w:rsid w:val="00B7112A"/>
    <w:rsid w:val="00B7117A"/>
    <w:rsid w:val="00B71203"/>
    <w:rsid w:val="00B715E1"/>
    <w:rsid w:val="00B72053"/>
    <w:rsid w:val="00B7234F"/>
    <w:rsid w:val="00B72537"/>
    <w:rsid w:val="00B73B57"/>
    <w:rsid w:val="00B746D5"/>
    <w:rsid w:val="00B74753"/>
    <w:rsid w:val="00B74BDA"/>
    <w:rsid w:val="00B75037"/>
    <w:rsid w:val="00B75159"/>
    <w:rsid w:val="00B751C0"/>
    <w:rsid w:val="00B7573D"/>
    <w:rsid w:val="00B759D6"/>
    <w:rsid w:val="00B75AAD"/>
    <w:rsid w:val="00B75D3F"/>
    <w:rsid w:val="00B7745A"/>
    <w:rsid w:val="00B77723"/>
    <w:rsid w:val="00B77ABB"/>
    <w:rsid w:val="00B77CA5"/>
    <w:rsid w:val="00B77E12"/>
    <w:rsid w:val="00B802CA"/>
    <w:rsid w:val="00B80B08"/>
    <w:rsid w:val="00B8154C"/>
    <w:rsid w:val="00B815D3"/>
    <w:rsid w:val="00B818D4"/>
    <w:rsid w:val="00B81DB8"/>
    <w:rsid w:val="00B82DE1"/>
    <w:rsid w:val="00B83476"/>
    <w:rsid w:val="00B835D2"/>
    <w:rsid w:val="00B836B0"/>
    <w:rsid w:val="00B842EE"/>
    <w:rsid w:val="00B8438E"/>
    <w:rsid w:val="00B843A1"/>
    <w:rsid w:val="00B8487D"/>
    <w:rsid w:val="00B848BE"/>
    <w:rsid w:val="00B84978"/>
    <w:rsid w:val="00B84C9C"/>
    <w:rsid w:val="00B84FF8"/>
    <w:rsid w:val="00B8573A"/>
    <w:rsid w:val="00B85861"/>
    <w:rsid w:val="00B85AE3"/>
    <w:rsid w:val="00B85CEA"/>
    <w:rsid w:val="00B86071"/>
    <w:rsid w:val="00B861A7"/>
    <w:rsid w:val="00B870B0"/>
    <w:rsid w:val="00B8748B"/>
    <w:rsid w:val="00B8792C"/>
    <w:rsid w:val="00B87BC1"/>
    <w:rsid w:val="00B87F56"/>
    <w:rsid w:val="00B9103E"/>
    <w:rsid w:val="00B911CB"/>
    <w:rsid w:val="00B913F2"/>
    <w:rsid w:val="00B91818"/>
    <w:rsid w:val="00B919AB"/>
    <w:rsid w:val="00B91E1C"/>
    <w:rsid w:val="00B9258B"/>
    <w:rsid w:val="00B927B0"/>
    <w:rsid w:val="00B92F7A"/>
    <w:rsid w:val="00B93597"/>
    <w:rsid w:val="00B9389D"/>
    <w:rsid w:val="00B94798"/>
    <w:rsid w:val="00B947FD"/>
    <w:rsid w:val="00B94BE5"/>
    <w:rsid w:val="00B96011"/>
    <w:rsid w:val="00B965AF"/>
    <w:rsid w:val="00B97182"/>
    <w:rsid w:val="00B97459"/>
    <w:rsid w:val="00B977A2"/>
    <w:rsid w:val="00B977C7"/>
    <w:rsid w:val="00B97927"/>
    <w:rsid w:val="00B97DBD"/>
    <w:rsid w:val="00BA0255"/>
    <w:rsid w:val="00BA02A6"/>
    <w:rsid w:val="00BA064A"/>
    <w:rsid w:val="00BA06D4"/>
    <w:rsid w:val="00BA075F"/>
    <w:rsid w:val="00BA0827"/>
    <w:rsid w:val="00BA0933"/>
    <w:rsid w:val="00BA0A76"/>
    <w:rsid w:val="00BA0B72"/>
    <w:rsid w:val="00BA0D2A"/>
    <w:rsid w:val="00BA0FA7"/>
    <w:rsid w:val="00BA1218"/>
    <w:rsid w:val="00BA17BF"/>
    <w:rsid w:val="00BA1B48"/>
    <w:rsid w:val="00BA1D32"/>
    <w:rsid w:val="00BA256B"/>
    <w:rsid w:val="00BA3A2C"/>
    <w:rsid w:val="00BA3B8C"/>
    <w:rsid w:val="00BA3DFA"/>
    <w:rsid w:val="00BA4246"/>
    <w:rsid w:val="00BA4671"/>
    <w:rsid w:val="00BA4D83"/>
    <w:rsid w:val="00BA4E59"/>
    <w:rsid w:val="00BA52C1"/>
    <w:rsid w:val="00BA52DB"/>
    <w:rsid w:val="00BA58C0"/>
    <w:rsid w:val="00BA6166"/>
    <w:rsid w:val="00BA683A"/>
    <w:rsid w:val="00BA739B"/>
    <w:rsid w:val="00BA76B1"/>
    <w:rsid w:val="00BA7CCB"/>
    <w:rsid w:val="00BB0423"/>
    <w:rsid w:val="00BB0463"/>
    <w:rsid w:val="00BB090B"/>
    <w:rsid w:val="00BB0C7A"/>
    <w:rsid w:val="00BB1CBD"/>
    <w:rsid w:val="00BB1EA8"/>
    <w:rsid w:val="00BB2573"/>
    <w:rsid w:val="00BB2B1F"/>
    <w:rsid w:val="00BB2F0B"/>
    <w:rsid w:val="00BB36C5"/>
    <w:rsid w:val="00BB4AB6"/>
    <w:rsid w:val="00BB4C56"/>
    <w:rsid w:val="00BB4F9A"/>
    <w:rsid w:val="00BB5AE1"/>
    <w:rsid w:val="00BB5F6C"/>
    <w:rsid w:val="00BB60C3"/>
    <w:rsid w:val="00BB613F"/>
    <w:rsid w:val="00BB61B4"/>
    <w:rsid w:val="00BB6480"/>
    <w:rsid w:val="00BB6796"/>
    <w:rsid w:val="00BB690D"/>
    <w:rsid w:val="00BB69B6"/>
    <w:rsid w:val="00BB6A4C"/>
    <w:rsid w:val="00BB6C88"/>
    <w:rsid w:val="00BB6ECF"/>
    <w:rsid w:val="00BB74B3"/>
    <w:rsid w:val="00BB76A1"/>
    <w:rsid w:val="00BB777A"/>
    <w:rsid w:val="00BB7C25"/>
    <w:rsid w:val="00BC0B9D"/>
    <w:rsid w:val="00BC0C2F"/>
    <w:rsid w:val="00BC11CE"/>
    <w:rsid w:val="00BC1286"/>
    <w:rsid w:val="00BC137D"/>
    <w:rsid w:val="00BC1424"/>
    <w:rsid w:val="00BC1765"/>
    <w:rsid w:val="00BC1B29"/>
    <w:rsid w:val="00BC1CC3"/>
    <w:rsid w:val="00BC1DFC"/>
    <w:rsid w:val="00BC2243"/>
    <w:rsid w:val="00BC23E1"/>
    <w:rsid w:val="00BC28A7"/>
    <w:rsid w:val="00BC2CA6"/>
    <w:rsid w:val="00BC2E93"/>
    <w:rsid w:val="00BC3668"/>
    <w:rsid w:val="00BC37F6"/>
    <w:rsid w:val="00BC3A87"/>
    <w:rsid w:val="00BC475C"/>
    <w:rsid w:val="00BC47D8"/>
    <w:rsid w:val="00BC51FA"/>
    <w:rsid w:val="00BC5454"/>
    <w:rsid w:val="00BC5961"/>
    <w:rsid w:val="00BC5C7A"/>
    <w:rsid w:val="00BC6288"/>
    <w:rsid w:val="00BC693E"/>
    <w:rsid w:val="00BC6AAF"/>
    <w:rsid w:val="00BC7DE9"/>
    <w:rsid w:val="00BD0152"/>
    <w:rsid w:val="00BD028F"/>
    <w:rsid w:val="00BD03C9"/>
    <w:rsid w:val="00BD07F4"/>
    <w:rsid w:val="00BD137C"/>
    <w:rsid w:val="00BD1693"/>
    <w:rsid w:val="00BD16D1"/>
    <w:rsid w:val="00BD1D0B"/>
    <w:rsid w:val="00BD1DEE"/>
    <w:rsid w:val="00BD219A"/>
    <w:rsid w:val="00BD2539"/>
    <w:rsid w:val="00BD26D8"/>
    <w:rsid w:val="00BD2C2C"/>
    <w:rsid w:val="00BD2C42"/>
    <w:rsid w:val="00BD2F2C"/>
    <w:rsid w:val="00BD307A"/>
    <w:rsid w:val="00BD3698"/>
    <w:rsid w:val="00BD4119"/>
    <w:rsid w:val="00BD44A4"/>
    <w:rsid w:val="00BD4655"/>
    <w:rsid w:val="00BD4D35"/>
    <w:rsid w:val="00BD50A8"/>
    <w:rsid w:val="00BD55C0"/>
    <w:rsid w:val="00BD58F5"/>
    <w:rsid w:val="00BD5908"/>
    <w:rsid w:val="00BD65E1"/>
    <w:rsid w:val="00BD6A70"/>
    <w:rsid w:val="00BD6BF2"/>
    <w:rsid w:val="00BD6EF9"/>
    <w:rsid w:val="00BD6F1C"/>
    <w:rsid w:val="00BD754C"/>
    <w:rsid w:val="00BD7568"/>
    <w:rsid w:val="00BD772A"/>
    <w:rsid w:val="00BD7970"/>
    <w:rsid w:val="00BD7E1A"/>
    <w:rsid w:val="00BE02E5"/>
    <w:rsid w:val="00BE1590"/>
    <w:rsid w:val="00BE194D"/>
    <w:rsid w:val="00BE1C76"/>
    <w:rsid w:val="00BE1EB6"/>
    <w:rsid w:val="00BE235C"/>
    <w:rsid w:val="00BE290E"/>
    <w:rsid w:val="00BE29DD"/>
    <w:rsid w:val="00BE2AB1"/>
    <w:rsid w:val="00BE35C9"/>
    <w:rsid w:val="00BE3A79"/>
    <w:rsid w:val="00BE3B80"/>
    <w:rsid w:val="00BE3F85"/>
    <w:rsid w:val="00BE418C"/>
    <w:rsid w:val="00BE4C3A"/>
    <w:rsid w:val="00BE56CF"/>
    <w:rsid w:val="00BE576A"/>
    <w:rsid w:val="00BE5B3E"/>
    <w:rsid w:val="00BE71AE"/>
    <w:rsid w:val="00BE72FD"/>
    <w:rsid w:val="00BE74D1"/>
    <w:rsid w:val="00BE786F"/>
    <w:rsid w:val="00BF0217"/>
    <w:rsid w:val="00BF07C0"/>
    <w:rsid w:val="00BF08F1"/>
    <w:rsid w:val="00BF0993"/>
    <w:rsid w:val="00BF0C38"/>
    <w:rsid w:val="00BF1292"/>
    <w:rsid w:val="00BF139F"/>
    <w:rsid w:val="00BF1728"/>
    <w:rsid w:val="00BF1EF8"/>
    <w:rsid w:val="00BF2674"/>
    <w:rsid w:val="00BF288E"/>
    <w:rsid w:val="00BF2DE5"/>
    <w:rsid w:val="00BF3C29"/>
    <w:rsid w:val="00BF42A3"/>
    <w:rsid w:val="00BF4339"/>
    <w:rsid w:val="00BF44FF"/>
    <w:rsid w:val="00BF4AD7"/>
    <w:rsid w:val="00BF4C49"/>
    <w:rsid w:val="00BF5DA2"/>
    <w:rsid w:val="00BF6338"/>
    <w:rsid w:val="00BF63D1"/>
    <w:rsid w:val="00BF6536"/>
    <w:rsid w:val="00BF6679"/>
    <w:rsid w:val="00BF6D56"/>
    <w:rsid w:val="00BF7325"/>
    <w:rsid w:val="00BF7DFA"/>
    <w:rsid w:val="00C003F5"/>
    <w:rsid w:val="00C0079D"/>
    <w:rsid w:val="00C00B99"/>
    <w:rsid w:val="00C00D03"/>
    <w:rsid w:val="00C00DB1"/>
    <w:rsid w:val="00C01151"/>
    <w:rsid w:val="00C017B2"/>
    <w:rsid w:val="00C01C7E"/>
    <w:rsid w:val="00C01DD3"/>
    <w:rsid w:val="00C01DFC"/>
    <w:rsid w:val="00C02205"/>
    <w:rsid w:val="00C0268F"/>
    <w:rsid w:val="00C0282B"/>
    <w:rsid w:val="00C029A0"/>
    <w:rsid w:val="00C02CA7"/>
    <w:rsid w:val="00C02E62"/>
    <w:rsid w:val="00C03D01"/>
    <w:rsid w:val="00C04382"/>
    <w:rsid w:val="00C04ABC"/>
    <w:rsid w:val="00C04F22"/>
    <w:rsid w:val="00C05343"/>
    <w:rsid w:val="00C05381"/>
    <w:rsid w:val="00C06076"/>
    <w:rsid w:val="00C067E0"/>
    <w:rsid w:val="00C06EF0"/>
    <w:rsid w:val="00C074B8"/>
    <w:rsid w:val="00C075D0"/>
    <w:rsid w:val="00C1025D"/>
    <w:rsid w:val="00C103AB"/>
    <w:rsid w:val="00C10466"/>
    <w:rsid w:val="00C11821"/>
    <w:rsid w:val="00C11E30"/>
    <w:rsid w:val="00C12656"/>
    <w:rsid w:val="00C12999"/>
    <w:rsid w:val="00C12D93"/>
    <w:rsid w:val="00C12EE2"/>
    <w:rsid w:val="00C12F7B"/>
    <w:rsid w:val="00C13419"/>
    <w:rsid w:val="00C139DE"/>
    <w:rsid w:val="00C13B55"/>
    <w:rsid w:val="00C13C3F"/>
    <w:rsid w:val="00C13CBD"/>
    <w:rsid w:val="00C13DB6"/>
    <w:rsid w:val="00C13E07"/>
    <w:rsid w:val="00C142BD"/>
    <w:rsid w:val="00C143D5"/>
    <w:rsid w:val="00C148E5"/>
    <w:rsid w:val="00C14B4C"/>
    <w:rsid w:val="00C14B57"/>
    <w:rsid w:val="00C159C1"/>
    <w:rsid w:val="00C15D34"/>
    <w:rsid w:val="00C16489"/>
    <w:rsid w:val="00C16848"/>
    <w:rsid w:val="00C168C0"/>
    <w:rsid w:val="00C16BF9"/>
    <w:rsid w:val="00C1711E"/>
    <w:rsid w:val="00C1746D"/>
    <w:rsid w:val="00C174C6"/>
    <w:rsid w:val="00C17E6E"/>
    <w:rsid w:val="00C2001A"/>
    <w:rsid w:val="00C20915"/>
    <w:rsid w:val="00C20DB7"/>
    <w:rsid w:val="00C21A06"/>
    <w:rsid w:val="00C221D0"/>
    <w:rsid w:val="00C22309"/>
    <w:rsid w:val="00C23513"/>
    <w:rsid w:val="00C23520"/>
    <w:rsid w:val="00C2366E"/>
    <w:rsid w:val="00C23E35"/>
    <w:rsid w:val="00C23FA9"/>
    <w:rsid w:val="00C24097"/>
    <w:rsid w:val="00C24568"/>
    <w:rsid w:val="00C246D7"/>
    <w:rsid w:val="00C24DA9"/>
    <w:rsid w:val="00C24DC0"/>
    <w:rsid w:val="00C24F12"/>
    <w:rsid w:val="00C24F98"/>
    <w:rsid w:val="00C25082"/>
    <w:rsid w:val="00C25277"/>
    <w:rsid w:val="00C252E0"/>
    <w:rsid w:val="00C25E6A"/>
    <w:rsid w:val="00C25E7D"/>
    <w:rsid w:val="00C25F06"/>
    <w:rsid w:val="00C265D4"/>
    <w:rsid w:val="00C26A80"/>
    <w:rsid w:val="00C26FCA"/>
    <w:rsid w:val="00C273AE"/>
    <w:rsid w:val="00C27589"/>
    <w:rsid w:val="00C275FC"/>
    <w:rsid w:val="00C27D57"/>
    <w:rsid w:val="00C27D69"/>
    <w:rsid w:val="00C27E01"/>
    <w:rsid w:val="00C30D84"/>
    <w:rsid w:val="00C30FD6"/>
    <w:rsid w:val="00C31196"/>
    <w:rsid w:val="00C3145E"/>
    <w:rsid w:val="00C3152A"/>
    <w:rsid w:val="00C315AE"/>
    <w:rsid w:val="00C315D3"/>
    <w:rsid w:val="00C3160C"/>
    <w:rsid w:val="00C317A7"/>
    <w:rsid w:val="00C31EE1"/>
    <w:rsid w:val="00C32310"/>
    <w:rsid w:val="00C32B52"/>
    <w:rsid w:val="00C33431"/>
    <w:rsid w:val="00C33670"/>
    <w:rsid w:val="00C337A9"/>
    <w:rsid w:val="00C33953"/>
    <w:rsid w:val="00C33AEC"/>
    <w:rsid w:val="00C341FB"/>
    <w:rsid w:val="00C34536"/>
    <w:rsid w:val="00C34CDD"/>
    <w:rsid w:val="00C35DE8"/>
    <w:rsid w:val="00C3608B"/>
    <w:rsid w:val="00C36203"/>
    <w:rsid w:val="00C365EB"/>
    <w:rsid w:val="00C36B2D"/>
    <w:rsid w:val="00C36E09"/>
    <w:rsid w:val="00C37532"/>
    <w:rsid w:val="00C37A82"/>
    <w:rsid w:val="00C37CDE"/>
    <w:rsid w:val="00C37E36"/>
    <w:rsid w:val="00C40C58"/>
    <w:rsid w:val="00C410D2"/>
    <w:rsid w:val="00C41650"/>
    <w:rsid w:val="00C416C7"/>
    <w:rsid w:val="00C417CD"/>
    <w:rsid w:val="00C41AFB"/>
    <w:rsid w:val="00C41C08"/>
    <w:rsid w:val="00C4253E"/>
    <w:rsid w:val="00C42580"/>
    <w:rsid w:val="00C42A78"/>
    <w:rsid w:val="00C42FB2"/>
    <w:rsid w:val="00C433BA"/>
    <w:rsid w:val="00C435C8"/>
    <w:rsid w:val="00C437D6"/>
    <w:rsid w:val="00C43C3F"/>
    <w:rsid w:val="00C4426C"/>
    <w:rsid w:val="00C4471A"/>
    <w:rsid w:val="00C449E2"/>
    <w:rsid w:val="00C44CC9"/>
    <w:rsid w:val="00C44E13"/>
    <w:rsid w:val="00C44FD9"/>
    <w:rsid w:val="00C45350"/>
    <w:rsid w:val="00C4555D"/>
    <w:rsid w:val="00C45DD1"/>
    <w:rsid w:val="00C45F6D"/>
    <w:rsid w:val="00C45FDE"/>
    <w:rsid w:val="00C4601D"/>
    <w:rsid w:val="00C4698B"/>
    <w:rsid w:val="00C46D3E"/>
    <w:rsid w:val="00C46FE3"/>
    <w:rsid w:val="00C473E7"/>
    <w:rsid w:val="00C47435"/>
    <w:rsid w:val="00C47478"/>
    <w:rsid w:val="00C47BD2"/>
    <w:rsid w:val="00C47EBB"/>
    <w:rsid w:val="00C50B75"/>
    <w:rsid w:val="00C50DFC"/>
    <w:rsid w:val="00C5135F"/>
    <w:rsid w:val="00C51880"/>
    <w:rsid w:val="00C51FA8"/>
    <w:rsid w:val="00C51FF0"/>
    <w:rsid w:val="00C5259A"/>
    <w:rsid w:val="00C52782"/>
    <w:rsid w:val="00C52D4E"/>
    <w:rsid w:val="00C5300F"/>
    <w:rsid w:val="00C53027"/>
    <w:rsid w:val="00C5304D"/>
    <w:rsid w:val="00C53721"/>
    <w:rsid w:val="00C53EE2"/>
    <w:rsid w:val="00C54182"/>
    <w:rsid w:val="00C54473"/>
    <w:rsid w:val="00C55002"/>
    <w:rsid w:val="00C5521D"/>
    <w:rsid w:val="00C55D94"/>
    <w:rsid w:val="00C56850"/>
    <w:rsid w:val="00C572AC"/>
    <w:rsid w:val="00C57567"/>
    <w:rsid w:val="00C57582"/>
    <w:rsid w:val="00C579CF"/>
    <w:rsid w:val="00C6017A"/>
    <w:rsid w:val="00C602E6"/>
    <w:rsid w:val="00C6087E"/>
    <w:rsid w:val="00C608EF"/>
    <w:rsid w:val="00C60FC1"/>
    <w:rsid w:val="00C60FF0"/>
    <w:rsid w:val="00C612BB"/>
    <w:rsid w:val="00C612BF"/>
    <w:rsid w:val="00C619EE"/>
    <w:rsid w:val="00C6207E"/>
    <w:rsid w:val="00C625C7"/>
    <w:rsid w:val="00C628D3"/>
    <w:rsid w:val="00C630A6"/>
    <w:rsid w:val="00C6339B"/>
    <w:rsid w:val="00C63770"/>
    <w:rsid w:val="00C64682"/>
    <w:rsid w:val="00C64784"/>
    <w:rsid w:val="00C64AD8"/>
    <w:rsid w:val="00C64FAE"/>
    <w:rsid w:val="00C65320"/>
    <w:rsid w:val="00C65CEF"/>
    <w:rsid w:val="00C66344"/>
    <w:rsid w:val="00C663EE"/>
    <w:rsid w:val="00C66679"/>
    <w:rsid w:val="00C66D4A"/>
    <w:rsid w:val="00C66E0E"/>
    <w:rsid w:val="00C674F7"/>
    <w:rsid w:val="00C67584"/>
    <w:rsid w:val="00C67955"/>
    <w:rsid w:val="00C70074"/>
    <w:rsid w:val="00C70110"/>
    <w:rsid w:val="00C70244"/>
    <w:rsid w:val="00C70341"/>
    <w:rsid w:val="00C70438"/>
    <w:rsid w:val="00C70642"/>
    <w:rsid w:val="00C7089C"/>
    <w:rsid w:val="00C70918"/>
    <w:rsid w:val="00C70E3F"/>
    <w:rsid w:val="00C70EE7"/>
    <w:rsid w:val="00C716CF"/>
    <w:rsid w:val="00C717CD"/>
    <w:rsid w:val="00C71AC2"/>
    <w:rsid w:val="00C722EE"/>
    <w:rsid w:val="00C725B9"/>
    <w:rsid w:val="00C726B3"/>
    <w:rsid w:val="00C72AE3"/>
    <w:rsid w:val="00C72B7C"/>
    <w:rsid w:val="00C73402"/>
    <w:rsid w:val="00C7362E"/>
    <w:rsid w:val="00C7364B"/>
    <w:rsid w:val="00C74283"/>
    <w:rsid w:val="00C745D7"/>
    <w:rsid w:val="00C74865"/>
    <w:rsid w:val="00C74EE5"/>
    <w:rsid w:val="00C750BE"/>
    <w:rsid w:val="00C755C8"/>
    <w:rsid w:val="00C7584E"/>
    <w:rsid w:val="00C758E0"/>
    <w:rsid w:val="00C75A25"/>
    <w:rsid w:val="00C76C64"/>
    <w:rsid w:val="00C76DBB"/>
    <w:rsid w:val="00C7702A"/>
    <w:rsid w:val="00C773C8"/>
    <w:rsid w:val="00C77404"/>
    <w:rsid w:val="00C7746B"/>
    <w:rsid w:val="00C77524"/>
    <w:rsid w:val="00C77707"/>
    <w:rsid w:val="00C807B9"/>
    <w:rsid w:val="00C80827"/>
    <w:rsid w:val="00C80A25"/>
    <w:rsid w:val="00C80BF1"/>
    <w:rsid w:val="00C817D1"/>
    <w:rsid w:val="00C81DB4"/>
    <w:rsid w:val="00C81DF7"/>
    <w:rsid w:val="00C8242E"/>
    <w:rsid w:val="00C82930"/>
    <w:rsid w:val="00C82D33"/>
    <w:rsid w:val="00C8301A"/>
    <w:rsid w:val="00C834B3"/>
    <w:rsid w:val="00C835A1"/>
    <w:rsid w:val="00C83C43"/>
    <w:rsid w:val="00C83E34"/>
    <w:rsid w:val="00C84D4F"/>
    <w:rsid w:val="00C8531E"/>
    <w:rsid w:val="00C853A9"/>
    <w:rsid w:val="00C85644"/>
    <w:rsid w:val="00C8572E"/>
    <w:rsid w:val="00C85B6C"/>
    <w:rsid w:val="00C85E1F"/>
    <w:rsid w:val="00C86BFE"/>
    <w:rsid w:val="00C86D8A"/>
    <w:rsid w:val="00C873ED"/>
    <w:rsid w:val="00C87F73"/>
    <w:rsid w:val="00C87F8D"/>
    <w:rsid w:val="00C900B0"/>
    <w:rsid w:val="00C90164"/>
    <w:rsid w:val="00C90231"/>
    <w:rsid w:val="00C9080B"/>
    <w:rsid w:val="00C90CF6"/>
    <w:rsid w:val="00C90D8A"/>
    <w:rsid w:val="00C90EF9"/>
    <w:rsid w:val="00C9108F"/>
    <w:rsid w:val="00C91328"/>
    <w:rsid w:val="00C91C5C"/>
    <w:rsid w:val="00C92714"/>
    <w:rsid w:val="00C9286B"/>
    <w:rsid w:val="00C92949"/>
    <w:rsid w:val="00C92B1A"/>
    <w:rsid w:val="00C9312F"/>
    <w:rsid w:val="00C933D8"/>
    <w:rsid w:val="00C9358B"/>
    <w:rsid w:val="00C93DE5"/>
    <w:rsid w:val="00C94AD2"/>
    <w:rsid w:val="00C950CA"/>
    <w:rsid w:val="00C958E9"/>
    <w:rsid w:val="00C95ED6"/>
    <w:rsid w:val="00C95F3F"/>
    <w:rsid w:val="00C95FCC"/>
    <w:rsid w:val="00C9741C"/>
    <w:rsid w:val="00CA001B"/>
    <w:rsid w:val="00CA0057"/>
    <w:rsid w:val="00CA1379"/>
    <w:rsid w:val="00CA1B03"/>
    <w:rsid w:val="00CA1DCF"/>
    <w:rsid w:val="00CA1FB0"/>
    <w:rsid w:val="00CA24D1"/>
    <w:rsid w:val="00CA27A0"/>
    <w:rsid w:val="00CA2E1D"/>
    <w:rsid w:val="00CA30A0"/>
    <w:rsid w:val="00CA324D"/>
    <w:rsid w:val="00CA39CC"/>
    <w:rsid w:val="00CA4743"/>
    <w:rsid w:val="00CA48B2"/>
    <w:rsid w:val="00CA52FB"/>
    <w:rsid w:val="00CA6014"/>
    <w:rsid w:val="00CA6568"/>
    <w:rsid w:val="00CA65FC"/>
    <w:rsid w:val="00CA6B6A"/>
    <w:rsid w:val="00CA735E"/>
    <w:rsid w:val="00CA73DD"/>
    <w:rsid w:val="00CA7931"/>
    <w:rsid w:val="00CA7D8A"/>
    <w:rsid w:val="00CB10A6"/>
    <w:rsid w:val="00CB1162"/>
    <w:rsid w:val="00CB138F"/>
    <w:rsid w:val="00CB13E0"/>
    <w:rsid w:val="00CB1640"/>
    <w:rsid w:val="00CB1B42"/>
    <w:rsid w:val="00CB1DCD"/>
    <w:rsid w:val="00CB1F74"/>
    <w:rsid w:val="00CB2197"/>
    <w:rsid w:val="00CB22C2"/>
    <w:rsid w:val="00CB248C"/>
    <w:rsid w:val="00CB254E"/>
    <w:rsid w:val="00CB25B9"/>
    <w:rsid w:val="00CB2E34"/>
    <w:rsid w:val="00CB34D6"/>
    <w:rsid w:val="00CB3934"/>
    <w:rsid w:val="00CB4046"/>
    <w:rsid w:val="00CB43FA"/>
    <w:rsid w:val="00CB4EF9"/>
    <w:rsid w:val="00CB5A89"/>
    <w:rsid w:val="00CB5B31"/>
    <w:rsid w:val="00CB5BE7"/>
    <w:rsid w:val="00CB712E"/>
    <w:rsid w:val="00CB7234"/>
    <w:rsid w:val="00CB76B8"/>
    <w:rsid w:val="00CB7703"/>
    <w:rsid w:val="00CB783B"/>
    <w:rsid w:val="00CB7F84"/>
    <w:rsid w:val="00CB7FBA"/>
    <w:rsid w:val="00CC1189"/>
    <w:rsid w:val="00CC19C4"/>
    <w:rsid w:val="00CC1E2E"/>
    <w:rsid w:val="00CC1F79"/>
    <w:rsid w:val="00CC203E"/>
    <w:rsid w:val="00CC23C6"/>
    <w:rsid w:val="00CC26B8"/>
    <w:rsid w:val="00CC2803"/>
    <w:rsid w:val="00CC32F3"/>
    <w:rsid w:val="00CC3489"/>
    <w:rsid w:val="00CC3A68"/>
    <w:rsid w:val="00CC3E3F"/>
    <w:rsid w:val="00CC40A0"/>
    <w:rsid w:val="00CC468B"/>
    <w:rsid w:val="00CC4B5B"/>
    <w:rsid w:val="00CC56AF"/>
    <w:rsid w:val="00CC56C9"/>
    <w:rsid w:val="00CC6423"/>
    <w:rsid w:val="00CC657C"/>
    <w:rsid w:val="00CC68D6"/>
    <w:rsid w:val="00CC707F"/>
    <w:rsid w:val="00CC79CD"/>
    <w:rsid w:val="00CC7CC8"/>
    <w:rsid w:val="00CD0332"/>
    <w:rsid w:val="00CD0761"/>
    <w:rsid w:val="00CD0CEE"/>
    <w:rsid w:val="00CD0E1F"/>
    <w:rsid w:val="00CD1841"/>
    <w:rsid w:val="00CD1BF1"/>
    <w:rsid w:val="00CD2A3E"/>
    <w:rsid w:val="00CD31C1"/>
    <w:rsid w:val="00CD35E8"/>
    <w:rsid w:val="00CD35F1"/>
    <w:rsid w:val="00CD3EA4"/>
    <w:rsid w:val="00CD4704"/>
    <w:rsid w:val="00CD4AE1"/>
    <w:rsid w:val="00CD4B3B"/>
    <w:rsid w:val="00CD4C9C"/>
    <w:rsid w:val="00CD5401"/>
    <w:rsid w:val="00CD5716"/>
    <w:rsid w:val="00CD5927"/>
    <w:rsid w:val="00CD64BF"/>
    <w:rsid w:val="00CD6524"/>
    <w:rsid w:val="00CD68DD"/>
    <w:rsid w:val="00CD6C24"/>
    <w:rsid w:val="00CD6C94"/>
    <w:rsid w:val="00CD7649"/>
    <w:rsid w:val="00CD7760"/>
    <w:rsid w:val="00CD794A"/>
    <w:rsid w:val="00CD7B0E"/>
    <w:rsid w:val="00CD7B8B"/>
    <w:rsid w:val="00CD7D8E"/>
    <w:rsid w:val="00CE0513"/>
    <w:rsid w:val="00CE073C"/>
    <w:rsid w:val="00CE08C7"/>
    <w:rsid w:val="00CE0AAE"/>
    <w:rsid w:val="00CE1374"/>
    <w:rsid w:val="00CE1D18"/>
    <w:rsid w:val="00CE23D8"/>
    <w:rsid w:val="00CE24CB"/>
    <w:rsid w:val="00CE2B04"/>
    <w:rsid w:val="00CE3F20"/>
    <w:rsid w:val="00CE4565"/>
    <w:rsid w:val="00CE4E5D"/>
    <w:rsid w:val="00CE4F18"/>
    <w:rsid w:val="00CE50E8"/>
    <w:rsid w:val="00CE5298"/>
    <w:rsid w:val="00CE5841"/>
    <w:rsid w:val="00CE58EB"/>
    <w:rsid w:val="00CE596B"/>
    <w:rsid w:val="00CE5F0A"/>
    <w:rsid w:val="00CE6261"/>
    <w:rsid w:val="00CE643F"/>
    <w:rsid w:val="00CE681D"/>
    <w:rsid w:val="00CE6A32"/>
    <w:rsid w:val="00CE78C9"/>
    <w:rsid w:val="00CF0507"/>
    <w:rsid w:val="00CF091E"/>
    <w:rsid w:val="00CF0A69"/>
    <w:rsid w:val="00CF0C1D"/>
    <w:rsid w:val="00CF10F6"/>
    <w:rsid w:val="00CF12EC"/>
    <w:rsid w:val="00CF1331"/>
    <w:rsid w:val="00CF15E2"/>
    <w:rsid w:val="00CF184F"/>
    <w:rsid w:val="00CF1A09"/>
    <w:rsid w:val="00CF1E7E"/>
    <w:rsid w:val="00CF26A8"/>
    <w:rsid w:val="00CF2ACC"/>
    <w:rsid w:val="00CF3547"/>
    <w:rsid w:val="00CF35A2"/>
    <w:rsid w:val="00CF35B2"/>
    <w:rsid w:val="00CF38D4"/>
    <w:rsid w:val="00CF3AB9"/>
    <w:rsid w:val="00CF3BE7"/>
    <w:rsid w:val="00CF3F0D"/>
    <w:rsid w:val="00CF472E"/>
    <w:rsid w:val="00CF5056"/>
    <w:rsid w:val="00CF50F7"/>
    <w:rsid w:val="00CF5593"/>
    <w:rsid w:val="00CF5672"/>
    <w:rsid w:val="00CF5C9C"/>
    <w:rsid w:val="00CF5DB7"/>
    <w:rsid w:val="00CF60B2"/>
    <w:rsid w:val="00CF6874"/>
    <w:rsid w:val="00CF6BB9"/>
    <w:rsid w:val="00CF6DD6"/>
    <w:rsid w:val="00D00061"/>
    <w:rsid w:val="00D00798"/>
    <w:rsid w:val="00D00FDE"/>
    <w:rsid w:val="00D0121F"/>
    <w:rsid w:val="00D02111"/>
    <w:rsid w:val="00D022D6"/>
    <w:rsid w:val="00D0244F"/>
    <w:rsid w:val="00D026EE"/>
    <w:rsid w:val="00D02876"/>
    <w:rsid w:val="00D0316E"/>
    <w:rsid w:val="00D03342"/>
    <w:rsid w:val="00D03563"/>
    <w:rsid w:val="00D03A13"/>
    <w:rsid w:val="00D03F31"/>
    <w:rsid w:val="00D041BF"/>
    <w:rsid w:val="00D04451"/>
    <w:rsid w:val="00D04454"/>
    <w:rsid w:val="00D045FD"/>
    <w:rsid w:val="00D05061"/>
    <w:rsid w:val="00D0586B"/>
    <w:rsid w:val="00D0774F"/>
    <w:rsid w:val="00D10303"/>
    <w:rsid w:val="00D103E0"/>
    <w:rsid w:val="00D1060F"/>
    <w:rsid w:val="00D10E2C"/>
    <w:rsid w:val="00D1140B"/>
    <w:rsid w:val="00D11823"/>
    <w:rsid w:val="00D118F2"/>
    <w:rsid w:val="00D11D06"/>
    <w:rsid w:val="00D11E06"/>
    <w:rsid w:val="00D12105"/>
    <w:rsid w:val="00D12207"/>
    <w:rsid w:val="00D12D32"/>
    <w:rsid w:val="00D12D86"/>
    <w:rsid w:val="00D12E0E"/>
    <w:rsid w:val="00D12F07"/>
    <w:rsid w:val="00D12FCB"/>
    <w:rsid w:val="00D130F7"/>
    <w:rsid w:val="00D132C3"/>
    <w:rsid w:val="00D13444"/>
    <w:rsid w:val="00D13887"/>
    <w:rsid w:val="00D140EF"/>
    <w:rsid w:val="00D1452D"/>
    <w:rsid w:val="00D148D1"/>
    <w:rsid w:val="00D149AD"/>
    <w:rsid w:val="00D14CD4"/>
    <w:rsid w:val="00D15416"/>
    <w:rsid w:val="00D159F8"/>
    <w:rsid w:val="00D1637D"/>
    <w:rsid w:val="00D16650"/>
    <w:rsid w:val="00D16C47"/>
    <w:rsid w:val="00D16C61"/>
    <w:rsid w:val="00D16CC4"/>
    <w:rsid w:val="00D1713A"/>
    <w:rsid w:val="00D171C8"/>
    <w:rsid w:val="00D17AFC"/>
    <w:rsid w:val="00D17CFB"/>
    <w:rsid w:val="00D17D1E"/>
    <w:rsid w:val="00D2009D"/>
    <w:rsid w:val="00D20744"/>
    <w:rsid w:val="00D20822"/>
    <w:rsid w:val="00D2110E"/>
    <w:rsid w:val="00D22287"/>
    <w:rsid w:val="00D22567"/>
    <w:rsid w:val="00D226B9"/>
    <w:rsid w:val="00D22D14"/>
    <w:rsid w:val="00D23437"/>
    <w:rsid w:val="00D234D2"/>
    <w:rsid w:val="00D2373E"/>
    <w:rsid w:val="00D2381C"/>
    <w:rsid w:val="00D23842"/>
    <w:rsid w:val="00D23A94"/>
    <w:rsid w:val="00D23F38"/>
    <w:rsid w:val="00D240BA"/>
    <w:rsid w:val="00D24346"/>
    <w:rsid w:val="00D244E1"/>
    <w:rsid w:val="00D2459A"/>
    <w:rsid w:val="00D24672"/>
    <w:rsid w:val="00D248D9"/>
    <w:rsid w:val="00D24A5C"/>
    <w:rsid w:val="00D24B50"/>
    <w:rsid w:val="00D24CD7"/>
    <w:rsid w:val="00D24D7B"/>
    <w:rsid w:val="00D2502F"/>
    <w:rsid w:val="00D25100"/>
    <w:rsid w:val="00D25450"/>
    <w:rsid w:val="00D255E8"/>
    <w:rsid w:val="00D25A2B"/>
    <w:rsid w:val="00D25F3E"/>
    <w:rsid w:val="00D2628C"/>
    <w:rsid w:val="00D26C87"/>
    <w:rsid w:val="00D26D27"/>
    <w:rsid w:val="00D26D53"/>
    <w:rsid w:val="00D26EF3"/>
    <w:rsid w:val="00D27131"/>
    <w:rsid w:val="00D301AC"/>
    <w:rsid w:val="00D30336"/>
    <w:rsid w:val="00D30815"/>
    <w:rsid w:val="00D30B75"/>
    <w:rsid w:val="00D30C28"/>
    <w:rsid w:val="00D30F3A"/>
    <w:rsid w:val="00D31BBD"/>
    <w:rsid w:val="00D31BEC"/>
    <w:rsid w:val="00D32104"/>
    <w:rsid w:val="00D329A0"/>
    <w:rsid w:val="00D32B44"/>
    <w:rsid w:val="00D32CE1"/>
    <w:rsid w:val="00D32E58"/>
    <w:rsid w:val="00D33010"/>
    <w:rsid w:val="00D33362"/>
    <w:rsid w:val="00D334CD"/>
    <w:rsid w:val="00D3395C"/>
    <w:rsid w:val="00D33980"/>
    <w:rsid w:val="00D34412"/>
    <w:rsid w:val="00D34D6B"/>
    <w:rsid w:val="00D354AD"/>
    <w:rsid w:val="00D35628"/>
    <w:rsid w:val="00D35BAA"/>
    <w:rsid w:val="00D36072"/>
    <w:rsid w:val="00D36122"/>
    <w:rsid w:val="00D36D3C"/>
    <w:rsid w:val="00D36ED8"/>
    <w:rsid w:val="00D3756A"/>
    <w:rsid w:val="00D375DA"/>
    <w:rsid w:val="00D377AE"/>
    <w:rsid w:val="00D37CD7"/>
    <w:rsid w:val="00D400D8"/>
    <w:rsid w:val="00D40342"/>
    <w:rsid w:val="00D404B1"/>
    <w:rsid w:val="00D4113F"/>
    <w:rsid w:val="00D4119C"/>
    <w:rsid w:val="00D412B3"/>
    <w:rsid w:val="00D41378"/>
    <w:rsid w:val="00D41616"/>
    <w:rsid w:val="00D418D3"/>
    <w:rsid w:val="00D42B1F"/>
    <w:rsid w:val="00D42CD9"/>
    <w:rsid w:val="00D43988"/>
    <w:rsid w:val="00D43AC4"/>
    <w:rsid w:val="00D43DBF"/>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22D"/>
    <w:rsid w:val="00D47867"/>
    <w:rsid w:val="00D4788F"/>
    <w:rsid w:val="00D47D6E"/>
    <w:rsid w:val="00D47E2C"/>
    <w:rsid w:val="00D47EAF"/>
    <w:rsid w:val="00D504F6"/>
    <w:rsid w:val="00D50C02"/>
    <w:rsid w:val="00D50E4B"/>
    <w:rsid w:val="00D50E7A"/>
    <w:rsid w:val="00D50EF0"/>
    <w:rsid w:val="00D512EA"/>
    <w:rsid w:val="00D51552"/>
    <w:rsid w:val="00D51B27"/>
    <w:rsid w:val="00D52013"/>
    <w:rsid w:val="00D5227E"/>
    <w:rsid w:val="00D5242C"/>
    <w:rsid w:val="00D52583"/>
    <w:rsid w:val="00D52D7F"/>
    <w:rsid w:val="00D52F8D"/>
    <w:rsid w:val="00D53034"/>
    <w:rsid w:val="00D532F5"/>
    <w:rsid w:val="00D5331B"/>
    <w:rsid w:val="00D538FE"/>
    <w:rsid w:val="00D54373"/>
    <w:rsid w:val="00D545E9"/>
    <w:rsid w:val="00D54785"/>
    <w:rsid w:val="00D547BC"/>
    <w:rsid w:val="00D54BC4"/>
    <w:rsid w:val="00D54E43"/>
    <w:rsid w:val="00D54F28"/>
    <w:rsid w:val="00D555E4"/>
    <w:rsid w:val="00D559DA"/>
    <w:rsid w:val="00D55A05"/>
    <w:rsid w:val="00D55E57"/>
    <w:rsid w:val="00D56202"/>
    <w:rsid w:val="00D564EF"/>
    <w:rsid w:val="00D5676E"/>
    <w:rsid w:val="00D56DB7"/>
    <w:rsid w:val="00D570FB"/>
    <w:rsid w:val="00D57447"/>
    <w:rsid w:val="00D60111"/>
    <w:rsid w:val="00D60231"/>
    <w:rsid w:val="00D60E3C"/>
    <w:rsid w:val="00D60FC5"/>
    <w:rsid w:val="00D60FE9"/>
    <w:rsid w:val="00D613B2"/>
    <w:rsid w:val="00D61A8C"/>
    <w:rsid w:val="00D61A9F"/>
    <w:rsid w:val="00D61EDD"/>
    <w:rsid w:val="00D621D0"/>
    <w:rsid w:val="00D628AF"/>
    <w:rsid w:val="00D6294B"/>
    <w:rsid w:val="00D62AF3"/>
    <w:rsid w:val="00D630BA"/>
    <w:rsid w:val="00D63413"/>
    <w:rsid w:val="00D63446"/>
    <w:rsid w:val="00D6353D"/>
    <w:rsid w:val="00D640B2"/>
    <w:rsid w:val="00D6429C"/>
    <w:rsid w:val="00D642D7"/>
    <w:rsid w:val="00D64490"/>
    <w:rsid w:val="00D64A3D"/>
    <w:rsid w:val="00D65D91"/>
    <w:rsid w:val="00D662EE"/>
    <w:rsid w:val="00D66331"/>
    <w:rsid w:val="00D66697"/>
    <w:rsid w:val="00D66EDC"/>
    <w:rsid w:val="00D6704C"/>
    <w:rsid w:val="00D670B7"/>
    <w:rsid w:val="00D6750E"/>
    <w:rsid w:val="00D67684"/>
    <w:rsid w:val="00D67ACA"/>
    <w:rsid w:val="00D67EA8"/>
    <w:rsid w:val="00D67F69"/>
    <w:rsid w:val="00D67FBE"/>
    <w:rsid w:val="00D70737"/>
    <w:rsid w:val="00D70E58"/>
    <w:rsid w:val="00D71103"/>
    <w:rsid w:val="00D722B4"/>
    <w:rsid w:val="00D723EC"/>
    <w:rsid w:val="00D72420"/>
    <w:rsid w:val="00D72551"/>
    <w:rsid w:val="00D7255F"/>
    <w:rsid w:val="00D725C6"/>
    <w:rsid w:val="00D726EB"/>
    <w:rsid w:val="00D72DF4"/>
    <w:rsid w:val="00D72E06"/>
    <w:rsid w:val="00D731EC"/>
    <w:rsid w:val="00D73302"/>
    <w:rsid w:val="00D73ADE"/>
    <w:rsid w:val="00D73AF1"/>
    <w:rsid w:val="00D74504"/>
    <w:rsid w:val="00D74639"/>
    <w:rsid w:val="00D74DAF"/>
    <w:rsid w:val="00D74F04"/>
    <w:rsid w:val="00D75E74"/>
    <w:rsid w:val="00D762C4"/>
    <w:rsid w:val="00D76DDA"/>
    <w:rsid w:val="00D77EF0"/>
    <w:rsid w:val="00D77F35"/>
    <w:rsid w:val="00D80341"/>
    <w:rsid w:val="00D8093F"/>
    <w:rsid w:val="00D809B7"/>
    <w:rsid w:val="00D8101C"/>
    <w:rsid w:val="00D810C4"/>
    <w:rsid w:val="00D813B0"/>
    <w:rsid w:val="00D81A57"/>
    <w:rsid w:val="00D81FFC"/>
    <w:rsid w:val="00D82A4C"/>
    <w:rsid w:val="00D82E01"/>
    <w:rsid w:val="00D837B4"/>
    <w:rsid w:val="00D83A8B"/>
    <w:rsid w:val="00D84061"/>
    <w:rsid w:val="00D844E7"/>
    <w:rsid w:val="00D8483A"/>
    <w:rsid w:val="00D8551D"/>
    <w:rsid w:val="00D85683"/>
    <w:rsid w:val="00D8682D"/>
    <w:rsid w:val="00D8687A"/>
    <w:rsid w:val="00D86B88"/>
    <w:rsid w:val="00D87125"/>
    <w:rsid w:val="00D87145"/>
    <w:rsid w:val="00D874FB"/>
    <w:rsid w:val="00D87776"/>
    <w:rsid w:val="00D87FDB"/>
    <w:rsid w:val="00D90EC1"/>
    <w:rsid w:val="00D90F8A"/>
    <w:rsid w:val="00D91621"/>
    <w:rsid w:val="00D918C7"/>
    <w:rsid w:val="00D91B8F"/>
    <w:rsid w:val="00D924A0"/>
    <w:rsid w:val="00D92CF0"/>
    <w:rsid w:val="00D930F2"/>
    <w:rsid w:val="00D9310A"/>
    <w:rsid w:val="00D93342"/>
    <w:rsid w:val="00D93415"/>
    <w:rsid w:val="00D9450C"/>
    <w:rsid w:val="00D94D4B"/>
    <w:rsid w:val="00D94E0E"/>
    <w:rsid w:val="00D94F54"/>
    <w:rsid w:val="00D950AF"/>
    <w:rsid w:val="00D9545B"/>
    <w:rsid w:val="00D9553A"/>
    <w:rsid w:val="00D957EB"/>
    <w:rsid w:val="00D95BCF"/>
    <w:rsid w:val="00D95FC2"/>
    <w:rsid w:val="00D961EE"/>
    <w:rsid w:val="00D96952"/>
    <w:rsid w:val="00D97077"/>
    <w:rsid w:val="00D971AA"/>
    <w:rsid w:val="00D97308"/>
    <w:rsid w:val="00D9740F"/>
    <w:rsid w:val="00D97A89"/>
    <w:rsid w:val="00D97BA1"/>
    <w:rsid w:val="00D97D8B"/>
    <w:rsid w:val="00DA01BF"/>
    <w:rsid w:val="00DA02AD"/>
    <w:rsid w:val="00DA09FC"/>
    <w:rsid w:val="00DA0CD3"/>
    <w:rsid w:val="00DA0E8F"/>
    <w:rsid w:val="00DA1779"/>
    <w:rsid w:val="00DA1EE5"/>
    <w:rsid w:val="00DA263F"/>
    <w:rsid w:val="00DA2A54"/>
    <w:rsid w:val="00DA2CDD"/>
    <w:rsid w:val="00DA324E"/>
    <w:rsid w:val="00DA3D5A"/>
    <w:rsid w:val="00DA3D60"/>
    <w:rsid w:val="00DA44CF"/>
    <w:rsid w:val="00DA47B9"/>
    <w:rsid w:val="00DA51F4"/>
    <w:rsid w:val="00DA59D2"/>
    <w:rsid w:val="00DA60CB"/>
    <w:rsid w:val="00DA669D"/>
    <w:rsid w:val="00DA691E"/>
    <w:rsid w:val="00DA6DAA"/>
    <w:rsid w:val="00DA776F"/>
    <w:rsid w:val="00DA7B84"/>
    <w:rsid w:val="00DB1749"/>
    <w:rsid w:val="00DB1FEA"/>
    <w:rsid w:val="00DB2948"/>
    <w:rsid w:val="00DB2B7E"/>
    <w:rsid w:val="00DB328A"/>
    <w:rsid w:val="00DB33D2"/>
    <w:rsid w:val="00DB36D2"/>
    <w:rsid w:val="00DB42F9"/>
    <w:rsid w:val="00DB452C"/>
    <w:rsid w:val="00DB476D"/>
    <w:rsid w:val="00DB47C5"/>
    <w:rsid w:val="00DB527B"/>
    <w:rsid w:val="00DB5719"/>
    <w:rsid w:val="00DB5D19"/>
    <w:rsid w:val="00DB5E4A"/>
    <w:rsid w:val="00DB6042"/>
    <w:rsid w:val="00DB624E"/>
    <w:rsid w:val="00DB6888"/>
    <w:rsid w:val="00DB68E8"/>
    <w:rsid w:val="00DB70A2"/>
    <w:rsid w:val="00DB7A4B"/>
    <w:rsid w:val="00DC02EA"/>
    <w:rsid w:val="00DC0A52"/>
    <w:rsid w:val="00DC0BD5"/>
    <w:rsid w:val="00DC0BDC"/>
    <w:rsid w:val="00DC0E65"/>
    <w:rsid w:val="00DC0F49"/>
    <w:rsid w:val="00DC1103"/>
    <w:rsid w:val="00DC1117"/>
    <w:rsid w:val="00DC1228"/>
    <w:rsid w:val="00DC13E6"/>
    <w:rsid w:val="00DC1CA6"/>
    <w:rsid w:val="00DC20CF"/>
    <w:rsid w:val="00DC224D"/>
    <w:rsid w:val="00DC2259"/>
    <w:rsid w:val="00DC2623"/>
    <w:rsid w:val="00DC30AE"/>
    <w:rsid w:val="00DC31CC"/>
    <w:rsid w:val="00DC37FD"/>
    <w:rsid w:val="00DC3A8D"/>
    <w:rsid w:val="00DC6407"/>
    <w:rsid w:val="00DC72B8"/>
    <w:rsid w:val="00DC76C3"/>
    <w:rsid w:val="00DC77BF"/>
    <w:rsid w:val="00DC7A5D"/>
    <w:rsid w:val="00DC7BDA"/>
    <w:rsid w:val="00DC7E69"/>
    <w:rsid w:val="00DD02C0"/>
    <w:rsid w:val="00DD122C"/>
    <w:rsid w:val="00DD1B83"/>
    <w:rsid w:val="00DD1EC6"/>
    <w:rsid w:val="00DD2821"/>
    <w:rsid w:val="00DD2843"/>
    <w:rsid w:val="00DD2BAF"/>
    <w:rsid w:val="00DD2C41"/>
    <w:rsid w:val="00DD2CAD"/>
    <w:rsid w:val="00DD2E32"/>
    <w:rsid w:val="00DD3145"/>
    <w:rsid w:val="00DD3308"/>
    <w:rsid w:val="00DD3316"/>
    <w:rsid w:val="00DD38FE"/>
    <w:rsid w:val="00DD40D7"/>
    <w:rsid w:val="00DD42D8"/>
    <w:rsid w:val="00DD460E"/>
    <w:rsid w:val="00DD4F5E"/>
    <w:rsid w:val="00DD5ADD"/>
    <w:rsid w:val="00DD5C82"/>
    <w:rsid w:val="00DD5E57"/>
    <w:rsid w:val="00DD6DFD"/>
    <w:rsid w:val="00DD6E32"/>
    <w:rsid w:val="00DD70A2"/>
    <w:rsid w:val="00DD7695"/>
    <w:rsid w:val="00DE02BE"/>
    <w:rsid w:val="00DE1255"/>
    <w:rsid w:val="00DE146E"/>
    <w:rsid w:val="00DE1B0C"/>
    <w:rsid w:val="00DE2B78"/>
    <w:rsid w:val="00DE317C"/>
    <w:rsid w:val="00DE3385"/>
    <w:rsid w:val="00DE3554"/>
    <w:rsid w:val="00DE38A1"/>
    <w:rsid w:val="00DE4051"/>
    <w:rsid w:val="00DE4502"/>
    <w:rsid w:val="00DE4638"/>
    <w:rsid w:val="00DE4651"/>
    <w:rsid w:val="00DE4983"/>
    <w:rsid w:val="00DE6569"/>
    <w:rsid w:val="00DE66D7"/>
    <w:rsid w:val="00DE6A04"/>
    <w:rsid w:val="00DE6AAE"/>
    <w:rsid w:val="00DE70A2"/>
    <w:rsid w:val="00DE7265"/>
    <w:rsid w:val="00DE7525"/>
    <w:rsid w:val="00DE7579"/>
    <w:rsid w:val="00DE7623"/>
    <w:rsid w:val="00DE7758"/>
    <w:rsid w:val="00DE7BDC"/>
    <w:rsid w:val="00DF048D"/>
    <w:rsid w:val="00DF1251"/>
    <w:rsid w:val="00DF1298"/>
    <w:rsid w:val="00DF1352"/>
    <w:rsid w:val="00DF16EB"/>
    <w:rsid w:val="00DF1791"/>
    <w:rsid w:val="00DF1AD3"/>
    <w:rsid w:val="00DF2353"/>
    <w:rsid w:val="00DF27FC"/>
    <w:rsid w:val="00DF2C54"/>
    <w:rsid w:val="00DF3724"/>
    <w:rsid w:val="00DF3837"/>
    <w:rsid w:val="00DF3A26"/>
    <w:rsid w:val="00DF3AB2"/>
    <w:rsid w:val="00DF6677"/>
    <w:rsid w:val="00DF6FBC"/>
    <w:rsid w:val="00DF75D9"/>
    <w:rsid w:val="00DF78B2"/>
    <w:rsid w:val="00DF7DD5"/>
    <w:rsid w:val="00DF7ED4"/>
    <w:rsid w:val="00E004C6"/>
    <w:rsid w:val="00E0054D"/>
    <w:rsid w:val="00E00684"/>
    <w:rsid w:val="00E0074B"/>
    <w:rsid w:val="00E00898"/>
    <w:rsid w:val="00E01CB2"/>
    <w:rsid w:val="00E01DD2"/>
    <w:rsid w:val="00E020A9"/>
    <w:rsid w:val="00E02546"/>
    <w:rsid w:val="00E0272B"/>
    <w:rsid w:val="00E02CFF"/>
    <w:rsid w:val="00E02E2F"/>
    <w:rsid w:val="00E03938"/>
    <w:rsid w:val="00E03BB8"/>
    <w:rsid w:val="00E03CBD"/>
    <w:rsid w:val="00E03E83"/>
    <w:rsid w:val="00E042DE"/>
    <w:rsid w:val="00E044DD"/>
    <w:rsid w:val="00E04877"/>
    <w:rsid w:val="00E04C45"/>
    <w:rsid w:val="00E04D1C"/>
    <w:rsid w:val="00E05681"/>
    <w:rsid w:val="00E0576B"/>
    <w:rsid w:val="00E0588C"/>
    <w:rsid w:val="00E058EB"/>
    <w:rsid w:val="00E05A89"/>
    <w:rsid w:val="00E05FA9"/>
    <w:rsid w:val="00E06062"/>
    <w:rsid w:val="00E0628E"/>
    <w:rsid w:val="00E06460"/>
    <w:rsid w:val="00E06826"/>
    <w:rsid w:val="00E0689E"/>
    <w:rsid w:val="00E0730E"/>
    <w:rsid w:val="00E073CF"/>
    <w:rsid w:val="00E07BA5"/>
    <w:rsid w:val="00E07F31"/>
    <w:rsid w:val="00E07FCF"/>
    <w:rsid w:val="00E10233"/>
    <w:rsid w:val="00E10C42"/>
    <w:rsid w:val="00E11C13"/>
    <w:rsid w:val="00E11F04"/>
    <w:rsid w:val="00E12535"/>
    <w:rsid w:val="00E12D89"/>
    <w:rsid w:val="00E13167"/>
    <w:rsid w:val="00E1340B"/>
    <w:rsid w:val="00E13602"/>
    <w:rsid w:val="00E13999"/>
    <w:rsid w:val="00E13F45"/>
    <w:rsid w:val="00E14108"/>
    <w:rsid w:val="00E1493B"/>
    <w:rsid w:val="00E149D3"/>
    <w:rsid w:val="00E14EE9"/>
    <w:rsid w:val="00E15082"/>
    <w:rsid w:val="00E15217"/>
    <w:rsid w:val="00E15282"/>
    <w:rsid w:val="00E1557E"/>
    <w:rsid w:val="00E15F3D"/>
    <w:rsid w:val="00E161AD"/>
    <w:rsid w:val="00E16931"/>
    <w:rsid w:val="00E16D18"/>
    <w:rsid w:val="00E16E3C"/>
    <w:rsid w:val="00E17050"/>
    <w:rsid w:val="00E17F53"/>
    <w:rsid w:val="00E2040B"/>
    <w:rsid w:val="00E211FF"/>
    <w:rsid w:val="00E21463"/>
    <w:rsid w:val="00E21479"/>
    <w:rsid w:val="00E21BA1"/>
    <w:rsid w:val="00E21DB7"/>
    <w:rsid w:val="00E2256E"/>
    <w:rsid w:val="00E24195"/>
    <w:rsid w:val="00E24567"/>
    <w:rsid w:val="00E246BF"/>
    <w:rsid w:val="00E249D9"/>
    <w:rsid w:val="00E25124"/>
    <w:rsid w:val="00E25239"/>
    <w:rsid w:val="00E25814"/>
    <w:rsid w:val="00E25A4F"/>
    <w:rsid w:val="00E25AA4"/>
    <w:rsid w:val="00E261F8"/>
    <w:rsid w:val="00E2624E"/>
    <w:rsid w:val="00E2664B"/>
    <w:rsid w:val="00E268EB"/>
    <w:rsid w:val="00E26973"/>
    <w:rsid w:val="00E26E57"/>
    <w:rsid w:val="00E27354"/>
    <w:rsid w:val="00E27467"/>
    <w:rsid w:val="00E278A8"/>
    <w:rsid w:val="00E27BEA"/>
    <w:rsid w:val="00E302E2"/>
    <w:rsid w:val="00E303A9"/>
    <w:rsid w:val="00E3043D"/>
    <w:rsid w:val="00E30628"/>
    <w:rsid w:val="00E30883"/>
    <w:rsid w:val="00E31251"/>
    <w:rsid w:val="00E32231"/>
    <w:rsid w:val="00E324AD"/>
    <w:rsid w:val="00E32E0C"/>
    <w:rsid w:val="00E32F9A"/>
    <w:rsid w:val="00E3336A"/>
    <w:rsid w:val="00E333FB"/>
    <w:rsid w:val="00E3342D"/>
    <w:rsid w:val="00E33683"/>
    <w:rsid w:val="00E33734"/>
    <w:rsid w:val="00E33C47"/>
    <w:rsid w:val="00E33C7F"/>
    <w:rsid w:val="00E33EE3"/>
    <w:rsid w:val="00E3440F"/>
    <w:rsid w:val="00E347F0"/>
    <w:rsid w:val="00E35085"/>
    <w:rsid w:val="00E35094"/>
    <w:rsid w:val="00E3527B"/>
    <w:rsid w:val="00E35693"/>
    <w:rsid w:val="00E356FF"/>
    <w:rsid w:val="00E361D0"/>
    <w:rsid w:val="00E36783"/>
    <w:rsid w:val="00E36A55"/>
    <w:rsid w:val="00E36CFA"/>
    <w:rsid w:val="00E36EB2"/>
    <w:rsid w:val="00E36F56"/>
    <w:rsid w:val="00E377A0"/>
    <w:rsid w:val="00E37D7C"/>
    <w:rsid w:val="00E37E51"/>
    <w:rsid w:val="00E4060A"/>
    <w:rsid w:val="00E4083B"/>
    <w:rsid w:val="00E40AEB"/>
    <w:rsid w:val="00E40F9D"/>
    <w:rsid w:val="00E4122C"/>
    <w:rsid w:val="00E417D0"/>
    <w:rsid w:val="00E422C4"/>
    <w:rsid w:val="00E428CA"/>
    <w:rsid w:val="00E429EC"/>
    <w:rsid w:val="00E43330"/>
    <w:rsid w:val="00E4335B"/>
    <w:rsid w:val="00E4341C"/>
    <w:rsid w:val="00E4380E"/>
    <w:rsid w:val="00E439F8"/>
    <w:rsid w:val="00E43AD8"/>
    <w:rsid w:val="00E43DC4"/>
    <w:rsid w:val="00E43DF0"/>
    <w:rsid w:val="00E44199"/>
    <w:rsid w:val="00E4431C"/>
    <w:rsid w:val="00E44A0D"/>
    <w:rsid w:val="00E44CD4"/>
    <w:rsid w:val="00E450A6"/>
    <w:rsid w:val="00E455AB"/>
    <w:rsid w:val="00E459A0"/>
    <w:rsid w:val="00E45B91"/>
    <w:rsid w:val="00E46B50"/>
    <w:rsid w:val="00E46B92"/>
    <w:rsid w:val="00E46C57"/>
    <w:rsid w:val="00E46D9B"/>
    <w:rsid w:val="00E47385"/>
    <w:rsid w:val="00E50533"/>
    <w:rsid w:val="00E508F6"/>
    <w:rsid w:val="00E50D34"/>
    <w:rsid w:val="00E50F7B"/>
    <w:rsid w:val="00E51467"/>
    <w:rsid w:val="00E5176B"/>
    <w:rsid w:val="00E517B2"/>
    <w:rsid w:val="00E51B5D"/>
    <w:rsid w:val="00E51CB9"/>
    <w:rsid w:val="00E527FE"/>
    <w:rsid w:val="00E528BA"/>
    <w:rsid w:val="00E53671"/>
    <w:rsid w:val="00E539CD"/>
    <w:rsid w:val="00E53CAB"/>
    <w:rsid w:val="00E53D6A"/>
    <w:rsid w:val="00E540EA"/>
    <w:rsid w:val="00E55339"/>
    <w:rsid w:val="00E55538"/>
    <w:rsid w:val="00E55ADF"/>
    <w:rsid w:val="00E565C2"/>
    <w:rsid w:val="00E56E95"/>
    <w:rsid w:val="00E56ECC"/>
    <w:rsid w:val="00E5731F"/>
    <w:rsid w:val="00E57F05"/>
    <w:rsid w:val="00E57F9B"/>
    <w:rsid w:val="00E60269"/>
    <w:rsid w:val="00E60358"/>
    <w:rsid w:val="00E60586"/>
    <w:rsid w:val="00E6073C"/>
    <w:rsid w:val="00E60B4F"/>
    <w:rsid w:val="00E60C32"/>
    <w:rsid w:val="00E616A2"/>
    <w:rsid w:val="00E6202B"/>
    <w:rsid w:val="00E625DE"/>
    <w:rsid w:val="00E627F6"/>
    <w:rsid w:val="00E62838"/>
    <w:rsid w:val="00E632C3"/>
    <w:rsid w:val="00E639E4"/>
    <w:rsid w:val="00E63AA2"/>
    <w:rsid w:val="00E63E8A"/>
    <w:rsid w:val="00E63F1D"/>
    <w:rsid w:val="00E63FD4"/>
    <w:rsid w:val="00E646D5"/>
    <w:rsid w:val="00E64A75"/>
    <w:rsid w:val="00E64B1B"/>
    <w:rsid w:val="00E650B6"/>
    <w:rsid w:val="00E65779"/>
    <w:rsid w:val="00E6602D"/>
    <w:rsid w:val="00E6603D"/>
    <w:rsid w:val="00E66275"/>
    <w:rsid w:val="00E67336"/>
    <w:rsid w:val="00E67343"/>
    <w:rsid w:val="00E67E86"/>
    <w:rsid w:val="00E7009F"/>
    <w:rsid w:val="00E70752"/>
    <w:rsid w:val="00E7153E"/>
    <w:rsid w:val="00E71650"/>
    <w:rsid w:val="00E729A3"/>
    <w:rsid w:val="00E72A7F"/>
    <w:rsid w:val="00E72E6E"/>
    <w:rsid w:val="00E72EC2"/>
    <w:rsid w:val="00E73199"/>
    <w:rsid w:val="00E73243"/>
    <w:rsid w:val="00E7372A"/>
    <w:rsid w:val="00E7391E"/>
    <w:rsid w:val="00E73F08"/>
    <w:rsid w:val="00E7483A"/>
    <w:rsid w:val="00E74926"/>
    <w:rsid w:val="00E751CF"/>
    <w:rsid w:val="00E752A1"/>
    <w:rsid w:val="00E753AA"/>
    <w:rsid w:val="00E75A9D"/>
    <w:rsid w:val="00E75B62"/>
    <w:rsid w:val="00E75E7C"/>
    <w:rsid w:val="00E76210"/>
    <w:rsid w:val="00E76513"/>
    <w:rsid w:val="00E76A32"/>
    <w:rsid w:val="00E76C5E"/>
    <w:rsid w:val="00E803C3"/>
    <w:rsid w:val="00E80727"/>
    <w:rsid w:val="00E80872"/>
    <w:rsid w:val="00E8098A"/>
    <w:rsid w:val="00E80EFB"/>
    <w:rsid w:val="00E81B34"/>
    <w:rsid w:val="00E81B8E"/>
    <w:rsid w:val="00E81EBF"/>
    <w:rsid w:val="00E81ED7"/>
    <w:rsid w:val="00E8219D"/>
    <w:rsid w:val="00E82941"/>
    <w:rsid w:val="00E83371"/>
    <w:rsid w:val="00E83599"/>
    <w:rsid w:val="00E8377F"/>
    <w:rsid w:val="00E83C5F"/>
    <w:rsid w:val="00E84955"/>
    <w:rsid w:val="00E84D64"/>
    <w:rsid w:val="00E8543E"/>
    <w:rsid w:val="00E855CE"/>
    <w:rsid w:val="00E8607A"/>
    <w:rsid w:val="00E8623F"/>
    <w:rsid w:val="00E8704B"/>
    <w:rsid w:val="00E87631"/>
    <w:rsid w:val="00E878BE"/>
    <w:rsid w:val="00E87B69"/>
    <w:rsid w:val="00E87D52"/>
    <w:rsid w:val="00E87F00"/>
    <w:rsid w:val="00E87F4D"/>
    <w:rsid w:val="00E901BF"/>
    <w:rsid w:val="00E90407"/>
    <w:rsid w:val="00E90555"/>
    <w:rsid w:val="00E90607"/>
    <w:rsid w:val="00E907BE"/>
    <w:rsid w:val="00E90BDB"/>
    <w:rsid w:val="00E91249"/>
    <w:rsid w:val="00E9176F"/>
    <w:rsid w:val="00E91942"/>
    <w:rsid w:val="00E91B48"/>
    <w:rsid w:val="00E91FBA"/>
    <w:rsid w:val="00E9222C"/>
    <w:rsid w:val="00E9229E"/>
    <w:rsid w:val="00E925E4"/>
    <w:rsid w:val="00E92F79"/>
    <w:rsid w:val="00E933EB"/>
    <w:rsid w:val="00E937CF"/>
    <w:rsid w:val="00E9427A"/>
    <w:rsid w:val="00E9439E"/>
    <w:rsid w:val="00E9522B"/>
    <w:rsid w:val="00E95277"/>
    <w:rsid w:val="00E9558B"/>
    <w:rsid w:val="00E95D1B"/>
    <w:rsid w:val="00E95E64"/>
    <w:rsid w:val="00E95EDC"/>
    <w:rsid w:val="00E96098"/>
    <w:rsid w:val="00E9623E"/>
    <w:rsid w:val="00E9649D"/>
    <w:rsid w:val="00E969F0"/>
    <w:rsid w:val="00E96FA8"/>
    <w:rsid w:val="00EA0534"/>
    <w:rsid w:val="00EA09FE"/>
    <w:rsid w:val="00EA0A9B"/>
    <w:rsid w:val="00EA0D79"/>
    <w:rsid w:val="00EA0E71"/>
    <w:rsid w:val="00EA175D"/>
    <w:rsid w:val="00EA2523"/>
    <w:rsid w:val="00EA2EFA"/>
    <w:rsid w:val="00EA32BF"/>
    <w:rsid w:val="00EA3852"/>
    <w:rsid w:val="00EA456E"/>
    <w:rsid w:val="00EA50D6"/>
    <w:rsid w:val="00EA548E"/>
    <w:rsid w:val="00EA5714"/>
    <w:rsid w:val="00EA722D"/>
    <w:rsid w:val="00EA7662"/>
    <w:rsid w:val="00EB016F"/>
    <w:rsid w:val="00EB0635"/>
    <w:rsid w:val="00EB06EB"/>
    <w:rsid w:val="00EB0798"/>
    <w:rsid w:val="00EB0B50"/>
    <w:rsid w:val="00EB13E0"/>
    <w:rsid w:val="00EB222C"/>
    <w:rsid w:val="00EB33F4"/>
    <w:rsid w:val="00EB3B9C"/>
    <w:rsid w:val="00EB3C8F"/>
    <w:rsid w:val="00EB4242"/>
    <w:rsid w:val="00EB4718"/>
    <w:rsid w:val="00EB4C04"/>
    <w:rsid w:val="00EB4CA7"/>
    <w:rsid w:val="00EB50C2"/>
    <w:rsid w:val="00EB5E24"/>
    <w:rsid w:val="00EB5E76"/>
    <w:rsid w:val="00EB5E87"/>
    <w:rsid w:val="00EB62A4"/>
    <w:rsid w:val="00EB649D"/>
    <w:rsid w:val="00EB6C6B"/>
    <w:rsid w:val="00EB6E0D"/>
    <w:rsid w:val="00EB70A4"/>
    <w:rsid w:val="00EB7363"/>
    <w:rsid w:val="00EB7714"/>
    <w:rsid w:val="00EB7A49"/>
    <w:rsid w:val="00EB7B5B"/>
    <w:rsid w:val="00EB7C4B"/>
    <w:rsid w:val="00EC0BAD"/>
    <w:rsid w:val="00EC10FC"/>
    <w:rsid w:val="00EC1320"/>
    <w:rsid w:val="00EC1406"/>
    <w:rsid w:val="00EC1E89"/>
    <w:rsid w:val="00EC217C"/>
    <w:rsid w:val="00EC225B"/>
    <w:rsid w:val="00EC2677"/>
    <w:rsid w:val="00EC2DAB"/>
    <w:rsid w:val="00EC36F2"/>
    <w:rsid w:val="00EC3821"/>
    <w:rsid w:val="00EC39EA"/>
    <w:rsid w:val="00EC3F43"/>
    <w:rsid w:val="00EC40B3"/>
    <w:rsid w:val="00EC419B"/>
    <w:rsid w:val="00EC464A"/>
    <w:rsid w:val="00EC476F"/>
    <w:rsid w:val="00EC486B"/>
    <w:rsid w:val="00EC48D7"/>
    <w:rsid w:val="00EC49B5"/>
    <w:rsid w:val="00EC4B7C"/>
    <w:rsid w:val="00EC4BB6"/>
    <w:rsid w:val="00EC4F33"/>
    <w:rsid w:val="00EC4F7E"/>
    <w:rsid w:val="00EC5507"/>
    <w:rsid w:val="00EC5634"/>
    <w:rsid w:val="00EC5A55"/>
    <w:rsid w:val="00EC64EB"/>
    <w:rsid w:val="00EC7129"/>
    <w:rsid w:val="00EC78CF"/>
    <w:rsid w:val="00EC790A"/>
    <w:rsid w:val="00ED0270"/>
    <w:rsid w:val="00ED0721"/>
    <w:rsid w:val="00ED07A3"/>
    <w:rsid w:val="00ED0F1C"/>
    <w:rsid w:val="00ED11C5"/>
    <w:rsid w:val="00ED1924"/>
    <w:rsid w:val="00ED1DED"/>
    <w:rsid w:val="00ED1E35"/>
    <w:rsid w:val="00ED1EEE"/>
    <w:rsid w:val="00ED2C8F"/>
    <w:rsid w:val="00ED2D4A"/>
    <w:rsid w:val="00ED2DB6"/>
    <w:rsid w:val="00ED304F"/>
    <w:rsid w:val="00ED30DC"/>
    <w:rsid w:val="00ED3D2A"/>
    <w:rsid w:val="00ED400E"/>
    <w:rsid w:val="00ED45FE"/>
    <w:rsid w:val="00ED47C8"/>
    <w:rsid w:val="00ED4BF7"/>
    <w:rsid w:val="00ED4FB2"/>
    <w:rsid w:val="00ED507D"/>
    <w:rsid w:val="00ED5E6A"/>
    <w:rsid w:val="00ED6426"/>
    <w:rsid w:val="00ED6C8B"/>
    <w:rsid w:val="00ED6F17"/>
    <w:rsid w:val="00ED6F48"/>
    <w:rsid w:val="00ED76F1"/>
    <w:rsid w:val="00ED7BC1"/>
    <w:rsid w:val="00EE148A"/>
    <w:rsid w:val="00EE1A2B"/>
    <w:rsid w:val="00EE1C1C"/>
    <w:rsid w:val="00EE2406"/>
    <w:rsid w:val="00EE2431"/>
    <w:rsid w:val="00EE24DB"/>
    <w:rsid w:val="00EE24FB"/>
    <w:rsid w:val="00EE2D3F"/>
    <w:rsid w:val="00EE2FC2"/>
    <w:rsid w:val="00EE3270"/>
    <w:rsid w:val="00EE3367"/>
    <w:rsid w:val="00EE3730"/>
    <w:rsid w:val="00EE375E"/>
    <w:rsid w:val="00EE3DA2"/>
    <w:rsid w:val="00EE43C0"/>
    <w:rsid w:val="00EE4452"/>
    <w:rsid w:val="00EE456D"/>
    <w:rsid w:val="00EE4C7E"/>
    <w:rsid w:val="00EE51DB"/>
    <w:rsid w:val="00EE556D"/>
    <w:rsid w:val="00EE5713"/>
    <w:rsid w:val="00EE5DBE"/>
    <w:rsid w:val="00EE6128"/>
    <w:rsid w:val="00EE6184"/>
    <w:rsid w:val="00EE698F"/>
    <w:rsid w:val="00EE721A"/>
    <w:rsid w:val="00EE7607"/>
    <w:rsid w:val="00EE7A2C"/>
    <w:rsid w:val="00EE7BEB"/>
    <w:rsid w:val="00EE7F49"/>
    <w:rsid w:val="00EF01EF"/>
    <w:rsid w:val="00EF0209"/>
    <w:rsid w:val="00EF066A"/>
    <w:rsid w:val="00EF09BD"/>
    <w:rsid w:val="00EF0E5D"/>
    <w:rsid w:val="00EF0F3B"/>
    <w:rsid w:val="00EF20F2"/>
    <w:rsid w:val="00EF2141"/>
    <w:rsid w:val="00EF2240"/>
    <w:rsid w:val="00EF3069"/>
    <w:rsid w:val="00EF33CF"/>
    <w:rsid w:val="00EF3482"/>
    <w:rsid w:val="00EF3A6B"/>
    <w:rsid w:val="00EF3D31"/>
    <w:rsid w:val="00EF3DE5"/>
    <w:rsid w:val="00EF440C"/>
    <w:rsid w:val="00EF4C4E"/>
    <w:rsid w:val="00EF51B0"/>
    <w:rsid w:val="00EF5693"/>
    <w:rsid w:val="00EF57A5"/>
    <w:rsid w:val="00EF5811"/>
    <w:rsid w:val="00EF5987"/>
    <w:rsid w:val="00EF6556"/>
    <w:rsid w:val="00EF6F14"/>
    <w:rsid w:val="00EF713B"/>
    <w:rsid w:val="00EF7A1A"/>
    <w:rsid w:val="00EF7D09"/>
    <w:rsid w:val="00EF7E24"/>
    <w:rsid w:val="00F002EF"/>
    <w:rsid w:val="00F012A8"/>
    <w:rsid w:val="00F01733"/>
    <w:rsid w:val="00F01AEA"/>
    <w:rsid w:val="00F020BB"/>
    <w:rsid w:val="00F0319D"/>
    <w:rsid w:val="00F03323"/>
    <w:rsid w:val="00F0385E"/>
    <w:rsid w:val="00F03D27"/>
    <w:rsid w:val="00F04521"/>
    <w:rsid w:val="00F04815"/>
    <w:rsid w:val="00F04E2E"/>
    <w:rsid w:val="00F05C43"/>
    <w:rsid w:val="00F066C8"/>
    <w:rsid w:val="00F06C0B"/>
    <w:rsid w:val="00F07089"/>
    <w:rsid w:val="00F07129"/>
    <w:rsid w:val="00F0743E"/>
    <w:rsid w:val="00F077D2"/>
    <w:rsid w:val="00F07BE2"/>
    <w:rsid w:val="00F07E6E"/>
    <w:rsid w:val="00F07F28"/>
    <w:rsid w:val="00F102EC"/>
    <w:rsid w:val="00F10548"/>
    <w:rsid w:val="00F10557"/>
    <w:rsid w:val="00F105A7"/>
    <w:rsid w:val="00F106F3"/>
    <w:rsid w:val="00F11001"/>
    <w:rsid w:val="00F117A0"/>
    <w:rsid w:val="00F1232F"/>
    <w:rsid w:val="00F12994"/>
    <w:rsid w:val="00F12D86"/>
    <w:rsid w:val="00F12DF2"/>
    <w:rsid w:val="00F13058"/>
    <w:rsid w:val="00F13B05"/>
    <w:rsid w:val="00F13F47"/>
    <w:rsid w:val="00F142D6"/>
    <w:rsid w:val="00F1431E"/>
    <w:rsid w:val="00F14642"/>
    <w:rsid w:val="00F14A46"/>
    <w:rsid w:val="00F14BCA"/>
    <w:rsid w:val="00F154D4"/>
    <w:rsid w:val="00F15AF2"/>
    <w:rsid w:val="00F15F1E"/>
    <w:rsid w:val="00F1643F"/>
    <w:rsid w:val="00F16D54"/>
    <w:rsid w:val="00F16E49"/>
    <w:rsid w:val="00F177C6"/>
    <w:rsid w:val="00F178AB"/>
    <w:rsid w:val="00F17B16"/>
    <w:rsid w:val="00F17F5B"/>
    <w:rsid w:val="00F2034E"/>
    <w:rsid w:val="00F20EA1"/>
    <w:rsid w:val="00F20F16"/>
    <w:rsid w:val="00F21290"/>
    <w:rsid w:val="00F219DB"/>
    <w:rsid w:val="00F21B53"/>
    <w:rsid w:val="00F2214E"/>
    <w:rsid w:val="00F231A1"/>
    <w:rsid w:val="00F235C1"/>
    <w:rsid w:val="00F23DBA"/>
    <w:rsid w:val="00F23E5B"/>
    <w:rsid w:val="00F23F33"/>
    <w:rsid w:val="00F24738"/>
    <w:rsid w:val="00F24A7D"/>
    <w:rsid w:val="00F25334"/>
    <w:rsid w:val="00F25416"/>
    <w:rsid w:val="00F25869"/>
    <w:rsid w:val="00F25EC4"/>
    <w:rsid w:val="00F2606A"/>
    <w:rsid w:val="00F26092"/>
    <w:rsid w:val="00F26538"/>
    <w:rsid w:val="00F26808"/>
    <w:rsid w:val="00F268A4"/>
    <w:rsid w:val="00F26EE2"/>
    <w:rsid w:val="00F270CF"/>
    <w:rsid w:val="00F270D4"/>
    <w:rsid w:val="00F273CD"/>
    <w:rsid w:val="00F277DB"/>
    <w:rsid w:val="00F27C71"/>
    <w:rsid w:val="00F27D26"/>
    <w:rsid w:val="00F27E6A"/>
    <w:rsid w:val="00F30251"/>
    <w:rsid w:val="00F30696"/>
    <w:rsid w:val="00F307CC"/>
    <w:rsid w:val="00F30BBA"/>
    <w:rsid w:val="00F31259"/>
    <w:rsid w:val="00F3131A"/>
    <w:rsid w:val="00F31584"/>
    <w:rsid w:val="00F31630"/>
    <w:rsid w:val="00F32532"/>
    <w:rsid w:val="00F3322B"/>
    <w:rsid w:val="00F34A95"/>
    <w:rsid w:val="00F34C99"/>
    <w:rsid w:val="00F34F03"/>
    <w:rsid w:val="00F35084"/>
    <w:rsid w:val="00F353F7"/>
    <w:rsid w:val="00F35CF9"/>
    <w:rsid w:val="00F36007"/>
    <w:rsid w:val="00F36162"/>
    <w:rsid w:val="00F3623B"/>
    <w:rsid w:val="00F367AD"/>
    <w:rsid w:val="00F36816"/>
    <w:rsid w:val="00F36FED"/>
    <w:rsid w:val="00F37072"/>
    <w:rsid w:val="00F400A1"/>
    <w:rsid w:val="00F40CF9"/>
    <w:rsid w:val="00F40F5F"/>
    <w:rsid w:val="00F414E2"/>
    <w:rsid w:val="00F4221B"/>
    <w:rsid w:val="00F4233C"/>
    <w:rsid w:val="00F427D5"/>
    <w:rsid w:val="00F437AD"/>
    <w:rsid w:val="00F43932"/>
    <w:rsid w:val="00F439BB"/>
    <w:rsid w:val="00F43AB0"/>
    <w:rsid w:val="00F43FCA"/>
    <w:rsid w:val="00F440AC"/>
    <w:rsid w:val="00F44640"/>
    <w:rsid w:val="00F446AD"/>
    <w:rsid w:val="00F449D7"/>
    <w:rsid w:val="00F44C0B"/>
    <w:rsid w:val="00F455B8"/>
    <w:rsid w:val="00F4573E"/>
    <w:rsid w:val="00F45F5E"/>
    <w:rsid w:val="00F461AE"/>
    <w:rsid w:val="00F46B1C"/>
    <w:rsid w:val="00F46CA0"/>
    <w:rsid w:val="00F46D8C"/>
    <w:rsid w:val="00F4715C"/>
    <w:rsid w:val="00F47D6C"/>
    <w:rsid w:val="00F47F11"/>
    <w:rsid w:val="00F50FE9"/>
    <w:rsid w:val="00F51106"/>
    <w:rsid w:val="00F517B5"/>
    <w:rsid w:val="00F51A00"/>
    <w:rsid w:val="00F51B88"/>
    <w:rsid w:val="00F52A4C"/>
    <w:rsid w:val="00F534D3"/>
    <w:rsid w:val="00F534ED"/>
    <w:rsid w:val="00F5394F"/>
    <w:rsid w:val="00F53968"/>
    <w:rsid w:val="00F53A7B"/>
    <w:rsid w:val="00F53BAF"/>
    <w:rsid w:val="00F53C00"/>
    <w:rsid w:val="00F5421D"/>
    <w:rsid w:val="00F5435E"/>
    <w:rsid w:val="00F55A8B"/>
    <w:rsid w:val="00F562BE"/>
    <w:rsid w:val="00F566BC"/>
    <w:rsid w:val="00F567A9"/>
    <w:rsid w:val="00F570FA"/>
    <w:rsid w:val="00F6005B"/>
    <w:rsid w:val="00F60458"/>
    <w:rsid w:val="00F60DF3"/>
    <w:rsid w:val="00F61026"/>
    <w:rsid w:val="00F613D5"/>
    <w:rsid w:val="00F61567"/>
    <w:rsid w:val="00F61883"/>
    <w:rsid w:val="00F61C20"/>
    <w:rsid w:val="00F62057"/>
    <w:rsid w:val="00F62582"/>
    <w:rsid w:val="00F64DC6"/>
    <w:rsid w:val="00F64F14"/>
    <w:rsid w:val="00F65084"/>
    <w:rsid w:val="00F658CB"/>
    <w:rsid w:val="00F65BCB"/>
    <w:rsid w:val="00F66466"/>
    <w:rsid w:val="00F66981"/>
    <w:rsid w:val="00F66D31"/>
    <w:rsid w:val="00F67106"/>
    <w:rsid w:val="00F674E0"/>
    <w:rsid w:val="00F67567"/>
    <w:rsid w:val="00F67C01"/>
    <w:rsid w:val="00F67C2B"/>
    <w:rsid w:val="00F709F5"/>
    <w:rsid w:val="00F7114B"/>
    <w:rsid w:val="00F719FF"/>
    <w:rsid w:val="00F71E7A"/>
    <w:rsid w:val="00F721EF"/>
    <w:rsid w:val="00F72203"/>
    <w:rsid w:val="00F72265"/>
    <w:rsid w:val="00F72301"/>
    <w:rsid w:val="00F72599"/>
    <w:rsid w:val="00F72AC2"/>
    <w:rsid w:val="00F72BF8"/>
    <w:rsid w:val="00F72F86"/>
    <w:rsid w:val="00F73ABD"/>
    <w:rsid w:val="00F74168"/>
    <w:rsid w:val="00F742F1"/>
    <w:rsid w:val="00F747FA"/>
    <w:rsid w:val="00F74871"/>
    <w:rsid w:val="00F76037"/>
    <w:rsid w:val="00F773B7"/>
    <w:rsid w:val="00F77724"/>
    <w:rsid w:val="00F7772A"/>
    <w:rsid w:val="00F777F7"/>
    <w:rsid w:val="00F77839"/>
    <w:rsid w:val="00F77995"/>
    <w:rsid w:val="00F77AB9"/>
    <w:rsid w:val="00F8097D"/>
    <w:rsid w:val="00F80A15"/>
    <w:rsid w:val="00F811B9"/>
    <w:rsid w:val="00F814F1"/>
    <w:rsid w:val="00F815CC"/>
    <w:rsid w:val="00F818AC"/>
    <w:rsid w:val="00F81A57"/>
    <w:rsid w:val="00F8246A"/>
    <w:rsid w:val="00F8246E"/>
    <w:rsid w:val="00F827E8"/>
    <w:rsid w:val="00F8285E"/>
    <w:rsid w:val="00F82FA7"/>
    <w:rsid w:val="00F8336F"/>
    <w:rsid w:val="00F8374F"/>
    <w:rsid w:val="00F83D49"/>
    <w:rsid w:val="00F83ED9"/>
    <w:rsid w:val="00F83F2C"/>
    <w:rsid w:val="00F84796"/>
    <w:rsid w:val="00F84AFC"/>
    <w:rsid w:val="00F85096"/>
    <w:rsid w:val="00F856ED"/>
    <w:rsid w:val="00F8574D"/>
    <w:rsid w:val="00F85DEC"/>
    <w:rsid w:val="00F85FD9"/>
    <w:rsid w:val="00F8615F"/>
    <w:rsid w:val="00F86637"/>
    <w:rsid w:val="00F86D4E"/>
    <w:rsid w:val="00F86E6F"/>
    <w:rsid w:val="00F87BEF"/>
    <w:rsid w:val="00F902F3"/>
    <w:rsid w:val="00F90C13"/>
    <w:rsid w:val="00F90C94"/>
    <w:rsid w:val="00F90DD7"/>
    <w:rsid w:val="00F91164"/>
    <w:rsid w:val="00F9150F"/>
    <w:rsid w:val="00F91524"/>
    <w:rsid w:val="00F926A3"/>
    <w:rsid w:val="00F9270B"/>
    <w:rsid w:val="00F9275A"/>
    <w:rsid w:val="00F92AB1"/>
    <w:rsid w:val="00F92B0F"/>
    <w:rsid w:val="00F92B46"/>
    <w:rsid w:val="00F92BF6"/>
    <w:rsid w:val="00F92C57"/>
    <w:rsid w:val="00F92F53"/>
    <w:rsid w:val="00F93043"/>
    <w:rsid w:val="00F93698"/>
    <w:rsid w:val="00F93D6C"/>
    <w:rsid w:val="00F93FCF"/>
    <w:rsid w:val="00F94068"/>
    <w:rsid w:val="00F9489A"/>
    <w:rsid w:val="00F9536B"/>
    <w:rsid w:val="00F95E59"/>
    <w:rsid w:val="00F95FD2"/>
    <w:rsid w:val="00F963DB"/>
    <w:rsid w:val="00F96489"/>
    <w:rsid w:val="00F9687C"/>
    <w:rsid w:val="00F96A63"/>
    <w:rsid w:val="00F96A71"/>
    <w:rsid w:val="00F96A7E"/>
    <w:rsid w:val="00F96ACA"/>
    <w:rsid w:val="00F96D24"/>
    <w:rsid w:val="00F97491"/>
    <w:rsid w:val="00F97BFD"/>
    <w:rsid w:val="00F97E96"/>
    <w:rsid w:val="00FA02C5"/>
    <w:rsid w:val="00FA1AEC"/>
    <w:rsid w:val="00FA26E3"/>
    <w:rsid w:val="00FA279F"/>
    <w:rsid w:val="00FA44FB"/>
    <w:rsid w:val="00FA4BF8"/>
    <w:rsid w:val="00FA5580"/>
    <w:rsid w:val="00FA56B6"/>
    <w:rsid w:val="00FA5BFC"/>
    <w:rsid w:val="00FA5F42"/>
    <w:rsid w:val="00FA620B"/>
    <w:rsid w:val="00FA6361"/>
    <w:rsid w:val="00FA69C3"/>
    <w:rsid w:val="00FA69E4"/>
    <w:rsid w:val="00FA6AAC"/>
    <w:rsid w:val="00FA6CBC"/>
    <w:rsid w:val="00FA6D48"/>
    <w:rsid w:val="00FA7EC0"/>
    <w:rsid w:val="00FB0966"/>
    <w:rsid w:val="00FB0BB2"/>
    <w:rsid w:val="00FB0CE0"/>
    <w:rsid w:val="00FB1311"/>
    <w:rsid w:val="00FB1582"/>
    <w:rsid w:val="00FB1938"/>
    <w:rsid w:val="00FB1AD3"/>
    <w:rsid w:val="00FB349A"/>
    <w:rsid w:val="00FB3790"/>
    <w:rsid w:val="00FB38BE"/>
    <w:rsid w:val="00FB3E1A"/>
    <w:rsid w:val="00FB448D"/>
    <w:rsid w:val="00FB4C36"/>
    <w:rsid w:val="00FB4E5B"/>
    <w:rsid w:val="00FB4EFB"/>
    <w:rsid w:val="00FB5808"/>
    <w:rsid w:val="00FB5AC0"/>
    <w:rsid w:val="00FB61E0"/>
    <w:rsid w:val="00FB6C88"/>
    <w:rsid w:val="00FB6DEC"/>
    <w:rsid w:val="00FB6DFE"/>
    <w:rsid w:val="00FB6F48"/>
    <w:rsid w:val="00FB73D1"/>
    <w:rsid w:val="00FB77CB"/>
    <w:rsid w:val="00FC072E"/>
    <w:rsid w:val="00FC0921"/>
    <w:rsid w:val="00FC11A9"/>
    <w:rsid w:val="00FC1ADE"/>
    <w:rsid w:val="00FC1C6F"/>
    <w:rsid w:val="00FC1DE2"/>
    <w:rsid w:val="00FC20DE"/>
    <w:rsid w:val="00FC2462"/>
    <w:rsid w:val="00FC25F7"/>
    <w:rsid w:val="00FC266E"/>
    <w:rsid w:val="00FC2921"/>
    <w:rsid w:val="00FC30E2"/>
    <w:rsid w:val="00FC3A30"/>
    <w:rsid w:val="00FC3A4E"/>
    <w:rsid w:val="00FC3B2B"/>
    <w:rsid w:val="00FC3CC4"/>
    <w:rsid w:val="00FC3E24"/>
    <w:rsid w:val="00FC4E66"/>
    <w:rsid w:val="00FC5178"/>
    <w:rsid w:val="00FC5249"/>
    <w:rsid w:val="00FC5445"/>
    <w:rsid w:val="00FC551E"/>
    <w:rsid w:val="00FC5613"/>
    <w:rsid w:val="00FC5790"/>
    <w:rsid w:val="00FC5D6A"/>
    <w:rsid w:val="00FC6969"/>
    <w:rsid w:val="00FC6A12"/>
    <w:rsid w:val="00FC6D98"/>
    <w:rsid w:val="00FC6DD7"/>
    <w:rsid w:val="00FC759D"/>
    <w:rsid w:val="00FD039F"/>
    <w:rsid w:val="00FD0721"/>
    <w:rsid w:val="00FD1153"/>
    <w:rsid w:val="00FD13D5"/>
    <w:rsid w:val="00FD1995"/>
    <w:rsid w:val="00FD1C3D"/>
    <w:rsid w:val="00FD1FF6"/>
    <w:rsid w:val="00FD25E1"/>
    <w:rsid w:val="00FD2D75"/>
    <w:rsid w:val="00FD32CB"/>
    <w:rsid w:val="00FD37BD"/>
    <w:rsid w:val="00FD3C86"/>
    <w:rsid w:val="00FD3CAB"/>
    <w:rsid w:val="00FD40FF"/>
    <w:rsid w:val="00FD4A49"/>
    <w:rsid w:val="00FD4B8A"/>
    <w:rsid w:val="00FD56F2"/>
    <w:rsid w:val="00FD5E1C"/>
    <w:rsid w:val="00FD62EB"/>
    <w:rsid w:val="00FD6327"/>
    <w:rsid w:val="00FD63DF"/>
    <w:rsid w:val="00FD7339"/>
    <w:rsid w:val="00FD7945"/>
    <w:rsid w:val="00FD7B9D"/>
    <w:rsid w:val="00FE01AC"/>
    <w:rsid w:val="00FE02C1"/>
    <w:rsid w:val="00FE0B54"/>
    <w:rsid w:val="00FE0B5C"/>
    <w:rsid w:val="00FE1880"/>
    <w:rsid w:val="00FE1C18"/>
    <w:rsid w:val="00FE1EB0"/>
    <w:rsid w:val="00FE2075"/>
    <w:rsid w:val="00FE23B0"/>
    <w:rsid w:val="00FE3E44"/>
    <w:rsid w:val="00FE3F8E"/>
    <w:rsid w:val="00FE47ED"/>
    <w:rsid w:val="00FE4AAD"/>
    <w:rsid w:val="00FE522B"/>
    <w:rsid w:val="00FE5330"/>
    <w:rsid w:val="00FE56BF"/>
    <w:rsid w:val="00FE61DC"/>
    <w:rsid w:val="00FE6537"/>
    <w:rsid w:val="00FE67D0"/>
    <w:rsid w:val="00FE6D54"/>
    <w:rsid w:val="00FE782B"/>
    <w:rsid w:val="00FE7B01"/>
    <w:rsid w:val="00FE7D33"/>
    <w:rsid w:val="00FF00BF"/>
    <w:rsid w:val="00FF081E"/>
    <w:rsid w:val="00FF0D09"/>
    <w:rsid w:val="00FF1187"/>
    <w:rsid w:val="00FF13A1"/>
    <w:rsid w:val="00FF145C"/>
    <w:rsid w:val="00FF1BBA"/>
    <w:rsid w:val="00FF2151"/>
    <w:rsid w:val="00FF2213"/>
    <w:rsid w:val="00FF2318"/>
    <w:rsid w:val="00FF2403"/>
    <w:rsid w:val="00FF26EE"/>
    <w:rsid w:val="00FF2EC1"/>
    <w:rsid w:val="00FF3102"/>
    <w:rsid w:val="00FF3329"/>
    <w:rsid w:val="00FF3BB6"/>
    <w:rsid w:val="00FF41D8"/>
    <w:rsid w:val="00FF47A3"/>
    <w:rsid w:val="00FF4D23"/>
    <w:rsid w:val="00FF602B"/>
    <w:rsid w:val="00FF6353"/>
    <w:rsid w:val="00FF657E"/>
    <w:rsid w:val="00FF65F1"/>
    <w:rsid w:val="00FF704A"/>
    <w:rsid w:val="00FF7512"/>
    <w:rsid w:val="00FF7877"/>
    <w:rsid w:val="00FF7FC8"/>
    <w:rsid w:val="010D7DD7"/>
    <w:rsid w:val="01396E1E"/>
    <w:rsid w:val="01457570"/>
    <w:rsid w:val="015A1290"/>
    <w:rsid w:val="01C20BC1"/>
    <w:rsid w:val="024F656F"/>
    <w:rsid w:val="03125B78"/>
    <w:rsid w:val="03DE29CB"/>
    <w:rsid w:val="05B37217"/>
    <w:rsid w:val="05D9038E"/>
    <w:rsid w:val="06507E65"/>
    <w:rsid w:val="06B55883"/>
    <w:rsid w:val="07574D9C"/>
    <w:rsid w:val="07DE090C"/>
    <w:rsid w:val="08290F2E"/>
    <w:rsid w:val="085F1E58"/>
    <w:rsid w:val="08DF2F55"/>
    <w:rsid w:val="08E7715F"/>
    <w:rsid w:val="08EE6740"/>
    <w:rsid w:val="0906165B"/>
    <w:rsid w:val="09300E18"/>
    <w:rsid w:val="09647D8F"/>
    <w:rsid w:val="096D58B6"/>
    <w:rsid w:val="09C2289E"/>
    <w:rsid w:val="0A026946"/>
    <w:rsid w:val="0A1F007C"/>
    <w:rsid w:val="0A2A7FE0"/>
    <w:rsid w:val="0A410AF1"/>
    <w:rsid w:val="0A777171"/>
    <w:rsid w:val="0A856C30"/>
    <w:rsid w:val="0AF0634E"/>
    <w:rsid w:val="0B6D4760"/>
    <w:rsid w:val="0B8339ED"/>
    <w:rsid w:val="0C290BC7"/>
    <w:rsid w:val="0CA737D5"/>
    <w:rsid w:val="0CBB6000"/>
    <w:rsid w:val="0CCE34EE"/>
    <w:rsid w:val="0CE410C9"/>
    <w:rsid w:val="0D1501C9"/>
    <w:rsid w:val="0D4B14D3"/>
    <w:rsid w:val="0E165CA5"/>
    <w:rsid w:val="0E21353B"/>
    <w:rsid w:val="0E4842B3"/>
    <w:rsid w:val="0EA80944"/>
    <w:rsid w:val="0EC20200"/>
    <w:rsid w:val="0F113188"/>
    <w:rsid w:val="0FC1695C"/>
    <w:rsid w:val="0FD06B9F"/>
    <w:rsid w:val="10046336"/>
    <w:rsid w:val="10190EEA"/>
    <w:rsid w:val="11144CCC"/>
    <w:rsid w:val="11421D1E"/>
    <w:rsid w:val="115832F0"/>
    <w:rsid w:val="1238019B"/>
    <w:rsid w:val="127D021C"/>
    <w:rsid w:val="12803108"/>
    <w:rsid w:val="13613ABC"/>
    <w:rsid w:val="13655850"/>
    <w:rsid w:val="13857CA0"/>
    <w:rsid w:val="139A265D"/>
    <w:rsid w:val="13C52DC7"/>
    <w:rsid w:val="14185704"/>
    <w:rsid w:val="141A5F73"/>
    <w:rsid w:val="1473228E"/>
    <w:rsid w:val="14C33176"/>
    <w:rsid w:val="14CC7C00"/>
    <w:rsid w:val="14D27A24"/>
    <w:rsid w:val="161D2A4D"/>
    <w:rsid w:val="16426A1B"/>
    <w:rsid w:val="16A973E8"/>
    <w:rsid w:val="1717516A"/>
    <w:rsid w:val="172911EC"/>
    <w:rsid w:val="173F6692"/>
    <w:rsid w:val="1753734C"/>
    <w:rsid w:val="17E82DB7"/>
    <w:rsid w:val="189F35B2"/>
    <w:rsid w:val="18C92972"/>
    <w:rsid w:val="1A746368"/>
    <w:rsid w:val="1A9F789A"/>
    <w:rsid w:val="1AA87BD2"/>
    <w:rsid w:val="1B971C3F"/>
    <w:rsid w:val="1C263325"/>
    <w:rsid w:val="1E2C09AB"/>
    <w:rsid w:val="1E935967"/>
    <w:rsid w:val="1FD40BF1"/>
    <w:rsid w:val="20261070"/>
    <w:rsid w:val="205F23C3"/>
    <w:rsid w:val="20D74DDE"/>
    <w:rsid w:val="20D84460"/>
    <w:rsid w:val="20F55B55"/>
    <w:rsid w:val="218B501C"/>
    <w:rsid w:val="21BA6C49"/>
    <w:rsid w:val="22F34C27"/>
    <w:rsid w:val="23D07B75"/>
    <w:rsid w:val="242179DA"/>
    <w:rsid w:val="246761DA"/>
    <w:rsid w:val="25205BE0"/>
    <w:rsid w:val="25B05051"/>
    <w:rsid w:val="25EB6089"/>
    <w:rsid w:val="26692359"/>
    <w:rsid w:val="270277E7"/>
    <w:rsid w:val="27B16E5E"/>
    <w:rsid w:val="281335CC"/>
    <w:rsid w:val="28550131"/>
    <w:rsid w:val="288325A9"/>
    <w:rsid w:val="289E3C55"/>
    <w:rsid w:val="292672D4"/>
    <w:rsid w:val="29CF10EE"/>
    <w:rsid w:val="2A3B6E8F"/>
    <w:rsid w:val="2AF8398E"/>
    <w:rsid w:val="2AFB4FC0"/>
    <w:rsid w:val="2B122D8D"/>
    <w:rsid w:val="2B3050F9"/>
    <w:rsid w:val="2B696A33"/>
    <w:rsid w:val="2C051F5E"/>
    <w:rsid w:val="2CF84D34"/>
    <w:rsid w:val="2D6A3F24"/>
    <w:rsid w:val="2D716A26"/>
    <w:rsid w:val="2DE83A3A"/>
    <w:rsid w:val="2DFC4DDB"/>
    <w:rsid w:val="2E1F5933"/>
    <w:rsid w:val="2EC767E9"/>
    <w:rsid w:val="2F2B1BEC"/>
    <w:rsid w:val="2FC76FBB"/>
    <w:rsid w:val="308A5DD7"/>
    <w:rsid w:val="319B1E4E"/>
    <w:rsid w:val="31D37F49"/>
    <w:rsid w:val="321D6FE5"/>
    <w:rsid w:val="324F174E"/>
    <w:rsid w:val="32AC6B69"/>
    <w:rsid w:val="33376F4A"/>
    <w:rsid w:val="34B424E6"/>
    <w:rsid w:val="34CF7D73"/>
    <w:rsid w:val="34E268A9"/>
    <w:rsid w:val="3529272A"/>
    <w:rsid w:val="35A563B0"/>
    <w:rsid w:val="36002765"/>
    <w:rsid w:val="3667350A"/>
    <w:rsid w:val="3686688B"/>
    <w:rsid w:val="36EB330F"/>
    <w:rsid w:val="373B6744"/>
    <w:rsid w:val="37B502A5"/>
    <w:rsid w:val="37BE0F45"/>
    <w:rsid w:val="380B09E4"/>
    <w:rsid w:val="38C22C79"/>
    <w:rsid w:val="39346C81"/>
    <w:rsid w:val="3A4E1641"/>
    <w:rsid w:val="3A5E2E76"/>
    <w:rsid w:val="3A881CA1"/>
    <w:rsid w:val="3A8D5671"/>
    <w:rsid w:val="3A932EBB"/>
    <w:rsid w:val="3BF60BF0"/>
    <w:rsid w:val="3C13721A"/>
    <w:rsid w:val="3C94492D"/>
    <w:rsid w:val="3D0F2205"/>
    <w:rsid w:val="3D5C388A"/>
    <w:rsid w:val="3D842BF3"/>
    <w:rsid w:val="3E1C2E2C"/>
    <w:rsid w:val="3EA15EE7"/>
    <w:rsid w:val="3EA710F9"/>
    <w:rsid w:val="3F0F2990"/>
    <w:rsid w:val="3F227025"/>
    <w:rsid w:val="3FE9177E"/>
    <w:rsid w:val="41173D7E"/>
    <w:rsid w:val="414904A5"/>
    <w:rsid w:val="442055BD"/>
    <w:rsid w:val="453666E3"/>
    <w:rsid w:val="45EF7078"/>
    <w:rsid w:val="46F55035"/>
    <w:rsid w:val="47501768"/>
    <w:rsid w:val="475950F1"/>
    <w:rsid w:val="47641DC7"/>
    <w:rsid w:val="47651B77"/>
    <w:rsid w:val="478974E3"/>
    <w:rsid w:val="47995DCD"/>
    <w:rsid w:val="47F72214"/>
    <w:rsid w:val="47FB61A8"/>
    <w:rsid w:val="487B4BF3"/>
    <w:rsid w:val="488C6FC9"/>
    <w:rsid w:val="48967C7F"/>
    <w:rsid w:val="48A4054C"/>
    <w:rsid w:val="48B87BF5"/>
    <w:rsid w:val="493D129C"/>
    <w:rsid w:val="49E65525"/>
    <w:rsid w:val="4A673681"/>
    <w:rsid w:val="4A9D1E36"/>
    <w:rsid w:val="4AB3357B"/>
    <w:rsid w:val="4BCE29F7"/>
    <w:rsid w:val="4BD765E4"/>
    <w:rsid w:val="4C0D2AAF"/>
    <w:rsid w:val="4D3A37DB"/>
    <w:rsid w:val="4DB415C8"/>
    <w:rsid w:val="4E74636C"/>
    <w:rsid w:val="4ED43CAB"/>
    <w:rsid w:val="4F7379C3"/>
    <w:rsid w:val="4FD80B7D"/>
    <w:rsid w:val="500F5A41"/>
    <w:rsid w:val="50642410"/>
    <w:rsid w:val="50B21982"/>
    <w:rsid w:val="511E278C"/>
    <w:rsid w:val="52171E30"/>
    <w:rsid w:val="528523B0"/>
    <w:rsid w:val="535D0132"/>
    <w:rsid w:val="541C0E3A"/>
    <w:rsid w:val="54437D45"/>
    <w:rsid w:val="54A15393"/>
    <w:rsid w:val="54E07592"/>
    <w:rsid w:val="55540A0D"/>
    <w:rsid w:val="555E7D76"/>
    <w:rsid w:val="56113491"/>
    <w:rsid w:val="56E821B5"/>
    <w:rsid w:val="57404606"/>
    <w:rsid w:val="57664335"/>
    <w:rsid w:val="582941A3"/>
    <w:rsid w:val="58626CF5"/>
    <w:rsid w:val="586316C4"/>
    <w:rsid w:val="58684954"/>
    <w:rsid w:val="58A0024F"/>
    <w:rsid w:val="58EF2522"/>
    <w:rsid w:val="594159E5"/>
    <w:rsid w:val="5A153E74"/>
    <w:rsid w:val="5ABA3CA0"/>
    <w:rsid w:val="5AC20D8A"/>
    <w:rsid w:val="5AE8674D"/>
    <w:rsid w:val="5B370E4D"/>
    <w:rsid w:val="5BE96B00"/>
    <w:rsid w:val="5C0F231B"/>
    <w:rsid w:val="5C621EFA"/>
    <w:rsid w:val="5CA00C74"/>
    <w:rsid w:val="5D481B17"/>
    <w:rsid w:val="5D621140"/>
    <w:rsid w:val="5D6D2855"/>
    <w:rsid w:val="5DC74F93"/>
    <w:rsid w:val="5DEA73A2"/>
    <w:rsid w:val="5E0E772A"/>
    <w:rsid w:val="5E362F0B"/>
    <w:rsid w:val="5E9D190F"/>
    <w:rsid w:val="5EF75A15"/>
    <w:rsid w:val="5F051C85"/>
    <w:rsid w:val="5FAE0E5F"/>
    <w:rsid w:val="6015039A"/>
    <w:rsid w:val="603C65C5"/>
    <w:rsid w:val="60CC2038"/>
    <w:rsid w:val="60ED3B56"/>
    <w:rsid w:val="610F0176"/>
    <w:rsid w:val="61720DAB"/>
    <w:rsid w:val="61C03E43"/>
    <w:rsid w:val="629D1EDE"/>
    <w:rsid w:val="62A911C3"/>
    <w:rsid w:val="62B22B7C"/>
    <w:rsid w:val="63251ED3"/>
    <w:rsid w:val="632D7993"/>
    <w:rsid w:val="635665E4"/>
    <w:rsid w:val="63927420"/>
    <w:rsid w:val="646C194A"/>
    <w:rsid w:val="646D1D84"/>
    <w:rsid w:val="65D06126"/>
    <w:rsid w:val="661F65EF"/>
    <w:rsid w:val="66301079"/>
    <w:rsid w:val="66666A8A"/>
    <w:rsid w:val="66680A54"/>
    <w:rsid w:val="66794A10"/>
    <w:rsid w:val="668F4233"/>
    <w:rsid w:val="66F25F70"/>
    <w:rsid w:val="67B87541"/>
    <w:rsid w:val="68080E6A"/>
    <w:rsid w:val="680C4CB4"/>
    <w:rsid w:val="686B482C"/>
    <w:rsid w:val="68D76D7C"/>
    <w:rsid w:val="694E2184"/>
    <w:rsid w:val="69942B10"/>
    <w:rsid w:val="6A46671D"/>
    <w:rsid w:val="6A923CF1"/>
    <w:rsid w:val="6B064398"/>
    <w:rsid w:val="6B105217"/>
    <w:rsid w:val="6B387DCC"/>
    <w:rsid w:val="6BA11F09"/>
    <w:rsid w:val="6C101852"/>
    <w:rsid w:val="6C1E3A57"/>
    <w:rsid w:val="6C946514"/>
    <w:rsid w:val="6CBC6118"/>
    <w:rsid w:val="6CCD080F"/>
    <w:rsid w:val="6CE557BD"/>
    <w:rsid w:val="6D837F22"/>
    <w:rsid w:val="6DEC3D19"/>
    <w:rsid w:val="6E3F653F"/>
    <w:rsid w:val="6E4448A1"/>
    <w:rsid w:val="6EB02F99"/>
    <w:rsid w:val="6EFA2466"/>
    <w:rsid w:val="6F7748A7"/>
    <w:rsid w:val="6F8739CA"/>
    <w:rsid w:val="700A0487"/>
    <w:rsid w:val="706109EE"/>
    <w:rsid w:val="706202C3"/>
    <w:rsid w:val="70B56644"/>
    <w:rsid w:val="70CC1BE0"/>
    <w:rsid w:val="70EB3289"/>
    <w:rsid w:val="713E4EC0"/>
    <w:rsid w:val="71551BD5"/>
    <w:rsid w:val="71601728"/>
    <w:rsid w:val="717A163C"/>
    <w:rsid w:val="71916451"/>
    <w:rsid w:val="72534E9D"/>
    <w:rsid w:val="731437CB"/>
    <w:rsid w:val="73155BD6"/>
    <w:rsid w:val="73267CCD"/>
    <w:rsid w:val="73834D6E"/>
    <w:rsid w:val="73AB60DD"/>
    <w:rsid w:val="747173B3"/>
    <w:rsid w:val="74D70127"/>
    <w:rsid w:val="7530273D"/>
    <w:rsid w:val="75471C28"/>
    <w:rsid w:val="75CC7809"/>
    <w:rsid w:val="76036E05"/>
    <w:rsid w:val="76083B2D"/>
    <w:rsid w:val="76125336"/>
    <w:rsid w:val="76463A2D"/>
    <w:rsid w:val="76BF71EE"/>
    <w:rsid w:val="77562203"/>
    <w:rsid w:val="78D5605F"/>
    <w:rsid w:val="796F65E1"/>
    <w:rsid w:val="79E157E7"/>
    <w:rsid w:val="7A551B7A"/>
    <w:rsid w:val="7A5C5D83"/>
    <w:rsid w:val="7C6525CC"/>
    <w:rsid w:val="7C7326A1"/>
    <w:rsid w:val="7CA26617"/>
    <w:rsid w:val="7CCC593E"/>
    <w:rsid w:val="7CEA1D6C"/>
    <w:rsid w:val="7D4F4AFF"/>
    <w:rsid w:val="7DC607F5"/>
    <w:rsid w:val="7DEE13E8"/>
    <w:rsid w:val="7E1E487A"/>
    <w:rsid w:val="7EA22840"/>
    <w:rsid w:val="7F206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2">
    <w:name w:val="heading 1"/>
    <w:basedOn w:val="3"/>
    <w:next w:val="1"/>
    <w:link w:val="152"/>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5">
    <w:name w:val="heading 2"/>
    <w:basedOn w:val="3"/>
    <w:next w:val="4"/>
    <w:link w:val="153"/>
    <w:qFormat/>
    <w:uiPriority w:val="0"/>
    <w:pPr>
      <w:tabs>
        <w:tab w:val="left" w:pos="426"/>
      </w:tabs>
      <w:textAlignment w:val="baseline"/>
      <w:outlineLvl w:val="1"/>
    </w:pPr>
    <w:rPr>
      <w:bCs w:val="0"/>
      <w:kern w:val="0"/>
      <w:szCs w:val="20"/>
    </w:rPr>
  </w:style>
  <w:style w:type="paragraph" w:styleId="3">
    <w:name w:val="heading 3"/>
    <w:basedOn w:val="4"/>
    <w:next w:val="1"/>
    <w:link w:val="151"/>
    <w:qFormat/>
    <w:uiPriority w:val="0"/>
    <w:pPr>
      <w:tabs>
        <w:tab w:val="left" w:pos="426"/>
      </w:tabs>
      <w:spacing w:before="260" w:after="260" w:line="240" w:lineRule="auto"/>
      <w:outlineLvl w:val="2"/>
    </w:pPr>
    <w:rPr>
      <w:rFonts w:ascii="宋体" w:hAnsi="宋体" w:eastAsia="宋体"/>
      <w:sz w:val="24"/>
      <w:szCs w:val="32"/>
    </w:rPr>
  </w:style>
  <w:style w:type="paragraph" w:styleId="4">
    <w:name w:val="heading 4"/>
    <w:basedOn w:val="1"/>
    <w:next w:val="1"/>
    <w:link w:val="150"/>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54"/>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8">
    <w:name w:val="heading 6"/>
    <w:basedOn w:val="1"/>
    <w:next w:val="7"/>
    <w:link w:val="156"/>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9">
    <w:name w:val="heading 7"/>
    <w:basedOn w:val="1"/>
    <w:next w:val="7"/>
    <w:link w:val="157"/>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0">
    <w:name w:val="heading 8"/>
    <w:basedOn w:val="1"/>
    <w:next w:val="7"/>
    <w:link w:val="158"/>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1">
    <w:name w:val="heading 9"/>
    <w:basedOn w:val="1"/>
    <w:next w:val="7"/>
    <w:link w:val="159"/>
    <w:qFormat/>
    <w:uiPriority w:val="0"/>
    <w:pPr>
      <w:keepNext/>
      <w:keepLines/>
      <w:spacing w:before="240" w:after="64" w:line="320" w:lineRule="auto"/>
      <w:outlineLvl w:val="8"/>
    </w:pPr>
    <w:rPr>
      <w:rFonts w:ascii="Arial" w:hAnsi="Arial" w:eastAsia="黑体" w:cs="Times New Roman"/>
      <w:kern w:val="2"/>
      <w:szCs w:val="20"/>
    </w:rPr>
  </w:style>
  <w:style w:type="character" w:default="1" w:styleId="130">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55"/>
    <w:qFormat/>
    <w:uiPriority w:val="0"/>
    <w:pPr>
      <w:ind w:firstLine="420"/>
    </w:pPr>
    <w:rPr>
      <w:rFonts w:ascii="Times New Roman" w:hAnsi="Times New Roman" w:cs="Times New Roman"/>
      <w:kern w:val="2"/>
      <w:szCs w:val="20"/>
    </w:rPr>
  </w:style>
  <w:style w:type="paragraph" w:styleId="12">
    <w:name w:val="List 3"/>
    <w:basedOn w:val="1"/>
    <w:qFormat/>
    <w:uiPriority w:val="0"/>
    <w:pPr>
      <w:widowControl w:val="0"/>
      <w:shd w:val="clear" w:color="auto" w:fill="auto"/>
      <w:tabs>
        <w:tab w:val="clear" w:pos="426"/>
      </w:tabs>
      <w:adjustRightInd/>
      <w:snapToGrid/>
      <w:spacing w:line="240" w:lineRule="auto"/>
      <w:ind w:left="100" w:leftChars="400" w:hanging="200" w:hangingChars="200"/>
    </w:pPr>
    <w:rPr>
      <w:rFonts w:ascii="Times New Roman" w:hAnsi="Times New Roman" w:cs="Times New Roman"/>
      <w:kern w:val="2"/>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820"/>
      </w:tabs>
      <w:spacing w:afterLines="50"/>
      <w:ind w:left="988" w:hanging="420"/>
    </w:pPr>
    <w:rPr>
      <w:sz w:val="24"/>
      <w:szCs w:val="20"/>
    </w:rPr>
  </w:style>
  <w:style w:type="paragraph" w:styleId="15">
    <w:name w:val="Note Heading"/>
    <w:basedOn w:val="1"/>
    <w:next w:val="1"/>
    <w:link w:val="160"/>
    <w:qFormat/>
    <w:uiPriority w:val="0"/>
    <w:pPr>
      <w:widowControl w:val="0"/>
      <w:shd w:val="clear" w:color="auto" w:fill="auto"/>
      <w:tabs>
        <w:tab w:val="clear" w:pos="426"/>
      </w:tabs>
      <w:adjustRightInd/>
      <w:snapToGrid/>
      <w:spacing w:line="240" w:lineRule="auto"/>
      <w:jc w:val="center"/>
    </w:pPr>
    <w:rPr>
      <w:rFonts w:ascii="Times New Roman" w:hAnsi="Times New Roman" w:cs="Times New Roman"/>
      <w:kern w:val="2"/>
    </w:rPr>
  </w:style>
  <w:style w:type="paragraph" w:styleId="16">
    <w:name w:val="List Bullet 4"/>
    <w:basedOn w:val="1"/>
    <w:qFormat/>
    <w:uiPriority w:val="0"/>
    <w:pPr>
      <w:widowControl w:val="0"/>
      <w:shd w:val="clear" w:color="auto" w:fill="auto"/>
      <w:tabs>
        <w:tab w:val="left" w:pos="1620"/>
        <w:tab w:val="clear" w:pos="426"/>
      </w:tabs>
      <w:adjustRightInd/>
      <w:snapToGrid/>
      <w:spacing w:line="240" w:lineRule="auto"/>
      <w:ind w:left="1620" w:hanging="360"/>
    </w:pPr>
    <w:rPr>
      <w:rFonts w:ascii="Times New Roman" w:hAnsi="Times New Roman" w:cs="Times New Roman"/>
      <w:kern w:val="2"/>
    </w:rPr>
  </w:style>
  <w:style w:type="paragraph" w:styleId="17">
    <w:name w:val="index 8"/>
    <w:basedOn w:val="1"/>
    <w:next w:val="1"/>
    <w:qFormat/>
    <w:uiPriority w:val="0"/>
    <w:pPr>
      <w:widowControl w:val="0"/>
      <w:shd w:val="clear" w:color="auto" w:fill="auto"/>
      <w:tabs>
        <w:tab w:val="clear" w:pos="426"/>
      </w:tabs>
      <w:adjustRightInd/>
      <w:snapToGrid/>
      <w:spacing w:line="240" w:lineRule="auto"/>
      <w:ind w:left="1680" w:hanging="210"/>
      <w:jc w:val="left"/>
    </w:pPr>
    <w:rPr>
      <w:rFonts w:ascii="Times New Roman" w:hAnsi="Times New Roman" w:cs="Times New Roman"/>
      <w:kern w:val="2"/>
      <w:sz w:val="20"/>
      <w:szCs w:val="20"/>
    </w:rPr>
  </w:style>
  <w:style w:type="paragraph" w:styleId="18">
    <w:name w:val="E-mail Signature"/>
    <w:basedOn w:val="1"/>
    <w:link w:val="161"/>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19">
    <w:name w:val="List Number"/>
    <w:basedOn w:val="1"/>
    <w:qFormat/>
    <w:uiPriority w:val="0"/>
    <w:pPr>
      <w:widowControl w:val="0"/>
      <w:shd w:val="clear" w:color="auto" w:fill="auto"/>
      <w:tabs>
        <w:tab w:val="left" w:pos="360"/>
        <w:tab w:val="clear" w:pos="426"/>
      </w:tabs>
      <w:adjustRightInd/>
      <w:snapToGrid/>
      <w:spacing w:line="240" w:lineRule="auto"/>
      <w:ind w:left="360" w:hanging="360"/>
    </w:pPr>
    <w:rPr>
      <w:rFonts w:ascii="Times New Roman" w:hAnsi="Times New Roman" w:cs="Times New Roman"/>
      <w:kern w:val="2"/>
    </w:rPr>
  </w:style>
  <w:style w:type="paragraph" w:styleId="20">
    <w:name w:val="caption"/>
    <w:basedOn w:val="1"/>
    <w:next w:val="1"/>
    <w:qFormat/>
    <w:uiPriority w:val="0"/>
    <w:rPr>
      <w:rFonts w:ascii="Arial" w:hAnsi="Arial" w:eastAsia="黑体" w:cs="Arial"/>
      <w:sz w:val="20"/>
      <w:szCs w:val="20"/>
    </w:rPr>
  </w:style>
  <w:style w:type="paragraph" w:styleId="21">
    <w:name w:val="index 5"/>
    <w:basedOn w:val="1"/>
    <w:next w:val="1"/>
    <w:qFormat/>
    <w:uiPriority w:val="0"/>
    <w:pPr>
      <w:widowControl w:val="0"/>
      <w:shd w:val="clear" w:color="auto" w:fill="auto"/>
      <w:tabs>
        <w:tab w:val="clear" w:pos="426"/>
      </w:tabs>
      <w:adjustRightInd/>
      <w:snapToGrid/>
      <w:spacing w:line="240" w:lineRule="auto"/>
      <w:ind w:left="1050" w:hanging="210"/>
      <w:jc w:val="left"/>
    </w:pPr>
    <w:rPr>
      <w:rFonts w:ascii="Times New Roman" w:hAnsi="Times New Roman" w:cs="Times New Roman"/>
      <w:kern w:val="2"/>
      <w:sz w:val="20"/>
      <w:szCs w:val="20"/>
    </w:rPr>
  </w:style>
  <w:style w:type="paragraph" w:styleId="22">
    <w:name w:val="List Bullet"/>
    <w:basedOn w:val="1"/>
    <w:qFormat/>
    <w:uiPriority w:val="0"/>
    <w:pPr>
      <w:tabs>
        <w:tab w:val="left" w:pos="360"/>
      </w:tabs>
      <w:ind w:left="360" w:hanging="360" w:hangingChars="200"/>
    </w:pPr>
    <w:rPr>
      <w:szCs w:val="20"/>
    </w:rPr>
  </w:style>
  <w:style w:type="paragraph" w:styleId="23">
    <w:name w:val="envelope address"/>
    <w:basedOn w:val="1"/>
    <w:qFormat/>
    <w:uiPriority w:val="0"/>
    <w:pPr>
      <w:framePr w:w="7920" w:h="1980" w:hRule="exact" w:hSpace="180" w:wrap="around" w:vAnchor="margin" w:hAnchor="page" w:xAlign="center" w:yAlign="bottom"/>
      <w:widowControl w:val="0"/>
      <w:shd w:val="clear" w:color="auto" w:fill="auto"/>
      <w:tabs>
        <w:tab w:val="clear" w:pos="426"/>
      </w:tabs>
      <w:adjustRightInd/>
      <w:spacing w:line="240" w:lineRule="auto"/>
      <w:ind w:left="100" w:leftChars="1400"/>
    </w:pPr>
    <w:rPr>
      <w:rFonts w:ascii="Arial" w:hAnsi="Arial" w:cs="Arial"/>
      <w:kern w:val="2"/>
      <w:sz w:val="24"/>
    </w:rPr>
  </w:style>
  <w:style w:type="paragraph" w:styleId="24">
    <w:name w:val="Document Map"/>
    <w:basedOn w:val="1"/>
    <w:link w:val="162"/>
    <w:qFormat/>
    <w:uiPriority w:val="0"/>
    <w:pPr>
      <w:shd w:val="clear" w:color="auto" w:fill="000080"/>
    </w:pPr>
    <w:rPr>
      <w:rFonts w:ascii="Times New Roman" w:hAnsi="Times New Roman" w:cs="Times New Roman"/>
      <w:kern w:val="2"/>
    </w:rPr>
  </w:style>
  <w:style w:type="paragraph" w:styleId="25">
    <w:name w:val="toa heading"/>
    <w:basedOn w:val="1"/>
    <w:next w:val="1"/>
    <w:qFormat/>
    <w:uiPriority w:val="0"/>
    <w:pPr>
      <w:spacing w:before="120"/>
    </w:pPr>
    <w:rPr>
      <w:rFonts w:ascii="Arial" w:hAnsi="Arial"/>
      <w:sz w:val="24"/>
      <w:szCs w:val="20"/>
    </w:rPr>
  </w:style>
  <w:style w:type="paragraph" w:styleId="26">
    <w:name w:val="annotation text"/>
    <w:basedOn w:val="1"/>
    <w:link w:val="163"/>
    <w:qFormat/>
    <w:uiPriority w:val="99"/>
    <w:pPr>
      <w:autoSpaceDE w:val="0"/>
      <w:autoSpaceDN w:val="0"/>
      <w:jc w:val="left"/>
      <w:textAlignment w:val="baseline"/>
    </w:pPr>
    <w:rPr>
      <w:rFonts w:hAnsi="Times New Roman" w:cs="Times New Roman"/>
      <w:sz w:val="34"/>
      <w:szCs w:val="20"/>
    </w:rPr>
  </w:style>
  <w:style w:type="paragraph" w:styleId="27">
    <w:name w:val="index 6"/>
    <w:basedOn w:val="1"/>
    <w:next w:val="1"/>
    <w:qFormat/>
    <w:uiPriority w:val="0"/>
    <w:pPr>
      <w:widowControl w:val="0"/>
      <w:shd w:val="clear" w:color="auto" w:fill="auto"/>
      <w:tabs>
        <w:tab w:val="clear" w:pos="426"/>
      </w:tabs>
      <w:adjustRightInd/>
      <w:snapToGrid/>
      <w:spacing w:line="240" w:lineRule="auto"/>
      <w:ind w:left="1260" w:hanging="210"/>
      <w:jc w:val="left"/>
    </w:pPr>
    <w:rPr>
      <w:rFonts w:ascii="Times New Roman" w:hAnsi="Times New Roman" w:cs="Times New Roman"/>
      <w:kern w:val="2"/>
      <w:sz w:val="20"/>
      <w:szCs w:val="20"/>
    </w:rPr>
  </w:style>
  <w:style w:type="paragraph" w:styleId="28">
    <w:name w:val="Salutation"/>
    <w:basedOn w:val="1"/>
    <w:next w:val="1"/>
    <w:link w:val="164"/>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29">
    <w:name w:val="Body Text 3"/>
    <w:basedOn w:val="1"/>
    <w:link w:val="165"/>
    <w:qFormat/>
    <w:uiPriority w:val="0"/>
    <w:pPr>
      <w:spacing w:after="120"/>
    </w:pPr>
    <w:rPr>
      <w:rFonts w:ascii="Times New Roman" w:hAnsi="Times New Roman" w:cs="Times New Roman"/>
      <w:kern w:val="2"/>
      <w:sz w:val="16"/>
      <w:szCs w:val="16"/>
    </w:rPr>
  </w:style>
  <w:style w:type="paragraph" w:styleId="30">
    <w:name w:val="Closing"/>
    <w:basedOn w:val="1"/>
    <w:link w:val="166"/>
    <w:qFormat/>
    <w:uiPriority w:val="0"/>
    <w:pPr>
      <w:widowControl w:val="0"/>
      <w:shd w:val="clear" w:color="auto" w:fill="auto"/>
      <w:tabs>
        <w:tab w:val="clear" w:pos="426"/>
      </w:tabs>
      <w:adjustRightInd/>
      <w:snapToGrid/>
      <w:spacing w:line="240" w:lineRule="auto"/>
      <w:ind w:left="100" w:leftChars="2100"/>
    </w:pPr>
    <w:rPr>
      <w:rFonts w:ascii="Times New Roman" w:hAnsi="Times New Roman" w:cs="Times New Roman"/>
      <w:kern w:val="2"/>
    </w:rPr>
  </w:style>
  <w:style w:type="paragraph" w:styleId="31">
    <w:name w:val="List Bullet 3"/>
    <w:basedOn w:val="1"/>
    <w:qFormat/>
    <w:uiPriority w:val="0"/>
    <w:pPr>
      <w:widowControl w:val="0"/>
      <w:shd w:val="clear" w:color="auto" w:fill="auto"/>
      <w:tabs>
        <w:tab w:val="left" w:pos="1200"/>
        <w:tab w:val="clear" w:pos="426"/>
      </w:tabs>
      <w:adjustRightInd/>
      <w:snapToGrid/>
      <w:spacing w:line="240" w:lineRule="auto"/>
      <w:ind w:left="1200" w:hanging="360"/>
    </w:pPr>
    <w:rPr>
      <w:rFonts w:ascii="Times New Roman" w:hAnsi="Times New Roman" w:cs="Times New Roman"/>
      <w:kern w:val="2"/>
    </w:rPr>
  </w:style>
  <w:style w:type="paragraph" w:styleId="32">
    <w:name w:val="Body Text"/>
    <w:basedOn w:val="1"/>
    <w:link w:val="167"/>
    <w:qFormat/>
    <w:uiPriority w:val="0"/>
    <w:rPr>
      <w:rFonts w:cs="Times New Roman"/>
      <w:b/>
      <w:bCs/>
      <w:sz w:val="24"/>
    </w:rPr>
  </w:style>
  <w:style w:type="paragraph" w:styleId="33">
    <w:name w:val="Body Text Indent"/>
    <w:basedOn w:val="1"/>
    <w:next w:val="34"/>
    <w:link w:val="148"/>
    <w:qFormat/>
    <w:uiPriority w:val="0"/>
    <w:pPr>
      <w:ind w:firstLine="420" w:firstLineChars="200"/>
    </w:pPr>
    <w:rPr>
      <w:rFonts w:ascii="Times New Roman" w:hAnsi="Times New Roman" w:cs="Times New Roman"/>
      <w:kern w:val="2"/>
    </w:rPr>
  </w:style>
  <w:style w:type="paragraph" w:styleId="34">
    <w:name w:val="envelope return"/>
    <w:basedOn w:val="1"/>
    <w:qFormat/>
    <w:uiPriority w:val="0"/>
    <w:pPr>
      <w:widowControl w:val="0"/>
      <w:shd w:val="clear" w:color="auto" w:fill="auto"/>
      <w:tabs>
        <w:tab w:val="clear" w:pos="426"/>
      </w:tabs>
      <w:adjustRightInd/>
      <w:spacing w:line="240" w:lineRule="auto"/>
    </w:pPr>
    <w:rPr>
      <w:rFonts w:ascii="Arial" w:hAnsi="Arial" w:cs="Arial"/>
      <w:kern w:val="2"/>
    </w:rPr>
  </w:style>
  <w:style w:type="paragraph" w:styleId="35">
    <w:name w:val="List Number 3"/>
    <w:basedOn w:val="1"/>
    <w:qFormat/>
    <w:uiPriority w:val="0"/>
    <w:pPr>
      <w:widowControl w:val="0"/>
      <w:shd w:val="clear" w:color="auto" w:fill="auto"/>
      <w:tabs>
        <w:tab w:val="left" w:pos="1200"/>
        <w:tab w:val="clear" w:pos="426"/>
      </w:tabs>
      <w:adjustRightInd/>
      <w:snapToGrid/>
      <w:spacing w:line="240" w:lineRule="auto"/>
      <w:ind w:left="1200" w:hanging="360"/>
    </w:pPr>
    <w:rPr>
      <w:rFonts w:ascii="Times New Roman" w:hAnsi="Times New Roman" w:cs="Times New Roman"/>
      <w:kern w:val="2"/>
    </w:rPr>
  </w:style>
  <w:style w:type="paragraph" w:styleId="36">
    <w:name w:val="List 2"/>
    <w:basedOn w:val="1"/>
    <w:qFormat/>
    <w:uiPriority w:val="0"/>
    <w:pPr>
      <w:widowControl w:val="0"/>
      <w:shd w:val="clear" w:color="auto" w:fill="auto"/>
      <w:tabs>
        <w:tab w:val="clear" w:pos="426"/>
      </w:tabs>
      <w:adjustRightInd/>
      <w:snapToGrid/>
      <w:spacing w:line="240" w:lineRule="auto"/>
      <w:ind w:left="100" w:leftChars="200" w:hanging="200" w:hangingChars="200"/>
    </w:pPr>
    <w:rPr>
      <w:rFonts w:ascii="Times New Roman" w:hAnsi="Times New Roman" w:cs="Times New Roman"/>
      <w:kern w:val="2"/>
    </w:rPr>
  </w:style>
  <w:style w:type="paragraph" w:styleId="37">
    <w:name w:val="List Continue"/>
    <w:basedOn w:val="1"/>
    <w:qFormat/>
    <w:uiPriority w:val="0"/>
    <w:pPr>
      <w:widowControl w:val="0"/>
      <w:shd w:val="clear" w:color="auto" w:fill="auto"/>
      <w:tabs>
        <w:tab w:val="clear" w:pos="426"/>
      </w:tabs>
      <w:adjustRightInd/>
      <w:snapToGrid/>
      <w:spacing w:after="120" w:line="240" w:lineRule="auto"/>
      <w:ind w:left="420" w:leftChars="200"/>
    </w:pPr>
    <w:rPr>
      <w:rFonts w:ascii="Times New Roman" w:hAnsi="Times New Roman" w:cs="Times New Roman"/>
      <w:kern w:val="2"/>
    </w:rPr>
  </w:style>
  <w:style w:type="paragraph" w:styleId="38">
    <w:name w:val="Block Text"/>
    <w:basedOn w:val="1"/>
    <w:qFormat/>
    <w:uiPriority w:val="0"/>
    <w:pPr>
      <w:widowControl w:val="0"/>
      <w:shd w:val="clear" w:color="auto" w:fill="auto"/>
      <w:tabs>
        <w:tab w:val="clear" w:pos="426"/>
      </w:tabs>
      <w:adjustRightInd/>
      <w:snapToGrid/>
      <w:spacing w:after="120" w:line="240" w:lineRule="auto"/>
      <w:ind w:left="1440" w:leftChars="700" w:right="1440" w:rightChars="700"/>
    </w:pPr>
    <w:rPr>
      <w:rFonts w:ascii="Times New Roman" w:hAnsi="Times New Roman" w:cs="Times New Roman"/>
      <w:kern w:val="2"/>
    </w:rPr>
  </w:style>
  <w:style w:type="paragraph" w:styleId="39">
    <w:name w:val="List Bullet 2"/>
    <w:basedOn w:val="1"/>
    <w:qFormat/>
    <w:uiPriority w:val="0"/>
    <w:pPr>
      <w:widowControl w:val="0"/>
      <w:shd w:val="clear" w:color="auto" w:fill="auto"/>
      <w:tabs>
        <w:tab w:val="left" w:pos="780"/>
        <w:tab w:val="clear" w:pos="426"/>
      </w:tabs>
      <w:adjustRightInd/>
      <w:snapToGrid/>
      <w:spacing w:line="240" w:lineRule="auto"/>
      <w:ind w:left="780" w:hanging="360"/>
    </w:pPr>
    <w:rPr>
      <w:rFonts w:ascii="Times New Roman" w:hAnsi="Times New Roman" w:cs="Times New Roman"/>
      <w:kern w:val="2"/>
    </w:rPr>
  </w:style>
  <w:style w:type="paragraph" w:styleId="40">
    <w:name w:val="HTML Address"/>
    <w:basedOn w:val="1"/>
    <w:link w:val="168"/>
    <w:qFormat/>
    <w:uiPriority w:val="0"/>
    <w:pPr>
      <w:widowControl w:val="0"/>
      <w:shd w:val="clear" w:color="auto" w:fill="auto"/>
      <w:tabs>
        <w:tab w:val="clear" w:pos="426"/>
      </w:tabs>
      <w:adjustRightInd/>
      <w:snapToGrid/>
      <w:spacing w:line="240" w:lineRule="auto"/>
    </w:pPr>
    <w:rPr>
      <w:rFonts w:ascii="Times New Roman" w:hAnsi="Times New Roman" w:cs="Times New Roman"/>
      <w:i/>
      <w:iCs/>
      <w:kern w:val="2"/>
    </w:rPr>
  </w:style>
  <w:style w:type="paragraph" w:styleId="41">
    <w:name w:val="index 4"/>
    <w:basedOn w:val="1"/>
    <w:next w:val="1"/>
    <w:qFormat/>
    <w:uiPriority w:val="0"/>
    <w:pPr>
      <w:widowControl w:val="0"/>
      <w:shd w:val="clear" w:color="auto" w:fill="auto"/>
      <w:tabs>
        <w:tab w:val="clear" w:pos="426"/>
      </w:tabs>
      <w:adjustRightInd/>
      <w:snapToGrid/>
      <w:spacing w:line="240" w:lineRule="auto"/>
      <w:ind w:left="840" w:hanging="210"/>
      <w:jc w:val="left"/>
    </w:pPr>
    <w:rPr>
      <w:rFonts w:ascii="Times New Roman" w:hAnsi="Times New Roman" w:cs="Times New Roman"/>
      <w:kern w:val="2"/>
      <w:sz w:val="20"/>
      <w:szCs w:val="20"/>
    </w:rPr>
  </w:style>
  <w:style w:type="paragraph" w:styleId="42">
    <w:name w:val="toc 5"/>
    <w:basedOn w:val="1"/>
    <w:next w:val="1"/>
    <w:qFormat/>
    <w:uiPriority w:val="0"/>
    <w:pPr>
      <w:ind w:left="840"/>
      <w:jc w:val="left"/>
    </w:pPr>
    <w:rPr>
      <w:szCs w:val="21"/>
    </w:rPr>
  </w:style>
  <w:style w:type="paragraph" w:styleId="43">
    <w:name w:val="toc 3"/>
    <w:basedOn w:val="1"/>
    <w:next w:val="1"/>
    <w:qFormat/>
    <w:uiPriority w:val="39"/>
    <w:pPr>
      <w:ind w:left="420"/>
      <w:jc w:val="left"/>
    </w:pPr>
    <w:rPr>
      <w:i/>
      <w:iCs/>
    </w:rPr>
  </w:style>
  <w:style w:type="paragraph" w:styleId="44">
    <w:name w:val="Plain Text"/>
    <w:basedOn w:val="1"/>
    <w:link w:val="169"/>
    <w:qFormat/>
    <w:uiPriority w:val="0"/>
    <w:rPr>
      <w:rFonts w:hAnsi="Courier New" w:cs="Times New Roman"/>
      <w:kern w:val="2"/>
      <w:szCs w:val="20"/>
    </w:rPr>
  </w:style>
  <w:style w:type="paragraph" w:styleId="45">
    <w:name w:val="List Bullet 5"/>
    <w:basedOn w:val="1"/>
    <w:qFormat/>
    <w:uiPriority w:val="0"/>
    <w:pPr>
      <w:widowControl w:val="0"/>
      <w:shd w:val="clear" w:color="auto" w:fill="auto"/>
      <w:tabs>
        <w:tab w:val="left" w:pos="2040"/>
        <w:tab w:val="clear" w:pos="426"/>
      </w:tabs>
      <w:adjustRightInd/>
      <w:snapToGrid/>
      <w:spacing w:line="240" w:lineRule="auto"/>
      <w:ind w:left="2040" w:hanging="360"/>
    </w:pPr>
    <w:rPr>
      <w:rFonts w:ascii="Times New Roman" w:hAnsi="Times New Roman" w:cs="Times New Roman"/>
      <w:kern w:val="2"/>
    </w:rPr>
  </w:style>
  <w:style w:type="paragraph" w:styleId="46">
    <w:name w:val="List Number 4"/>
    <w:basedOn w:val="1"/>
    <w:qFormat/>
    <w:uiPriority w:val="0"/>
    <w:pPr>
      <w:widowControl w:val="0"/>
      <w:shd w:val="clear" w:color="auto" w:fill="auto"/>
      <w:tabs>
        <w:tab w:val="left" w:pos="1620"/>
        <w:tab w:val="clear" w:pos="426"/>
      </w:tabs>
      <w:adjustRightInd/>
      <w:snapToGrid/>
      <w:spacing w:line="240" w:lineRule="auto"/>
      <w:ind w:left="1620" w:hanging="360"/>
    </w:pPr>
    <w:rPr>
      <w:rFonts w:ascii="Times New Roman" w:hAnsi="Times New Roman" w:cs="Times New Roman"/>
      <w:kern w:val="2"/>
    </w:rPr>
  </w:style>
  <w:style w:type="paragraph" w:styleId="47">
    <w:name w:val="toc 8"/>
    <w:basedOn w:val="1"/>
    <w:next w:val="1"/>
    <w:qFormat/>
    <w:uiPriority w:val="0"/>
    <w:pPr>
      <w:ind w:left="1470"/>
      <w:jc w:val="left"/>
    </w:pPr>
    <w:rPr>
      <w:szCs w:val="21"/>
    </w:rPr>
  </w:style>
  <w:style w:type="paragraph" w:styleId="48">
    <w:name w:val="index 3"/>
    <w:basedOn w:val="1"/>
    <w:next w:val="1"/>
    <w:qFormat/>
    <w:uiPriority w:val="0"/>
    <w:pPr>
      <w:widowControl w:val="0"/>
      <w:shd w:val="clear" w:color="auto" w:fill="auto"/>
      <w:tabs>
        <w:tab w:val="clear" w:pos="426"/>
      </w:tabs>
      <w:adjustRightInd/>
      <w:snapToGrid/>
      <w:spacing w:line="240" w:lineRule="auto"/>
      <w:ind w:left="630" w:hanging="210"/>
      <w:jc w:val="left"/>
    </w:pPr>
    <w:rPr>
      <w:rFonts w:ascii="Times New Roman" w:hAnsi="Times New Roman" w:cs="Times New Roman"/>
      <w:kern w:val="2"/>
      <w:sz w:val="20"/>
      <w:szCs w:val="20"/>
    </w:rPr>
  </w:style>
  <w:style w:type="paragraph" w:styleId="49">
    <w:name w:val="Date"/>
    <w:basedOn w:val="1"/>
    <w:next w:val="1"/>
    <w:link w:val="170"/>
    <w:qFormat/>
    <w:uiPriority w:val="0"/>
    <w:rPr>
      <w:rFonts w:hAnsi="Courier New" w:cs="Times New Roman"/>
      <w:kern w:val="2"/>
      <w:sz w:val="32"/>
      <w:szCs w:val="20"/>
    </w:rPr>
  </w:style>
  <w:style w:type="paragraph" w:styleId="50">
    <w:name w:val="Body Text Indent 2"/>
    <w:basedOn w:val="1"/>
    <w:link w:val="171"/>
    <w:qFormat/>
    <w:uiPriority w:val="0"/>
    <w:pPr>
      <w:spacing w:beforeLines="50" w:afterLines="50" w:line="120" w:lineRule="auto"/>
      <w:ind w:firstLine="840" w:firstLineChars="400"/>
      <w:jc w:val="left"/>
    </w:pPr>
    <w:rPr>
      <w:rFonts w:cs="Times New Roman"/>
      <w:kern w:val="2"/>
    </w:rPr>
  </w:style>
  <w:style w:type="paragraph" w:styleId="51">
    <w:name w:val="endnote text"/>
    <w:basedOn w:val="1"/>
    <w:link w:val="172"/>
    <w:qFormat/>
    <w:uiPriority w:val="0"/>
    <w:pPr>
      <w:widowControl w:val="0"/>
      <w:shd w:val="clear" w:color="auto" w:fill="auto"/>
      <w:tabs>
        <w:tab w:val="clear" w:pos="426"/>
      </w:tabs>
      <w:adjustRightInd/>
      <w:spacing w:line="240" w:lineRule="auto"/>
      <w:jc w:val="left"/>
    </w:pPr>
    <w:rPr>
      <w:rFonts w:ascii="Times New Roman" w:hAnsi="Times New Roman" w:cs="Times New Roman"/>
      <w:kern w:val="2"/>
    </w:rPr>
  </w:style>
  <w:style w:type="paragraph" w:styleId="52">
    <w:name w:val="List Continue 5"/>
    <w:basedOn w:val="1"/>
    <w:qFormat/>
    <w:uiPriority w:val="0"/>
    <w:pPr>
      <w:widowControl w:val="0"/>
      <w:shd w:val="clear" w:color="auto" w:fill="auto"/>
      <w:tabs>
        <w:tab w:val="clear" w:pos="426"/>
      </w:tabs>
      <w:adjustRightInd/>
      <w:snapToGrid/>
      <w:spacing w:after="120" w:line="240" w:lineRule="auto"/>
      <w:ind w:left="2100" w:leftChars="1000"/>
    </w:pPr>
    <w:rPr>
      <w:rFonts w:ascii="Times New Roman" w:hAnsi="Times New Roman" w:cs="Times New Roman"/>
      <w:kern w:val="2"/>
    </w:rPr>
  </w:style>
  <w:style w:type="paragraph" w:styleId="53">
    <w:name w:val="Balloon Text"/>
    <w:basedOn w:val="1"/>
    <w:link w:val="173"/>
    <w:qFormat/>
    <w:uiPriority w:val="0"/>
    <w:rPr>
      <w:rFonts w:ascii="Times New Roman" w:hAnsi="Times New Roman" w:cs="Times New Roman"/>
      <w:kern w:val="2"/>
      <w:sz w:val="18"/>
      <w:szCs w:val="18"/>
    </w:rPr>
  </w:style>
  <w:style w:type="paragraph" w:styleId="54">
    <w:name w:val="footer"/>
    <w:basedOn w:val="1"/>
    <w:link w:val="174"/>
    <w:qFormat/>
    <w:uiPriority w:val="0"/>
    <w:pPr>
      <w:tabs>
        <w:tab w:val="center" w:pos="4153"/>
        <w:tab w:val="right" w:pos="8306"/>
      </w:tabs>
      <w:jc w:val="left"/>
    </w:pPr>
    <w:rPr>
      <w:rFonts w:ascii="Times New Roman" w:hAnsi="Times New Roman" w:cs="Times New Roman"/>
      <w:kern w:val="2"/>
      <w:sz w:val="18"/>
      <w:szCs w:val="18"/>
    </w:rPr>
  </w:style>
  <w:style w:type="paragraph" w:styleId="55">
    <w:name w:val="header"/>
    <w:basedOn w:val="1"/>
    <w:link w:val="175"/>
    <w:qFormat/>
    <w:uiPriority w:val="0"/>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56">
    <w:name w:val="Signature"/>
    <w:basedOn w:val="1"/>
    <w:link w:val="176"/>
    <w:qFormat/>
    <w:uiPriority w:val="0"/>
    <w:pPr>
      <w:widowControl w:val="0"/>
      <w:shd w:val="clear" w:color="auto" w:fill="auto"/>
      <w:tabs>
        <w:tab w:val="clear" w:pos="426"/>
      </w:tabs>
      <w:adjustRightInd/>
      <w:snapToGrid/>
      <w:spacing w:line="240" w:lineRule="auto"/>
      <w:ind w:left="100" w:leftChars="2100"/>
    </w:pPr>
    <w:rPr>
      <w:rFonts w:ascii="Times New Roman" w:hAnsi="Times New Roman" w:cs="Times New Roman"/>
      <w:kern w:val="2"/>
    </w:rPr>
  </w:style>
  <w:style w:type="paragraph" w:styleId="57">
    <w:name w:val="toc 1"/>
    <w:basedOn w:val="1"/>
    <w:next w:val="1"/>
    <w:qFormat/>
    <w:uiPriority w:val="39"/>
    <w:pPr>
      <w:tabs>
        <w:tab w:val="right" w:leader="dot" w:pos="8789"/>
      </w:tabs>
      <w:adjustRightInd/>
      <w:snapToGrid/>
      <w:spacing w:before="120" w:after="120"/>
      <w:jc w:val="left"/>
    </w:pPr>
    <w:rPr>
      <w:b/>
      <w:bCs/>
      <w:caps/>
      <w:sz w:val="28"/>
    </w:rPr>
  </w:style>
  <w:style w:type="paragraph" w:styleId="58">
    <w:name w:val="List Continue 4"/>
    <w:basedOn w:val="1"/>
    <w:qFormat/>
    <w:uiPriority w:val="0"/>
    <w:pPr>
      <w:widowControl w:val="0"/>
      <w:shd w:val="clear" w:color="auto" w:fill="auto"/>
      <w:tabs>
        <w:tab w:val="clear" w:pos="426"/>
      </w:tabs>
      <w:adjustRightInd/>
      <w:snapToGrid/>
      <w:spacing w:after="120" w:line="240" w:lineRule="auto"/>
      <w:ind w:left="1680" w:leftChars="800"/>
    </w:pPr>
    <w:rPr>
      <w:rFonts w:ascii="Times New Roman" w:hAnsi="Times New Roman" w:cs="Times New Roman"/>
      <w:kern w:val="2"/>
    </w:rPr>
  </w:style>
  <w:style w:type="paragraph" w:styleId="59">
    <w:name w:val="toc 4"/>
    <w:basedOn w:val="1"/>
    <w:next w:val="1"/>
    <w:qFormat/>
    <w:uiPriority w:val="0"/>
    <w:pPr>
      <w:ind w:left="630"/>
      <w:jc w:val="left"/>
    </w:pPr>
    <w:rPr>
      <w:szCs w:val="21"/>
    </w:rPr>
  </w:style>
  <w:style w:type="paragraph" w:styleId="60">
    <w:name w:val="index heading"/>
    <w:basedOn w:val="1"/>
    <w:next w:val="61"/>
    <w:qFormat/>
    <w:uiPriority w:val="0"/>
    <w:pPr>
      <w:widowControl w:val="0"/>
      <w:shd w:val="clear" w:color="auto" w:fill="auto"/>
      <w:tabs>
        <w:tab w:val="clear" w:pos="426"/>
      </w:tabs>
      <w:adjustRightInd/>
      <w:snapToGrid/>
      <w:spacing w:before="120" w:after="120" w:line="240" w:lineRule="auto"/>
      <w:jc w:val="left"/>
    </w:pPr>
    <w:rPr>
      <w:rFonts w:ascii="Times New Roman" w:hAnsi="Times New Roman" w:cs="Times New Roman"/>
      <w:b/>
      <w:bCs/>
      <w:i/>
      <w:iCs/>
      <w:kern w:val="2"/>
      <w:sz w:val="20"/>
      <w:szCs w:val="20"/>
    </w:rPr>
  </w:style>
  <w:style w:type="paragraph" w:styleId="61">
    <w:name w:val="index 1"/>
    <w:basedOn w:val="1"/>
    <w:next w:val="1"/>
    <w:qFormat/>
    <w:uiPriority w:val="99"/>
    <w:rPr>
      <w:b/>
      <w:color w:val="0000FF"/>
      <w:sz w:val="24"/>
    </w:rPr>
  </w:style>
  <w:style w:type="paragraph" w:styleId="62">
    <w:name w:val="Subtitle"/>
    <w:basedOn w:val="1"/>
    <w:next w:val="1"/>
    <w:link w:val="177"/>
    <w:qFormat/>
    <w:uiPriority w:val="0"/>
    <w:pPr>
      <w:tabs>
        <w:tab w:val="clear" w:pos="426"/>
      </w:tabs>
      <w:spacing w:before="240" w:after="60" w:line="312" w:lineRule="auto"/>
      <w:jc w:val="center"/>
      <w:outlineLvl w:val="1"/>
    </w:pPr>
    <w:rPr>
      <w:rFonts w:ascii="Cambria" w:hAnsi="Cambria" w:cs="Times New Roman"/>
      <w:b/>
      <w:bCs/>
      <w:kern w:val="28"/>
      <w:sz w:val="28"/>
      <w:szCs w:val="32"/>
    </w:rPr>
  </w:style>
  <w:style w:type="paragraph" w:styleId="63">
    <w:name w:val="List Number 5"/>
    <w:basedOn w:val="1"/>
    <w:qFormat/>
    <w:uiPriority w:val="0"/>
    <w:pPr>
      <w:widowControl w:val="0"/>
      <w:shd w:val="clear" w:color="auto" w:fill="auto"/>
      <w:tabs>
        <w:tab w:val="left" w:pos="2040"/>
        <w:tab w:val="clear" w:pos="426"/>
      </w:tabs>
      <w:adjustRightInd/>
      <w:snapToGrid/>
      <w:spacing w:line="240" w:lineRule="auto"/>
      <w:ind w:left="2040" w:hanging="360"/>
    </w:pPr>
    <w:rPr>
      <w:rFonts w:ascii="Times New Roman" w:hAnsi="Times New Roman" w:cs="Times New Roman"/>
      <w:kern w:val="2"/>
    </w:rPr>
  </w:style>
  <w:style w:type="paragraph" w:styleId="64">
    <w:name w:val="List"/>
    <w:basedOn w:val="1"/>
    <w:qFormat/>
    <w:uiPriority w:val="0"/>
    <w:pPr>
      <w:widowControl w:val="0"/>
      <w:shd w:val="clear" w:color="auto" w:fill="auto"/>
      <w:tabs>
        <w:tab w:val="clear" w:pos="426"/>
      </w:tabs>
      <w:adjustRightInd/>
      <w:snapToGrid/>
      <w:spacing w:line="240" w:lineRule="auto"/>
      <w:ind w:left="200" w:hanging="200" w:hangingChars="200"/>
    </w:pPr>
    <w:rPr>
      <w:rFonts w:ascii="Times New Roman" w:hAnsi="Times New Roman" w:cs="Times New Roman"/>
      <w:kern w:val="2"/>
    </w:rPr>
  </w:style>
  <w:style w:type="paragraph" w:styleId="65">
    <w:name w:val="footnote text"/>
    <w:basedOn w:val="1"/>
    <w:link w:val="178"/>
    <w:qFormat/>
    <w:uiPriority w:val="0"/>
    <w:pPr>
      <w:widowControl w:val="0"/>
      <w:shd w:val="clear" w:color="auto" w:fill="auto"/>
      <w:tabs>
        <w:tab w:val="clear" w:pos="426"/>
      </w:tabs>
      <w:adjustRightInd/>
      <w:spacing w:line="240" w:lineRule="auto"/>
      <w:jc w:val="left"/>
    </w:pPr>
    <w:rPr>
      <w:rFonts w:ascii="Times New Roman" w:hAnsi="Times New Roman" w:cs="Times New Roman"/>
      <w:kern w:val="2"/>
      <w:sz w:val="18"/>
    </w:rPr>
  </w:style>
  <w:style w:type="paragraph" w:styleId="66">
    <w:name w:val="toc 6"/>
    <w:basedOn w:val="1"/>
    <w:next w:val="1"/>
    <w:qFormat/>
    <w:uiPriority w:val="0"/>
    <w:pPr>
      <w:ind w:left="1050"/>
      <w:jc w:val="left"/>
    </w:pPr>
    <w:rPr>
      <w:szCs w:val="21"/>
    </w:rPr>
  </w:style>
  <w:style w:type="paragraph" w:styleId="67">
    <w:name w:val="List 5"/>
    <w:basedOn w:val="1"/>
    <w:qFormat/>
    <w:uiPriority w:val="0"/>
    <w:pPr>
      <w:widowControl w:val="0"/>
      <w:shd w:val="clear" w:color="auto" w:fill="auto"/>
      <w:tabs>
        <w:tab w:val="clear" w:pos="426"/>
      </w:tabs>
      <w:adjustRightInd/>
      <w:snapToGrid/>
      <w:spacing w:line="240" w:lineRule="auto"/>
      <w:ind w:left="100" w:leftChars="800" w:hanging="200" w:hangingChars="200"/>
    </w:pPr>
    <w:rPr>
      <w:rFonts w:ascii="Times New Roman" w:hAnsi="Times New Roman" w:cs="Times New Roman"/>
      <w:kern w:val="2"/>
    </w:rPr>
  </w:style>
  <w:style w:type="paragraph" w:styleId="68">
    <w:name w:val="Body Text Indent 3"/>
    <w:basedOn w:val="1"/>
    <w:link w:val="179"/>
    <w:qFormat/>
    <w:uiPriority w:val="0"/>
    <w:pPr>
      <w:ind w:firstLine="482" w:firstLineChars="200"/>
    </w:pPr>
    <w:rPr>
      <w:rFonts w:hAnsi="Times New Roman" w:cs="Times New Roman"/>
      <w:b/>
      <w:bCs/>
      <w:kern w:val="2"/>
      <w:sz w:val="24"/>
    </w:rPr>
  </w:style>
  <w:style w:type="paragraph" w:styleId="69">
    <w:name w:val="index 7"/>
    <w:basedOn w:val="1"/>
    <w:next w:val="1"/>
    <w:qFormat/>
    <w:uiPriority w:val="0"/>
    <w:pPr>
      <w:widowControl w:val="0"/>
      <w:shd w:val="clear" w:color="auto" w:fill="auto"/>
      <w:tabs>
        <w:tab w:val="clear" w:pos="426"/>
      </w:tabs>
      <w:adjustRightInd/>
      <w:snapToGrid/>
      <w:spacing w:line="240" w:lineRule="auto"/>
      <w:ind w:left="1470" w:hanging="210"/>
      <w:jc w:val="left"/>
    </w:pPr>
    <w:rPr>
      <w:rFonts w:ascii="Times New Roman" w:hAnsi="Times New Roman" w:cs="Times New Roman"/>
      <w:kern w:val="2"/>
      <w:sz w:val="20"/>
      <w:szCs w:val="20"/>
    </w:rPr>
  </w:style>
  <w:style w:type="paragraph" w:styleId="70">
    <w:name w:val="index 9"/>
    <w:basedOn w:val="1"/>
    <w:next w:val="1"/>
    <w:qFormat/>
    <w:uiPriority w:val="0"/>
    <w:pPr>
      <w:widowControl w:val="0"/>
      <w:shd w:val="clear" w:color="auto" w:fill="auto"/>
      <w:tabs>
        <w:tab w:val="clear" w:pos="426"/>
      </w:tabs>
      <w:adjustRightInd/>
      <w:snapToGrid/>
      <w:spacing w:line="240" w:lineRule="auto"/>
      <w:ind w:left="1890" w:hanging="210"/>
      <w:jc w:val="left"/>
    </w:pPr>
    <w:rPr>
      <w:rFonts w:ascii="Times New Roman" w:hAnsi="Times New Roman" w:cs="Times New Roman"/>
      <w:kern w:val="2"/>
      <w:sz w:val="20"/>
      <w:szCs w:val="20"/>
    </w:rPr>
  </w:style>
  <w:style w:type="paragraph" w:styleId="71">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72">
    <w:name w:val="toc 9"/>
    <w:basedOn w:val="1"/>
    <w:next w:val="1"/>
    <w:qFormat/>
    <w:uiPriority w:val="0"/>
    <w:pPr>
      <w:ind w:left="1680"/>
      <w:jc w:val="left"/>
    </w:pPr>
    <w:rPr>
      <w:szCs w:val="21"/>
    </w:rPr>
  </w:style>
  <w:style w:type="paragraph" w:styleId="73">
    <w:name w:val="Body Text 2"/>
    <w:basedOn w:val="1"/>
    <w:link w:val="180"/>
    <w:qFormat/>
    <w:uiPriority w:val="0"/>
    <w:rPr>
      <w:rFonts w:ascii="Times New Roman" w:hAnsi="Times New Roman" w:cs="Times New Roman"/>
      <w:kern w:val="2"/>
      <w:sz w:val="24"/>
    </w:rPr>
  </w:style>
  <w:style w:type="paragraph" w:styleId="74">
    <w:name w:val="List 4"/>
    <w:basedOn w:val="1"/>
    <w:qFormat/>
    <w:uiPriority w:val="0"/>
    <w:pPr>
      <w:widowControl w:val="0"/>
      <w:shd w:val="clear" w:color="auto" w:fill="auto"/>
      <w:tabs>
        <w:tab w:val="clear" w:pos="426"/>
      </w:tabs>
      <w:adjustRightInd/>
      <w:snapToGrid/>
      <w:spacing w:line="240" w:lineRule="auto"/>
      <w:ind w:left="100" w:leftChars="600" w:hanging="200" w:hangingChars="200"/>
    </w:pPr>
    <w:rPr>
      <w:rFonts w:ascii="Times New Roman" w:hAnsi="Times New Roman" w:cs="Times New Roman"/>
      <w:kern w:val="2"/>
    </w:rPr>
  </w:style>
  <w:style w:type="paragraph" w:styleId="75">
    <w:name w:val="List Continue 2"/>
    <w:basedOn w:val="1"/>
    <w:qFormat/>
    <w:uiPriority w:val="0"/>
    <w:pPr>
      <w:widowControl w:val="0"/>
      <w:shd w:val="clear" w:color="auto" w:fill="auto"/>
      <w:tabs>
        <w:tab w:val="clear" w:pos="426"/>
      </w:tabs>
      <w:adjustRightInd/>
      <w:snapToGrid/>
      <w:spacing w:after="120" w:line="240" w:lineRule="auto"/>
      <w:ind w:left="840" w:leftChars="400"/>
    </w:pPr>
    <w:rPr>
      <w:rFonts w:ascii="Times New Roman" w:hAnsi="Times New Roman" w:cs="Times New Roman"/>
      <w:kern w:val="2"/>
    </w:rPr>
  </w:style>
  <w:style w:type="paragraph" w:styleId="76">
    <w:name w:val="Message Header"/>
    <w:basedOn w:val="1"/>
    <w:link w:val="18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clear" w:pos="426"/>
      </w:tabs>
      <w:adjustRightInd/>
      <w:snapToGrid/>
      <w:spacing w:line="240" w:lineRule="auto"/>
      <w:ind w:left="1080" w:leftChars="500" w:hanging="1080" w:hangingChars="500"/>
    </w:pPr>
    <w:rPr>
      <w:rFonts w:ascii="Arial" w:hAnsi="Arial" w:cs="Times New Roman"/>
      <w:kern w:val="2"/>
      <w:sz w:val="24"/>
    </w:rPr>
  </w:style>
  <w:style w:type="paragraph" w:styleId="77">
    <w:name w:val="HTML Preformatted"/>
    <w:basedOn w:val="1"/>
    <w:link w:val="18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78">
    <w:name w:val="Normal (Web)"/>
    <w:basedOn w:val="1"/>
    <w:qFormat/>
    <w:uiPriority w:val="0"/>
    <w:rPr>
      <w:sz w:val="24"/>
    </w:rPr>
  </w:style>
  <w:style w:type="paragraph" w:styleId="79">
    <w:name w:val="List Continue 3"/>
    <w:basedOn w:val="1"/>
    <w:qFormat/>
    <w:uiPriority w:val="0"/>
    <w:pPr>
      <w:widowControl w:val="0"/>
      <w:shd w:val="clear" w:color="auto" w:fill="auto"/>
      <w:tabs>
        <w:tab w:val="clear" w:pos="426"/>
      </w:tabs>
      <w:adjustRightInd/>
      <w:snapToGrid/>
      <w:spacing w:after="120" w:line="240" w:lineRule="auto"/>
      <w:ind w:left="1260" w:leftChars="600"/>
    </w:pPr>
    <w:rPr>
      <w:rFonts w:ascii="Times New Roman" w:hAnsi="Times New Roman" w:cs="Times New Roman"/>
      <w:kern w:val="2"/>
    </w:rPr>
  </w:style>
  <w:style w:type="paragraph" w:styleId="80">
    <w:name w:val="index 2"/>
    <w:basedOn w:val="1"/>
    <w:next w:val="1"/>
    <w:qFormat/>
    <w:uiPriority w:val="0"/>
    <w:pPr>
      <w:widowControl w:val="0"/>
      <w:shd w:val="clear" w:color="auto" w:fill="auto"/>
      <w:tabs>
        <w:tab w:val="clear" w:pos="426"/>
      </w:tabs>
      <w:adjustRightInd/>
      <w:snapToGrid/>
      <w:spacing w:line="240" w:lineRule="auto"/>
      <w:ind w:left="420" w:hanging="210"/>
      <w:jc w:val="left"/>
    </w:pPr>
    <w:rPr>
      <w:rFonts w:ascii="Times New Roman" w:hAnsi="Times New Roman" w:cs="Times New Roman"/>
      <w:kern w:val="2"/>
      <w:sz w:val="20"/>
      <w:szCs w:val="20"/>
    </w:rPr>
  </w:style>
  <w:style w:type="paragraph" w:styleId="81">
    <w:name w:val="Title"/>
    <w:basedOn w:val="1"/>
    <w:link w:val="183"/>
    <w:qFormat/>
    <w:uiPriority w:val="0"/>
    <w:pPr>
      <w:spacing w:before="240" w:after="60"/>
      <w:jc w:val="center"/>
      <w:outlineLvl w:val="0"/>
    </w:pPr>
    <w:rPr>
      <w:rFonts w:ascii="Arial" w:hAnsi="Arial" w:cs="Times New Roman"/>
      <w:b/>
      <w:bCs/>
      <w:kern w:val="2"/>
      <w:sz w:val="36"/>
      <w:szCs w:val="32"/>
    </w:rPr>
  </w:style>
  <w:style w:type="paragraph" w:styleId="82">
    <w:name w:val="annotation subject"/>
    <w:basedOn w:val="26"/>
    <w:next w:val="26"/>
    <w:link w:val="184"/>
    <w:qFormat/>
    <w:uiPriority w:val="0"/>
    <w:pPr>
      <w:autoSpaceDE/>
      <w:autoSpaceDN/>
      <w:adjustRightInd/>
      <w:textAlignment w:val="auto"/>
    </w:pPr>
    <w:rPr>
      <w:rFonts w:ascii="Times New Roman"/>
      <w:b/>
      <w:bCs/>
      <w:kern w:val="2"/>
      <w:sz w:val="21"/>
      <w:szCs w:val="24"/>
    </w:rPr>
  </w:style>
  <w:style w:type="paragraph" w:styleId="83">
    <w:name w:val="Body Text First Indent"/>
    <w:basedOn w:val="32"/>
    <w:link w:val="185"/>
    <w:qFormat/>
    <w:uiPriority w:val="0"/>
    <w:pPr>
      <w:widowControl w:val="0"/>
      <w:shd w:val="clear" w:color="auto" w:fill="auto"/>
      <w:adjustRightInd/>
      <w:snapToGrid/>
      <w:spacing w:after="120" w:line="240" w:lineRule="auto"/>
      <w:ind w:firstLine="420" w:firstLineChars="100"/>
    </w:pPr>
    <w:rPr>
      <w:kern w:val="2"/>
      <w:sz w:val="21"/>
    </w:rPr>
  </w:style>
  <w:style w:type="paragraph" w:styleId="84">
    <w:name w:val="Body Text First Indent 2"/>
    <w:basedOn w:val="33"/>
    <w:link w:val="149"/>
    <w:qFormat/>
    <w:uiPriority w:val="0"/>
    <w:pPr>
      <w:widowControl w:val="0"/>
      <w:shd w:val="clear" w:color="auto" w:fill="auto"/>
      <w:adjustRightInd/>
      <w:snapToGrid/>
      <w:spacing w:after="120" w:line="240" w:lineRule="auto"/>
      <w:ind w:left="420" w:leftChars="200"/>
    </w:pPr>
  </w:style>
  <w:style w:type="table" w:styleId="86">
    <w:name w:val="Table Grid"/>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7">
    <w:name w:val="Table Theme"/>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Colorful 1"/>
    <w:basedOn w:val="85"/>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9">
    <w:name w:val="Table Colorful 2"/>
    <w:basedOn w:val="85"/>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3"/>
    <w:basedOn w:val="85"/>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Elegant"/>
    <w:basedOn w:val="8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Classic 1"/>
    <w:basedOn w:val="85"/>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Classic 2"/>
    <w:basedOn w:val="85"/>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Classic 3"/>
    <w:basedOn w:val="85"/>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5">
    <w:name w:val="Table Classic 4"/>
    <w:basedOn w:val="85"/>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6">
    <w:name w:val="Table Simple 1"/>
    <w:basedOn w:val="85"/>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7">
    <w:name w:val="Table Simple 2"/>
    <w:basedOn w:val="85"/>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Simple 3"/>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9">
    <w:name w:val="Table Subtle 1"/>
    <w:basedOn w:val="85"/>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0">
    <w:name w:val="Table Subtle 2"/>
    <w:basedOn w:val="85"/>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3D effects 1"/>
    <w:basedOn w:val="85"/>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2">
    <w:name w:val="Table 3D effects 2"/>
    <w:basedOn w:val="85"/>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3D effects 3"/>
    <w:basedOn w:val="85"/>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1"/>
    <w:basedOn w:val="85"/>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2"/>
    <w:basedOn w:val="85"/>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3"/>
    <w:basedOn w:val="85"/>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7">
    <w:name w:val="Table List 4"/>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8">
    <w:name w:val="Table List 5"/>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9">
    <w:name w:val="Table List 6"/>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List 7"/>
    <w:basedOn w:val="8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1">
    <w:name w:val="Table List 8"/>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Contemporary"/>
    <w:basedOn w:val="85"/>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3">
    <w:name w:val="Table Columns 1"/>
    <w:basedOn w:val="85"/>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4">
    <w:name w:val="Table Columns 2"/>
    <w:basedOn w:val="85"/>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3"/>
    <w:basedOn w:val="85"/>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6">
    <w:name w:val="Table Columns 4"/>
    <w:basedOn w:val="85"/>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7">
    <w:name w:val="Table Columns 5"/>
    <w:basedOn w:val="85"/>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8">
    <w:name w:val="Table Grid 1"/>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2"/>
    <w:basedOn w:val="85"/>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0">
    <w:name w:val="Table Grid 3"/>
    <w:basedOn w:val="85"/>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4"/>
    <w:basedOn w:val="85"/>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2">
    <w:name w:val="Table Grid 5"/>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6"/>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7"/>
    <w:basedOn w:val="85"/>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8"/>
    <w:basedOn w:val="8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Web 1"/>
    <w:basedOn w:val="85"/>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Web 2"/>
    <w:basedOn w:val="85"/>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3"/>
    <w:basedOn w:val="85"/>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Professional"/>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1">
    <w:name w:val="Strong"/>
    <w:qFormat/>
    <w:uiPriority w:val="0"/>
    <w:rPr>
      <w:b/>
      <w:bCs/>
    </w:rPr>
  </w:style>
  <w:style w:type="character" w:styleId="132">
    <w:name w:val="endnote reference"/>
    <w:qFormat/>
    <w:uiPriority w:val="0"/>
    <w:rPr>
      <w:vertAlign w:val="superscript"/>
    </w:rPr>
  </w:style>
  <w:style w:type="character" w:styleId="133">
    <w:name w:val="page number"/>
    <w:qFormat/>
    <w:uiPriority w:val="0"/>
  </w:style>
  <w:style w:type="character" w:styleId="134">
    <w:name w:val="FollowedHyperlink"/>
    <w:qFormat/>
    <w:uiPriority w:val="0"/>
    <w:rPr>
      <w:color w:val="800080"/>
      <w:u w:val="single"/>
    </w:rPr>
  </w:style>
  <w:style w:type="character" w:styleId="135">
    <w:name w:val="Emphasis"/>
    <w:qFormat/>
    <w:uiPriority w:val="0"/>
    <w:rPr>
      <w:i/>
      <w:iCs/>
    </w:rPr>
  </w:style>
  <w:style w:type="character" w:styleId="136">
    <w:name w:val="line number"/>
    <w:qFormat/>
    <w:uiPriority w:val="0"/>
  </w:style>
  <w:style w:type="character" w:styleId="137">
    <w:name w:val="HTML Definition"/>
    <w:qFormat/>
    <w:uiPriority w:val="0"/>
    <w:rPr>
      <w:i/>
      <w:iCs/>
    </w:rPr>
  </w:style>
  <w:style w:type="character" w:styleId="138">
    <w:name w:val="HTML Typewriter"/>
    <w:qFormat/>
    <w:uiPriority w:val="0"/>
    <w:rPr>
      <w:rFonts w:ascii="Courier New" w:hAnsi="Courier New" w:cs="Courier New"/>
      <w:sz w:val="20"/>
      <w:szCs w:val="20"/>
    </w:rPr>
  </w:style>
  <w:style w:type="character" w:styleId="139">
    <w:name w:val="HTML Acronym"/>
    <w:qFormat/>
    <w:uiPriority w:val="0"/>
  </w:style>
  <w:style w:type="character" w:styleId="140">
    <w:name w:val="HTML Variable"/>
    <w:qFormat/>
    <w:uiPriority w:val="0"/>
    <w:rPr>
      <w:i/>
      <w:iCs/>
    </w:rPr>
  </w:style>
  <w:style w:type="character" w:styleId="141">
    <w:name w:val="Hyperlink"/>
    <w:qFormat/>
    <w:uiPriority w:val="99"/>
    <w:rPr>
      <w:color w:val="0000FF"/>
      <w:u w:val="single"/>
    </w:rPr>
  </w:style>
  <w:style w:type="character" w:styleId="142">
    <w:name w:val="HTML Code"/>
    <w:qFormat/>
    <w:uiPriority w:val="0"/>
    <w:rPr>
      <w:rFonts w:ascii="Courier New" w:hAnsi="Courier New" w:cs="Courier New"/>
      <w:sz w:val="20"/>
      <w:szCs w:val="20"/>
    </w:rPr>
  </w:style>
  <w:style w:type="character" w:styleId="143">
    <w:name w:val="annotation reference"/>
    <w:unhideWhenUsed/>
    <w:qFormat/>
    <w:uiPriority w:val="0"/>
    <w:rPr>
      <w:sz w:val="21"/>
      <w:szCs w:val="21"/>
    </w:rPr>
  </w:style>
  <w:style w:type="character" w:styleId="144">
    <w:name w:val="HTML Cite"/>
    <w:qFormat/>
    <w:uiPriority w:val="0"/>
    <w:rPr>
      <w:i/>
      <w:iCs/>
    </w:rPr>
  </w:style>
  <w:style w:type="character" w:styleId="145">
    <w:name w:val="footnote reference"/>
    <w:qFormat/>
    <w:uiPriority w:val="0"/>
    <w:rPr>
      <w:vertAlign w:val="superscript"/>
    </w:rPr>
  </w:style>
  <w:style w:type="character" w:styleId="146">
    <w:name w:val="HTML Keyboard"/>
    <w:qFormat/>
    <w:uiPriority w:val="0"/>
    <w:rPr>
      <w:rFonts w:ascii="Courier New" w:hAnsi="Courier New" w:cs="Courier New"/>
      <w:sz w:val="20"/>
      <w:szCs w:val="20"/>
    </w:rPr>
  </w:style>
  <w:style w:type="character" w:styleId="147">
    <w:name w:val="HTML Sample"/>
    <w:qFormat/>
    <w:uiPriority w:val="0"/>
    <w:rPr>
      <w:rFonts w:ascii="Courier New" w:hAnsi="Courier New" w:cs="Courier New"/>
    </w:rPr>
  </w:style>
  <w:style w:type="character" w:customStyle="1" w:styleId="148">
    <w:name w:val="正文文本缩进 字符"/>
    <w:link w:val="33"/>
    <w:qFormat/>
    <w:uiPriority w:val="0"/>
    <w:rPr>
      <w:kern w:val="2"/>
      <w:sz w:val="21"/>
      <w:szCs w:val="24"/>
    </w:rPr>
  </w:style>
  <w:style w:type="character" w:customStyle="1" w:styleId="149">
    <w:name w:val="正文文本首行缩进 2 字符"/>
    <w:link w:val="84"/>
    <w:qFormat/>
    <w:uiPriority w:val="0"/>
    <w:rPr>
      <w:kern w:val="2"/>
      <w:sz w:val="21"/>
      <w:szCs w:val="24"/>
    </w:rPr>
  </w:style>
  <w:style w:type="character" w:customStyle="1" w:styleId="150">
    <w:name w:val="标题 4 字符"/>
    <w:link w:val="4"/>
    <w:qFormat/>
    <w:uiPriority w:val="0"/>
    <w:rPr>
      <w:rFonts w:ascii="Arial" w:hAnsi="Arial" w:eastAsia="黑体"/>
      <w:b/>
      <w:bCs/>
      <w:kern w:val="2"/>
      <w:sz w:val="28"/>
      <w:szCs w:val="28"/>
      <w:lang w:val="en-US" w:eastAsia="zh-CN" w:bidi="ar-SA"/>
    </w:rPr>
  </w:style>
  <w:style w:type="character" w:customStyle="1" w:styleId="151">
    <w:name w:val="标题 3 字符"/>
    <w:link w:val="3"/>
    <w:qFormat/>
    <w:uiPriority w:val="0"/>
    <w:rPr>
      <w:rFonts w:ascii="宋体" w:hAnsi="宋体"/>
      <w:b/>
      <w:bCs/>
      <w:kern w:val="2"/>
      <w:sz w:val="24"/>
      <w:szCs w:val="32"/>
      <w:shd w:val="clear" w:color="auto" w:fill="FFFFFF"/>
    </w:rPr>
  </w:style>
  <w:style w:type="character" w:customStyle="1" w:styleId="152">
    <w:name w:val="标题 1 字符"/>
    <w:link w:val="2"/>
    <w:qFormat/>
    <w:uiPriority w:val="0"/>
    <w:rPr>
      <w:rFonts w:ascii="宋体" w:hAnsi="宋体" w:eastAsia="黑体"/>
      <w:b/>
      <w:bCs/>
      <w:kern w:val="44"/>
      <w:sz w:val="28"/>
      <w:szCs w:val="28"/>
      <w:lang w:val="en-US" w:eastAsia="zh-CN" w:bidi="ar-SA"/>
    </w:rPr>
  </w:style>
  <w:style w:type="character" w:customStyle="1" w:styleId="153">
    <w:name w:val="标题 2 字符"/>
    <w:link w:val="5"/>
    <w:qFormat/>
    <w:uiPriority w:val="0"/>
    <w:rPr>
      <w:rFonts w:ascii="宋体" w:hAnsi="宋体"/>
      <w:b/>
      <w:sz w:val="24"/>
      <w:shd w:val="clear" w:color="auto" w:fill="FFFFFF"/>
    </w:rPr>
  </w:style>
  <w:style w:type="character" w:customStyle="1" w:styleId="154">
    <w:name w:val="标题 5 字符"/>
    <w:link w:val="6"/>
    <w:qFormat/>
    <w:uiPriority w:val="0"/>
    <w:rPr>
      <w:b/>
      <w:kern w:val="2"/>
      <w:sz w:val="24"/>
    </w:rPr>
  </w:style>
  <w:style w:type="character" w:customStyle="1" w:styleId="155">
    <w:name w:val="正文缩进 字符"/>
    <w:link w:val="7"/>
    <w:qFormat/>
    <w:uiPriority w:val="0"/>
    <w:rPr>
      <w:rFonts w:eastAsia="宋体"/>
      <w:kern w:val="2"/>
      <w:sz w:val="21"/>
      <w:lang w:val="en-US" w:eastAsia="zh-CN" w:bidi="ar-SA"/>
    </w:rPr>
  </w:style>
  <w:style w:type="character" w:customStyle="1" w:styleId="156">
    <w:name w:val="标题 6 字符"/>
    <w:link w:val="8"/>
    <w:qFormat/>
    <w:uiPriority w:val="0"/>
    <w:rPr>
      <w:rFonts w:ascii="Arial" w:hAnsi="Arial" w:eastAsia="黑体"/>
      <w:b/>
      <w:kern w:val="2"/>
      <w:sz w:val="24"/>
    </w:rPr>
  </w:style>
  <w:style w:type="character" w:customStyle="1" w:styleId="157">
    <w:name w:val="标题 7 字符"/>
    <w:link w:val="9"/>
    <w:qFormat/>
    <w:uiPriority w:val="0"/>
    <w:rPr>
      <w:b/>
      <w:kern w:val="2"/>
      <w:sz w:val="24"/>
    </w:rPr>
  </w:style>
  <w:style w:type="character" w:customStyle="1" w:styleId="158">
    <w:name w:val="标题 8 字符"/>
    <w:link w:val="10"/>
    <w:qFormat/>
    <w:uiPriority w:val="0"/>
    <w:rPr>
      <w:rFonts w:ascii="Arial" w:hAnsi="Arial" w:eastAsia="黑体"/>
      <w:kern w:val="2"/>
      <w:sz w:val="24"/>
    </w:rPr>
  </w:style>
  <w:style w:type="character" w:customStyle="1" w:styleId="159">
    <w:name w:val="标题 9 字符"/>
    <w:link w:val="11"/>
    <w:qFormat/>
    <w:uiPriority w:val="0"/>
    <w:rPr>
      <w:rFonts w:ascii="Arial" w:hAnsi="Arial" w:eastAsia="黑体"/>
      <w:kern w:val="2"/>
      <w:sz w:val="21"/>
    </w:rPr>
  </w:style>
  <w:style w:type="character" w:customStyle="1" w:styleId="160">
    <w:name w:val="注释标题 字符"/>
    <w:link w:val="15"/>
    <w:qFormat/>
    <w:uiPriority w:val="0"/>
    <w:rPr>
      <w:kern w:val="2"/>
      <w:sz w:val="21"/>
      <w:szCs w:val="24"/>
    </w:rPr>
  </w:style>
  <w:style w:type="character" w:customStyle="1" w:styleId="161">
    <w:name w:val="电子邮件签名 字符"/>
    <w:link w:val="18"/>
    <w:qFormat/>
    <w:uiPriority w:val="0"/>
    <w:rPr>
      <w:kern w:val="2"/>
      <w:sz w:val="21"/>
      <w:szCs w:val="24"/>
    </w:rPr>
  </w:style>
  <w:style w:type="character" w:customStyle="1" w:styleId="162">
    <w:name w:val="文档结构图 字符"/>
    <w:link w:val="24"/>
    <w:qFormat/>
    <w:uiPriority w:val="0"/>
    <w:rPr>
      <w:kern w:val="2"/>
      <w:sz w:val="21"/>
      <w:szCs w:val="24"/>
      <w:shd w:val="clear" w:color="auto" w:fill="000080"/>
    </w:rPr>
  </w:style>
  <w:style w:type="character" w:customStyle="1" w:styleId="163">
    <w:name w:val="批注文字 字符"/>
    <w:link w:val="26"/>
    <w:qFormat/>
    <w:uiPriority w:val="99"/>
    <w:rPr>
      <w:rFonts w:ascii="宋体"/>
      <w:sz w:val="34"/>
      <w:shd w:val="clear" w:color="auto" w:fill="FFFFFF"/>
    </w:rPr>
  </w:style>
  <w:style w:type="character" w:customStyle="1" w:styleId="164">
    <w:name w:val="称呼 字符"/>
    <w:link w:val="28"/>
    <w:qFormat/>
    <w:uiPriority w:val="0"/>
    <w:rPr>
      <w:kern w:val="2"/>
      <w:sz w:val="21"/>
      <w:szCs w:val="24"/>
    </w:rPr>
  </w:style>
  <w:style w:type="character" w:customStyle="1" w:styleId="165">
    <w:name w:val="正文文本 3 字符"/>
    <w:link w:val="29"/>
    <w:qFormat/>
    <w:uiPriority w:val="0"/>
    <w:rPr>
      <w:kern w:val="2"/>
      <w:sz w:val="16"/>
      <w:szCs w:val="16"/>
    </w:rPr>
  </w:style>
  <w:style w:type="character" w:customStyle="1" w:styleId="166">
    <w:name w:val="结束语 字符"/>
    <w:link w:val="30"/>
    <w:qFormat/>
    <w:uiPriority w:val="0"/>
    <w:rPr>
      <w:kern w:val="2"/>
      <w:sz w:val="21"/>
      <w:szCs w:val="24"/>
    </w:rPr>
  </w:style>
  <w:style w:type="character" w:customStyle="1" w:styleId="167">
    <w:name w:val="正文文本 字符"/>
    <w:link w:val="32"/>
    <w:qFormat/>
    <w:uiPriority w:val="0"/>
    <w:rPr>
      <w:rFonts w:ascii="宋体" w:hAnsi="宋体" w:cs="宋体"/>
      <w:b/>
      <w:bCs/>
      <w:sz w:val="24"/>
      <w:szCs w:val="24"/>
      <w:shd w:val="clear" w:color="auto" w:fill="FFFFFF"/>
    </w:rPr>
  </w:style>
  <w:style w:type="character" w:customStyle="1" w:styleId="168">
    <w:name w:val="HTML 地址 字符"/>
    <w:link w:val="40"/>
    <w:qFormat/>
    <w:uiPriority w:val="0"/>
    <w:rPr>
      <w:i/>
      <w:iCs/>
      <w:kern w:val="2"/>
      <w:sz w:val="21"/>
      <w:szCs w:val="24"/>
    </w:rPr>
  </w:style>
  <w:style w:type="character" w:customStyle="1" w:styleId="169">
    <w:name w:val="纯文本 字符"/>
    <w:link w:val="44"/>
    <w:qFormat/>
    <w:uiPriority w:val="0"/>
    <w:rPr>
      <w:rFonts w:ascii="宋体" w:hAnsi="Courier New"/>
      <w:kern w:val="2"/>
      <w:sz w:val="21"/>
      <w:shd w:val="clear" w:color="auto" w:fill="FFFFFF"/>
    </w:rPr>
  </w:style>
  <w:style w:type="character" w:customStyle="1" w:styleId="170">
    <w:name w:val="日期 字符"/>
    <w:link w:val="49"/>
    <w:qFormat/>
    <w:uiPriority w:val="0"/>
    <w:rPr>
      <w:rFonts w:ascii="宋体" w:hAnsi="Courier New"/>
      <w:kern w:val="2"/>
      <w:sz w:val="32"/>
    </w:rPr>
  </w:style>
  <w:style w:type="character" w:customStyle="1" w:styleId="171">
    <w:name w:val="正文文本缩进 2 字符"/>
    <w:link w:val="50"/>
    <w:qFormat/>
    <w:uiPriority w:val="0"/>
    <w:rPr>
      <w:rFonts w:ascii="宋体" w:hAnsi="宋体"/>
      <w:kern w:val="2"/>
      <w:sz w:val="21"/>
      <w:szCs w:val="24"/>
    </w:rPr>
  </w:style>
  <w:style w:type="character" w:customStyle="1" w:styleId="172">
    <w:name w:val="尾注文本 字符"/>
    <w:link w:val="51"/>
    <w:qFormat/>
    <w:uiPriority w:val="0"/>
    <w:rPr>
      <w:kern w:val="2"/>
      <w:sz w:val="21"/>
      <w:szCs w:val="24"/>
    </w:rPr>
  </w:style>
  <w:style w:type="character" w:customStyle="1" w:styleId="173">
    <w:name w:val="批注框文本 字符"/>
    <w:link w:val="53"/>
    <w:qFormat/>
    <w:uiPriority w:val="0"/>
    <w:rPr>
      <w:kern w:val="2"/>
      <w:sz w:val="18"/>
      <w:szCs w:val="18"/>
    </w:rPr>
  </w:style>
  <w:style w:type="character" w:customStyle="1" w:styleId="174">
    <w:name w:val="页脚 字符"/>
    <w:link w:val="54"/>
    <w:qFormat/>
    <w:uiPriority w:val="0"/>
    <w:rPr>
      <w:kern w:val="2"/>
      <w:sz w:val="18"/>
      <w:szCs w:val="18"/>
    </w:rPr>
  </w:style>
  <w:style w:type="character" w:customStyle="1" w:styleId="175">
    <w:name w:val="页眉 字符"/>
    <w:link w:val="55"/>
    <w:qFormat/>
    <w:uiPriority w:val="0"/>
    <w:rPr>
      <w:kern w:val="2"/>
      <w:sz w:val="18"/>
      <w:szCs w:val="18"/>
    </w:rPr>
  </w:style>
  <w:style w:type="character" w:customStyle="1" w:styleId="176">
    <w:name w:val="签名 字符"/>
    <w:link w:val="56"/>
    <w:qFormat/>
    <w:uiPriority w:val="0"/>
    <w:rPr>
      <w:kern w:val="2"/>
      <w:sz w:val="21"/>
      <w:szCs w:val="24"/>
    </w:rPr>
  </w:style>
  <w:style w:type="character" w:customStyle="1" w:styleId="177">
    <w:name w:val="副标题 字符"/>
    <w:link w:val="62"/>
    <w:qFormat/>
    <w:uiPriority w:val="0"/>
    <w:rPr>
      <w:rFonts w:ascii="Cambria" w:hAnsi="Cambria"/>
      <w:b/>
      <w:bCs/>
      <w:kern w:val="28"/>
      <w:sz w:val="28"/>
      <w:szCs w:val="32"/>
      <w:shd w:val="clear" w:color="auto" w:fill="FFFFFF"/>
    </w:rPr>
  </w:style>
  <w:style w:type="character" w:customStyle="1" w:styleId="178">
    <w:name w:val="脚注文本 字符"/>
    <w:link w:val="65"/>
    <w:qFormat/>
    <w:uiPriority w:val="0"/>
    <w:rPr>
      <w:kern w:val="2"/>
      <w:sz w:val="18"/>
      <w:szCs w:val="24"/>
    </w:rPr>
  </w:style>
  <w:style w:type="character" w:customStyle="1" w:styleId="179">
    <w:name w:val="正文文本缩进 3 字符"/>
    <w:link w:val="68"/>
    <w:qFormat/>
    <w:uiPriority w:val="0"/>
    <w:rPr>
      <w:rFonts w:ascii="宋体"/>
      <w:b/>
      <w:bCs/>
      <w:kern w:val="2"/>
      <w:sz w:val="24"/>
      <w:szCs w:val="24"/>
    </w:rPr>
  </w:style>
  <w:style w:type="character" w:customStyle="1" w:styleId="180">
    <w:name w:val="正文文本 2 字符"/>
    <w:link w:val="73"/>
    <w:qFormat/>
    <w:uiPriority w:val="0"/>
    <w:rPr>
      <w:kern w:val="2"/>
      <w:sz w:val="24"/>
      <w:szCs w:val="24"/>
    </w:rPr>
  </w:style>
  <w:style w:type="character" w:customStyle="1" w:styleId="181">
    <w:name w:val="信息标题 字符"/>
    <w:link w:val="76"/>
    <w:qFormat/>
    <w:uiPriority w:val="0"/>
    <w:rPr>
      <w:rFonts w:ascii="Arial" w:hAnsi="Arial" w:cs="Arial"/>
      <w:kern w:val="2"/>
      <w:sz w:val="24"/>
      <w:szCs w:val="24"/>
      <w:shd w:val="pct20" w:color="auto" w:fill="auto"/>
    </w:rPr>
  </w:style>
  <w:style w:type="character" w:customStyle="1" w:styleId="182">
    <w:name w:val="HTML 预设格式 字符"/>
    <w:link w:val="77"/>
    <w:qFormat/>
    <w:uiPriority w:val="0"/>
    <w:rPr>
      <w:rFonts w:ascii="Arial Unicode MS" w:hAnsi="Arial Unicode MS" w:eastAsia="Arial Unicode MS"/>
      <w:color w:val="000000"/>
    </w:rPr>
  </w:style>
  <w:style w:type="character" w:customStyle="1" w:styleId="183">
    <w:name w:val="标题 字符"/>
    <w:link w:val="81"/>
    <w:qFormat/>
    <w:uiPriority w:val="0"/>
    <w:rPr>
      <w:rFonts w:ascii="Arial" w:hAnsi="Arial" w:cs="Arial"/>
      <w:b/>
      <w:bCs/>
      <w:kern w:val="2"/>
      <w:sz w:val="36"/>
      <w:szCs w:val="32"/>
    </w:rPr>
  </w:style>
  <w:style w:type="character" w:customStyle="1" w:styleId="184">
    <w:name w:val="批注主题 字符"/>
    <w:link w:val="82"/>
    <w:qFormat/>
    <w:uiPriority w:val="0"/>
    <w:rPr>
      <w:b/>
      <w:bCs/>
      <w:kern w:val="2"/>
      <w:sz w:val="21"/>
      <w:szCs w:val="24"/>
    </w:rPr>
  </w:style>
  <w:style w:type="character" w:customStyle="1" w:styleId="185">
    <w:name w:val="正文文本首行缩进 字符"/>
    <w:link w:val="83"/>
    <w:qFormat/>
    <w:uiPriority w:val="0"/>
    <w:rPr>
      <w:rFonts w:ascii="宋体" w:hAnsi="宋体" w:cs="宋体"/>
      <w:b/>
      <w:bCs/>
      <w:kern w:val="2"/>
      <w:sz w:val="21"/>
      <w:szCs w:val="24"/>
      <w:shd w:val="clear" w:color="auto" w:fill="FFFFFF"/>
    </w:rPr>
  </w:style>
  <w:style w:type="character" w:customStyle="1" w:styleId="186">
    <w:name w:val="pan Char"/>
    <w:link w:val="187"/>
    <w:qFormat/>
    <w:uiPriority w:val="0"/>
    <w:rPr>
      <w:rFonts w:ascii="黑体" w:hAnsi="黑体" w:eastAsia="黑体"/>
      <w:kern w:val="2"/>
      <w:sz w:val="32"/>
      <w:szCs w:val="32"/>
      <w:shd w:val="clear" w:color="auto" w:fill="FFFFFF"/>
    </w:rPr>
  </w:style>
  <w:style w:type="paragraph" w:customStyle="1" w:styleId="187">
    <w:name w:val="pan"/>
    <w:basedOn w:val="188"/>
    <w:link w:val="186"/>
    <w:qFormat/>
    <w:uiPriority w:val="0"/>
    <w:pPr>
      <w:tabs>
        <w:tab w:val="left" w:pos="426"/>
        <w:tab w:val="left" w:pos="840"/>
      </w:tabs>
      <w:ind w:left="840" w:hanging="420" w:firstLineChars="0"/>
      <w:outlineLvl w:val="0"/>
    </w:pPr>
    <w:rPr>
      <w:rFonts w:ascii="黑体" w:hAnsi="黑体" w:eastAsia="黑体"/>
      <w:sz w:val="32"/>
      <w:szCs w:val="32"/>
    </w:rPr>
  </w:style>
  <w:style w:type="paragraph" w:customStyle="1" w:styleId="188">
    <w:name w:val="列出段落1"/>
    <w:basedOn w:val="1"/>
    <w:link w:val="189"/>
    <w:qFormat/>
    <w:uiPriority w:val="0"/>
    <w:pPr>
      <w:ind w:firstLine="420" w:firstLineChars="200"/>
    </w:pPr>
    <w:rPr>
      <w:rFonts w:ascii="Times New Roman" w:hAnsi="Times New Roman" w:cs="Times New Roman"/>
      <w:kern w:val="2"/>
    </w:rPr>
  </w:style>
  <w:style w:type="character" w:customStyle="1" w:styleId="189">
    <w:name w:val="列出段落 Char"/>
    <w:link w:val="188"/>
    <w:qFormat/>
    <w:uiPriority w:val="0"/>
    <w:rPr>
      <w:kern w:val="2"/>
      <w:sz w:val="21"/>
      <w:szCs w:val="24"/>
    </w:rPr>
  </w:style>
  <w:style w:type="character" w:customStyle="1" w:styleId="190">
    <w:name w:val="图片注释 Char"/>
    <w:link w:val="191"/>
    <w:qFormat/>
    <w:uiPriority w:val="0"/>
    <w:rPr>
      <w:rFonts w:ascii="宋体" w:hAnsi="宋体"/>
      <w:kern w:val="2"/>
      <w:sz w:val="24"/>
      <w:szCs w:val="24"/>
      <w:u w:val="single"/>
    </w:rPr>
  </w:style>
  <w:style w:type="paragraph" w:customStyle="1" w:styleId="191">
    <w:name w:val="图片注释"/>
    <w:basedOn w:val="1"/>
    <w:link w:val="190"/>
    <w:qFormat/>
    <w:uiPriority w:val="0"/>
    <w:pPr>
      <w:spacing w:afterLines="25"/>
      <w:ind w:firstLine="200" w:firstLineChars="200"/>
      <w:jc w:val="center"/>
    </w:pPr>
    <w:rPr>
      <w:rFonts w:cs="Times New Roman"/>
      <w:kern w:val="2"/>
      <w:sz w:val="24"/>
      <w:u w:val="single"/>
    </w:rPr>
  </w:style>
  <w:style w:type="character" w:customStyle="1" w:styleId="192">
    <w:name w:val="段内层标 Char"/>
    <w:link w:val="193"/>
    <w:qFormat/>
    <w:uiPriority w:val="0"/>
    <w:rPr>
      <w:rFonts w:ascii="宋体" w:hAnsi="宋体"/>
      <w:b/>
      <w:kern w:val="2"/>
      <w:sz w:val="28"/>
      <w:szCs w:val="28"/>
      <w:shd w:val="clear" w:color="auto" w:fill="FFFFFF"/>
    </w:rPr>
  </w:style>
  <w:style w:type="paragraph" w:customStyle="1" w:styleId="193">
    <w:name w:val="段内层标"/>
    <w:basedOn w:val="194"/>
    <w:link w:val="192"/>
    <w:qFormat/>
    <w:uiPriority w:val="0"/>
    <w:pPr>
      <w:tabs>
        <w:tab w:val="left" w:pos="426"/>
      </w:tabs>
      <w:spacing w:beforeLines="25" w:afterLines="25"/>
      <w:ind w:left="620" w:firstLine="200" w:firstLineChars="200"/>
    </w:pPr>
    <w:rPr>
      <w:rFonts w:ascii="宋体" w:hAnsi="宋体"/>
      <w:b/>
      <w:kern w:val="2"/>
      <w:sz w:val="28"/>
      <w:szCs w:val="28"/>
    </w:rPr>
  </w:style>
  <w:style w:type="paragraph" w:customStyle="1" w:styleId="194">
    <w:name w:val="正文内容"/>
    <w:basedOn w:val="1"/>
    <w:next w:val="24"/>
    <w:link w:val="195"/>
    <w:qFormat/>
    <w:uiPriority w:val="0"/>
    <w:rPr>
      <w:rFonts w:ascii="Times New Roman" w:hAnsi="Times New Roman" w:cs="Times New Roman"/>
      <w:sz w:val="20"/>
    </w:rPr>
  </w:style>
  <w:style w:type="character" w:customStyle="1" w:styleId="195">
    <w:name w:val="正文内容 Char"/>
    <w:link w:val="194"/>
    <w:qFormat/>
    <w:uiPriority w:val="0"/>
    <w:rPr>
      <w:szCs w:val="24"/>
    </w:rPr>
  </w:style>
  <w:style w:type="character" w:customStyle="1" w:styleId="196">
    <w:name w:val="标题3 Char"/>
    <w:link w:val="197"/>
    <w:qFormat/>
    <w:uiPriority w:val="0"/>
    <w:rPr>
      <w:rFonts w:ascii="黑体" w:hAnsi="黑体" w:eastAsia="黑体"/>
      <w:kern w:val="2"/>
      <w:sz w:val="28"/>
      <w:szCs w:val="28"/>
      <w:shd w:val="clear" w:color="auto" w:fill="FFFFFF"/>
    </w:rPr>
  </w:style>
  <w:style w:type="paragraph" w:customStyle="1" w:styleId="197">
    <w:name w:val="标题3"/>
    <w:basedOn w:val="188"/>
    <w:link w:val="196"/>
    <w:qFormat/>
    <w:uiPriority w:val="0"/>
    <w:pPr>
      <w:ind w:left="1822" w:firstLine="0" w:firstLineChars="0"/>
      <w:outlineLvl w:val="2"/>
    </w:pPr>
    <w:rPr>
      <w:rFonts w:ascii="黑体" w:hAnsi="黑体" w:eastAsia="黑体"/>
      <w:sz w:val="28"/>
      <w:szCs w:val="28"/>
    </w:rPr>
  </w:style>
  <w:style w:type="character" w:customStyle="1" w:styleId="198">
    <w:name w:val="Char Char4"/>
    <w:qFormat/>
    <w:uiPriority w:val="0"/>
    <w:rPr>
      <w:rFonts w:eastAsia="宋体"/>
      <w:b/>
      <w:kern w:val="2"/>
      <w:sz w:val="24"/>
      <w:lang w:val="en-US" w:eastAsia="zh-CN" w:bidi="ar-SA"/>
    </w:rPr>
  </w:style>
  <w:style w:type="character" w:customStyle="1" w:styleId="199">
    <w:name w:val="书籍标题1"/>
    <w:qFormat/>
    <w:uiPriority w:val="33"/>
    <w:rPr>
      <w:b/>
      <w:bCs/>
      <w:smallCaps/>
      <w:spacing w:val="5"/>
    </w:rPr>
  </w:style>
  <w:style w:type="character" w:customStyle="1" w:styleId="200">
    <w:name w:val="正文文本缩进 2 Char"/>
    <w:qFormat/>
    <w:uiPriority w:val="0"/>
    <w:rPr>
      <w:rFonts w:ascii="宋体" w:hAnsi="宋体"/>
      <w:kern w:val="2"/>
      <w:sz w:val="21"/>
      <w:szCs w:val="24"/>
      <w:shd w:val="clear" w:color="auto" w:fill="FFFFFF"/>
    </w:rPr>
  </w:style>
  <w:style w:type="character" w:customStyle="1" w:styleId="201">
    <w:name w:val="正文文本 Char"/>
    <w:qFormat/>
    <w:uiPriority w:val="99"/>
    <w:rPr>
      <w:rFonts w:ascii="宋体"/>
      <w:kern w:val="10"/>
      <w:sz w:val="21"/>
    </w:rPr>
  </w:style>
  <w:style w:type="character" w:customStyle="1" w:styleId="202">
    <w:name w:val="批注主题 Char"/>
    <w:qFormat/>
    <w:uiPriority w:val="0"/>
    <w:rPr>
      <w:rFonts w:ascii="宋体" w:hAnsi="宋体" w:cs="宋体"/>
      <w:b/>
      <w:bCs/>
      <w:kern w:val="2"/>
      <w:sz w:val="21"/>
      <w:szCs w:val="24"/>
      <w:shd w:val="clear" w:color="auto" w:fill="FFFFFF"/>
    </w:rPr>
  </w:style>
  <w:style w:type="character" w:customStyle="1" w:styleId="203">
    <w:name w:val="style3"/>
    <w:qFormat/>
    <w:uiPriority w:val="0"/>
  </w:style>
  <w:style w:type="character" w:customStyle="1" w:styleId="204">
    <w:name w:val="font10pt"/>
    <w:qFormat/>
    <w:uiPriority w:val="0"/>
  </w:style>
  <w:style w:type="character" w:customStyle="1" w:styleId="205">
    <w:name w:val="文档结构图 Char"/>
    <w:semiHidden/>
    <w:qFormat/>
    <w:uiPriority w:val="0"/>
    <w:rPr>
      <w:kern w:val="2"/>
      <w:sz w:val="21"/>
      <w:szCs w:val="24"/>
      <w:shd w:val="clear" w:color="auto" w:fill="000080"/>
    </w:rPr>
  </w:style>
  <w:style w:type="character" w:customStyle="1" w:styleId="206">
    <w:name w:val="翟 正文 Char"/>
    <w:link w:val="207"/>
    <w:qFormat/>
    <w:uiPriority w:val="0"/>
    <w:rPr>
      <w:rFonts w:ascii="宋体" w:hAnsi="仿宋"/>
      <w:snapToGrid/>
      <w:color w:val="000000"/>
      <w:sz w:val="28"/>
      <w:szCs w:val="28"/>
      <w:u w:color="000000"/>
    </w:rPr>
  </w:style>
  <w:style w:type="paragraph" w:customStyle="1" w:styleId="207">
    <w:name w:val="翟 正文"/>
    <w:basedOn w:val="1"/>
    <w:link w:val="206"/>
    <w:qFormat/>
    <w:uiPriority w:val="0"/>
    <w:pPr>
      <w:widowControl w:val="0"/>
      <w:shd w:val="clear" w:color="auto" w:fill="auto"/>
      <w:tabs>
        <w:tab w:val="clear" w:pos="426"/>
      </w:tabs>
      <w:adjustRightInd/>
      <w:snapToGrid/>
      <w:spacing w:line="480" w:lineRule="exact"/>
      <w:ind w:firstLine="560" w:firstLineChars="200"/>
    </w:pPr>
    <w:rPr>
      <w:rFonts w:hAnsi="仿宋" w:cs="Times New Roman"/>
      <w:color w:val="000000"/>
      <w:sz w:val="28"/>
      <w:szCs w:val="28"/>
      <w:u w:color="000000"/>
    </w:rPr>
  </w:style>
  <w:style w:type="character" w:customStyle="1" w:styleId="208">
    <w:name w:val="日期 Char1"/>
    <w:semiHidden/>
    <w:qFormat/>
    <w:uiPriority w:val="99"/>
    <w:rPr>
      <w:kern w:val="2"/>
      <w:sz w:val="21"/>
      <w:szCs w:val="24"/>
    </w:rPr>
  </w:style>
  <w:style w:type="character" w:customStyle="1" w:styleId="209">
    <w:name w:val="段内主题 Char"/>
    <w:link w:val="210"/>
    <w:qFormat/>
    <w:uiPriority w:val="0"/>
    <w:rPr>
      <w:rFonts w:ascii="宋体" w:hAnsi="宋体"/>
      <w:b/>
      <w:kern w:val="2"/>
      <w:sz w:val="24"/>
      <w:szCs w:val="24"/>
      <w:shd w:val="clear" w:color="auto" w:fill="FFFFFF"/>
    </w:rPr>
  </w:style>
  <w:style w:type="paragraph" w:customStyle="1" w:styleId="210">
    <w:name w:val="段内主题"/>
    <w:basedOn w:val="1"/>
    <w:link w:val="209"/>
    <w:qFormat/>
    <w:uiPriority w:val="0"/>
    <w:pPr>
      <w:ind w:left="840"/>
    </w:pPr>
    <w:rPr>
      <w:rFonts w:cs="Times New Roman"/>
      <w:b/>
      <w:kern w:val="2"/>
      <w:sz w:val="24"/>
    </w:rPr>
  </w:style>
  <w:style w:type="character" w:customStyle="1" w:styleId="211">
    <w:name w:val="1 Char"/>
    <w:link w:val="212"/>
    <w:qFormat/>
    <w:uiPriority w:val="0"/>
    <w:rPr>
      <w:rFonts w:ascii="宋体" w:hAnsi="宋体" w:cs="宋体"/>
      <w:b/>
      <w:sz w:val="24"/>
      <w:szCs w:val="24"/>
      <w:shd w:val="clear" w:color="auto" w:fill="FFFFFF"/>
    </w:rPr>
  </w:style>
  <w:style w:type="paragraph" w:customStyle="1" w:styleId="212">
    <w:name w:val="1"/>
    <w:basedOn w:val="1"/>
    <w:link w:val="211"/>
    <w:qFormat/>
    <w:uiPriority w:val="0"/>
    <w:pPr>
      <w:tabs>
        <w:tab w:val="clear" w:pos="426"/>
      </w:tabs>
      <w:adjustRightInd/>
      <w:snapToGrid/>
      <w:spacing w:before="280" w:after="290" w:line="377" w:lineRule="auto"/>
      <w:ind w:left="420" w:hanging="420"/>
      <w:jc w:val="left"/>
      <w:outlineLvl w:val="2"/>
    </w:pPr>
    <w:rPr>
      <w:rFonts w:cs="Times New Roman"/>
      <w:b/>
      <w:sz w:val="24"/>
    </w:rPr>
  </w:style>
  <w:style w:type="character" w:customStyle="1" w:styleId="213">
    <w:name w:val="图片 Char"/>
    <w:link w:val="214"/>
    <w:qFormat/>
    <w:uiPriority w:val="0"/>
    <w:rPr>
      <w:rFonts w:ascii="宋体" w:hAnsi="宋体"/>
      <w:kern w:val="2"/>
      <w:sz w:val="24"/>
      <w:szCs w:val="24"/>
    </w:rPr>
  </w:style>
  <w:style w:type="paragraph" w:customStyle="1" w:styleId="214">
    <w:name w:val="图片"/>
    <w:basedOn w:val="1"/>
    <w:link w:val="213"/>
    <w:qFormat/>
    <w:uiPriority w:val="0"/>
    <w:pPr>
      <w:ind w:firstLine="200" w:firstLineChars="200"/>
      <w:jc w:val="center"/>
    </w:pPr>
    <w:rPr>
      <w:rFonts w:cs="Times New Roman"/>
      <w:kern w:val="2"/>
      <w:sz w:val="24"/>
    </w:rPr>
  </w:style>
  <w:style w:type="character" w:customStyle="1" w:styleId="215">
    <w:name w:val="页脚 Char1"/>
    <w:semiHidden/>
    <w:qFormat/>
    <w:uiPriority w:val="99"/>
    <w:rPr>
      <w:kern w:val="2"/>
      <w:sz w:val="18"/>
      <w:szCs w:val="18"/>
    </w:rPr>
  </w:style>
  <w:style w:type="character" w:customStyle="1" w:styleId="216">
    <w:name w:val="四级标题 Char"/>
    <w:link w:val="217"/>
    <w:qFormat/>
    <w:uiPriority w:val="0"/>
    <w:rPr>
      <w:rFonts w:ascii="黑体" w:hAnsi="黑体" w:eastAsia="黑体"/>
      <w:kern w:val="2"/>
      <w:sz w:val="30"/>
      <w:szCs w:val="30"/>
      <w:shd w:val="clear" w:color="auto" w:fill="FFFFFF"/>
    </w:rPr>
  </w:style>
  <w:style w:type="paragraph" w:customStyle="1" w:styleId="217">
    <w:name w:val="四级标题"/>
    <w:basedOn w:val="188"/>
    <w:link w:val="216"/>
    <w:qFormat/>
    <w:uiPriority w:val="0"/>
    <w:pPr>
      <w:spacing w:line="720" w:lineRule="auto"/>
      <w:ind w:firstLine="0" w:firstLineChars="0"/>
      <w:outlineLvl w:val="3"/>
    </w:pPr>
    <w:rPr>
      <w:rFonts w:ascii="黑体" w:hAnsi="黑体" w:eastAsia="黑体"/>
      <w:sz w:val="30"/>
      <w:szCs w:val="30"/>
    </w:rPr>
  </w:style>
  <w:style w:type="character" w:customStyle="1" w:styleId="218">
    <w:name w:val="标题 5 Char"/>
    <w:qFormat/>
    <w:uiPriority w:val="0"/>
    <w:rPr>
      <w:b/>
      <w:kern w:val="2"/>
      <w:sz w:val="24"/>
      <w:shd w:val="clear" w:color="auto" w:fill="FFFFFF"/>
    </w:rPr>
  </w:style>
  <w:style w:type="character" w:customStyle="1" w:styleId="219">
    <w:name w:val="标准正文 Char"/>
    <w:link w:val="220"/>
    <w:qFormat/>
    <w:uiPriority w:val="0"/>
    <w:rPr>
      <w:rFonts w:ascii="宋体" w:hAnsi="宋体" w:cs="宋体"/>
      <w:sz w:val="24"/>
    </w:rPr>
  </w:style>
  <w:style w:type="paragraph" w:customStyle="1" w:styleId="220">
    <w:name w:val="标准正文"/>
    <w:basedOn w:val="33"/>
    <w:link w:val="219"/>
    <w:qFormat/>
    <w:uiPriority w:val="0"/>
    <w:pPr>
      <w:spacing w:before="60" w:after="60"/>
      <w:ind w:firstLine="482" w:firstLineChars="0"/>
      <w:jc w:val="left"/>
    </w:pPr>
    <w:rPr>
      <w:rFonts w:ascii="宋体" w:hAnsi="宋体"/>
      <w:kern w:val="0"/>
      <w:sz w:val="24"/>
      <w:szCs w:val="20"/>
    </w:rPr>
  </w:style>
  <w:style w:type="character" w:customStyle="1" w:styleId="221">
    <w:name w:val="标题 2 Char"/>
    <w:qFormat/>
    <w:uiPriority w:val="0"/>
    <w:rPr>
      <w:rFonts w:ascii="宋体" w:hAnsi="宋体"/>
      <w:b/>
      <w:sz w:val="24"/>
      <w:shd w:val="clear" w:color="auto" w:fill="FFFFFF"/>
    </w:rPr>
  </w:style>
  <w:style w:type="character" w:customStyle="1" w:styleId="222">
    <w:name w:val="正文（缩进） Char"/>
    <w:link w:val="223"/>
    <w:qFormat/>
    <w:uiPriority w:val="0"/>
    <w:rPr>
      <w:sz w:val="24"/>
      <w:szCs w:val="24"/>
    </w:rPr>
  </w:style>
  <w:style w:type="paragraph" w:customStyle="1" w:styleId="223">
    <w:name w:val="正文（缩进）"/>
    <w:basedOn w:val="1"/>
    <w:link w:val="222"/>
    <w:qFormat/>
    <w:uiPriority w:val="0"/>
    <w:pPr>
      <w:spacing w:beforeLines="50" w:afterLines="50"/>
      <w:ind w:firstLine="480" w:firstLineChars="200"/>
    </w:pPr>
    <w:rPr>
      <w:rFonts w:ascii="Times New Roman" w:hAnsi="Times New Roman" w:cs="Times New Roman"/>
      <w:sz w:val="24"/>
    </w:rPr>
  </w:style>
  <w:style w:type="character" w:customStyle="1" w:styleId="224">
    <w:name w:val="ss1"/>
    <w:semiHidden/>
    <w:qFormat/>
    <w:uiPriority w:val="0"/>
    <w:rPr>
      <w:rFonts w:hint="default" w:ascii="ˎ̥" w:hAnsi="ˎ̥"/>
      <w:color w:val="000000"/>
      <w:sz w:val="18"/>
      <w:szCs w:val="18"/>
      <w:u w:val="none"/>
    </w:rPr>
  </w:style>
  <w:style w:type="character" w:customStyle="1" w:styleId="225">
    <w:name w:val="二级标题 Char"/>
    <w:link w:val="226"/>
    <w:qFormat/>
    <w:uiPriority w:val="0"/>
    <w:rPr>
      <w:rFonts w:ascii="黑体" w:hAnsi="黑体" w:eastAsia="黑体"/>
      <w:kern w:val="2"/>
      <w:sz w:val="36"/>
      <w:szCs w:val="36"/>
      <w:shd w:val="clear" w:color="auto" w:fill="FFFFFF"/>
    </w:rPr>
  </w:style>
  <w:style w:type="paragraph" w:customStyle="1" w:styleId="226">
    <w:name w:val="二级标题"/>
    <w:basedOn w:val="188"/>
    <w:link w:val="225"/>
    <w:qFormat/>
    <w:uiPriority w:val="0"/>
    <w:pPr>
      <w:spacing w:line="720" w:lineRule="auto"/>
      <w:ind w:firstLine="0" w:firstLineChars="0"/>
      <w:outlineLvl w:val="1"/>
    </w:pPr>
    <w:rPr>
      <w:rFonts w:ascii="黑体" w:hAnsi="黑体" w:eastAsia="黑体"/>
      <w:sz w:val="36"/>
      <w:szCs w:val="36"/>
    </w:rPr>
  </w:style>
  <w:style w:type="character" w:customStyle="1" w:styleId="227">
    <w:name w:val="标题 6 Char"/>
    <w:qFormat/>
    <w:uiPriority w:val="0"/>
    <w:rPr>
      <w:rFonts w:ascii="Arial" w:hAnsi="Arial" w:eastAsia="黑体"/>
      <w:b/>
      <w:kern w:val="2"/>
      <w:sz w:val="24"/>
      <w:shd w:val="clear" w:color="auto" w:fill="FFFFFF"/>
    </w:rPr>
  </w:style>
  <w:style w:type="character" w:customStyle="1" w:styleId="228">
    <w:name w:val="层标 Char"/>
    <w:link w:val="229"/>
    <w:qFormat/>
    <w:uiPriority w:val="0"/>
    <w:rPr>
      <w:rFonts w:ascii="宋体" w:hAnsi="宋体"/>
      <w:b/>
      <w:kern w:val="2"/>
      <w:sz w:val="28"/>
      <w:szCs w:val="28"/>
      <w:shd w:val="clear" w:color="auto" w:fill="FFFFFF"/>
    </w:rPr>
  </w:style>
  <w:style w:type="paragraph" w:customStyle="1" w:styleId="229">
    <w:name w:val="层标"/>
    <w:basedOn w:val="194"/>
    <w:link w:val="228"/>
    <w:qFormat/>
    <w:uiPriority w:val="0"/>
    <w:pPr>
      <w:spacing w:beforeLines="25" w:afterLines="25"/>
      <w:ind w:left="980"/>
    </w:pPr>
    <w:rPr>
      <w:rFonts w:ascii="宋体" w:hAnsi="宋体"/>
      <w:b/>
      <w:kern w:val="2"/>
      <w:sz w:val="28"/>
      <w:szCs w:val="28"/>
    </w:rPr>
  </w:style>
  <w:style w:type="character" w:customStyle="1" w:styleId="230">
    <w:name w:val="正文文本缩进 Char1"/>
    <w:semiHidden/>
    <w:qFormat/>
    <w:uiPriority w:val="99"/>
    <w:rPr>
      <w:kern w:val="2"/>
      <w:sz w:val="21"/>
      <w:szCs w:val="24"/>
    </w:rPr>
  </w:style>
  <w:style w:type="character" w:customStyle="1" w:styleId="231">
    <w:name w:val="五级标题 Char"/>
    <w:link w:val="232"/>
    <w:qFormat/>
    <w:uiPriority w:val="0"/>
    <w:rPr>
      <w:rFonts w:ascii="黑体" w:hAnsi="黑体" w:eastAsia="黑体"/>
      <w:kern w:val="2"/>
      <w:sz w:val="28"/>
      <w:szCs w:val="28"/>
      <w:shd w:val="clear" w:color="auto" w:fill="FFFFFF"/>
    </w:rPr>
  </w:style>
  <w:style w:type="paragraph" w:customStyle="1" w:styleId="232">
    <w:name w:val="五级标题"/>
    <w:basedOn w:val="188"/>
    <w:link w:val="231"/>
    <w:qFormat/>
    <w:uiPriority w:val="0"/>
    <w:pPr>
      <w:spacing w:line="720" w:lineRule="auto"/>
      <w:ind w:firstLine="0" w:firstLineChars="0"/>
      <w:outlineLvl w:val="4"/>
    </w:pPr>
    <w:rPr>
      <w:rFonts w:ascii="黑体" w:hAnsi="黑体" w:eastAsia="黑体"/>
      <w:sz w:val="28"/>
      <w:szCs w:val="28"/>
    </w:rPr>
  </w:style>
  <w:style w:type="character" w:customStyle="1" w:styleId="233">
    <w:name w:val="￥正文 Char"/>
    <w:link w:val="234"/>
    <w:qFormat/>
    <w:uiPriority w:val="0"/>
    <w:rPr>
      <w:rFonts w:ascii="Calibri" w:hAnsi="Calibri"/>
      <w:kern w:val="2"/>
      <w:sz w:val="24"/>
    </w:rPr>
  </w:style>
  <w:style w:type="paragraph" w:customStyle="1" w:styleId="234">
    <w:name w:val="￥正文"/>
    <w:basedOn w:val="1"/>
    <w:link w:val="233"/>
    <w:qFormat/>
    <w:uiPriority w:val="0"/>
    <w:pPr>
      <w:ind w:firstLine="200" w:firstLineChars="200"/>
    </w:pPr>
    <w:rPr>
      <w:rFonts w:ascii="Calibri" w:hAnsi="Calibri" w:cs="Times New Roman"/>
      <w:kern w:val="2"/>
      <w:sz w:val="24"/>
      <w:szCs w:val="20"/>
    </w:rPr>
  </w:style>
  <w:style w:type="character" w:customStyle="1" w:styleId="235">
    <w:name w:val="文档结构图 Char1"/>
    <w:semiHidden/>
    <w:qFormat/>
    <w:uiPriority w:val="99"/>
    <w:rPr>
      <w:rFonts w:ascii="宋体"/>
      <w:kern w:val="2"/>
      <w:sz w:val="18"/>
      <w:szCs w:val="18"/>
    </w:rPr>
  </w:style>
  <w:style w:type="character" w:customStyle="1" w:styleId="236">
    <w:name w:val="ggwenhao"/>
    <w:semiHidden/>
    <w:qFormat/>
    <w:uiPriority w:val="0"/>
  </w:style>
  <w:style w:type="character" w:customStyle="1" w:styleId="237">
    <w:name w:val="未处理的提及1"/>
    <w:unhideWhenUsed/>
    <w:qFormat/>
    <w:uiPriority w:val="99"/>
    <w:rPr>
      <w:color w:val="605E5C"/>
      <w:shd w:val="clear" w:color="auto" w:fill="E1DFDD"/>
    </w:rPr>
  </w:style>
  <w:style w:type="character" w:customStyle="1" w:styleId="238">
    <w:name w:val="一级标题 Char"/>
    <w:link w:val="239"/>
    <w:qFormat/>
    <w:uiPriority w:val="0"/>
    <w:rPr>
      <w:rFonts w:ascii="黑体" w:hAnsi="黑体" w:eastAsia="黑体"/>
      <w:kern w:val="2"/>
      <w:sz w:val="44"/>
      <w:szCs w:val="44"/>
      <w:shd w:val="clear" w:color="auto" w:fill="FFFFFF"/>
    </w:rPr>
  </w:style>
  <w:style w:type="paragraph" w:customStyle="1" w:styleId="239">
    <w:name w:val="一级标题"/>
    <w:basedOn w:val="188"/>
    <w:link w:val="238"/>
    <w:qFormat/>
    <w:uiPriority w:val="0"/>
    <w:pPr>
      <w:tabs>
        <w:tab w:val="left" w:pos="340"/>
      </w:tabs>
      <w:spacing w:line="720" w:lineRule="auto"/>
      <w:ind w:firstLine="0" w:firstLineChars="0"/>
      <w:jc w:val="center"/>
      <w:outlineLvl w:val="0"/>
    </w:pPr>
    <w:rPr>
      <w:rFonts w:ascii="黑体" w:hAnsi="黑体" w:eastAsia="黑体"/>
      <w:sz w:val="44"/>
      <w:szCs w:val="44"/>
    </w:rPr>
  </w:style>
  <w:style w:type="character" w:customStyle="1" w:styleId="240">
    <w:name w:val="标题 7 Char"/>
    <w:qFormat/>
    <w:uiPriority w:val="0"/>
    <w:rPr>
      <w:b/>
      <w:kern w:val="2"/>
      <w:sz w:val="24"/>
      <w:shd w:val="clear" w:color="auto" w:fill="FFFFFF"/>
    </w:rPr>
  </w:style>
  <w:style w:type="character" w:customStyle="1" w:styleId="241">
    <w:name w:val="段落强调 Char"/>
    <w:link w:val="242"/>
    <w:qFormat/>
    <w:uiPriority w:val="0"/>
    <w:rPr>
      <w:b/>
      <w:kern w:val="2"/>
      <w:sz w:val="24"/>
      <w:szCs w:val="24"/>
      <w:shd w:val="clear" w:color="auto" w:fill="FFFFFF"/>
    </w:rPr>
  </w:style>
  <w:style w:type="paragraph" w:customStyle="1" w:styleId="242">
    <w:name w:val="段落强调"/>
    <w:basedOn w:val="1"/>
    <w:link w:val="241"/>
    <w:qFormat/>
    <w:uiPriority w:val="0"/>
    <w:pPr>
      <w:ind w:firstLine="420"/>
    </w:pPr>
    <w:rPr>
      <w:rFonts w:ascii="Times New Roman" w:hAnsi="Times New Roman" w:cs="Times New Roman"/>
      <w:b/>
      <w:kern w:val="2"/>
      <w:sz w:val="24"/>
    </w:rPr>
  </w:style>
  <w:style w:type="character" w:customStyle="1" w:styleId="243">
    <w:name w:val="pan2 Char"/>
    <w:link w:val="244"/>
    <w:qFormat/>
    <w:uiPriority w:val="0"/>
    <w:rPr>
      <w:rFonts w:ascii="黑体" w:hAnsi="黑体" w:eastAsia="黑体"/>
      <w:kern w:val="2"/>
      <w:sz w:val="30"/>
      <w:szCs w:val="30"/>
      <w:shd w:val="clear" w:color="auto" w:fill="FFFFFF"/>
    </w:rPr>
  </w:style>
  <w:style w:type="paragraph" w:customStyle="1" w:styleId="244">
    <w:name w:val="pan2"/>
    <w:basedOn w:val="188"/>
    <w:link w:val="243"/>
    <w:qFormat/>
    <w:uiPriority w:val="0"/>
    <w:pPr>
      <w:tabs>
        <w:tab w:val="left" w:pos="840"/>
      </w:tabs>
      <w:ind w:left="840" w:hanging="420" w:firstLineChars="0"/>
      <w:outlineLvl w:val="1"/>
    </w:pPr>
    <w:rPr>
      <w:rFonts w:ascii="黑体" w:hAnsi="黑体" w:eastAsia="黑体"/>
      <w:sz w:val="30"/>
      <w:szCs w:val="30"/>
    </w:rPr>
  </w:style>
  <w:style w:type="character" w:customStyle="1" w:styleId="245">
    <w:name w:val="明显参考1"/>
    <w:qFormat/>
    <w:uiPriority w:val="32"/>
    <w:rPr>
      <w:rFonts w:eastAsia="宋体"/>
      <w:bCs/>
      <w:smallCaps/>
      <w:color w:val="000000"/>
      <w:spacing w:val="5"/>
      <w:sz w:val="24"/>
      <w:u w:val="single"/>
    </w:rPr>
  </w:style>
  <w:style w:type="character" w:customStyle="1" w:styleId="246">
    <w:name w:val="引用 字符"/>
    <w:link w:val="247"/>
    <w:qFormat/>
    <w:uiPriority w:val="29"/>
    <w:rPr>
      <w:iCs/>
      <w:color w:val="000000"/>
      <w:kern w:val="2"/>
      <w:sz w:val="24"/>
      <w:szCs w:val="24"/>
    </w:rPr>
  </w:style>
  <w:style w:type="paragraph" w:styleId="247">
    <w:name w:val="Quote"/>
    <w:basedOn w:val="1"/>
    <w:next w:val="1"/>
    <w:link w:val="246"/>
    <w:qFormat/>
    <w:uiPriority w:val="29"/>
    <w:pPr>
      <w:jc w:val="center"/>
    </w:pPr>
    <w:rPr>
      <w:rFonts w:ascii="Times New Roman" w:hAnsi="Times New Roman" w:cs="Times New Roman"/>
      <w:iCs/>
      <w:color w:val="000000"/>
      <w:kern w:val="2"/>
      <w:sz w:val="24"/>
    </w:rPr>
  </w:style>
  <w:style w:type="character" w:customStyle="1" w:styleId="248">
    <w:name w:val="模板正文 Char"/>
    <w:link w:val="249"/>
    <w:qFormat/>
    <w:locked/>
    <w:uiPriority w:val="0"/>
    <w:rPr>
      <w:rFonts w:eastAsia="仿宋_GB2312"/>
      <w:sz w:val="28"/>
      <w:szCs w:val="21"/>
    </w:rPr>
  </w:style>
  <w:style w:type="paragraph" w:customStyle="1" w:styleId="249">
    <w:name w:val="模板正文"/>
    <w:basedOn w:val="1"/>
    <w:link w:val="248"/>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50">
    <w:name w:val="三级标题 Char"/>
    <w:link w:val="251"/>
    <w:qFormat/>
    <w:uiPriority w:val="0"/>
    <w:rPr>
      <w:rFonts w:ascii="黑体" w:hAnsi="黑体" w:eastAsia="黑体"/>
      <w:kern w:val="2"/>
      <w:sz w:val="32"/>
      <w:szCs w:val="32"/>
      <w:shd w:val="clear" w:color="auto" w:fill="FFFFFF"/>
    </w:rPr>
  </w:style>
  <w:style w:type="paragraph" w:customStyle="1" w:styleId="251">
    <w:name w:val="三级标题"/>
    <w:basedOn w:val="188"/>
    <w:link w:val="250"/>
    <w:qFormat/>
    <w:uiPriority w:val="0"/>
    <w:pPr>
      <w:spacing w:line="720" w:lineRule="auto"/>
      <w:ind w:firstLine="0" w:firstLineChars="0"/>
      <w:outlineLvl w:val="2"/>
    </w:pPr>
    <w:rPr>
      <w:rFonts w:ascii="黑体" w:hAnsi="黑体" w:eastAsia="黑体"/>
      <w:sz w:val="32"/>
      <w:szCs w:val="32"/>
    </w:rPr>
  </w:style>
  <w:style w:type="character" w:customStyle="1" w:styleId="252">
    <w:name w:val="正文文本缩进 Char"/>
    <w:qFormat/>
    <w:uiPriority w:val="0"/>
    <w:rPr>
      <w:kern w:val="2"/>
      <w:sz w:val="21"/>
      <w:szCs w:val="24"/>
      <w:shd w:val="clear" w:color="auto" w:fill="FFFFFF"/>
    </w:rPr>
  </w:style>
  <w:style w:type="character" w:customStyle="1" w:styleId="253">
    <w:name w:val="页眉 Char"/>
    <w:qFormat/>
    <w:uiPriority w:val="99"/>
    <w:rPr>
      <w:kern w:val="2"/>
      <w:sz w:val="18"/>
      <w:szCs w:val="18"/>
      <w:shd w:val="clear" w:color="auto" w:fill="FFFFFF"/>
    </w:rPr>
  </w:style>
  <w:style w:type="character" w:customStyle="1" w:styleId="254">
    <w:name w:val="页脚 Char"/>
    <w:qFormat/>
    <w:uiPriority w:val="99"/>
    <w:rPr>
      <w:kern w:val="2"/>
      <w:sz w:val="18"/>
      <w:szCs w:val="18"/>
      <w:shd w:val="clear" w:color="auto" w:fill="FFFFFF"/>
    </w:rPr>
  </w:style>
  <w:style w:type="character" w:customStyle="1" w:styleId="255">
    <w:name w:val="批注文字 Char1"/>
    <w:qFormat/>
    <w:uiPriority w:val="0"/>
    <w:rPr>
      <w:rFonts w:ascii="宋体"/>
      <w:sz w:val="34"/>
      <w:shd w:val="clear" w:color="auto" w:fill="FFFFFF"/>
    </w:rPr>
  </w:style>
  <w:style w:type="character" w:customStyle="1" w:styleId="256">
    <w:name w:val="HTML 预设格式 Char"/>
    <w:qFormat/>
    <w:uiPriority w:val="0"/>
    <w:rPr>
      <w:rFonts w:ascii="Arial Unicode MS" w:hAnsi="Arial Unicode MS" w:eastAsia="Arial Unicode MS"/>
      <w:color w:val="000000"/>
      <w:shd w:val="clear" w:color="auto" w:fill="FFFFFF"/>
    </w:rPr>
  </w:style>
  <w:style w:type="character" w:customStyle="1" w:styleId="257">
    <w:name w:val="标题 1 字符1"/>
    <w:qFormat/>
    <w:uiPriority w:val="0"/>
    <w:rPr>
      <w:rFonts w:ascii="Times New Roman" w:hAnsi="Times New Roman" w:eastAsia="宋体" w:cs="Times New Roman"/>
      <w:b/>
      <w:kern w:val="44"/>
      <w:sz w:val="44"/>
      <w:szCs w:val="20"/>
    </w:rPr>
  </w:style>
  <w:style w:type="character" w:customStyle="1" w:styleId="258">
    <w:name w:val="正文标题 Char"/>
    <w:link w:val="259"/>
    <w:qFormat/>
    <w:uiPriority w:val="0"/>
    <w:rPr>
      <w:rFonts w:ascii="Calibri" w:hAnsi="Calibri"/>
      <w:b/>
      <w:kern w:val="2"/>
      <w:sz w:val="28"/>
      <w:szCs w:val="28"/>
      <w:shd w:val="clear" w:color="auto" w:fill="FFFFFF"/>
    </w:rPr>
  </w:style>
  <w:style w:type="paragraph" w:customStyle="1" w:styleId="259">
    <w:name w:val="正文标题"/>
    <w:basedOn w:val="1"/>
    <w:link w:val="258"/>
    <w:qFormat/>
    <w:uiPriority w:val="0"/>
    <w:pPr>
      <w:ind w:left="982" w:firstLine="200" w:firstLineChars="200"/>
    </w:pPr>
    <w:rPr>
      <w:rFonts w:ascii="Calibri" w:hAnsi="Calibri" w:cs="Times New Roman"/>
      <w:b/>
      <w:kern w:val="2"/>
      <w:sz w:val="28"/>
      <w:szCs w:val="28"/>
    </w:rPr>
  </w:style>
  <w:style w:type="character" w:customStyle="1" w:styleId="260">
    <w:name w:val="图片注释新 Char"/>
    <w:link w:val="261"/>
    <w:qFormat/>
    <w:uiPriority w:val="0"/>
    <w:rPr>
      <w:rFonts w:ascii="宋体" w:hAnsi="宋体"/>
      <w:kern w:val="2"/>
      <w:sz w:val="24"/>
      <w:szCs w:val="24"/>
      <w:u w:val="single"/>
    </w:rPr>
  </w:style>
  <w:style w:type="paragraph" w:customStyle="1" w:styleId="261">
    <w:name w:val="图片注释新"/>
    <w:basedOn w:val="191"/>
    <w:link w:val="260"/>
    <w:qFormat/>
    <w:uiPriority w:val="0"/>
    <w:pPr>
      <w:spacing w:after="81"/>
      <w:ind w:firstLine="0" w:firstLineChars="0"/>
    </w:pPr>
  </w:style>
  <w:style w:type="character" w:customStyle="1" w:styleId="262">
    <w:name w:val="副标题 Char"/>
    <w:qFormat/>
    <w:uiPriority w:val="0"/>
    <w:rPr>
      <w:rFonts w:ascii="Cambria" w:hAnsi="Cambria"/>
      <w:b/>
      <w:bCs/>
      <w:kern w:val="28"/>
      <w:sz w:val="28"/>
      <w:szCs w:val="32"/>
      <w:shd w:val="clear" w:color="auto" w:fill="FFFFFF"/>
    </w:rPr>
  </w:style>
  <w:style w:type="character" w:customStyle="1" w:styleId="263">
    <w:name w:val="正文文本缩进 3 Char1"/>
    <w:semiHidden/>
    <w:qFormat/>
    <w:uiPriority w:val="99"/>
    <w:rPr>
      <w:kern w:val="2"/>
      <w:sz w:val="16"/>
      <w:szCs w:val="16"/>
    </w:rPr>
  </w:style>
  <w:style w:type="character" w:customStyle="1" w:styleId="264">
    <w:name w:val="纯文本 Char"/>
    <w:qFormat/>
    <w:uiPriority w:val="0"/>
    <w:rPr>
      <w:rFonts w:ascii="宋体" w:hAnsi="Courier New"/>
      <w:kern w:val="2"/>
      <w:sz w:val="21"/>
      <w:shd w:val="clear" w:color="auto" w:fill="FFFFFF"/>
    </w:rPr>
  </w:style>
  <w:style w:type="character" w:customStyle="1" w:styleId="265">
    <w:name w:val="标题 4 Char"/>
    <w:qFormat/>
    <w:uiPriority w:val="0"/>
    <w:rPr>
      <w:rFonts w:ascii="Arial" w:hAnsi="Arial" w:eastAsia="黑体"/>
      <w:b/>
      <w:bCs/>
      <w:kern w:val="2"/>
      <w:sz w:val="28"/>
      <w:szCs w:val="28"/>
      <w:shd w:val="clear" w:color="auto" w:fill="FFFFFF"/>
    </w:rPr>
  </w:style>
  <w:style w:type="character" w:customStyle="1" w:styleId="266">
    <w:name w:val="标题 8 Char"/>
    <w:qFormat/>
    <w:uiPriority w:val="0"/>
    <w:rPr>
      <w:rFonts w:ascii="Arial" w:hAnsi="Arial" w:eastAsia="黑体"/>
      <w:kern w:val="2"/>
      <w:sz w:val="24"/>
      <w:shd w:val="clear" w:color="auto" w:fill="FFFFFF"/>
    </w:rPr>
  </w:style>
  <w:style w:type="character" w:customStyle="1" w:styleId="267">
    <w:name w:val="图标题 Char"/>
    <w:link w:val="268"/>
    <w:qFormat/>
    <w:uiPriority w:val="0"/>
    <w:rPr>
      <w:rFonts w:ascii="宋体" w:hAnsi="宋体"/>
      <w:kern w:val="2"/>
      <w:sz w:val="21"/>
      <w:szCs w:val="24"/>
    </w:rPr>
  </w:style>
  <w:style w:type="paragraph" w:customStyle="1" w:styleId="268">
    <w:name w:val="图标题"/>
    <w:basedOn w:val="1"/>
    <w:link w:val="267"/>
    <w:qFormat/>
    <w:uiPriority w:val="0"/>
    <w:pPr>
      <w:jc w:val="center"/>
    </w:pPr>
    <w:rPr>
      <w:rFonts w:cs="Times New Roman"/>
      <w:kern w:val="2"/>
    </w:rPr>
  </w:style>
  <w:style w:type="character" w:customStyle="1" w:styleId="269">
    <w:name w:val="批注文字 Char"/>
    <w:qFormat/>
    <w:uiPriority w:val="0"/>
    <w:rPr>
      <w:rFonts w:ascii="宋体" w:hAnsi="宋体" w:cs="宋体"/>
      <w:sz w:val="21"/>
      <w:szCs w:val="24"/>
      <w:shd w:val="clear" w:color="auto" w:fill="FFFFFF"/>
    </w:rPr>
  </w:style>
  <w:style w:type="character" w:customStyle="1" w:styleId="270">
    <w:name w:val="标题 3 Char1"/>
    <w:qFormat/>
    <w:uiPriority w:val="0"/>
    <w:rPr>
      <w:rFonts w:ascii="宋体" w:hAnsi="宋体"/>
      <w:b/>
      <w:bCs/>
      <w:kern w:val="2"/>
      <w:sz w:val="24"/>
      <w:szCs w:val="32"/>
      <w:shd w:val="clear" w:color="auto" w:fill="FFFFFF"/>
    </w:rPr>
  </w:style>
  <w:style w:type="character" w:customStyle="1" w:styleId="271">
    <w:name w:val="日期 Char"/>
    <w:qFormat/>
    <w:uiPriority w:val="0"/>
    <w:rPr>
      <w:rFonts w:ascii="宋体" w:hAnsi="Courier New"/>
      <w:kern w:val="2"/>
      <w:sz w:val="32"/>
      <w:shd w:val="clear" w:color="auto" w:fill="FFFFFF"/>
    </w:rPr>
  </w:style>
  <w:style w:type="character" w:customStyle="1" w:styleId="272">
    <w:name w:val="普通文字1 Char Char"/>
    <w:qFormat/>
    <w:uiPriority w:val="0"/>
    <w:rPr>
      <w:rFonts w:ascii="宋体" w:hAnsi="Courier New" w:eastAsia="宋体" w:cs="Courier New"/>
      <w:kern w:val="2"/>
      <w:sz w:val="21"/>
      <w:szCs w:val="21"/>
      <w:lang w:val="en-US" w:eastAsia="zh-CN" w:bidi="ar-SA"/>
    </w:rPr>
  </w:style>
  <w:style w:type="character" w:customStyle="1" w:styleId="273">
    <w:name w:val="正文文本缩进 3 Char"/>
    <w:qFormat/>
    <w:uiPriority w:val="0"/>
    <w:rPr>
      <w:rFonts w:ascii="宋体"/>
      <w:b/>
      <w:bCs/>
      <w:kern w:val="2"/>
      <w:sz w:val="24"/>
      <w:szCs w:val="24"/>
      <w:shd w:val="clear" w:color="auto" w:fill="FFFFFF"/>
    </w:rPr>
  </w:style>
  <w:style w:type="character" w:customStyle="1" w:styleId="274">
    <w:name w:val="副标题 Char1"/>
    <w:qFormat/>
    <w:uiPriority w:val="11"/>
    <w:rPr>
      <w:rFonts w:ascii="Cambria" w:hAnsi="Cambria" w:cs="Times New Roman"/>
      <w:b/>
      <w:bCs/>
      <w:kern w:val="28"/>
      <w:sz w:val="32"/>
      <w:szCs w:val="32"/>
    </w:rPr>
  </w:style>
  <w:style w:type="character" w:customStyle="1" w:styleId="275">
    <w:name w:val="标题 9 Char"/>
    <w:qFormat/>
    <w:uiPriority w:val="0"/>
    <w:rPr>
      <w:rFonts w:ascii="Arial" w:hAnsi="Arial" w:eastAsia="黑体"/>
      <w:kern w:val="2"/>
      <w:sz w:val="21"/>
      <w:shd w:val="clear" w:color="auto" w:fill="FFFFFF"/>
    </w:rPr>
  </w:style>
  <w:style w:type="character" w:customStyle="1" w:styleId="276">
    <w:name w:val="书籍标题11"/>
    <w:qFormat/>
    <w:uiPriority w:val="33"/>
    <w:rPr>
      <w:b/>
      <w:bCs/>
      <w:smallCaps/>
      <w:spacing w:val="5"/>
    </w:rPr>
  </w:style>
  <w:style w:type="character" w:customStyle="1" w:styleId="277">
    <w:name w:val="正文文本 2 Char"/>
    <w:qFormat/>
    <w:uiPriority w:val="0"/>
    <w:rPr>
      <w:kern w:val="2"/>
      <w:sz w:val="24"/>
      <w:szCs w:val="24"/>
      <w:shd w:val="clear" w:color="auto" w:fill="FFFFFF"/>
    </w:rPr>
  </w:style>
  <w:style w:type="character" w:customStyle="1" w:styleId="278">
    <w:name w:val="标题 Char"/>
    <w:qFormat/>
    <w:uiPriority w:val="0"/>
    <w:rPr>
      <w:rFonts w:ascii="Arial" w:hAnsi="Arial"/>
      <w:b/>
      <w:bCs/>
      <w:kern w:val="2"/>
      <w:sz w:val="36"/>
      <w:szCs w:val="32"/>
      <w:shd w:val="clear" w:color="auto" w:fill="FFFFFF"/>
    </w:rPr>
  </w:style>
  <w:style w:type="character" w:customStyle="1" w:styleId="279">
    <w:name w:val="apple-converted-space"/>
    <w:qFormat/>
    <w:uiPriority w:val="0"/>
  </w:style>
  <w:style w:type="character" w:customStyle="1" w:styleId="280">
    <w:name w:val="unnamed211"/>
    <w:semiHidden/>
    <w:qFormat/>
    <w:uiPriority w:val="0"/>
    <w:rPr>
      <w:sz w:val="23"/>
      <w:szCs w:val="23"/>
    </w:rPr>
  </w:style>
  <w:style w:type="character" w:customStyle="1" w:styleId="281">
    <w:name w:val="pan4 Char"/>
    <w:link w:val="282"/>
    <w:qFormat/>
    <w:uiPriority w:val="0"/>
    <w:rPr>
      <w:rFonts w:ascii="黑体" w:hAnsi="黑体" w:eastAsia="黑体"/>
      <w:kern w:val="2"/>
      <w:sz w:val="28"/>
      <w:szCs w:val="28"/>
      <w:shd w:val="clear" w:color="auto" w:fill="FFFFFF"/>
    </w:rPr>
  </w:style>
  <w:style w:type="paragraph" w:customStyle="1" w:styleId="282">
    <w:name w:val="pan4"/>
    <w:basedOn w:val="188"/>
    <w:link w:val="281"/>
    <w:qFormat/>
    <w:uiPriority w:val="0"/>
    <w:pPr>
      <w:tabs>
        <w:tab w:val="left" w:pos="1680"/>
      </w:tabs>
      <w:ind w:left="1680" w:hanging="420" w:firstLineChars="0"/>
      <w:outlineLvl w:val="3"/>
    </w:pPr>
    <w:rPr>
      <w:rFonts w:ascii="黑体" w:hAnsi="黑体" w:eastAsia="黑体"/>
      <w:sz w:val="28"/>
      <w:szCs w:val="28"/>
    </w:rPr>
  </w:style>
  <w:style w:type="character" w:customStyle="1" w:styleId="283">
    <w:name w:val="138v1"/>
    <w:qFormat/>
    <w:uiPriority w:val="0"/>
  </w:style>
  <w:style w:type="character" w:customStyle="1" w:styleId="284">
    <w:name w:val="批注框文本 Char"/>
    <w:semiHidden/>
    <w:qFormat/>
    <w:uiPriority w:val="0"/>
    <w:rPr>
      <w:kern w:val="2"/>
      <w:sz w:val="18"/>
      <w:szCs w:val="18"/>
      <w:shd w:val="clear" w:color="auto" w:fill="FFFFFF"/>
    </w:rPr>
  </w:style>
  <w:style w:type="character" w:customStyle="1" w:styleId="285">
    <w:name w:val="纯文本 Char1"/>
    <w:qFormat/>
    <w:uiPriority w:val="0"/>
    <w:rPr>
      <w:rFonts w:ascii="宋体" w:hAnsi="Courier New" w:cs="Courier New"/>
      <w:kern w:val="2"/>
      <w:sz w:val="21"/>
      <w:szCs w:val="21"/>
    </w:rPr>
  </w:style>
  <w:style w:type="character" w:customStyle="1" w:styleId="286">
    <w:name w:val="pan5 Char"/>
    <w:link w:val="287"/>
    <w:qFormat/>
    <w:uiPriority w:val="0"/>
    <w:rPr>
      <w:rFonts w:ascii="黑体" w:hAnsi="黑体" w:eastAsia="黑体"/>
      <w:kern w:val="2"/>
      <w:sz w:val="24"/>
      <w:szCs w:val="24"/>
      <w:shd w:val="clear" w:color="auto" w:fill="FFFFFF"/>
    </w:rPr>
  </w:style>
  <w:style w:type="paragraph" w:customStyle="1" w:styleId="287">
    <w:name w:val="pan5"/>
    <w:basedOn w:val="188"/>
    <w:link w:val="286"/>
    <w:qFormat/>
    <w:uiPriority w:val="0"/>
    <w:pPr>
      <w:tabs>
        <w:tab w:val="left" w:pos="1008"/>
      </w:tabs>
      <w:ind w:left="1008" w:hanging="1008" w:firstLineChars="0"/>
      <w:outlineLvl w:val="4"/>
    </w:pPr>
    <w:rPr>
      <w:rFonts w:ascii="黑体" w:hAnsi="黑体" w:eastAsia="黑体"/>
      <w:sz w:val="24"/>
    </w:rPr>
  </w:style>
  <w:style w:type="character" w:customStyle="1" w:styleId="288">
    <w:name w:val="正文文本 3 Char"/>
    <w:qFormat/>
    <w:uiPriority w:val="0"/>
    <w:rPr>
      <w:kern w:val="2"/>
      <w:sz w:val="16"/>
      <w:szCs w:val="16"/>
      <w:shd w:val="clear" w:color="auto" w:fill="FFFFFF"/>
    </w:rPr>
  </w:style>
  <w:style w:type="character" w:customStyle="1" w:styleId="289">
    <w:name w:val="引用 Char"/>
    <w:qFormat/>
    <w:uiPriority w:val="29"/>
    <w:rPr>
      <w:iCs/>
      <w:color w:val="000000"/>
      <w:kern w:val="2"/>
      <w:sz w:val="24"/>
      <w:szCs w:val="24"/>
      <w:shd w:val="clear" w:color="auto" w:fill="FFFFFF"/>
    </w:rPr>
  </w:style>
  <w:style w:type="character" w:customStyle="1" w:styleId="290">
    <w:name w:val="Default Char"/>
    <w:link w:val="291"/>
    <w:qFormat/>
    <w:uiPriority w:val="0"/>
    <w:rPr>
      <w:rFonts w:ascii="宋体" w:hAnsi="Calibri"/>
      <w:color w:val="000000"/>
      <w:sz w:val="24"/>
      <w:szCs w:val="24"/>
      <w:lang w:val="en-US" w:eastAsia="zh-CN" w:bidi="ar-SA"/>
    </w:rPr>
  </w:style>
  <w:style w:type="paragraph" w:customStyle="1" w:styleId="291">
    <w:name w:val="Default"/>
    <w:link w:val="290"/>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character" w:customStyle="1" w:styleId="292">
    <w:name w:val="tpc_content1"/>
    <w:qFormat/>
    <w:uiPriority w:val="0"/>
    <w:rPr>
      <w:sz w:val="20"/>
      <w:szCs w:val="20"/>
    </w:rPr>
  </w:style>
  <w:style w:type="character" w:customStyle="1" w:styleId="293">
    <w:name w:val="f14b1"/>
    <w:semiHidden/>
    <w:qFormat/>
    <w:uiPriority w:val="0"/>
    <w:rPr>
      <w:b/>
      <w:bCs/>
      <w:sz w:val="21"/>
      <w:szCs w:val="21"/>
    </w:rPr>
  </w:style>
  <w:style w:type="character" w:customStyle="1" w:styleId="294">
    <w:name w:val="f142"/>
    <w:semiHidden/>
    <w:qFormat/>
    <w:uiPriority w:val="0"/>
    <w:rPr>
      <w:sz w:val="21"/>
      <w:szCs w:val="21"/>
    </w:rPr>
  </w:style>
  <w:style w:type="character" w:customStyle="1" w:styleId="295">
    <w:name w:val="正文缩进 Char1"/>
    <w:qFormat/>
    <w:uiPriority w:val="0"/>
    <w:rPr>
      <w:kern w:val="2"/>
      <w:sz w:val="21"/>
    </w:rPr>
  </w:style>
  <w:style w:type="character" w:customStyle="1" w:styleId="296">
    <w:name w:val="明显参考2"/>
    <w:qFormat/>
    <w:uiPriority w:val="32"/>
    <w:rPr>
      <w:rFonts w:eastAsia="宋体"/>
      <w:bCs/>
      <w:smallCaps/>
      <w:color w:val="000000"/>
      <w:spacing w:val="5"/>
      <w:sz w:val="24"/>
      <w:u w:val="single"/>
    </w:rPr>
  </w:style>
  <w:style w:type="character" w:customStyle="1" w:styleId="297">
    <w:name w:val="pan3 Char"/>
    <w:link w:val="298"/>
    <w:qFormat/>
    <w:uiPriority w:val="0"/>
    <w:rPr>
      <w:rFonts w:ascii="黑体" w:hAnsi="黑体" w:eastAsia="黑体"/>
      <w:kern w:val="2"/>
      <w:sz w:val="28"/>
      <w:szCs w:val="28"/>
      <w:shd w:val="clear" w:color="auto" w:fill="FFFFFF"/>
    </w:rPr>
  </w:style>
  <w:style w:type="paragraph" w:customStyle="1" w:styleId="298">
    <w:name w:val="pan3"/>
    <w:basedOn w:val="188"/>
    <w:link w:val="297"/>
    <w:qFormat/>
    <w:uiPriority w:val="0"/>
    <w:pPr>
      <w:tabs>
        <w:tab w:val="left" w:pos="1260"/>
      </w:tabs>
      <w:ind w:left="1260" w:hanging="420" w:firstLineChars="0"/>
      <w:outlineLvl w:val="2"/>
    </w:pPr>
    <w:rPr>
      <w:rFonts w:ascii="黑体" w:hAnsi="黑体" w:eastAsia="黑体"/>
      <w:sz w:val="28"/>
      <w:szCs w:val="28"/>
    </w:rPr>
  </w:style>
  <w:style w:type="character" w:customStyle="1" w:styleId="299">
    <w:name w:val="标题 1 Char"/>
    <w:qFormat/>
    <w:uiPriority w:val="0"/>
    <w:rPr>
      <w:rFonts w:ascii="宋体" w:hAnsi="宋体" w:eastAsia="黑体" w:cs="Times New Roman"/>
      <w:b/>
      <w:bCs/>
      <w:kern w:val="44"/>
      <w:sz w:val="28"/>
      <w:szCs w:val="28"/>
      <w:shd w:val="clear" w:color="auto" w:fill="FFFFFF"/>
    </w:rPr>
  </w:style>
  <w:style w:type="character" w:customStyle="1" w:styleId="300">
    <w:name w:val="方案正文段落 Char"/>
    <w:link w:val="301"/>
    <w:qFormat/>
    <w:uiPriority w:val="0"/>
    <w:rPr>
      <w:kern w:val="2"/>
      <w:sz w:val="21"/>
    </w:rPr>
  </w:style>
  <w:style w:type="paragraph" w:customStyle="1" w:styleId="301">
    <w:name w:val="方案正文段落"/>
    <w:basedOn w:val="1"/>
    <w:link w:val="300"/>
    <w:qFormat/>
    <w:uiPriority w:val="0"/>
    <w:pPr>
      <w:ind w:firstLine="420" w:firstLineChars="200"/>
    </w:pPr>
    <w:rPr>
      <w:rFonts w:ascii="Times New Roman" w:hAnsi="Times New Roman" w:cs="Times New Roman"/>
      <w:kern w:val="2"/>
      <w:szCs w:val="20"/>
    </w:rPr>
  </w:style>
  <w:style w:type="character" w:customStyle="1" w:styleId="302">
    <w:name w:val="text1"/>
    <w:qFormat/>
    <w:uiPriority w:val="0"/>
  </w:style>
  <w:style w:type="character" w:customStyle="1" w:styleId="303">
    <w:name w:val="标题 3 Char"/>
    <w:qFormat/>
    <w:uiPriority w:val="0"/>
    <w:rPr>
      <w:rFonts w:ascii="黑体" w:eastAsia="黑体"/>
      <w:bCs/>
      <w:sz w:val="30"/>
    </w:rPr>
  </w:style>
  <w:style w:type="paragraph" w:customStyle="1" w:styleId="304">
    <w:name w:val="Char1 Char Char Char"/>
    <w:basedOn w:val="1"/>
    <w:qFormat/>
    <w:uiPriority w:val="0"/>
    <w:pPr>
      <w:widowControl w:val="0"/>
      <w:shd w:val="clear" w:color="auto" w:fill="auto"/>
      <w:tabs>
        <w:tab w:val="clear" w:pos="426"/>
      </w:tabs>
      <w:adjustRightInd/>
      <w:snapToGrid/>
      <w:spacing w:line="240" w:lineRule="auto"/>
    </w:pPr>
    <w:rPr>
      <w:rFonts w:ascii="Times New Roman" w:hAnsi="Times New Roman" w:eastAsia="仿宋_GB2312" w:cs="Times New Roman"/>
      <w:kern w:val="2"/>
      <w:sz w:val="28"/>
    </w:rPr>
  </w:style>
  <w:style w:type="paragraph" w:customStyle="1" w:styleId="305">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306">
    <w:name w:val="_Style 38"/>
    <w:basedOn w:val="1"/>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customStyle="1" w:styleId="307">
    <w:name w:val="xl23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308">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309">
    <w:name w:val="方案标题2"/>
    <w:basedOn w:val="81"/>
    <w:qFormat/>
    <w:uiPriority w:val="0"/>
    <w:pPr>
      <w:tabs>
        <w:tab w:val="left" w:pos="720"/>
      </w:tabs>
      <w:spacing w:beforeLines="50" w:afterLines="50"/>
      <w:ind w:firstLine="200" w:firstLineChars="200"/>
      <w:jc w:val="left"/>
      <w:outlineLvl w:val="1"/>
    </w:pPr>
    <w:rPr>
      <w:rFonts w:eastAsia="仿宋_GB2312"/>
      <w:color w:val="000000"/>
      <w:sz w:val="30"/>
      <w:szCs w:val="30"/>
    </w:rPr>
  </w:style>
  <w:style w:type="paragraph" w:customStyle="1" w:styleId="310">
    <w:name w:val="Char"/>
    <w:basedOn w:val="1"/>
    <w:qFormat/>
    <w:uiPriority w:val="0"/>
    <w:pPr>
      <w:spacing w:after="160" w:line="240" w:lineRule="exact"/>
      <w:jc w:val="left"/>
    </w:pPr>
    <w:rPr>
      <w:rFonts w:ascii="Verdana" w:hAnsi="Verdana" w:eastAsia="仿宋_GB2312"/>
      <w:sz w:val="24"/>
      <w:szCs w:val="20"/>
      <w:lang w:eastAsia="en-US"/>
    </w:rPr>
  </w:style>
  <w:style w:type="paragraph" w:customStyle="1" w:styleId="311">
    <w:name w:val="xl22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2">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313">
    <w:name w:val="TOC 标题2"/>
    <w:basedOn w:val="2"/>
    <w:next w:val="1"/>
    <w:qFormat/>
    <w:uiPriority w:val="39"/>
    <w:pPr>
      <w:keepNext/>
      <w:keepLines/>
      <w:shd w:val="clear" w:color="auto" w:fill="auto"/>
      <w:adjustRightInd/>
      <w:snapToGrid/>
      <w:spacing w:before="480" w:after="0" w:line="276" w:lineRule="auto"/>
      <w:jc w:val="left"/>
      <w:outlineLvl w:val="9"/>
    </w:pPr>
    <w:rPr>
      <w:rFonts w:ascii="Cambria" w:hAnsi="Cambria" w:eastAsia="宋体"/>
      <w:color w:val="365F91"/>
      <w:kern w:val="0"/>
    </w:rPr>
  </w:style>
  <w:style w:type="paragraph" w:customStyle="1" w:styleId="314">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styleId="315">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316">
    <w:name w:val="xl103"/>
    <w:basedOn w:val="1"/>
    <w:qFormat/>
    <w:uiPriority w:val="0"/>
    <w:pPr>
      <w:spacing w:beforeAutospacing="1" w:afterAutospacing="1"/>
      <w:jc w:val="left"/>
      <w:textAlignment w:val="center"/>
    </w:pPr>
    <w:rPr>
      <w:color w:val="FF0000"/>
      <w:sz w:val="22"/>
      <w:szCs w:val="22"/>
    </w:rPr>
  </w:style>
  <w:style w:type="paragraph" w:customStyle="1" w:styleId="317">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318">
    <w:name w:val="xl25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9">
    <w:name w:val="xl26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20">
    <w:name w:val="pa-2"/>
    <w:basedOn w:val="1"/>
    <w:qFormat/>
    <w:uiPriority w:val="0"/>
    <w:pPr>
      <w:spacing w:before="100" w:beforeAutospacing="1" w:after="100" w:afterAutospacing="1"/>
      <w:jc w:val="left"/>
    </w:pPr>
    <w:rPr>
      <w:sz w:val="24"/>
    </w:rPr>
  </w:style>
  <w:style w:type="paragraph" w:customStyle="1" w:styleId="321">
    <w:name w:val="xl22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322">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323">
    <w:name w:val="正文样式"/>
    <w:basedOn w:val="33"/>
    <w:qFormat/>
    <w:uiPriority w:val="0"/>
    <w:pPr>
      <w:widowControl w:val="0"/>
      <w:shd w:val="clear" w:color="auto" w:fill="auto"/>
      <w:adjustRightInd/>
      <w:snapToGrid/>
      <w:jc w:val="left"/>
    </w:pPr>
    <w:rPr>
      <w:rFonts w:ascii="宋体" w:cs="宋体"/>
      <w:szCs w:val="20"/>
    </w:rPr>
  </w:style>
  <w:style w:type="paragraph" w:customStyle="1" w:styleId="324">
    <w:name w:val="xl24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325">
    <w:name w:val="xl24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26">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327">
    <w:name w:val="正文Land"/>
    <w:basedOn w:val="1"/>
    <w:qFormat/>
    <w:uiPriority w:val="0"/>
    <w:pPr>
      <w:spacing w:beforeLines="20" w:afterLines="50"/>
      <w:ind w:firstLine="200" w:firstLineChars="200"/>
    </w:pPr>
    <w:rPr>
      <w:color w:val="000000"/>
      <w:sz w:val="24"/>
    </w:rPr>
  </w:style>
  <w:style w:type="paragraph" w:customStyle="1" w:styleId="328">
    <w:name w:val="xl24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9">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330">
    <w:name w:val="xl23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1">
    <w:name w:val="font9"/>
    <w:basedOn w:val="1"/>
    <w:qFormat/>
    <w:uiPriority w:val="0"/>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332">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333">
    <w:name w:val="xl25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34">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335">
    <w:name w:val="样式 (西文) 宋体 行距: 1.5 倍行距"/>
    <w:basedOn w:val="1"/>
    <w:qFormat/>
    <w:uiPriority w:val="0"/>
    <w:pPr>
      <w:widowControl w:val="0"/>
      <w:shd w:val="clear" w:color="auto" w:fill="auto"/>
      <w:tabs>
        <w:tab w:val="clear" w:pos="426"/>
      </w:tabs>
      <w:adjustRightInd/>
      <w:snapToGrid/>
    </w:pPr>
    <w:rPr>
      <w:kern w:val="2"/>
      <w:szCs w:val="20"/>
    </w:rPr>
  </w:style>
  <w:style w:type="paragraph" w:customStyle="1" w:styleId="336">
    <w:name w:val="样式1"/>
    <w:basedOn w:val="1"/>
    <w:qFormat/>
    <w:uiPriority w:val="0"/>
    <w:pPr>
      <w:keepNext/>
      <w:keepLines/>
      <w:spacing w:before="340" w:after="330"/>
      <w:ind w:left="420" w:hanging="420"/>
      <w:outlineLvl w:val="0"/>
    </w:pPr>
    <w:rPr>
      <w:b/>
      <w:kern w:val="44"/>
      <w:sz w:val="44"/>
      <w:szCs w:val="20"/>
    </w:rPr>
  </w:style>
  <w:style w:type="paragraph" w:customStyle="1" w:styleId="337">
    <w:name w:val="xl25"/>
    <w:basedOn w:val="1"/>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338">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339">
    <w:name w:val="xl23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341">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342">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343">
    <w:name w:val="xl104"/>
    <w:basedOn w:val="1"/>
    <w:qFormat/>
    <w:uiPriority w:val="0"/>
    <w:pPr>
      <w:spacing w:beforeAutospacing="1" w:afterAutospacing="1"/>
      <w:jc w:val="center"/>
    </w:pPr>
    <w:rPr>
      <w:sz w:val="24"/>
    </w:rPr>
  </w:style>
  <w:style w:type="paragraph" w:customStyle="1" w:styleId="344">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345">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346">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347">
    <w:name w:val="xl228"/>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49">
    <w:name w:val="xl269"/>
    <w:basedOn w:val="1"/>
    <w:qFormat/>
    <w:uiPriority w:val="0"/>
    <w:pPr>
      <w:pBdr>
        <w:bottom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paragraph" w:customStyle="1" w:styleId="350">
    <w:name w:val="xl251"/>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51">
    <w:name w:val="附件标题"/>
    <w:basedOn w:val="1"/>
    <w:qFormat/>
    <w:uiPriority w:val="0"/>
    <w:pPr>
      <w:ind w:firstLine="200" w:firstLineChars="200"/>
      <w:jc w:val="center"/>
    </w:pPr>
    <w:rPr>
      <w:rFonts w:ascii="Arial" w:hAnsi="Arial" w:eastAsia="黑体"/>
      <w:sz w:val="24"/>
    </w:rPr>
  </w:style>
  <w:style w:type="paragraph" w:customStyle="1" w:styleId="352">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353">
    <w:name w:val="标题5"/>
    <w:basedOn w:val="18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354">
    <w:name w:val="xl26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5">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56">
    <w:name w:val="xl25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7">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358">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359">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360">
    <w:name w:val="--规划正文"/>
    <w:basedOn w:val="1"/>
    <w:qFormat/>
    <w:uiPriority w:val="0"/>
    <w:pPr>
      <w:widowControl w:val="0"/>
      <w:shd w:val="clear" w:color="auto" w:fill="auto"/>
      <w:tabs>
        <w:tab w:val="clear" w:pos="426"/>
      </w:tabs>
      <w:adjustRightInd/>
      <w:snapToGrid/>
      <w:ind w:firstLine="200" w:firstLineChars="200"/>
    </w:pPr>
    <w:rPr>
      <w:rFonts w:ascii="Times New Roman" w:hAnsi="Times New Roman" w:cs="Times New Roman"/>
      <w:kern w:val="2"/>
      <w:szCs w:val="20"/>
    </w:rPr>
  </w:style>
  <w:style w:type="paragraph" w:customStyle="1" w:styleId="361">
    <w:name w:val="xl24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62">
    <w:name w:val="TOC 标题1"/>
    <w:basedOn w:val="2"/>
    <w:next w:val="1"/>
    <w:qFormat/>
    <w:uiPriority w:val="39"/>
    <w:pPr>
      <w:spacing w:before="480" w:after="0" w:line="276" w:lineRule="auto"/>
      <w:jc w:val="left"/>
      <w:outlineLvl w:val="9"/>
    </w:pPr>
    <w:rPr>
      <w:rFonts w:ascii="Cambria" w:hAnsi="Cambria" w:eastAsia="宋体"/>
      <w:color w:val="365F91"/>
      <w:kern w:val="0"/>
    </w:rPr>
  </w:style>
  <w:style w:type="paragraph" w:customStyle="1" w:styleId="36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364">
    <w:name w:val="Char Char Char Char Char Char Char"/>
    <w:basedOn w:val="1"/>
    <w:qFormat/>
    <w:uiPriority w:val="0"/>
    <w:pPr>
      <w:widowControl w:val="0"/>
      <w:shd w:val="clear" w:color="auto" w:fill="auto"/>
      <w:tabs>
        <w:tab w:val="clear" w:pos="426"/>
      </w:tabs>
      <w:adjustRightInd/>
      <w:snapToGrid/>
      <w:spacing w:line="240" w:lineRule="auto"/>
    </w:pPr>
    <w:rPr>
      <w:rFonts w:ascii="仿宋_GB2312" w:hAnsi="Times New Roman" w:eastAsia="仿宋_GB2312" w:cs="Times New Roman"/>
      <w:b/>
      <w:kern w:val="2"/>
      <w:sz w:val="32"/>
      <w:szCs w:val="32"/>
    </w:rPr>
  </w:style>
  <w:style w:type="paragraph" w:customStyle="1" w:styleId="365">
    <w:name w:val="ggbody"/>
    <w:basedOn w:val="1"/>
    <w:semiHidden/>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366">
    <w:name w:val="!项目ALT+P"/>
    <w:basedOn w:val="1"/>
    <w:qFormat/>
    <w:uiPriority w:val="0"/>
    <w:pPr>
      <w:tabs>
        <w:tab w:val="left" w:pos="420"/>
        <w:tab w:val="clear" w:pos="426"/>
      </w:tabs>
      <w:spacing w:line="320" w:lineRule="atLeast"/>
      <w:ind w:left="420"/>
      <w:textAlignment w:val="baseline"/>
    </w:pPr>
    <w:rPr>
      <w:szCs w:val="21"/>
    </w:rPr>
  </w:style>
  <w:style w:type="paragraph" w:customStyle="1" w:styleId="367">
    <w:name w:val="xl3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rFonts w:ascii="Times New Roman" w:hAnsi="Times New Roman" w:eastAsia="Arial Unicode MS" w:cs="Times New Roman"/>
      <w:sz w:val="24"/>
    </w:rPr>
  </w:style>
  <w:style w:type="paragraph" w:customStyle="1" w:styleId="368">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369">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370">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371">
    <w:name w:val="正文-1级列表-(1)"/>
    <w:basedOn w:val="1"/>
    <w:qFormat/>
    <w:uiPriority w:val="0"/>
    <w:pPr>
      <w:tabs>
        <w:tab w:val="left" w:pos="420"/>
        <w:tab w:val="clear" w:pos="426"/>
      </w:tabs>
      <w:ind w:left="800"/>
    </w:pPr>
    <w:rPr>
      <w:sz w:val="24"/>
      <w:lang w:val="en-GB"/>
    </w:rPr>
  </w:style>
  <w:style w:type="paragraph" w:customStyle="1" w:styleId="372">
    <w:name w:val="xl23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73">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374">
    <w:name w:val="font7"/>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20"/>
      <w:szCs w:val="20"/>
    </w:rPr>
  </w:style>
  <w:style w:type="paragraph" w:customStyle="1" w:styleId="375">
    <w:name w:val="xl22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76">
    <w:name w:val="5"/>
    <w:basedOn w:val="1"/>
    <w:qFormat/>
    <w:uiPriority w:val="0"/>
    <w:pPr>
      <w:ind w:firstLine="200" w:firstLineChars="200"/>
      <w:jc w:val="left"/>
    </w:pPr>
    <w:rPr>
      <w:sz w:val="24"/>
    </w:rPr>
  </w:style>
  <w:style w:type="paragraph" w:customStyle="1" w:styleId="377">
    <w:name w:val="样式 标题 4h4heading 4h41heading 41h42heading 42h411heading ..."/>
    <w:basedOn w:val="4"/>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378">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379">
    <w:name w:val="缺省文本"/>
    <w:basedOn w:val="1"/>
    <w:qFormat/>
    <w:uiPriority w:val="0"/>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380">
    <w:name w:val="参数内容"/>
    <w:basedOn w:val="188"/>
    <w:qFormat/>
    <w:uiPriority w:val="0"/>
    <w:pPr>
      <w:ind w:left="780" w:firstLine="0" w:firstLineChars="0"/>
    </w:pPr>
    <w:rPr>
      <w:szCs w:val="18"/>
    </w:rPr>
  </w:style>
  <w:style w:type="paragraph" w:customStyle="1" w:styleId="381">
    <w:name w:val="默认段落字体 Para Char Char Char Char Char Char Char Char Char3 Char Char Char Char"/>
    <w:basedOn w:val="24"/>
    <w:qFormat/>
    <w:uiPriority w:val="0"/>
    <w:pPr>
      <w:spacing w:line="436" w:lineRule="exact"/>
      <w:ind w:left="357"/>
      <w:jc w:val="left"/>
      <w:outlineLvl w:val="3"/>
    </w:pPr>
    <w:rPr>
      <w:rFonts w:ascii="Tahoma" w:hAnsi="Tahoma"/>
      <w:b/>
      <w:sz w:val="24"/>
    </w:rPr>
  </w:style>
  <w:style w:type="paragraph" w:customStyle="1" w:styleId="382">
    <w:name w:val="样式5"/>
    <w:basedOn w:val="1"/>
    <w:qFormat/>
    <w:uiPriority w:val="0"/>
    <w:pPr>
      <w:tabs>
        <w:tab w:val="left" w:pos="900"/>
      </w:tabs>
      <w:spacing w:beforeLines="50" w:afterLines="50"/>
      <w:ind w:left="900"/>
    </w:pPr>
    <w:rPr>
      <w:rFonts w:eastAsia="仿宋_GB2312"/>
      <w:color w:val="000000"/>
      <w:sz w:val="24"/>
    </w:rPr>
  </w:style>
  <w:style w:type="paragraph" w:customStyle="1" w:styleId="383">
    <w:name w:val="Char Char10 Char Char"/>
    <w:basedOn w:val="24"/>
    <w:qFormat/>
    <w:uiPriority w:val="0"/>
    <w:rPr>
      <w:rFonts w:ascii="Tahoma" w:hAnsi="Tahoma"/>
      <w:sz w:val="24"/>
    </w:rPr>
  </w:style>
  <w:style w:type="paragraph" w:customStyle="1" w:styleId="384">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385">
    <w:name w:val="文档正文"/>
    <w:basedOn w:val="1"/>
    <w:qFormat/>
    <w:uiPriority w:val="0"/>
    <w:pPr>
      <w:spacing w:line="480" w:lineRule="atLeast"/>
      <w:ind w:firstLine="567" w:firstLineChars="200"/>
      <w:textAlignment w:val="baseline"/>
    </w:pPr>
    <w:rPr>
      <w:rFonts w:ascii="长城仿宋"/>
      <w:szCs w:val="20"/>
    </w:rPr>
  </w:style>
  <w:style w:type="paragraph" w:customStyle="1" w:styleId="386">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387">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388">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389">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390">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391">
    <w:name w:val="附件1."/>
    <w:basedOn w:val="2"/>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392">
    <w:name w:val="样式 首行缩进:  0 字符"/>
    <w:basedOn w:val="1"/>
    <w:qFormat/>
    <w:uiPriority w:val="0"/>
    <w:pPr>
      <w:ind w:firstLine="200" w:firstLineChars="200"/>
    </w:pPr>
    <w:rPr>
      <w:sz w:val="24"/>
      <w:szCs w:val="20"/>
    </w:rPr>
  </w:style>
  <w:style w:type="paragraph" w:customStyle="1" w:styleId="393">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394">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395">
    <w:name w:val="Default Text"/>
    <w:basedOn w:val="1"/>
    <w:qFormat/>
    <w:uiPriority w:val="0"/>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396">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397">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398">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399">
    <w:name w:val="cqq2"/>
    <w:basedOn w:val="1"/>
    <w:qFormat/>
    <w:uiPriority w:val="0"/>
    <w:pPr>
      <w:widowControl w:val="0"/>
      <w:shd w:val="clear" w:color="auto" w:fill="auto"/>
      <w:tabs>
        <w:tab w:val="clear" w:pos="426"/>
      </w:tabs>
      <w:adjustRightInd/>
      <w:snapToGrid/>
      <w:spacing w:line="520" w:lineRule="exact"/>
    </w:pPr>
    <w:rPr>
      <w:rFonts w:ascii="仿宋_GB2312" w:hAnsi="Times New Roman" w:eastAsia="仿宋_GB2312" w:cs="Times New Roman"/>
      <w:b/>
      <w:kern w:val="2"/>
      <w:sz w:val="28"/>
      <w:szCs w:val="20"/>
    </w:rPr>
  </w:style>
  <w:style w:type="paragraph" w:customStyle="1" w:styleId="400">
    <w:name w:val="MaoC2"/>
    <w:basedOn w:val="1"/>
    <w:qFormat/>
    <w:uiPriority w:val="0"/>
    <w:pPr>
      <w:tabs>
        <w:tab w:val="left" w:pos="510"/>
      </w:tabs>
      <w:spacing w:line="480" w:lineRule="auto"/>
      <w:ind w:left="420" w:hanging="420"/>
      <w:outlineLvl w:val="1"/>
    </w:pPr>
    <w:rPr>
      <w:rFonts w:ascii="黑体" w:eastAsia="黑体"/>
      <w:szCs w:val="20"/>
    </w:rPr>
  </w:style>
  <w:style w:type="paragraph" w:customStyle="1" w:styleId="401">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402">
    <w:name w:val="xl26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03">
    <w:name w:val="样式 标题 2H2Heading 2 HiddenHeading 2 CCBSheading 22nd levelh...1"/>
    <w:basedOn w:val="5"/>
    <w:qFormat/>
    <w:uiPriority w:val="0"/>
    <w:pPr>
      <w:adjustRightInd/>
      <w:spacing w:before="240" w:after="240"/>
      <w:ind w:left="576" w:hanging="576"/>
      <w:jc w:val="left"/>
      <w:textAlignment w:val="auto"/>
    </w:pPr>
    <w:rPr>
      <w:bCs/>
      <w:kern w:val="2"/>
      <w:sz w:val="28"/>
      <w:szCs w:val="28"/>
    </w:rPr>
  </w:style>
  <w:style w:type="paragraph" w:customStyle="1" w:styleId="404">
    <w:name w:val="样式 Verdana 四号 首行缩进:  2 字符"/>
    <w:basedOn w:val="1"/>
    <w:qFormat/>
    <w:uiPriority w:val="0"/>
    <w:pPr>
      <w:ind w:firstLine="560" w:firstLineChars="200"/>
      <w:jc w:val="left"/>
    </w:pPr>
    <w:rPr>
      <w:rFonts w:ascii="Verdana" w:hAnsi="Verdana"/>
      <w:sz w:val="24"/>
      <w:szCs w:val="20"/>
    </w:rPr>
  </w:style>
  <w:style w:type="paragraph" w:customStyle="1" w:styleId="405">
    <w:name w:val="主题"/>
    <w:basedOn w:val="1"/>
    <w:qFormat/>
    <w:uiPriority w:val="0"/>
  </w:style>
  <w:style w:type="paragraph" w:customStyle="1" w:styleId="406">
    <w:name w:val="ggtitle"/>
    <w:basedOn w:val="1"/>
    <w:semiHidden/>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407">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408">
    <w:name w:val="修订1"/>
    <w:unhideWhenUsed/>
    <w:qFormat/>
    <w:uiPriority w:val="99"/>
    <w:rPr>
      <w:rFonts w:ascii="宋体" w:hAnsi="宋体" w:eastAsia="宋体" w:cs="宋体"/>
      <w:sz w:val="21"/>
      <w:szCs w:val="24"/>
      <w:lang w:val="en-US" w:eastAsia="zh-CN" w:bidi="ar-SA"/>
    </w:rPr>
  </w:style>
  <w:style w:type="paragraph" w:customStyle="1" w:styleId="409">
    <w:name w:val="样式 标题 4 + 段前: 0.5 行 段后: 0.5 行"/>
    <w:basedOn w:val="4"/>
    <w:qFormat/>
    <w:uiPriority w:val="0"/>
    <w:pPr>
      <w:spacing w:beforeLines="50" w:afterLines="50" w:line="377" w:lineRule="auto"/>
      <w:ind w:left="2240"/>
      <w:jc w:val="left"/>
    </w:pPr>
    <w:rPr>
      <w:rFonts w:ascii="Cambria" w:hAnsi="Cambria" w:eastAsia="宋体" w:cs="宋体"/>
      <w:sz w:val="24"/>
      <w:szCs w:val="20"/>
    </w:rPr>
  </w:style>
  <w:style w:type="paragraph" w:customStyle="1" w:styleId="410">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41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412">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413">
    <w:name w:val="样式 标题 2H2Heading 2 HiddenHeading 2 CCBSheading 22nd levelh..."/>
    <w:basedOn w:val="5"/>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414">
    <w:name w:val="自定义正文"/>
    <w:basedOn w:val="1"/>
    <w:qFormat/>
    <w:uiPriority w:val="0"/>
    <w:pPr>
      <w:spacing w:afterLines="50"/>
      <w:ind w:left="600" w:leftChars="600"/>
    </w:pPr>
  </w:style>
  <w:style w:type="paragraph" w:customStyle="1" w:styleId="415">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416">
    <w:name w:val="Char Char Char Char Char"/>
    <w:basedOn w:val="1"/>
    <w:qFormat/>
    <w:uiPriority w:val="0"/>
    <w:rPr>
      <w:rFonts w:ascii="Tahoma" w:hAnsi="Tahoma"/>
      <w:sz w:val="24"/>
      <w:szCs w:val="20"/>
    </w:rPr>
  </w:style>
  <w:style w:type="paragraph" w:customStyle="1" w:styleId="417">
    <w:name w:val="È±Ê¡ÎÄ±¾"/>
    <w:basedOn w:val="1"/>
    <w:qFormat/>
    <w:uiPriority w:val="0"/>
    <w:pPr>
      <w:overflowPunct w:val="0"/>
      <w:autoSpaceDE w:val="0"/>
      <w:autoSpaceDN w:val="0"/>
      <w:jc w:val="left"/>
      <w:textAlignment w:val="baseline"/>
    </w:pPr>
    <w:rPr>
      <w:sz w:val="24"/>
      <w:szCs w:val="20"/>
    </w:rPr>
  </w:style>
  <w:style w:type="paragraph" w:customStyle="1" w:styleId="418">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419">
    <w:name w:val="USE 4"/>
    <w:basedOn w:val="1"/>
    <w:qFormat/>
    <w:uiPriority w:val="0"/>
    <w:pPr>
      <w:widowControl w:val="0"/>
      <w:shd w:val="clear" w:color="auto" w:fill="auto"/>
      <w:tabs>
        <w:tab w:val="clear" w:pos="426"/>
      </w:tabs>
      <w:adjustRightInd/>
      <w:snapToGrid/>
      <w:ind w:left="284" w:hanging="227"/>
      <w:jc w:val="left"/>
    </w:pPr>
    <w:rPr>
      <w:rFonts w:cs="Times New Roman"/>
      <w:kern w:val="2"/>
      <w:sz w:val="24"/>
      <w:szCs w:val="20"/>
    </w:rPr>
  </w:style>
  <w:style w:type="paragraph" w:customStyle="1" w:styleId="420">
    <w:name w:val="表1"/>
    <w:basedOn w:val="1"/>
    <w:qFormat/>
    <w:uiPriority w:val="0"/>
    <w:pPr>
      <w:widowControl w:val="0"/>
      <w:shd w:val="clear" w:color="auto" w:fill="auto"/>
      <w:tabs>
        <w:tab w:val="clear" w:pos="426"/>
      </w:tabs>
      <w:adjustRightInd/>
      <w:snapToGrid/>
      <w:spacing w:line="240" w:lineRule="auto"/>
    </w:pPr>
    <w:rPr>
      <w:rFonts w:hint="eastAsia" w:ascii="Times New Roman" w:cs="Times New Roman"/>
      <w:kern w:val="2"/>
      <w:sz w:val="24"/>
      <w:szCs w:val="20"/>
    </w:rPr>
  </w:style>
  <w:style w:type="paragraph" w:customStyle="1" w:styleId="421">
    <w:name w:val="xl25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22">
    <w:name w:val="Char Char Char1 Char Char Char1 Char Char Char Char Char Char1 Char Char Char1 Char"/>
    <w:basedOn w:val="1"/>
    <w:qFormat/>
    <w:uiPriority w:val="0"/>
    <w:pPr>
      <w:widowControl w:val="0"/>
      <w:shd w:val="clear" w:color="auto" w:fill="auto"/>
      <w:tabs>
        <w:tab w:val="clear" w:pos="426"/>
      </w:tabs>
      <w:adjustRightInd/>
      <w:snapToGrid/>
      <w:spacing w:line="240" w:lineRule="auto"/>
    </w:pPr>
    <w:rPr>
      <w:rFonts w:ascii="Times New Roman" w:hAnsi="Times New Roman" w:cs="Times New Roman"/>
      <w:kern w:val="2"/>
      <w:szCs w:val="20"/>
    </w:rPr>
  </w:style>
  <w:style w:type="paragraph" w:customStyle="1" w:styleId="423">
    <w:name w:val="附件圈"/>
    <w:basedOn w:val="424"/>
    <w:qFormat/>
    <w:uiPriority w:val="0"/>
    <w:pPr>
      <w:tabs>
        <w:tab w:val="left" w:pos="420"/>
        <w:tab w:val="left" w:pos="426"/>
      </w:tabs>
      <w:ind w:left="0" w:firstLine="420"/>
    </w:pPr>
  </w:style>
  <w:style w:type="paragraph" w:customStyle="1" w:styleId="424">
    <w:name w:val="附件(1)"/>
    <w:basedOn w:val="1"/>
    <w:qFormat/>
    <w:uiPriority w:val="0"/>
    <w:pPr>
      <w:ind w:left="900" w:firstLine="200" w:firstLineChars="200"/>
    </w:pPr>
    <w:rPr>
      <w:sz w:val="24"/>
    </w:rPr>
  </w:style>
  <w:style w:type="paragraph" w:customStyle="1" w:styleId="425">
    <w:name w:val="样式 10 磅"/>
    <w:qFormat/>
    <w:uiPriority w:val="0"/>
    <w:pPr>
      <w:shd w:val="clear" w:color="auto" w:fill="FFFFFF"/>
      <w:tabs>
        <w:tab w:val="left" w:pos="426"/>
      </w:tabs>
      <w:adjustRightInd w:val="0"/>
      <w:snapToGrid w:val="0"/>
      <w:jc w:val="center"/>
    </w:pPr>
    <w:rPr>
      <w:rFonts w:ascii="宋体" w:hAnsi="Times New Roman" w:eastAsia="宋体" w:cs="宋体"/>
      <w:sz w:val="21"/>
      <w:szCs w:val="24"/>
      <w:lang w:val="en-US" w:eastAsia="zh-CN" w:bidi="ar-SA"/>
    </w:rPr>
  </w:style>
  <w:style w:type="paragraph" w:customStyle="1" w:styleId="426">
    <w:name w:val="xl25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2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28">
    <w:name w:val="方案标题1"/>
    <w:basedOn w:val="81"/>
    <w:qFormat/>
    <w:uiPriority w:val="0"/>
    <w:pPr>
      <w:tabs>
        <w:tab w:val="left" w:pos="1440"/>
      </w:tabs>
      <w:spacing w:beforeLines="50" w:afterLines="50"/>
      <w:ind w:firstLine="200" w:firstLineChars="200"/>
      <w:jc w:val="both"/>
    </w:pPr>
    <w:rPr>
      <w:color w:val="000000"/>
    </w:rPr>
  </w:style>
  <w:style w:type="paragraph" w:customStyle="1" w:styleId="429">
    <w:name w:val="xl26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0">
    <w:name w:val="标题1"/>
    <w:basedOn w:val="2"/>
    <w:qFormat/>
    <w:uiPriority w:val="0"/>
    <w:pPr>
      <w:keepNext/>
      <w:keepLines/>
      <w:widowControl w:val="0"/>
      <w:shd w:val="clear" w:color="auto" w:fill="auto"/>
      <w:tabs>
        <w:tab w:val="clear" w:pos="426"/>
      </w:tabs>
      <w:adjustRightInd/>
      <w:snapToGrid/>
      <w:spacing w:before="400" w:after="400" w:line="240" w:lineRule="auto"/>
      <w:ind w:left="284" w:hanging="284"/>
      <w:jc w:val="both"/>
    </w:pPr>
    <w:rPr>
      <w:rFonts w:ascii="Times New Roman" w:hAnsi="Times New Roman" w:cs="宋体"/>
      <w:sz w:val="30"/>
      <w:szCs w:val="24"/>
    </w:rPr>
  </w:style>
  <w:style w:type="paragraph" w:customStyle="1" w:styleId="431">
    <w:name w:val="xl26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2">
    <w:name w:val="表格注释"/>
    <w:basedOn w:val="1"/>
    <w:qFormat/>
    <w:uiPriority w:val="0"/>
    <w:pPr>
      <w:widowControl w:val="0"/>
      <w:shd w:val="clear" w:color="auto" w:fill="auto"/>
      <w:tabs>
        <w:tab w:val="clear" w:pos="426"/>
      </w:tabs>
      <w:adjustRightInd/>
      <w:snapToGrid/>
      <w:spacing w:line="300" w:lineRule="exact"/>
      <w:ind w:firstLine="200" w:firstLineChars="200"/>
      <w:jc w:val="left"/>
    </w:pPr>
    <w:rPr>
      <w:rFonts w:ascii="Times New Roman" w:hAnsi="Times New Roman" w:eastAsia="楷体_GB2312"/>
      <w:szCs w:val="21"/>
    </w:rPr>
  </w:style>
  <w:style w:type="paragraph" w:customStyle="1" w:styleId="433">
    <w:name w:val="xl25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434">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435">
    <w:name w:val="2册标题2"/>
    <w:basedOn w:val="1"/>
    <w:next w:val="1"/>
    <w:qFormat/>
    <w:uiPriority w:val="0"/>
    <w:pPr>
      <w:shd w:val="clear" w:color="auto" w:fill="auto"/>
      <w:tabs>
        <w:tab w:val="clear" w:pos="426"/>
      </w:tabs>
      <w:adjustRightInd/>
      <w:snapToGrid/>
      <w:spacing w:beforeLines="50" w:afterLines="50" w:line="300" w:lineRule="auto"/>
      <w:jc w:val="left"/>
      <w:outlineLvl w:val="1"/>
    </w:pPr>
    <w:rPr>
      <w:rFonts w:ascii="Arial" w:hAnsi="Arial" w:eastAsia="黑体" w:cs="Times New Roman"/>
      <w:sz w:val="30"/>
      <w:szCs w:val="30"/>
      <w:lang w:eastAsia="en-US" w:bidi="en-US"/>
    </w:rPr>
  </w:style>
  <w:style w:type="paragraph" w:customStyle="1" w:styleId="436">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437">
    <w:name w:val="CM51"/>
    <w:basedOn w:val="291"/>
    <w:next w:val="291"/>
    <w:qFormat/>
    <w:uiPriority w:val="0"/>
    <w:pPr>
      <w:spacing w:after="103"/>
    </w:pPr>
    <w:rPr>
      <w:rFonts w:ascii="黑体" w:eastAsia="黑体"/>
      <w:color w:val="auto"/>
    </w:rPr>
  </w:style>
  <w:style w:type="paragraph" w:customStyle="1" w:styleId="438">
    <w:name w:val="xl25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9">
    <w:name w:val="样式3"/>
    <w:basedOn w:val="1"/>
    <w:qFormat/>
    <w:uiPriority w:val="0"/>
    <w:pPr>
      <w:ind w:left="1620" w:hanging="420"/>
      <w:outlineLvl w:val="2"/>
    </w:pPr>
    <w:rPr>
      <w:b/>
    </w:rPr>
  </w:style>
  <w:style w:type="paragraph" w:customStyle="1" w:styleId="440">
    <w:name w:val="目录"/>
    <w:basedOn w:val="1"/>
    <w:qFormat/>
    <w:uiPriority w:val="0"/>
    <w:pPr>
      <w:shd w:val="clear" w:color="auto" w:fill="auto"/>
      <w:tabs>
        <w:tab w:val="clear" w:pos="426"/>
      </w:tabs>
      <w:adjustRightInd/>
      <w:snapToGrid/>
      <w:spacing w:line="240" w:lineRule="auto"/>
      <w:jc w:val="center"/>
    </w:pPr>
    <w:rPr>
      <w:rFonts w:hAnsi="Times New Roman" w:cs="Times New Roman"/>
      <w:b/>
      <w:sz w:val="36"/>
      <w:szCs w:val="20"/>
    </w:rPr>
  </w:style>
  <w:style w:type="paragraph" w:customStyle="1" w:styleId="441">
    <w:name w:val="xl23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42">
    <w:name w:val="xl23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43">
    <w:name w:val="font0"/>
    <w:basedOn w:val="1"/>
    <w:qFormat/>
    <w:uiPriority w:val="0"/>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444">
    <w:name w:val="font5"/>
    <w:basedOn w:val="1"/>
    <w:qFormat/>
    <w:uiPriority w:val="0"/>
    <w:pPr>
      <w:spacing w:before="100" w:beforeAutospacing="1" w:after="100" w:afterAutospacing="1"/>
      <w:jc w:val="left"/>
    </w:pPr>
    <w:rPr>
      <w:sz w:val="18"/>
      <w:szCs w:val="18"/>
    </w:rPr>
  </w:style>
  <w:style w:type="paragraph" w:customStyle="1" w:styleId="445">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446">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447">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paragraph" w:customStyle="1" w:styleId="448">
    <w:name w:val="样式 USE 1 + 行距: 单倍行距"/>
    <w:basedOn w:val="1"/>
    <w:qFormat/>
    <w:uiPriority w:val="0"/>
    <w:pPr>
      <w:widowControl w:val="0"/>
      <w:shd w:val="clear" w:color="auto" w:fill="auto"/>
      <w:tabs>
        <w:tab w:val="clear" w:pos="426"/>
      </w:tabs>
      <w:adjustRightInd/>
      <w:snapToGrid/>
      <w:spacing w:line="180" w:lineRule="atLeast"/>
      <w:ind w:left="180"/>
      <w:jc w:val="left"/>
    </w:pPr>
    <w:rPr>
      <w:b/>
      <w:bCs/>
      <w:kern w:val="2"/>
      <w:sz w:val="24"/>
      <w:szCs w:val="20"/>
    </w:rPr>
  </w:style>
  <w:style w:type="paragraph" w:customStyle="1" w:styleId="449">
    <w:name w:val="font8"/>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18"/>
      <w:szCs w:val="18"/>
    </w:rPr>
  </w:style>
  <w:style w:type="paragraph" w:customStyle="1" w:styleId="450">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451">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452">
    <w:name w:val="xl268"/>
    <w:basedOn w:val="1"/>
    <w:qFormat/>
    <w:uiPriority w:val="0"/>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53">
    <w:name w:val="正文-1级标题-1"/>
    <w:basedOn w:val="1"/>
    <w:next w:val="1"/>
    <w:qFormat/>
    <w:uiPriority w:val="0"/>
    <w:pPr>
      <w:keepNext/>
      <w:tabs>
        <w:tab w:val="left" w:pos="420"/>
        <w:tab w:val="clear" w:pos="426"/>
      </w:tabs>
      <w:spacing w:beforeLines="30" w:afterLines="30"/>
    </w:pPr>
    <w:rPr>
      <w:b/>
      <w:sz w:val="24"/>
      <w:szCs w:val="28"/>
      <w:lang w:val="en-GB"/>
    </w:rPr>
  </w:style>
  <w:style w:type="paragraph" w:customStyle="1" w:styleId="454">
    <w:name w:val="样式 标题 1 + 段前: 0.5 行 段后: 0.5 行"/>
    <w:basedOn w:val="2"/>
    <w:qFormat/>
    <w:uiPriority w:val="0"/>
    <w:pPr>
      <w:keepNext/>
      <w:keepLines/>
      <w:spacing w:beforeLines="50" w:afterLines="50" w:line="578" w:lineRule="auto"/>
      <w:jc w:val="both"/>
    </w:pPr>
    <w:rPr>
      <w:rFonts w:ascii="Times New Roman" w:hAnsi="Times New Roman" w:eastAsia="宋体" w:cs="宋体"/>
      <w:sz w:val="44"/>
      <w:szCs w:val="20"/>
    </w:rPr>
  </w:style>
  <w:style w:type="paragraph" w:customStyle="1" w:styleId="455">
    <w:name w:val="样式2"/>
    <w:basedOn w:val="2"/>
    <w:qFormat/>
    <w:uiPriority w:val="0"/>
    <w:pPr>
      <w:keepNext/>
      <w:keepLines/>
      <w:spacing w:before="0" w:after="0" w:line="578" w:lineRule="auto"/>
      <w:ind w:left="1200" w:hanging="420"/>
      <w:jc w:val="both"/>
    </w:pPr>
    <w:rPr>
      <w:rFonts w:eastAsia="宋体"/>
      <w:szCs w:val="44"/>
    </w:rPr>
  </w:style>
  <w:style w:type="paragraph" w:customStyle="1" w:styleId="456">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457">
    <w:name w:val="xl22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58">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459">
    <w:name w:val="p0"/>
    <w:basedOn w:val="1"/>
    <w:qFormat/>
    <w:uiPriority w:val="0"/>
    <w:rPr>
      <w:rFonts w:ascii="Calibri" w:hAnsi="Calibri"/>
      <w:szCs w:val="21"/>
    </w:rPr>
  </w:style>
  <w:style w:type="paragraph" w:customStyle="1" w:styleId="460">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461">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462">
    <w:name w:val="TOC 标题11"/>
    <w:basedOn w:val="2"/>
    <w:next w:val="1"/>
    <w:qFormat/>
    <w:uiPriority w:val="39"/>
    <w:pPr>
      <w:spacing w:before="480" w:after="0" w:line="276" w:lineRule="auto"/>
      <w:jc w:val="left"/>
      <w:outlineLvl w:val="9"/>
    </w:pPr>
    <w:rPr>
      <w:rFonts w:ascii="Cambria" w:hAnsi="Cambria" w:eastAsia="宋体"/>
      <w:color w:val="365F91"/>
      <w:kern w:val="0"/>
    </w:rPr>
  </w:style>
  <w:style w:type="paragraph" w:customStyle="1" w:styleId="463">
    <w:name w:val="xl24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64">
    <w:name w:val="样式 题注 + 行距: 固定值 23 磅"/>
    <w:basedOn w:val="20"/>
    <w:qFormat/>
    <w:uiPriority w:val="0"/>
    <w:pPr>
      <w:widowControl w:val="0"/>
      <w:shd w:val="clear" w:color="auto" w:fill="auto"/>
      <w:adjustRightInd/>
      <w:snapToGrid/>
      <w:spacing w:after="300" w:line="460" w:lineRule="exact"/>
      <w:jc w:val="center"/>
    </w:pPr>
    <w:rPr>
      <w:rFonts w:eastAsia="宋体" w:cs="宋体"/>
      <w:kern w:val="2"/>
      <w:sz w:val="21"/>
      <w:szCs w:val="24"/>
    </w:rPr>
  </w:style>
  <w:style w:type="paragraph" w:customStyle="1" w:styleId="465">
    <w:name w:val="方案标题3"/>
    <w:basedOn w:val="81"/>
    <w:qFormat/>
    <w:uiPriority w:val="0"/>
    <w:pPr>
      <w:spacing w:beforeLines="50" w:afterLines="50" w:line="440" w:lineRule="exact"/>
      <w:ind w:firstLine="200" w:firstLineChars="200"/>
      <w:jc w:val="left"/>
      <w:outlineLvl w:val="2"/>
    </w:pPr>
    <w:rPr>
      <w:rFonts w:ascii="黑体" w:eastAsia="黑体"/>
      <w:color w:val="000000"/>
      <w:sz w:val="28"/>
      <w:szCs w:val="24"/>
    </w:rPr>
  </w:style>
  <w:style w:type="paragraph" w:customStyle="1" w:styleId="466">
    <w:name w:val="font6"/>
    <w:basedOn w:val="1"/>
    <w:qFormat/>
    <w:uiPriority w:val="0"/>
    <w:pPr>
      <w:spacing w:beforeAutospacing="1" w:afterAutospacing="1"/>
      <w:jc w:val="left"/>
    </w:pPr>
    <w:rPr>
      <w:sz w:val="18"/>
      <w:szCs w:val="18"/>
    </w:rPr>
  </w:style>
  <w:style w:type="paragraph" w:customStyle="1" w:styleId="467">
    <w:name w:val="样式 标题 4 + 段前: 0.5 行 段后: 0.5 行1"/>
    <w:basedOn w:val="4"/>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468">
    <w:name w:val="表标题"/>
    <w:basedOn w:val="1"/>
    <w:qFormat/>
    <w:uiPriority w:val="0"/>
    <w:pPr>
      <w:jc w:val="center"/>
    </w:pPr>
    <w:rPr>
      <w:rFonts w:eastAsia="黑体"/>
      <w:b/>
    </w:rPr>
  </w:style>
  <w:style w:type="paragraph" w:customStyle="1" w:styleId="469">
    <w:name w:val="图"/>
    <w:basedOn w:val="1"/>
    <w:qFormat/>
    <w:uiPriority w:val="0"/>
    <w:pPr>
      <w:keepNext/>
      <w:spacing w:before="60" w:after="60" w:line="300" w:lineRule="auto"/>
      <w:jc w:val="center"/>
    </w:pPr>
    <w:rPr>
      <w:spacing w:val="20"/>
      <w:sz w:val="24"/>
      <w:szCs w:val="20"/>
    </w:rPr>
  </w:style>
  <w:style w:type="paragraph" w:customStyle="1" w:styleId="470">
    <w:name w:val="xl24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71">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472">
    <w:name w:val="font10"/>
    <w:basedOn w:val="1"/>
    <w:qFormat/>
    <w:uiPriority w:val="0"/>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473">
    <w:name w:val="样式 标题 3style3H3h33rd levelLevel 3 Headlevel_3PIM 33l3C..."/>
    <w:basedOn w:val="3"/>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474">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475">
    <w:name w:val="附录"/>
    <w:basedOn w:val="20"/>
    <w:next w:val="1"/>
    <w:qFormat/>
    <w:uiPriority w:val="0"/>
    <w:pPr>
      <w:widowControl w:val="0"/>
      <w:shd w:val="clear" w:color="auto" w:fill="auto"/>
      <w:adjustRightInd/>
      <w:snapToGrid/>
      <w:spacing w:before="152" w:after="160" w:line="240" w:lineRule="auto"/>
    </w:pPr>
    <w:rPr>
      <w:kern w:val="2"/>
    </w:rPr>
  </w:style>
  <w:style w:type="paragraph" w:customStyle="1" w:styleId="476">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477">
    <w:name w:val="xl26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78">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479">
    <w:name w:val="xl23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80">
    <w:name w:val="xl24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81">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482">
    <w:name w:val="Char Char Char1"/>
    <w:basedOn w:val="1"/>
    <w:qFormat/>
    <w:uiPriority w:val="0"/>
    <w:rPr>
      <w:rFonts w:ascii="Tahoma" w:hAnsi="Tahoma"/>
      <w:sz w:val="24"/>
      <w:szCs w:val="20"/>
    </w:rPr>
  </w:style>
  <w:style w:type="paragraph" w:customStyle="1" w:styleId="483">
    <w:name w:val="修订11"/>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4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485">
    <w:name w:val="xl25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486">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487">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488">
    <w:name w:val="方案设计2级标题"/>
    <w:basedOn w:val="188"/>
    <w:qFormat/>
    <w:uiPriority w:val="0"/>
    <w:pPr>
      <w:ind w:left="1402" w:firstLine="0" w:firstLineChars="0"/>
      <w:outlineLvl w:val="1"/>
    </w:pPr>
    <w:rPr>
      <w:rFonts w:ascii="黑体" w:hAnsi="黑体" w:eastAsia="黑体"/>
      <w:sz w:val="32"/>
      <w:szCs w:val="32"/>
    </w:rPr>
  </w:style>
  <w:style w:type="paragraph" w:customStyle="1" w:styleId="489">
    <w:name w:val="方案设计1级标题"/>
    <w:basedOn w:val="18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490">
    <w:name w:val="xl101"/>
    <w:basedOn w:val="1"/>
    <w:qFormat/>
    <w:uiPriority w:val="0"/>
    <w:pPr>
      <w:spacing w:beforeAutospacing="1" w:afterAutospacing="1"/>
      <w:jc w:val="left"/>
      <w:textAlignment w:val="center"/>
    </w:pPr>
    <w:rPr>
      <w:color w:val="FF0000"/>
      <w:sz w:val="20"/>
      <w:szCs w:val="20"/>
    </w:rPr>
  </w:style>
  <w:style w:type="paragraph" w:customStyle="1" w:styleId="491">
    <w:name w:val="样式4"/>
    <w:basedOn w:val="188"/>
    <w:qFormat/>
    <w:uiPriority w:val="0"/>
    <w:pPr>
      <w:ind w:left="2040" w:firstLine="0" w:firstLineChars="0"/>
      <w:jc w:val="left"/>
      <w:outlineLvl w:val="3"/>
    </w:pPr>
    <w:rPr>
      <w:rFonts w:ascii="宋体" w:hAnsi="宋体"/>
    </w:rPr>
  </w:style>
  <w:style w:type="paragraph" w:customStyle="1" w:styleId="492">
    <w:name w:val="xl23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93">
    <w:name w:val="xl26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94">
    <w:name w:val="xl87"/>
    <w:basedOn w:val="1"/>
    <w:qFormat/>
    <w:uiPriority w:val="0"/>
    <w:pPr>
      <w:spacing w:beforeAutospacing="1" w:afterAutospacing="1"/>
      <w:jc w:val="left"/>
    </w:pPr>
    <w:rPr>
      <w:sz w:val="24"/>
    </w:rPr>
  </w:style>
  <w:style w:type="paragraph" w:customStyle="1" w:styleId="495">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paragraph" w:customStyle="1" w:styleId="496">
    <w:name w:val="倪芳"/>
    <w:basedOn w:val="1"/>
    <w:qFormat/>
    <w:uiPriority w:val="0"/>
    <w:pPr>
      <w:widowControl w:val="0"/>
      <w:shd w:val="clear" w:color="auto" w:fill="auto"/>
      <w:tabs>
        <w:tab w:val="clear" w:pos="426"/>
      </w:tabs>
      <w:adjustRightInd/>
      <w:snapToGrid/>
      <w:spacing w:beforeLines="25" w:afterLines="15" w:line="400" w:lineRule="exact"/>
    </w:pPr>
    <w:rPr>
      <w:rFonts w:hAnsi="Courier New" w:cs="Courier New"/>
      <w:kern w:val="2"/>
      <w:sz w:val="24"/>
      <w:szCs w:val="21"/>
    </w:rPr>
  </w:style>
  <w:style w:type="paragraph" w:customStyle="1" w:styleId="497">
    <w:name w:val="Char Char Char Char Char Char Char1"/>
    <w:basedOn w:val="1"/>
    <w:qFormat/>
    <w:uiPriority w:val="0"/>
    <w:pPr>
      <w:widowControl w:val="0"/>
      <w:shd w:val="clear" w:color="auto" w:fill="auto"/>
      <w:tabs>
        <w:tab w:val="center" w:leader="middleDot" w:pos="9240"/>
        <w:tab w:val="center" w:pos="9520"/>
        <w:tab w:val="clear" w:pos="426"/>
      </w:tabs>
      <w:adjustRightInd/>
      <w:snapToGrid/>
      <w:spacing w:line="240" w:lineRule="auto"/>
    </w:pPr>
    <w:rPr>
      <w:rFonts w:ascii="Times New Roman" w:hAnsi="Times New Roman" w:eastAsia="仿宋_GB2312" w:cs="Times New Roman"/>
      <w:kern w:val="2"/>
      <w:sz w:val="24"/>
    </w:rPr>
  </w:style>
  <w:style w:type="paragraph" w:customStyle="1" w:styleId="498">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499">
    <w:name w:val="xl24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00">
    <w:name w:val="xl229"/>
    <w:basedOn w:val="1"/>
    <w:qFormat/>
    <w:uiPriority w:val="0"/>
    <w:pPr>
      <w:pBdr>
        <w:left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01">
    <w:name w:val="USE 2"/>
    <w:basedOn w:val="1"/>
    <w:qFormat/>
    <w:uiPriority w:val="0"/>
    <w:pPr>
      <w:widowControl w:val="0"/>
      <w:shd w:val="clear" w:color="auto" w:fill="auto"/>
      <w:tabs>
        <w:tab w:val="clear" w:pos="426"/>
      </w:tabs>
      <w:adjustRightInd/>
      <w:snapToGrid/>
      <w:ind w:left="4736" w:hanging="3836"/>
      <w:jc w:val="left"/>
    </w:pPr>
    <w:rPr>
      <w:rFonts w:cs="Times New Roman"/>
      <w:kern w:val="2"/>
      <w:sz w:val="24"/>
      <w:szCs w:val="20"/>
    </w:rPr>
  </w:style>
  <w:style w:type="paragraph" w:customStyle="1" w:styleId="502">
    <w:name w:val="xl23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503">
    <w:name w:val="图目录4"/>
    <w:basedOn w:val="1"/>
    <w:next w:val="1"/>
    <w:qFormat/>
    <w:uiPriority w:val="0"/>
    <w:pPr>
      <w:tabs>
        <w:tab w:val="left" w:pos="737"/>
      </w:tabs>
      <w:ind w:left="737" w:hanging="448"/>
      <w:jc w:val="center"/>
      <w:textAlignment w:val="baseline"/>
    </w:pPr>
    <w:rPr>
      <w:szCs w:val="20"/>
    </w:rPr>
  </w:style>
  <w:style w:type="paragraph" w:customStyle="1" w:styleId="504">
    <w:name w:val="xl25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505">
    <w:name w:val="下级参数内容"/>
    <w:basedOn w:val="188"/>
    <w:qFormat/>
    <w:uiPriority w:val="0"/>
    <w:pPr>
      <w:ind w:left="1134" w:firstLine="0" w:firstLineChars="0"/>
    </w:pPr>
    <w:rPr>
      <w:rFonts w:ascii="仿宋" w:hAnsi="仿宋"/>
    </w:rPr>
  </w:style>
  <w:style w:type="paragraph" w:customStyle="1" w:styleId="506">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507">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508">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509">
    <w:name w:val="xl26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510">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511">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512">
    <w:name w:val="表1黑体居中"/>
    <w:basedOn w:val="1"/>
    <w:qFormat/>
    <w:uiPriority w:val="0"/>
    <w:pPr>
      <w:ind w:firstLine="435"/>
      <w:jc w:val="center"/>
      <w:textAlignment w:val="baseline"/>
    </w:pPr>
    <w:rPr>
      <w:rFonts w:ascii="黑体" w:eastAsia="黑体"/>
      <w:szCs w:val="21"/>
    </w:rPr>
  </w:style>
  <w:style w:type="paragraph" w:customStyle="1" w:styleId="513">
    <w:name w:val="Char Char"/>
    <w:basedOn w:val="1"/>
    <w:qFormat/>
    <w:uiPriority w:val="0"/>
    <w:rPr>
      <w:rFonts w:ascii="Tahoma" w:hAnsi="Tahoma"/>
      <w:sz w:val="24"/>
      <w:szCs w:val="20"/>
    </w:rPr>
  </w:style>
  <w:style w:type="paragraph" w:customStyle="1" w:styleId="514">
    <w:name w:val="Char Char Char"/>
    <w:basedOn w:val="1"/>
    <w:qFormat/>
    <w:uiPriority w:val="0"/>
    <w:rPr>
      <w:rFonts w:ascii="Tahoma" w:hAnsi="Tahoma"/>
      <w:sz w:val="24"/>
      <w:szCs w:val="20"/>
    </w:rPr>
  </w:style>
  <w:style w:type="paragraph" w:customStyle="1" w:styleId="515">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516">
    <w:name w:val="USE 5"/>
    <w:basedOn w:val="1"/>
    <w:qFormat/>
    <w:uiPriority w:val="0"/>
    <w:pPr>
      <w:widowControl w:val="0"/>
      <w:shd w:val="clear" w:color="auto" w:fill="auto"/>
      <w:tabs>
        <w:tab w:val="clear" w:pos="426"/>
      </w:tabs>
      <w:adjustRightInd/>
      <w:snapToGrid/>
      <w:ind w:left="397" w:hanging="340"/>
      <w:jc w:val="left"/>
    </w:pPr>
    <w:rPr>
      <w:rFonts w:cs="Times New Roman"/>
      <w:kern w:val="2"/>
      <w:sz w:val="24"/>
    </w:rPr>
  </w:style>
  <w:style w:type="paragraph" w:customStyle="1" w:styleId="517">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518">
    <w:name w:val="xl24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19">
    <w:name w:val="xl24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2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521">
    <w:name w:val="p9"/>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eastAsia="Arial Unicode MS" w:cs="Arial Unicode MS"/>
      <w:color w:val="000000"/>
      <w:sz w:val="18"/>
      <w:szCs w:val="18"/>
    </w:rPr>
  </w:style>
  <w:style w:type="paragraph" w:customStyle="1" w:styleId="522">
    <w:name w:val="xl23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52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524">
    <w:name w:val="Bulleted Items--Level 2"/>
    <w:basedOn w:val="1"/>
    <w:qFormat/>
    <w:uiPriority w:val="0"/>
    <w:pPr>
      <w:tabs>
        <w:tab w:val="left" w:pos="1771"/>
        <w:tab w:val="left" w:pos="2520"/>
      </w:tabs>
      <w:spacing w:line="280" w:lineRule="exact"/>
      <w:ind w:left="2520"/>
    </w:pPr>
    <w:rPr>
      <w:color w:val="000000"/>
      <w:sz w:val="22"/>
      <w:szCs w:val="20"/>
      <w:lang w:eastAsia="en-US"/>
    </w:rPr>
  </w:style>
  <w:style w:type="paragraph" w:customStyle="1" w:styleId="525">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526">
    <w:name w:val="USE 3"/>
    <w:basedOn w:val="1"/>
    <w:qFormat/>
    <w:uiPriority w:val="0"/>
    <w:pPr>
      <w:widowControl w:val="0"/>
      <w:shd w:val="clear" w:color="auto" w:fill="auto"/>
      <w:tabs>
        <w:tab w:val="clear" w:pos="426"/>
      </w:tabs>
      <w:adjustRightInd/>
      <w:snapToGrid/>
      <w:ind w:left="890" w:hanging="170"/>
      <w:jc w:val="left"/>
    </w:pPr>
    <w:rPr>
      <w:rFonts w:cs="Times New Roman"/>
      <w:kern w:val="2"/>
      <w:sz w:val="24"/>
      <w:szCs w:val="20"/>
    </w:rPr>
  </w:style>
  <w:style w:type="paragraph" w:customStyle="1" w:styleId="527">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528">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table" w:customStyle="1" w:styleId="529">
    <w:name w:val="Table Normal"/>
    <w:qFormat/>
    <w:uiPriority w:val="0"/>
    <w:pPr>
      <w:spacing w:line="360" w:lineRule="auto"/>
      <w:jc w:val="both"/>
    </w:pPr>
    <w:tblPr>
      <w:tblCellMar>
        <w:top w:w="0" w:type="dxa"/>
        <w:left w:w="0" w:type="dxa"/>
        <w:bottom w:w="0" w:type="dxa"/>
        <w:right w:w="0" w:type="dxa"/>
      </w:tblCellMar>
    </w:tblPr>
  </w:style>
  <w:style w:type="table" w:customStyle="1" w:styleId="530">
    <w:name w:val="网格型1"/>
    <w:basedOn w:val="85"/>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Normal1"/>
    <w:qFormat/>
    <w:uiPriority w:val="0"/>
    <w:pPr>
      <w:spacing w:line="360" w:lineRule="auto"/>
      <w:jc w:val="both"/>
    </w:pPr>
    <w:tblPr>
      <w:tblCellMar>
        <w:top w:w="0" w:type="dxa"/>
        <w:left w:w="0" w:type="dxa"/>
        <w:bottom w:w="0" w:type="dxa"/>
        <w:right w:w="0" w:type="dxa"/>
      </w:tblCellMar>
    </w:tblPr>
  </w:style>
  <w:style w:type="table" w:customStyle="1" w:styleId="532">
    <w:name w:val="Table Normal11"/>
    <w:unhideWhenUsed/>
    <w:qFormat/>
    <w:uiPriority w:val="2"/>
    <w:pPr>
      <w:widowControl w:val="0"/>
    </w:pPr>
    <w:rPr>
      <w:rFonts w:ascii="Calibri" w:hAnsi="Calibri"/>
      <w:sz w:val="22"/>
      <w:szCs w:val="22"/>
    </w:rPr>
    <w:tblPr>
      <w:tblCellMar>
        <w:top w:w="0" w:type="dxa"/>
        <w:left w:w="0" w:type="dxa"/>
        <w:bottom w:w="0" w:type="dxa"/>
        <w:right w:w="0" w:type="dxa"/>
      </w:tblCellMar>
    </w:tblPr>
  </w:style>
  <w:style w:type="paragraph" w:customStyle="1" w:styleId="533">
    <w:name w:val="Other|1"/>
    <w:basedOn w:val="1"/>
    <w:qFormat/>
    <w:uiPriority w:val="0"/>
    <w:pPr>
      <w:spacing w:line="310" w:lineRule="auto"/>
    </w:pPr>
    <w:rPr>
      <w:sz w:val="18"/>
      <w:szCs w:val="18"/>
      <w:lang w:val="zh-TW" w:eastAsia="zh-TW" w:bidi="zh-TW"/>
    </w:rPr>
  </w:style>
  <w:style w:type="paragraph" w:customStyle="1" w:styleId="534">
    <w:name w:val="Body text|1"/>
    <w:basedOn w:val="1"/>
    <w:link w:val="535"/>
    <w:qFormat/>
    <w:uiPriority w:val="0"/>
    <w:pPr>
      <w:spacing w:line="310" w:lineRule="auto"/>
    </w:pPr>
    <w:rPr>
      <w:sz w:val="18"/>
      <w:szCs w:val="18"/>
      <w:lang w:val="zh-TW" w:eastAsia="zh-TW" w:bidi="zh-TW"/>
    </w:rPr>
  </w:style>
  <w:style w:type="character" w:customStyle="1" w:styleId="535">
    <w:name w:val="Body text|1_"/>
    <w:link w:val="534"/>
    <w:qFormat/>
    <w:uiPriority w:val="0"/>
    <w:rPr>
      <w:rFonts w:ascii="宋体" w:hAnsi="宋体" w:cs="宋体"/>
      <w:sz w:val="18"/>
      <w:szCs w:val="18"/>
      <w:shd w:val="clear" w:color="auto" w:fill="FFFFFF"/>
      <w:lang w:val="zh-TW" w:eastAsia="zh-TW" w:bidi="zh-TW"/>
    </w:rPr>
  </w:style>
  <w:style w:type="paragraph" w:customStyle="1" w:styleId="536">
    <w:name w:val="样式 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样式 312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38">
    <w:name w:val="样式 315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39">
    <w:name w:val="样式 316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40">
    <w:name w:val="样式 320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41">
    <w:name w:val="样式 36 11 磅"/>
    <w:qFormat/>
    <w:uiPriority w:val="0"/>
    <w:pPr>
      <w:spacing w:after="160" w:line="259" w:lineRule="auto"/>
    </w:pPr>
    <w:rPr>
      <w:rFonts w:ascii="Calibri" w:hAnsi="Calibri" w:eastAsia="Calibri" w:cs="Calibri"/>
      <w:color w:val="000000"/>
      <w:kern w:val="2"/>
      <w:sz w:val="22"/>
      <w:szCs w:val="22"/>
      <w:lang w:val="en-US" w:eastAsia="en-US" w:bidi="ar-SA"/>
    </w:rPr>
  </w:style>
  <w:style w:type="character" w:customStyle="1" w:styleId="542">
    <w:name w:val="批注文字 字符1"/>
    <w:qFormat/>
    <w:uiPriority w:val="0"/>
    <w:rPr>
      <w:rFonts w:ascii="宋体"/>
      <w:sz w:val="34"/>
      <w:shd w:val="clear" w:color="auto" w:fill="FFFFFF"/>
    </w:rPr>
  </w:style>
  <w:style w:type="paragraph" w:customStyle="1" w:styleId="543">
    <w:name w:val="修订2"/>
    <w:hidden/>
    <w:unhideWhenUsed/>
    <w:qFormat/>
    <w:uiPriority w:val="99"/>
    <w:rPr>
      <w:rFonts w:ascii="宋体" w:hAnsi="宋体" w:eastAsia="宋体" w:cs="宋体"/>
      <w:sz w:val="21"/>
      <w:szCs w:val="24"/>
      <w:lang w:val="en-US" w:eastAsia="zh-CN" w:bidi="ar-SA"/>
    </w:rPr>
  </w:style>
  <w:style w:type="paragraph" w:customStyle="1" w:styleId="544">
    <w:name w:val="修订3"/>
    <w:hidden/>
    <w:unhideWhenUsed/>
    <w:qFormat/>
    <w:uiPriority w:val="99"/>
    <w:rPr>
      <w:rFonts w:ascii="宋体" w:hAnsi="宋体" w:eastAsia="宋体" w:cs="宋体"/>
      <w:sz w:val="21"/>
      <w:szCs w:val="24"/>
      <w:lang w:val="en-US" w:eastAsia="zh-CN" w:bidi="ar-SA"/>
    </w:rPr>
  </w:style>
  <w:style w:type="character" w:customStyle="1" w:styleId="545">
    <w:name w:val="font41"/>
    <w:basedOn w:val="130"/>
    <w:qFormat/>
    <w:uiPriority w:val="0"/>
    <w:rPr>
      <w:rFonts w:hint="eastAsia" w:ascii="宋体" w:hAnsi="宋体" w:eastAsia="宋体" w:cs="宋体"/>
      <w:color w:val="000000"/>
      <w:sz w:val="20"/>
      <w:szCs w:val="20"/>
      <w:u w:val="none"/>
    </w:rPr>
  </w:style>
  <w:style w:type="table" w:customStyle="1" w:styleId="546">
    <w:name w:val="网格型2"/>
    <w:basedOn w:val="85"/>
    <w:qFormat/>
    <w:locked/>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7">
    <w:name w:val="表格备注"/>
    <w:basedOn w:val="1"/>
    <w:link w:val="548"/>
    <w:qFormat/>
    <w:uiPriority w:val="0"/>
    <w:pPr>
      <w:spacing w:line="240" w:lineRule="auto"/>
      <w:ind w:firstLine="422" w:firstLineChars="200"/>
    </w:pPr>
    <w:rPr>
      <w:b/>
    </w:rPr>
  </w:style>
  <w:style w:type="character" w:customStyle="1" w:styleId="548">
    <w:name w:val="表格备注 字符"/>
    <w:basedOn w:val="130"/>
    <w:link w:val="547"/>
    <w:qFormat/>
    <w:uiPriority w:val="0"/>
    <w:rPr>
      <w:rFonts w:ascii="宋体" w:hAnsi="宋体" w:cs="宋体"/>
      <w:b/>
      <w:sz w:val="21"/>
      <w:szCs w:val="24"/>
      <w:shd w:val="clear" w:color="auto" w:fill="FFFFFF"/>
    </w:rPr>
  </w:style>
  <w:style w:type="paragraph" w:customStyle="1" w:styleId="549">
    <w:name w:val="0编制指引"/>
    <w:basedOn w:val="1"/>
    <w:link w:val="550"/>
    <w:qFormat/>
    <w:uiPriority w:val="0"/>
    <w:pPr>
      <w:tabs>
        <w:tab w:val="clear" w:pos="426"/>
      </w:tabs>
      <w:spacing w:line="240" w:lineRule="auto"/>
      <w:jc w:val="left"/>
      <w:outlineLvl w:val="4"/>
    </w:pPr>
    <w:rPr>
      <w:i/>
      <w:iCs/>
      <w:color w:val="00B050"/>
    </w:rPr>
  </w:style>
  <w:style w:type="character" w:customStyle="1" w:styleId="550">
    <w:name w:val="0编制指引 字符"/>
    <w:basedOn w:val="130"/>
    <w:link w:val="549"/>
    <w:qFormat/>
    <w:uiPriority w:val="0"/>
    <w:rPr>
      <w:rFonts w:ascii="宋体" w:hAnsi="宋体" w:cs="宋体"/>
      <w:i/>
      <w:iCs/>
      <w:color w:val="00B050"/>
      <w:sz w:val="21"/>
      <w:szCs w:val="24"/>
      <w:shd w:val="clear" w:color="auto" w:fill="FFFFFF"/>
    </w:rPr>
  </w:style>
  <w:style w:type="paragraph" w:customStyle="1" w:styleId="551">
    <w:name w:val="0五号正文"/>
    <w:basedOn w:val="1"/>
    <w:link w:val="552"/>
    <w:qFormat/>
    <w:uiPriority w:val="0"/>
    <w:pPr>
      <w:widowControl w:val="0"/>
      <w:shd w:val="clear" w:color="auto" w:fill="auto"/>
      <w:tabs>
        <w:tab w:val="clear" w:pos="426"/>
      </w:tabs>
      <w:spacing w:line="300" w:lineRule="auto"/>
      <w:ind w:firstLine="420" w:firstLineChars="200"/>
    </w:pPr>
    <w:rPr>
      <w:rFonts w:cs="Times New Roman"/>
      <w:kern w:val="2"/>
      <w:szCs w:val="21"/>
    </w:rPr>
  </w:style>
  <w:style w:type="character" w:customStyle="1" w:styleId="552">
    <w:name w:val="0五号正文 字符"/>
    <w:basedOn w:val="130"/>
    <w:link w:val="551"/>
    <w:qFormat/>
    <w:uiPriority w:val="0"/>
    <w:rPr>
      <w:rFonts w:ascii="宋体" w:hAnsi="宋体"/>
      <w:kern w:val="2"/>
      <w:sz w:val="21"/>
      <w:szCs w:val="21"/>
    </w:rPr>
  </w:style>
  <w:style w:type="paragraph" w:customStyle="1" w:styleId="553">
    <w:name w:val="修订4"/>
    <w:hidden/>
    <w:unhideWhenUsed/>
    <w:qFormat/>
    <w:uiPriority w:val="99"/>
    <w:rPr>
      <w:rFonts w:ascii="宋体" w:hAnsi="宋体" w:eastAsia="宋体" w:cs="宋体"/>
      <w:sz w:val="21"/>
      <w:szCs w:val="24"/>
      <w:lang w:val="en-US" w:eastAsia="zh-CN" w:bidi="ar-SA"/>
    </w:rPr>
  </w:style>
  <w:style w:type="paragraph" w:customStyle="1" w:styleId="554">
    <w:name w:val="Z3级左对齐标题"/>
    <w:basedOn w:val="1"/>
    <w:qFormat/>
    <w:uiPriority w:val="0"/>
    <w:pPr>
      <w:numPr>
        <w:ilvl w:val="0"/>
        <w:numId w:val="1"/>
      </w:numPr>
      <w:spacing w:before="280" w:after="290" w:line="377" w:lineRule="auto"/>
      <w:outlineLvl w:val="2"/>
    </w:pPr>
    <w:rPr>
      <w:b/>
      <w:sz w:val="24"/>
    </w:rPr>
  </w:style>
  <w:style w:type="paragraph" w:customStyle="1" w:styleId="555">
    <w:name w:val="修订5"/>
    <w:hidden/>
    <w:unhideWhenUsed/>
    <w:qFormat/>
    <w:uiPriority w:val="99"/>
    <w:rPr>
      <w:rFonts w:ascii="宋体" w:hAnsi="宋体" w:eastAsia="宋体" w:cs="宋体"/>
      <w:sz w:val="21"/>
      <w:szCs w:val="24"/>
      <w:lang w:val="en-US" w:eastAsia="zh-CN" w:bidi="ar-SA"/>
    </w:rPr>
  </w:style>
  <w:style w:type="paragraph" w:customStyle="1" w:styleId="556">
    <w:name w:val="修订6"/>
    <w:hidden/>
    <w:unhideWhenUsed/>
    <w:qFormat/>
    <w:uiPriority w:val="99"/>
    <w:rPr>
      <w:rFonts w:ascii="宋体" w:hAnsi="宋体" w:eastAsia="宋体" w:cs="宋体"/>
      <w:sz w:val="21"/>
      <w:szCs w:val="24"/>
      <w:lang w:val="en-US" w:eastAsia="zh-CN" w:bidi="ar-SA"/>
    </w:rPr>
  </w:style>
  <w:style w:type="paragraph" w:customStyle="1" w:styleId="557">
    <w:name w:val="修订7"/>
    <w:hidden/>
    <w:unhideWhenUsed/>
    <w:qFormat/>
    <w:uiPriority w:val="99"/>
    <w:rPr>
      <w:rFonts w:ascii="宋体" w:hAnsi="宋体" w:eastAsia="宋体" w:cs="宋体"/>
      <w:sz w:val="21"/>
      <w:szCs w:val="24"/>
      <w:lang w:val="en-US" w:eastAsia="zh-CN" w:bidi="ar-SA"/>
    </w:rPr>
  </w:style>
  <w:style w:type="paragraph" w:customStyle="1" w:styleId="558">
    <w:name w:val="修订8"/>
    <w:hidden/>
    <w:unhideWhenUsed/>
    <w:qFormat/>
    <w:uiPriority w:val="99"/>
    <w:rPr>
      <w:rFonts w:ascii="宋体" w:hAnsi="宋体" w:eastAsia="宋体" w:cs="宋体"/>
      <w:sz w:val="21"/>
      <w:szCs w:val="24"/>
      <w:lang w:val="en-US" w:eastAsia="zh-CN" w:bidi="ar-SA"/>
    </w:rPr>
  </w:style>
  <w:style w:type="paragraph" w:styleId="55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0">
    <w:name w:val="修订9"/>
    <w:hidden/>
    <w:unhideWhenUsed/>
    <w:qFormat/>
    <w:uiPriority w:val="99"/>
    <w:rPr>
      <w:rFonts w:ascii="宋体" w:hAnsi="宋体" w:eastAsia="宋体" w:cs="宋体"/>
      <w:sz w:val="21"/>
      <w:szCs w:val="24"/>
      <w:lang w:val="en-US" w:eastAsia="zh-CN" w:bidi="ar-SA"/>
    </w:rPr>
  </w:style>
  <w:style w:type="character" w:customStyle="1" w:styleId="561">
    <w:name w:val="font21"/>
    <w:basedOn w:val="130"/>
    <w:qFormat/>
    <w:uiPriority w:val="0"/>
    <w:rPr>
      <w:rFonts w:hint="eastAsia" w:ascii="宋体" w:hAnsi="宋体" w:eastAsia="宋体" w:cs="宋体"/>
      <w:b/>
      <w:bCs/>
      <w:color w:val="000000"/>
      <w:sz w:val="22"/>
      <w:szCs w:val="22"/>
      <w:u w:val="none"/>
    </w:rPr>
  </w:style>
  <w:style w:type="paragraph" w:customStyle="1" w:styleId="562">
    <w:name w:val="_Style 1"/>
    <w:basedOn w:val="1"/>
    <w:next w:val="1"/>
    <w:qFormat/>
    <w:uiPriority w:val="99"/>
    <w:pPr>
      <w:ind w:firstLine="420" w:firstLineChars="200"/>
    </w:pPr>
  </w:style>
  <w:style w:type="paragraph" w:customStyle="1" w:styleId="563">
    <w:name w:val="0表格正文"/>
    <w:basedOn w:val="1"/>
    <w:qFormat/>
    <w:uiPriority w:val="0"/>
    <w:pPr>
      <w:tabs>
        <w:tab w:val="clear" w:pos="426"/>
      </w:tabs>
      <w:spacing w:line="240" w:lineRule="auto"/>
      <w:jc w:val="left"/>
    </w:pPr>
    <w:rPr>
      <w:szCs w:val="21"/>
    </w:rPr>
  </w:style>
  <w:style w:type="paragraph" w:customStyle="1" w:styleId="564">
    <w:name w:val="修订10"/>
    <w:hidden/>
    <w:unhideWhenUsed/>
    <w:qFormat/>
    <w:uiPriority w:val="99"/>
    <w:rPr>
      <w:rFonts w:ascii="宋体" w:hAnsi="宋体" w:eastAsia="宋体" w:cs="宋体"/>
      <w:sz w:val="21"/>
      <w:szCs w:val="24"/>
      <w:lang w:val="en-US" w:eastAsia="zh-CN" w:bidi="ar-SA"/>
    </w:rPr>
  </w:style>
  <w:style w:type="paragraph" w:customStyle="1" w:styleId="565">
    <w:name w:val="修订12"/>
    <w:hidden/>
    <w:unhideWhenUsed/>
    <w:qFormat/>
    <w:uiPriority w:val="99"/>
    <w:rPr>
      <w:rFonts w:ascii="宋体" w:hAnsi="宋体" w:eastAsia="宋体" w:cs="宋体"/>
      <w:sz w:val="21"/>
      <w:szCs w:val="24"/>
      <w:lang w:val="en-US" w:eastAsia="zh-CN" w:bidi="ar-SA"/>
    </w:rPr>
  </w:style>
  <w:style w:type="paragraph" w:customStyle="1" w:styleId="566">
    <w:name w:val="样式 112 10 磅"/>
    <w:next w:val="44"/>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7">
    <w:name w:val="样式 113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8">
    <w:name w:val="样式 114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9">
    <w:name w:val="样式 115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0">
    <w:name w:val="样式 116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1">
    <w:name w:val="样式 117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2">
    <w:name w:val="样式 118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3">
    <w:name w:val="样式 119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4">
    <w:name w:val="样式 120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5">
    <w:name w:val="样式 121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6">
    <w:name w:val="样式 122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7">
    <w:name w:val="样式 123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8">
    <w:name w:val="样式 124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9">
    <w:name w:val="样式 125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80">
    <w:name w:val="样式 4 10 磅2"/>
    <w:qFormat/>
    <w:uiPriority w:val="0"/>
    <w:pPr>
      <w:widowControl w:val="0"/>
      <w:jc w:val="both"/>
    </w:pPr>
    <w:rPr>
      <w:rFonts w:ascii="等线" w:hAnsi="Times New Roman" w:eastAsia="等线" w:cs="Times New Roman"/>
      <w:kern w:val="2"/>
      <w:sz w:val="21"/>
      <w:szCs w:val="22"/>
      <w:lang w:val="en-US" w:eastAsia="zh-CN" w:bidi="ar-SA"/>
    </w:rPr>
  </w:style>
  <w:style w:type="paragraph" w:customStyle="1" w:styleId="581">
    <w:name w:val="样式 182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2">
    <w:name w:val="样式 314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83">
    <w:name w:val="修订13"/>
    <w:hidden/>
    <w:unhideWhenUsed/>
    <w:qFormat/>
    <w:uiPriority w:val="99"/>
    <w:rPr>
      <w:rFonts w:ascii="宋体" w:hAnsi="宋体" w:eastAsia="宋体" w:cs="宋体"/>
      <w:sz w:val="21"/>
      <w:szCs w:val="24"/>
      <w:lang w:val="en-US" w:eastAsia="zh-CN" w:bidi="ar-SA"/>
    </w:rPr>
  </w:style>
  <w:style w:type="paragraph" w:customStyle="1" w:styleId="584">
    <w:name w:val="样式 26 10 磅"/>
    <w:basedOn w:val="1"/>
    <w:qFormat/>
    <w:uiPriority w:val="0"/>
    <w:rPr>
      <w:rFonts w:hAnsi="Times New Roman" w:cs="Times New Roman"/>
      <w:szCs w:val="21"/>
    </w:rPr>
  </w:style>
  <w:style w:type="paragraph" w:customStyle="1" w:styleId="585">
    <w:name w:val="样式 25 10 磅"/>
    <w:basedOn w:val="1"/>
    <w:qFormat/>
    <w:uiPriority w:val="0"/>
    <w:rPr>
      <w:rFonts w:hAnsi="Times New Roman" w:cs="Times New Roman"/>
      <w:szCs w:val="21"/>
    </w:rPr>
  </w:style>
  <w:style w:type="paragraph" w:customStyle="1" w:styleId="586">
    <w:name w:val="样式 24 10 磅"/>
    <w:basedOn w:val="1"/>
    <w:qFormat/>
    <w:uiPriority w:val="0"/>
    <w:rPr>
      <w:rFonts w:ascii="Calibri" w:hAnsi="Calibri" w:cs="Times New Roman"/>
      <w:szCs w:val="21"/>
    </w:rPr>
  </w:style>
  <w:style w:type="paragraph" w:customStyle="1" w:styleId="587">
    <w:name w:val="样式 23 10 磅"/>
    <w:basedOn w:val="1"/>
    <w:qFormat/>
    <w:uiPriority w:val="0"/>
    <w:rPr>
      <w:rFonts w:hAnsi="Times New Roman" w:cs="Times New Roman"/>
      <w:szCs w:val="21"/>
    </w:rPr>
  </w:style>
  <w:style w:type="paragraph" w:customStyle="1" w:styleId="588">
    <w:name w:val="样式 22 10 磅"/>
    <w:basedOn w:val="1"/>
    <w:qFormat/>
    <w:uiPriority w:val="0"/>
    <w:rPr>
      <w:rFonts w:hAnsi="Times New Roman" w:cs="Times New Roman"/>
      <w:szCs w:val="21"/>
    </w:rPr>
  </w:style>
  <w:style w:type="paragraph" w:customStyle="1" w:styleId="589">
    <w:name w:val="样式 21 10 磅"/>
    <w:basedOn w:val="1"/>
    <w:qFormat/>
    <w:uiPriority w:val="0"/>
    <w:rPr>
      <w:rFonts w:hAnsi="Times New Roman" w:cs="Times New Roman"/>
      <w:szCs w:val="21"/>
    </w:rPr>
  </w:style>
  <w:style w:type="paragraph" w:customStyle="1" w:styleId="590">
    <w:name w:val="样式 20 10 磅"/>
    <w:basedOn w:val="1"/>
    <w:qFormat/>
    <w:uiPriority w:val="0"/>
    <w:rPr>
      <w:rFonts w:hAnsi="Times New Roman" w:cs="Times New Roman"/>
      <w:szCs w:val="21"/>
    </w:rPr>
  </w:style>
  <w:style w:type="paragraph" w:customStyle="1" w:styleId="591">
    <w:name w:val="样式 19 10 磅"/>
    <w:basedOn w:val="1"/>
    <w:qFormat/>
    <w:uiPriority w:val="0"/>
    <w:rPr>
      <w:rFonts w:hAnsi="Times New Roman" w:cs="Times New Roman"/>
      <w:szCs w:val="21"/>
    </w:rPr>
  </w:style>
  <w:style w:type="paragraph" w:customStyle="1" w:styleId="592">
    <w:name w:val="样式 18 10 磅"/>
    <w:basedOn w:val="1"/>
    <w:qFormat/>
    <w:uiPriority w:val="0"/>
    <w:rPr>
      <w:rFonts w:hAnsi="Times New Roman" w:cs="Times New Roman"/>
      <w:szCs w:val="21"/>
    </w:rPr>
  </w:style>
  <w:style w:type="paragraph" w:customStyle="1" w:styleId="593">
    <w:name w:val="样式 17 10 磅"/>
    <w:basedOn w:val="1"/>
    <w:qFormat/>
    <w:uiPriority w:val="0"/>
    <w:rPr>
      <w:rFonts w:hAnsi="Times New Roman" w:cs="Times New Roman"/>
      <w:szCs w:val="21"/>
    </w:rPr>
  </w:style>
  <w:style w:type="paragraph" w:customStyle="1" w:styleId="594">
    <w:name w:val="样式 16 10 磅"/>
    <w:basedOn w:val="1"/>
    <w:qFormat/>
    <w:uiPriority w:val="0"/>
    <w:rPr>
      <w:rFonts w:hAnsi="Times New Roman" w:cs="Times New Roman"/>
      <w:szCs w:val="21"/>
    </w:rPr>
  </w:style>
  <w:style w:type="paragraph" w:customStyle="1" w:styleId="595">
    <w:name w:val="样式 15 10 磅"/>
    <w:basedOn w:val="1"/>
    <w:qFormat/>
    <w:uiPriority w:val="0"/>
    <w:rPr>
      <w:rFonts w:hAnsi="Times New Roman" w:cs="Times New Roman"/>
      <w:szCs w:val="21"/>
    </w:rPr>
  </w:style>
  <w:style w:type="paragraph" w:customStyle="1" w:styleId="596">
    <w:name w:val="样式 14 10 磅"/>
    <w:basedOn w:val="1"/>
    <w:qFormat/>
    <w:uiPriority w:val="0"/>
    <w:rPr>
      <w:rFonts w:hAnsi="Times New Roman" w:cs="Times New Roman"/>
      <w:szCs w:val="21"/>
    </w:rPr>
  </w:style>
  <w:style w:type="paragraph" w:customStyle="1" w:styleId="597">
    <w:name w:val="样式 13 10 磅"/>
    <w:basedOn w:val="1"/>
    <w:qFormat/>
    <w:uiPriority w:val="0"/>
    <w:rPr>
      <w:rFonts w:hAnsi="Times New Roman" w:cs="Times New Roman"/>
      <w:szCs w:val="21"/>
    </w:rPr>
  </w:style>
  <w:style w:type="paragraph" w:customStyle="1" w:styleId="598">
    <w:name w:val="样式 12 10 磅"/>
    <w:basedOn w:val="1"/>
    <w:qFormat/>
    <w:uiPriority w:val="0"/>
    <w:rPr>
      <w:rFonts w:hAnsi="Times New Roman" w:cs="Times New Roman"/>
      <w:szCs w:val="21"/>
    </w:rPr>
  </w:style>
  <w:style w:type="paragraph" w:customStyle="1" w:styleId="599">
    <w:name w:val="样式 11 10 磅"/>
    <w:basedOn w:val="1"/>
    <w:qFormat/>
    <w:uiPriority w:val="0"/>
    <w:rPr>
      <w:rFonts w:hAnsi="Times New Roman" w:cs="Times New Roman"/>
      <w:szCs w:val="21"/>
    </w:rPr>
  </w:style>
  <w:style w:type="paragraph" w:customStyle="1" w:styleId="600">
    <w:name w:val="样式 10 10 磅"/>
    <w:basedOn w:val="1"/>
    <w:qFormat/>
    <w:uiPriority w:val="0"/>
    <w:rPr>
      <w:rFonts w:hAnsi="Times New Roman" w:cs="Times New Roman"/>
      <w:szCs w:val="21"/>
    </w:rPr>
  </w:style>
  <w:style w:type="paragraph" w:customStyle="1" w:styleId="601">
    <w:name w:val="样式 9 10 磅"/>
    <w:basedOn w:val="1"/>
    <w:qFormat/>
    <w:uiPriority w:val="0"/>
    <w:rPr>
      <w:rFonts w:hAnsi="Times New Roman" w:cs="Times New Roman"/>
      <w:szCs w:val="21"/>
    </w:rPr>
  </w:style>
  <w:style w:type="paragraph" w:customStyle="1" w:styleId="602">
    <w:name w:val="样式 8 10 磅"/>
    <w:basedOn w:val="1"/>
    <w:qFormat/>
    <w:uiPriority w:val="0"/>
    <w:rPr>
      <w:rFonts w:hAnsi="Times New Roman" w:cs="Times New Roman"/>
      <w:szCs w:val="21"/>
    </w:rPr>
  </w:style>
  <w:style w:type="paragraph" w:customStyle="1" w:styleId="603">
    <w:name w:val="样式 47 10 磅"/>
    <w:basedOn w:val="1"/>
    <w:qFormat/>
    <w:uiPriority w:val="0"/>
    <w:rPr>
      <w:rFonts w:ascii="Times New Roman" w:hAnsi="Times New Roman" w:cs="Times New Roman"/>
      <w:szCs w:val="21"/>
    </w:rPr>
  </w:style>
  <w:style w:type="paragraph" w:customStyle="1" w:styleId="604">
    <w:name w:val="样式 40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5">
    <w:name w:val="样式 507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6">
    <w:name w:val="样式 42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7">
    <w:name w:val="样式 41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8">
    <w:name w:val="样式 39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9">
    <w:name w:val="样式 44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0">
    <w:name w:val="样式 36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1">
    <w:name w:val="样式 27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2">
    <w:name w:val="样式 46 10 磅"/>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3">
    <w:name w:val="样式 37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4">
    <w:name w:val="样式 34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5">
    <w:name w:val="样式 28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6">
    <w:name w:val="样式 38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7">
    <w:name w:val="样式 35 10 磅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8">
    <w:name w:val="修订14"/>
    <w:hidden/>
    <w:unhideWhenUsed/>
    <w:qFormat/>
    <w:uiPriority w:val="99"/>
    <w:rPr>
      <w:rFonts w:ascii="宋体" w:hAnsi="宋体" w:eastAsia="宋体" w:cs="宋体"/>
      <w:sz w:val="21"/>
      <w:szCs w:val="24"/>
      <w:lang w:val="en-US" w:eastAsia="zh-CN" w:bidi="ar-SA"/>
    </w:rPr>
  </w:style>
  <w:style w:type="paragraph" w:customStyle="1" w:styleId="619">
    <w:name w:val="样式 253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20">
    <w:name w:val="正文_10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1">
    <w:name w:val="样式 3 三号"/>
    <w:qFormat/>
    <w:uiPriority w:val="0"/>
    <w:pPr>
      <w:keepNext/>
      <w:keepLines/>
      <w:spacing w:before="340" w:line="259" w:lineRule="auto"/>
    </w:pPr>
    <w:rPr>
      <w:rFonts w:ascii="等线 Light" w:hAnsi="Times New Roman" w:eastAsia="等线 Light" w:cs="Times New Roman"/>
      <w:color w:val="2E74B5"/>
      <w:kern w:val="2"/>
      <w:sz w:val="32"/>
      <w:szCs w:val="32"/>
      <w:lang w:val="en-US" w:eastAsia="zh-CN" w:bidi="ar-SA"/>
    </w:rPr>
  </w:style>
  <w:style w:type="paragraph" w:customStyle="1" w:styleId="622">
    <w:name w:val="正文_2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3">
    <w:name w:val="样式 505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4">
    <w:name w:val="正文_9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5">
    <w:name w:val="正文_9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6">
    <w:name w:val="正文_94"/>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7">
    <w:name w:val="正文_32"/>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8">
    <w:name w:val="正文_18"/>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0">
    <w:name w:val="正文_3"/>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customStyle="1" w:styleId="631">
    <w:name w:val="正文_114"/>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2">
    <w:name w:val="正文_109"/>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3">
    <w:name w:val="正文_13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4">
    <w:name w:val="正文_101"/>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5">
    <w:name w:val="样式 2 三号_17"/>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6">
    <w:name w:val="正文_6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7">
    <w:name w:val="正文_5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8">
    <w:name w:val="正文_66"/>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9">
    <w:name w:val="样式 30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0">
    <w:name w:val="修订15"/>
    <w:hidden/>
    <w:semiHidden/>
    <w:qFormat/>
    <w:uiPriority w:val="99"/>
    <w:rPr>
      <w:rFonts w:ascii="宋体" w:hAnsi="宋体" w:eastAsia="宋体" w:cs="宋体"/>
      <w:sz w:val="21"/>
      <w:szCs w:val="24"/>
      <w:lang w:val="en-US" w:eastAsia="zh-CN" w:bidi="ar-SA"/>
    </w:rPr>
  </w:style>
  <w:style w:type="character" w:customStyle="1" w:styleId="641">
    <w:name w:val="未处理的提及2"/>
    <w:basedOn w:val="130"/>
    <w:semiHidden/>
    <w:unhideWhenUsed/>
    <w:qFormat/>
    <w:uiPriority w:val="99"/>
    <w:rPr>
      <w:color w:val="605E5C"/>
      <w:shd w:val="clear" w:color="auto" w:fill="E1DFDD"/>
    </w:rPr>
  </w:style>
  <w:style w:type="paragraph" w:customStyle="1" w:styleId="642">
    <w:name w:val="修订16"/>
    <w:hidden/>
    <w:unhideWhenUsed/>
    <w:qFormat/>
    <w:uiPriority w:val="99"/>
    <w:rPr>
      <w:rFonts w:ascii="宋体" w:hAnsi="宋体" w:eastAsia="宋体" w:cs="宋体"/>
      <w:sz w:val="21"/>
      <w:szCs w:val="24"/>
      <w:lang w:val="en-US" w:eastAsia="zh-CN" w:bidi="ar-SA"/>
    </w:rPr>
  </w:style>
  <w:style w:type="paragraph" w:customStyle="1" w:styleId="643">
    <w:name w:val="修订17"/>
    <w:hidden/>
    <w:unhideWhenUsed/>
    <w:uiPriority w:val="99"/>
    <w:rPr>
      <w:rFonts w:ascii="宋体" w:hAnsi="宋体" w:eastAsia="宋体" w:cs="宋体"/>
      <w:sz w:val="21"/>
      <w:szCs w:val="24"/>
      <w:lang w:val="en-US" w:eastAsia="zh-CN" w:bidi="ar-SA"/>
    </w:rPr>
  </w:style>
  <w:style w:type="paragraph" w:customStyle="1" w:styleId="644">
    <w:name w:val="Revision"/>
    <w:hidden/>
    <w:unhideWhenUsed/>
    <w:uiPriority w:val="99"/>
    <w:rPr>
      <w:rFonts w:ascii="宋体" w:hAnsi="宋体" w:eastAsia="宋体" w:cs="宋体"/>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EA915-20E8-4D6F-BC75-594C55C27C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52039</Words>
  <Characters>57295</Characters>
  <Lines>450</Lines>
  <Paragraphs>126</Paragraphs>
  <TotalTime>45</TotalTime>
  <ScaleCrop>false</ScaleCrop>
  <LinksUpToDate>false</LinksUpToDate>
  <CharactersWithSpaces>58219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2024-07-19T02:48:00Z</dcterms:created>
  <dc:creator>thsware</dc:creator>
  <cp:lastModifiedBy>微信用户</cp:lastModifiedBy>
  <cp:lastPrinted>2024-10-12T06:08:00Z</cp:lastPrinted>
  <dcterms:modified xsi:type="dcterms:W3CDTF">2024-10-21T10:23:00Z</dcterms:modified>
  <dc:title>招  标　文　件</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E2F64DD161EC45D1B661DF9B90031E39_13</vt:lpwstr>
  </property>
</Properties>
</file>