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lear" w:pos="426"/>
        </w:tabs>
        <w:rPr>
          <w:highlight w:val="none"/>
        </w:rPr>
      </w:pPr>
    </w:p>
    <w:p>
      <w:pPr>
        <w:tabs>
          <w:tab w:val="clear" w:pos="426"/>
        </w:tabs>
        <w:rPr>
          <w:highlight w:val="none"/>
        </w:rPr>
      </w:pPr>
    </w:p>
    <w:p>
      <w:pPr>
        <w:tabs>
          <w:tab w:val="clear" w:pos="426"/>
        </w:tabs>
        <w:jc w:val="right"/>
        <w:rPr>
          <w:b/>
          <w:highlight w:val="none"/>
          <w:u w:val="single"/>
        </w:rPr>
      </w:pPr>
      <w:r>
        <w:rPr>
          <w:rFonts w:hint="eastAsia"/>
          <w:highlight w:val="none"/>
        </w:rPr>
        <w:t xml:space="preserve">                                                     招标项目编号：</w:t>
      </w:r>
      <w:r>
        <w:rPr>
          <w:rFonts w:hint="eastAsia"/>
          <w:b/>
          <w:highlight w:val="none"/>
          <w:u w:val="single"/>
        </w:rPr>
        <w:t>SSZX2019-134</w:t>
      </w:r>
    </w:p>
    <w:p>
      <w:pPr>
        <w:tabs>
          <w:tab w:val="clear" w:pos="426"/>
        </w:tabs>
        <w:rPr>
          <w:highlight w:val="none"/>
        </w:rPr>
      </w:pPr>
    </w:p>
    <w:p>
      <w:pPr>
        <w:tabs>
          <w:tab w:val="clear" w:pos="426"/>
        </w:tabs>
        <w:rPr>
          <w:highlight w:val="none"/>
        </w:rPr>
      </w:pPr>
    </w:p>
    <w:p>
      <w:pPr>
        <w:tabs>
          <w:tab w:val="clear" w:pos="426"/>
        </w:tabs>
        <w:rPr>
          <w:highlight w:val="none"/>
        </w:rPr>
      </w:pPr>
    </w:p>
    <w:p>
      <w:pPr>
        <w:widowControl w:val="0"/>
        <w:shd w:val="clear" w:color="auto" w:fill="auto"/>
        <w:tabs>
          <w:tab w:val="clear" w:pos="426"/>
        </w:tabs>
        <w:adjustRightInd/>
        <w:snapToGrid/>
        <w:spacing w:line="300" w:lineRule="auto"/>
        <w:jc w:val="center"/>
        <w:rPr>
          <w:rFonts w:cs="Times New Roman"/>
          <w:spacing w:val="26"/>
          <w:kern w:val="2"/>
          <w:sz w:val="72"/>
          <w:szCs w:val="20"/>
          <w:highlight w:val="none"/>
        </w:rPr>
      </w:pPr>
      <w:r>
        <w:rPr>
          <w:rFonts w:hint="eastAsia" w:cs="Times New Roman"/>
          <w:spacing w:val="26"/>
          <w:kern w:val="2"/>
          <w:sz w:val="72"/>
          <w:szCs w:val="20"/>
          <w:highlight w:val="none"/>
        </w:rPr>
        <w:t>深圳市政府采购</w:t>
      </w:r>
    </w:p>
    <w:p>
      <w:pPr>
        <w:widowControl w:val="0"/>
        <w:shd w:val="clear" w:color="auto" w:fill="auto"/>
        <w:tabs>
          <w:tab w:val="clear" w:pos="426"/>
        </w:tabs>
        <w:adjustRightInd/>
        <w:snapToGrid/>
        <w:spacing w:line="300" w:lineRule="auto"/>
        <w:jc w:val="center"/>
        <w:rPr>
          <w:rFonts w:cs="Times New Roman"/>
          <w:spacing w:val="26"/>
          <w:kern w:val="2"/>
          <w:sz w:val="72"/>
          <w:szCs w:val="20"/>
          <w:highlight w:val="none"/>
        </w:rPr>
      </w:pPr>
      <w:r>
        <w:rPr>
          <w:rFonts w:hint="eastAsia" w:cs="Times New Roman"/>
          <w:spacing w:val="26"/>
          <w:kern w:val="2"/>
          <w:sz w:val="72"/>
          <w:szCs w:val="20"/>
          <w:highlight w:val="none"/>
        </w:rPr>
        <w:t>招标文件</w:t>
      </w: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jc w:val="center"/>
        <w:rPr>
          <w:rFonts w:ascii="黑体" w:hAnsi="Arial" w:eastAsia="黑体" w:cs="Arial"/>
          <w:color w:val="000000"/>
          <w:sz w:val="52"/>
          <w:szCs w:val="52"/>
          <w:highlight w:val="none"/>
        </w:rPr>
      </w:pPr>
      <w:r>
        <w:rPr>
          <w:rFonts w:hint="eastAsia" w:ascii="黑体" w:hAnsi="Arial" w:eastAsia="黑体" w:cs="Arial"/>
          <w:color w:val="000000"/>
          <w:sz w:val="52"/>
          <w:szCs w:val="52"/>
          <w:highlight w:val="none"/>
        </w:rPr>
        <w:t>【货物类】</w:t>
      </w: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highlight w:val="none"/>
          <w:u w:val="single"/>
        </w:rPr>
      </w:pPr>
      <w:r>
        <w:rPr>
          <w:rFonts w:hint="eastAsia" w:cs="Times New Roman"/>
          <w:kern w:val="2"/>
          <w:sz w:val="30"/>
          <w:szCs w:val="20"/>
          <w:highlight w:val="none"/>
        </w:rPr>
        <w:t>项目名称：</w:t>
      </w:r>
      <w:r>
        <w:rPr>
          <w:rFonts w:hint="eastAsia" w:cs="Times New Roman"/>
          <w:kern w:val="2"/>
          <w:sz w:val="30"/>
          <w:szCs w:val="20"/>
          <w:highlight w:val="none"/>
          <w:u w:val="single"/>
        </w:rPr>
        <w:t>同心外国语学校二期电脑室、办公设备、网络监控消</w:t>
      </w:r>
    </w:p>
    <w:p>
      <w:pPr>
        <w:widowControl w:val="0"/>
        <w:shd w:val="clear" w:color="auto" w:fill="auto"/>
        <w:tabs>
          <w:tab w:val="clear" w:pos="426"/>
        </w:tabs>
        <w:adjustRightInd/>
        <w:snapToGrid/>
        <w:spacing w:line="300" w:lineRule="auto"/>
        <w:ind w:firstLine="1677" w:firstLineChars="559"/>
        <w:rPr>
          <w:rFonts w:cs="Times New Roman"/>
          <w:kern w:val="2"/>
          <w:sz w:val="30"/>
          <w:szCs w:val="20"/>
          <w:highlight w:val="none"/>
        </w:rPr>
      </w:pPr>
      <w:r>
        <w:rPr>
          <w:rFonts w:hint="eastAsia" w:cs="Times New Roman"/>
          <w:kern w:val="2"/>
          <w:sz w:val="30"/>
          <w:szCs w:val="20"/>
          <w:highlight w:val="none"/>
          <w:u w:val="single"/>
        </w:rPr>
        <w:t>防广播系统迁移采购</w:t>
      </w:r>
    </w:p>
    <w:p>
      <w:pPr>
        <w:widowControl w:val="0"/>
        <w:shd w:val="clear" w:color="auto" w:fill="auto"/>
        <w:tabs>
          <w:tab w:val="clear" w:pos="426"/>
        </w:tabs>
        <w:adjustRightInd/>
        <w:snapToGrid/>
        <w:spacing w:line="300" w:lineRule="auto"/>
        <w:ind w:left="1500" w:hanging="1500" w:hangingChars="500"/>
        <w:rPr>
          <w:rFonts w:cs="Times New Roman"/>
          <w:kern w:val="2"/>
          <w:sz w:val="30"/>
          <w:szCs w:val="20"/>
          <w:highlight w:val="none"/>
        </w:rPr>
      </w:pP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highlight w:val="none"/>
        </w:rPr>
      </w:pPr>
      <w:r>
        <w:rPr>
          <w:rFonts w:hint="eastAsia" w:cs="Times New Roman"/>
          <w:kern w:val="2"/>
          <w:sz w:val="30"/>
          <w:szCs w:val="20"/>
          <w:highlight w:val="none"/>
        </w:rPr>
        <w:t>采购人名称：</w:t>
      </w:r>
      <w:r>
        <w:rPr>
          <w:rFonts w:hint="eastAsia" w:cs="Times New Roman"/>
          <w:kern w:val="2"/>
          <w:sz w:val="30"/>
          <w:szCs w:val="20"/>
          <w:highlight w:val="none"/>
          <w:u w:val="single"/>
        </w:rPr>
        <w:t>深圳市坪山区同心外国语学校</w:t>
      </w:r>
    </w:p>
    <w:p>
      <w:pPr>
        <w:widowControl w:val="0"/>
        <w:shd w:val="clear" w:color="auto" w:fill="auto"/>
        <w:tabs>
          <w:tab w:val="clear" w:pos="426"/>
        </w:tabs>
        <w:adjustRightInd/>
        <w:snapToGrid/>
        <w:spacing w:line="300" w:lineRule="auto"/>
        <w:ind w:left="1500" w:hanging="1500" w:hangingChars="500"/>
        <w:rPr>
          <w:rFonts w:cs="Times New Roman"/>
          <w:kern w:val="2"/>
          <w:sz w:val="30"/>
          <w:szCs w:val="20"/>
          <w:highlight w:val="none"/>
        </w:rPr>
      </w:pP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highlight w:val="none"/>
          <w:u w:val="single"/>
        </w:rPr>
      </w:pPr>
      <w:r>
        <w:rPr>
          <w:rFonts w:hint="eastAsia" w:cs="Times New Roman"/>
          <w:kern w:val="2"/>
          <w:sz w:val="30"/>
          <w:szCs w:val="20"/>
          <w:highlight w:val="none"/>
        </w:rPr>
        <w:t>采购代理机构名称：</w:t>
      </w:r>
      <w:r>
        <w:rPr>
          <w:rFonts w:hint="eastAsia" w:cs="Times New Roman"/>
          <w:kern w:val="2"/>
          <w:sz w:val="30"/>
          <w:szCs w:val="20"/>
          <w:highlight w:val="none"/>
          <w:u w:val="single"/>
        </w:rPr>
        <w:t xml:space="preserve">  深圳市深水水务咨询有限公司           </w:t>
      </w: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highlight w:val="none"/>
          <w:u w:val="single"/>
        </w:rPr>
      </w:pP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highlight w:val="none"/>
          <w:u w:val="single"/>
        </w:rPr>
      </w:pP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highlight w:val="none"/>
          <w:u w:val="single"/>
        </w:rPr>
      </w:pPr>
    </w:p>
    <w:p>
      <w:pPr>
        <w:tabs>
          <w:tab w:val="clear" w:pos="426"/>
        </w:tabs>
        <w:jc w:val="center"/>
        <w:rPr>
          <w:b/>
          <w:sz w:val="32"/>
          <w:szCs w:val="32"/>
          <w:highlight w:val="none"/>
        </w:rPr>
      </w:pPr>
      <w:r>
        <w:rPr>
          <w:highlight w:val="none"/>
        </w:rPr>
        <w:br w:type="page"/>
      </w:r>
      <w:r>
        <w:rPr>
          <w:rFonts w:hint="eastAsia"/>
          <w:b/>
          <w:sz w:val="32"/>
          <w:szCs w:val="32"/>
          <w:highlight w:val="none"/>
        </w:rPr>
        <w:t>目      录</w:t>
      </w:r>
    </w:p>
    <w:p>
      <w:pPr>
        <w:tabs>
          <w:tab w:val="clear" w:pos="426"/>
        </w:tabs>
        <w:jc w:val="center"/>
        <w:rPr>
          <w:sz w:val="32"/>
          <w:szCs w:val="32"/>
          <w:highlight w:val="none"/>
        </w:rPr>
      </w:pPr>
    </w:p>
    <w:p>
      <w:pPr>
        <w:pStyle w:val="36"/>
        <w:ind w:left="105"/>
        <w:rPr>
          <w:rFonts w:asciiTheme="minorHAnsi" w:hAnsiTheme="minorHAnsi" w:eastAsiaTheme="minorEastAsia" w:cstheme="minorBidi"/>
          <w:smallCaps w:val="0"/>
          <w:kern w:val="2"/>
          <w:sz w:val="21"/>
          <w:szCs w:val="22"/>
          <w:highlight w:val="none"/>
        </w:rPr>
      </w:pPr>
      <w:r>
        <w:rPr>
          <w:smallCaps w:val="0"/>
          <w:highlight w:val="none"/>
        </w:rPr>
        <w:fldChar w:fldCharType="begin"/>
      </w:r>
      <w:r>
        <w:rPr>
          <w:smallCaps w:val="0"/>
          <w:highlight w:val="none"/>
        </w:rPr>
        <w:instrText xml:space="preserve"> TOC \o "1-2" \h \z \u </w:instrText>
      </w:r>
      <w:r>
        <w:rPr>
          <w:smallCaps w:val="0"/>
          <w:highlight w:val="none"/>
        </w:rPr>
        <w:fldChar w:fldCharType="separate"/>
      </w:r>
      <w:r>
        <w:rPr>
          <w:highlight w:val="none"/>
        </w:rPr>
        <w:fldChar w:fldCharType="begin"/>
      </w:r>
      <w:r>
        <w:rPr>
          <w:highlight w:val="none"/>
        </w:rPr>
        <w:instrText xml:space="preserve"> HYPERLINK \l "_Toc5875380" </w:instrText>
      </w:r>
      <w:r>
        <w:rPr>
          <w:highlight w:val="none"/>
        </w:rPr>
        <w:fldChar w:fldCharType="separate"/>
      </w:r>
      <w:r>
        <w:rPr>
          <w:rStyle w:val="52"/>
          <w:rFonts w:hint="default"/>
          <w:highlight w:val="none"/>
        </w:rPr>
        <w:t>警示条款</w:t>
      </w:r>
      <w:r>
        <w:rPr>
          <w:highlight w:val="none"/>
        </w:rPr>
        <w:tab/>
      </w:r>
      <w:r>
        <w:rPr>
          <w:highlight w:val="none"/>
        </w:rPr>
        <w:fldChar w:fldCharType="begin"/>
      </w:r>
      <w:r>
        <w:rPr>
          <w:highlight w:val="none"/>
        </w:rPr>
        <w:instrText xml:space="preserve"> PAGEREF _Toc5875380 \h </w:instrText>
      </w:r>
      <w:r>
        <w:rPr>
          <w:highlight w:val="none"/>
        </w:rPr>
        <w:fldChar w:fldCharType="separate"/>
      </w:r>
      <w:r>
        <w:rPr>
          <w:highlight w:val="none"/>
        </w:rPr>
        <w:t>1</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"_Toc5875381" </w:instrText>
      </w:r>
      <w:r>
        <w:rPr>
          <w:highlight w:val="none"/>
        </w:rPr>
        <w:fldChar w:fldCharType="separate"/>
      </w:r>
      <w:r>
        <w:rPr>
          <w:rStyle w:val="52"/>
          <w:rFonts w:hint="default"/>
          <w:highlight w:val="none"/>
        </w:rPr>
        <w:t>项目关键信息</w:t>
      </w:r>
      <w:r>
        <w:rPr>
          <w:highlight w:val="none"/>
        </w:rPr>
        <w:tab/>
      </w:r>
      <w:r>
        <w:rPr>
          <w:highlight w:val="none"/>
        </w:rPr>
        <w:fldChar w:fldCharType="begin"/>
      </w:r>
      <w:r>
        <w:rPr>
          <w:highlight w:val="none"/>
        </w:rPr>
        <w:instrText xml:space="preserve"> PAGEREF _Toc5875381 \h </w:instrText>
      </w:r>
      <w:r>
        <w:rPr>
          <w:highlight w:val="none"/>
        </w:rPr>
        <w:fldChar w:fldCharType="separate"/>
      </w:r>
      <w:r>
        <w:rPr>
          <w:highlight w:val="none"/>
        </w:rPr>
        <w:t>2</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"_Toc5875382" </w:instrText>
      </w:r>
      <w:r>
        <w:rPr>
          <w:highlight w:val="none"/>
        </w:rPr>
        <w:fldChar w:fldCharType="separate"/>
      </w:r>
      <w:r>
        <w:rPr>
          <w:rStyle w:val="52"/>
          <w:rFonts w:hint="default"/>
          <w:highlight w:val="none"/>
        </w:rPr>
        <w:t>资格性审查表、符合性审查表</w:t>
      </w:r>
      <w:r>
        <w:rPr>
          <w:highlight w:val="none"/>
        </w:rPr>
        <w:tab/>
      </w:r>
      <w:r>
        <w:rPr>
          <w:highlight w:val="none"/>
        </w:rPr>
        <w:fldChar w:fldCharType="begin"/>
      </w:r>
      <w:r>
        <w:rPr>
          <w:highlight w:val="none"/>
        </w:rPr>
        <w:instrText xml:space="preserve"> PAGEREF _Toc5875382 \h </w:instrText>
      </w:r>
      <w:r>
        <w:rPr>
          <w:highlight w:val="none"/>
        </w:rPr>
        <w:fldChar w:fldCharType="separate"/>
      </w:r>
      <w:r>
        <w:rPr>
          <w:highlight w:val="none"/>
        </w:rPr>
        <w:t>3</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"_Toc5875383" </w:instrText>
      </w:r>
      <w:r>
        <w:rPr>
          <w:highlight w:val="none"/>
        </w:rPr>
        <w:fldChar w:fldCharType="separate"/>
      </w:r>
      <w:r>
        <w:rPr>
          <w:rStyle w:val="52"/>
          <w:rFonts w:hint="default"/>
          <w:highlight w:val="none"/>
        </w:rPr>
        <w:t>评标信息</w:t>
      </w:r>
      <w:r>
        <w:rPr>
          <w:highlight w:val="none"/>
        </w:rPr>
        <w:tab/>
      </w:r>
      <w:r>
        <w:rPr>
          <w:highlight w:val="none"/>
        </w:rPr>
        <w:fldChar w:fldCharType="begin"/>
      </w:r>
      <w:r>
        <w:rPr>
          <w:highlight w:val="none"/>
        </w:rPr>
        <w:instrText xml:space="preserve"> PAGEREF _Toc5875383 \h </w:instrText>
      </w:r>
      <w:r>
        <w:rPr>
          <w:highlight w:val="none"/>
        </w:rPr>
        <w:fldChar w:fldCharType="separate"/>
      </w:r>
      <w:r>
        <w:rPr>
          <w:highlight w:val="none"/>
        </w:rPr>
        <w:t>4</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"_Toc5875384" </w:instrText>
      </w:r>
      <w:r>
        <w:rPr>
          <w:highlight w:val="none"/>
        </w:rPr>
        <w:fldChar w:fldCharType="separate"/>
      </w:r>
      <w:r>
        <w:rPr>
          <w:rStyle w:val="52"/>
          <w:rFonts w:hint="default"/>
          <w:highlight w:val="none"/>
        </w:rPr>
        <w:t>定标信息</w:t>
      </w:r>
      <w:r>
        <w:rPr>
          <w:highlight w:val="none"/>
        </w:rPr>
        <w:tab/>
      </w:r>
      <w:r>
        <w:rPr>
          <w:highlight w:val="none"/>
        </w:rPr>
        <w:fldChar w:fldCharType="begin"/>
      </w:r>
      <w:r>
        <w:rPr>
          <w:highlight w:val="none"/>
        </w:rPr>
        <w:instrText xml:space="preserve"> PAGEREF _Toc5875384 \h </w:instrText>
      </w:r>
      <w:r>
        <w:rPr>
          <w:highlight w:val="none"/>
        </w:rPr>
        <w:fldChar w:fldCharType="separate"/>
      </w:r>
      <w:r>
        <w:rPr>
          <w:highlight w:val="none"/>
        </w:rPr>
        <w:t>9</w:t>
      </w:r>
      <w:r>
        <w:rPr>
          <w:highlight w:val="none"/>
        </w:rPr>
        <w:fldChar w:fldCharType="end"/>
      </w:r>
      <w:r>
        <w:rPr>
          <w:highlight w:val="none"/>
        </w:rPr>
        <w:fldChar w:fldCharType="end"/>
      </w:r>
    </w:p>
    <w:p>
      <w:pPr>
        <w:pStyle w:val="31"/>
        <w:rPr>
          <w:rFonts w:asciiTheme="minorHAnsi" w:hAnsiTheme="minorHAnsi" w:eastAsiaTheme="minorEastAsia" w:cstheme="minorBidi"/>
          <w:b w:val="0"/>
          <w:bCs w:val="0"/>
          <w:caps w:val="0"/>
          <w:kern w:val="2"/>
          <w:sz w:val="21"/>
          <w:szCs w:val="22"/>
          <w:highlight w:val="none"/>
        </w:rPr>
      </w:pPr>
      <w:r>
        <w:rPr>
          <w:highlight w:val="none"/>
        </w:rPr>
        <w:fldChar w:fldCharType="begin"/>
      </w:r>
      <w:r>
        <w:rPr>
          <w:highlight w:val="none"/>
        </w:rPr>
        <w:instrText xml:space="preserve"> HYPERLINK \l "_Toc5875387" </w:instrText>
      </w:r>
      <w:r>
        <w:rPr>
          <w:highlight w:val="none"/>
        </w:rPr>
        <w:fldChar w:fldCharType="separate"/>
      </w:r>
      <w:r>
        <w:rPr>
          <w:rStyle w:val="52"/>
          <w:rFonts w:hint="default"/>
          <w:highlight w:val="none"/>
        </w:rPr>
        <w:t>第一册  专用条款</w:t>
      </w:r>
      <w:r>
        <w:rPr>
          <w:highlight w:val="none"/>
        </w:rPr>
        <w:tab/>
      </w:r>
      <w:r>
        <w:rPr>
          <w:highlight w:val="none"/>
        </w:rPr>
        <w:fldChar w:fldCharType="begin"/>
      </w:r>
      <w:r>
        <w:rPr>
          <w:highlight w:val="none"/>
        </w:rPr>
        <w:instrText xml:space="preserve"> PAGEREF _Toc5875387 \h </w:instrText>
      </w:r>
      <w:r>
        <w:rPr>
          <w:highlight w:val="none"/>
        </w:rPr>
        <w:fldChar w:fldCharType="separate"/>
      </w:r>
      <w:r>
        <w:rPr>
          <w:highlight w:val="none"/>
        </w:rPr>
        <w:t>11</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"_Toc5875388" </w:instrText>
      </w:r>
      <w:r>
        <w:rPr>
          <w:highlight w:val="none"/>
        </w:rPr>
        <w:fldChar w:fldCharType="separate"/>
      </w:r>
      <w:r>
        <w:rPr>
          <w:rStyle w:val="52"/>
          <w:rFonts w:hint="default"/>
          <w:highlight w:val="none"/>
        </w:rPr>
        <w:t>第一章 采购公告</w:t>
      </w:r>
      <w:r>
        <w:rPr>
          <w:highlight w:val="none"/>
        </w:rPr>
        <w:tab/>
      </w:r>
      <w:r>
        <w:rPr>
          <w:highlight w:val="none"/>
        </w:rPr>
        <w:fldChar w:fldCharType="begin"/>
      </w:r>
      <w:r>
        <w:rPr>
          <w:highlight w:val="none"/>
        </w:rPr>
        <w:instrText xml:space="preserve"> PAGEREF _Toc5875388 \h </w:instrText>
      </w:r>
      <w:r>
        <w:rPr>
          <w:highlight w:val="none"/>
        </w:rPr>
        <w:fldChar w:fldCharType="separate"/>
      </w:r>
      <w:r>
        <w:rPr>
          <w:highlight w:val="none"/>
        </w:rPr>
        <w:t>11</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"_Toc5875389" </w:instrText>
      </w:r>
      <w:r>
        <w:rPr>
          <w:highlight w:val="none"/>
        </w:rPr>
        <w:fldChar w:fldCharType="separate"/>
      </w:r>
      <w:r>
        <w:rPr>
          <w:rStyle w:val="52"/>
          <w:rFonts w:hint="default"/>
          <w:highlight w:val="none"/>
        </w:rPr>
        <w:t>第二章 投标须知前附表</w:t>
      </w:r>
      <w:r>
        <w:rPr>
          <w:highlight w:val="none"/>
        </w:rPr>
        <w:tab/>
      </w:r>
      <w:r>
        <w:rPr>
          <w:highlight w:val="none"/>
        </w:rPr>
        <w:fldChar w:fldCharType="begin"/>
      </w:r>
      <w:r>
        <w:rPr>
          <w:highlight w:val="none"/>
        </w:rPr>
        <w:instrText xml:space="preserve"> PAGEREF _Toc5875389 \h </w:instrText>
      </w:r>
      <w:r>
        <w:rPr>
          <w:highlight w:val="none"/>
        </w:rPr>
        <w:fldChar w:fldCharType="separate"/>
      </w:r>
      <w:r>
        <w:rPr>
          <w:highlight w:val="none"/>
        </w:rPr>
        <w:t>14</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"_Toc5875390" </w:instrText>
      </w:r>
      <w:r>
        <w:rPr>
          <w:highlight w:val="none"/>
        </w:rPr>
        <w:fldChar w:fldCharType="separate"/>
      </w:r>
      <w:r>
        <w:rPr>
          <w:rStyle w:val="52"/>
          <w:rFonts w:hint="default"/>
          <w:highlight w:val="none"/>
        </w:rPr>
        <w:t>第三章 项目需求</w:t>
      </w:r>
      <w:r>
        <w:rPr>
          <w:highlight w:val="none"/>
        </w:rPr>
        <w:tab/>
      </w:r>
      <w:r>
        <w:rPr>
          <w:highlight w:val="none"/>
        </w:rPr>
        <w:fldChar w:fldCharType="begin"/>
      </w:r>
      <w:r>
        <w:rPr>
          <w:highlight w:val="none"/>
        </w:rPr>
        <w:instrText xml:space="preserve"> PAGEREF _Toc5875390 \h </w:instrText>
      </w:r>
      <w:r>
        <w:rPr>
          <w:highlight w:val="none"/>
        </w:rPr>
        <w:fldChar w:fldCharType="separate"/>
      </w:r>
      <w:r>
        <w:rPr>
          <w:highlight w:val="none"/>
        </w:rPr>
        <w:t>15</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"_Toc5875391" </w:instrText>
      </w:r>
      <w:r>
        <w:rPr>
          <w:highlight w:val="none"/>
        </w:rPr>
        <w:fldChar w:fldCharType="separate"/>
      </w:r>
      <w:r>
        <w:rPr>
          <w:rStyle w:val="52"/>
          <w:rFonts w:hint="default"/>
          <w:highlight w:val="none"/>
        </w:rPr>
        <w:t>第四章 政府采购合同的签订、履约及验收</w:t>
      </w:r>
      <w:r>
        <w:rPr>
          <w:highlight w:val="none"/>
        </w:rPr>
        <w:tab/>
      </w:r>
      <w:r>
        <w:rPr>
          <w:highlight w:val="none"/>
        </w:rPr>
        <w:fldChar w:fldCharType="begin"/>
      </w:r>
      <w:r>
        <w:rPr>
          <w:highlight w:val="none"/>
        </w:rPr>
        <w:instrText xml:space="preserve"> PAGEREF _Toc5875391 \h </w:instrText>
      </w:r>
      <w:r>
        <w:rPr>
          <w:highlight w:val="none"/>
        </w:rPr>
        <w:fldChar w:fldCharType="separate"/>
      </w:r>
      <w:r>
        <w:rPr>
          <w:highlight w:val="none"/>
        </w:rPr>
        <w:t>24</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"_Toc5875392" </w:instrText>
      </w:r>
      <w:r>
        <w:rPr>
          <w:highlight w:val="none"/>
        </w:rPr>
        <w:fldChar w:fldCharType="separate"/>
      </w:r>
      <w:r>
        <w:rPr>
          <w:rStyle w:val="52"/>
          <w:rFonts w:hint="default"/>
          <w:highlight w:val="none"/>
        </w:rPr>
        <w:t>第五章 投标文件格式、附件</w:t>
      </w:r>
      <w:r>
        <w:rPr>
          <w:highlight w:val="none"/>
        </w:rPr>
        <w:tab/>
      </w:r>
      <w:r>
        <w:rPr>
          <w:highlight w:val="none"/>
        </w:rPr>
        <w:fldChar w:fldCharType="begin"/>
      </w:r>
      <w:r>
        <w:rPr>
          <w:highlight w:val="none"/>
        </w:rPr>
        <w:instrText xml:space="preserve"> PAGEREF _Toc5875392 \h </w:instrText>
      </w:r>
      <w:r>
        <w:rPr>
          <w:highlight w:val="none"/>
        </w:rPr>
        <w:fldChar w:fldCharType="separate"/>
      </w:r>
      <w:r>
        <w:rPr>
          <w:highlight w:val="none"/>
        </w:rPr>
        <w:t>30</w:t>
      </w:r>
      <w:r>
        <w:rPr>
          <w:highlight w:val="none"/>
        </w:rPr>
        <w:fldChar w:fldCharType="end"/>
      </w:r>
      <w:r>
        <w:rPr>
          <w:highlight w:val="none"/>
        </w:rPr>
        <w:fldChar w:fldCharType="end"/>
      </w:r>
    </w:p>
    <w:p>
      <w:pPr>
        <w:pStyle w:val="31"/>
        <w:rPr>
          <w:rFonts w:asciiTheme="minorHAnsi" w:hAnsiTheme="minorHAnsi" w:eastAsiaTheme="minorEastAsia" w:cstheme="minorBidi"/>
          <w:b w:val="0"/>
          <w:bCs w:val="0"/>
          <w:caps w:val="0"/>
          <w:kern w:val="2"/>
          <w:sz w:val="21"/>
          <w:szCs w:val="22"/>
          <w:highlight w:val="none"/>
        </w:rPr>
      </w:pPr>
      <w:r>
        <w:rPr>
          <w:highlight w:val="none"/>
        </w:rPr>
        <w:fldChar w:fldCharType="begin"/>
      </w:r>
      <w:r>
        <w:rPr>
          <w:highlight w:val="none"/>
        </w:rPr>
        <w:instrText xml:space="preserve"> HYPERLINK \l "_Toc5875393" </w:instrText>
      </w:r>
      <w:r>
        <w:rPr>
          <w:highlight w:val="none"/>
        </w:rPr>
        <w:fldChar w:fldCharType="separate"/>
      </w:r>
      <w:r>
        <w:rPr>
          <w:rStyle w:val="52"/>
          <w:rFonts w:hint="default"/>
          <w:highlight w:val="none"/>
        </w:rPr>
        <w:t>第二册  通用条款</w:t>
      </w:r>
      <w:r>
        <w:rPr>
          <w:highlight w:val="none"/>
        </w:rPr>
        <w:tab/>
      </w:r>
      <w:r>
        <w:rPr>
          <w:highlight w:val="none"/>
        </w:rPr>
        <w:fldChar w:fldCharType="begin"/>
      </w:r>
      <w:r>
        <w:rPr>
          <w:highlight w:val="none"/>
        </w:rPr>
        <w:instrText xml:space="preserve"> PAGEREF _Toc5875393 \h </w:instrText>
      </w:r>
      <w:r>
        <w:rPr>
          <w:highlight w:val="none"/>
        </w:rPr>
        <w:fldChar w:fldCharType="separate"/>
      </w:r>
      <w:r>
        <w:rPr>
          <w:highlight w:val="none"/>
        </w:rPr>
        <w:t>55</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"_Toc5875394" </w:instrText>
      </w:r>
      <w:r>
        <w:rPr>
          <w:highlight w:val="none"/>
        </w:rPr>
        <w:fldChar w:fldCharType="separate"/>
      </w:r>
      <w:r>
        <w:rPr>
          <w:rStyle w:val="52"/>
          <w:rFonts w:hint="default"/>
          <w:highlight w:val="none"/>
        </w:rPr>
        <w:t>第一章 总则</w:t>
      </w:r>
      <w:r>
        <w:rPr>
          <w:highlight w:val="none"/>
        </w:rPr>
        <w:tab/>
      </w:r>
      <w:r>
        <w:rPr>
          <w:highlight w:val="none"/>
        </w:rPr>
        <w:fldChar w:fldCharType="begin"/>
      </w:r>
      <w:r>
        <w:rPr>
          <w:highlight w:val="none"/>
        </w:rPr>
        <w:instrText xml:space="preserve"> PAGEREF _Toc5875394 \h </w:instrText>
      </w:r>
      <w:r>
        <w:rPr>
          <w:highlight w:val="none"/>
        </w:rPr>
        <w:fldChar w:fldCharType="separate"/>
      </w:r>
      <w:r>
        <w:rPr>
          <w:highlight w:val="none"/>
        </w:rPr>
        <w:t>55</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"_Toc5875395" </w:instrText>
      </w:r>
      <w:r>
        <w:rPr>
          <w:highlight w:val="none"/>
        </w:rPr>
        <w:fldChar w:fldCharType="separate"/>
      </w:r>
      <w:r>
        <w:rPr>
          <w:rStyle w:val="52"/>
          <w:rFonts w:hint="default"/>
          <w:highlight w:val="none"/>
        </w:rPr>
        <w:t>第二章 招标文件</w:t>
      </w:r>
      <w:r>
        <w:rPr>
          <w:highlight w:val="none"/>
        </w:rPr>
        <w:tab/>
      </w:r>
      <w:r>
        <w:rPr>
          <w:highlight w:val="none"/>
        </w:rPr>
        <w:fldChar w:fldCharType="begin"/>
      </w:r>
      <w:r>
        <w:rPr>
          <w:highlight w:val="none"/>
        </w:rPr>
        <w:instrText xml:space="preserve"> PAGEREF _Toc5875395 \h </w:instrText>
      </w:r>
      <w:r>
        <w:rPr>
          <w:highlight w:val="none"/>
        </w:rPr>
        <w:fldChar w:fldCharType="separate"/>
      </w:r>
      <w:r>
        <w:rPr>
          <w:highlight w:val="none"/>
        </w:rPr>
        <w:t>57</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"_Toc5875396" </w:instrText>
      </w:r>
      <w:r>
        <w:rPr>
          <w:highlight w:val="none"/>
        </w:rPr>
        <w:fldChar w:fldCharType="separate"/>
      </w:r>
      <w:r>
        <w:rPr>
          <w:rStyle w:val="52"/>
          <w:rFonts w:hint="default"/>
          <w:highlight w:val="none"/>
        </w:rPr>
        <w:t>第三章 投标文件的编制与递交</w:t>
      </w:r>
      <w:r>
        <w:rPr>
          <w:highlight w:val="none"/>
        </w:rPr>
        <w:tab/>
      </w:r>
      <w:r>
        <w:rPr>
          <w:highlight w:val="none"/>
        </w:rPr>
        <w:fldChar w:fldCharType="begin"/>
      </w:r>
      <w:r>
        <w:rPr>
          <w:highlight w:val="none"/>
        </w:rPr>
        <w:instrText xml:space="preserve"> PAGEREF _Toc5875396 \h </w:instrText>
      </w:r>
      <w:r>
        <w:rPr>
          <w:highlight w:val="none"/>
        </w:rPr>
        <w:fldChar w:fldCharType="separate"/>
      </w:r>
      <w:r>
        <w:rPr>
          <w:highlight w:val="none"/>
        </w:rPr>
        <w:t>59</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"_Toc5875397" </w:instrText>
      </w:r>
      <w:r>
        <w:rPr>
          <w:highlight w:val="none"/>
        </w:rPr>
        <w:fldChar w:fldCharType="separate"/>
      </w:r>
      <w:r>
        <w:rPr>
          <w:rStyle w:val="52"/>
          <w:rFonts w:hint="default"/>
          <w:highlight w:val="none"/>
        </w:rPr>
        <w:t>第四章 开标</w:t>
      </w:r>
      <w:r>
        <w:rPr>
          <w:highlight w:val="none"/>
        </w:rPr>
        <w:tab/>
      </w:r>
      <w:r>
        <w:rPr>
          <w:highlight w:val="none"/>
        </w:rPr>
        <w:fldChar w:fldCharType="begin"/>
      </w:r>
      <w:r>
        <w:rPr>
          <w:highlight w:val="none"/>
        </w:rPr>
        <w:instrText xml:space="preserve"> PAGEREF _Toc5875397 \h </w:instrText>
      </w:r>
      <w:r>
        <w:rPr>
          <w:highlight w:val="none"/>
        </w:rPr>
        <w:fldChar w:fldCharType="separate"/>
      </w:r>
      <w:r>
        <w:rPr>
          <w:highlight w:val="none"/>
        </w:rPr>
        <w:t>63</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"_Toc5875398" </w:instrText>
      </w:r>
      <w:r>
        <w:rPr>
          <w:highlight w:val="none"/>
        </w:rPr>
        <w:fldChar w:fldCharType="separate"/>
      </w:r>
      <w:r>
        <w:rPr>
          <w:rStyle w:val="52"/>
          <w:rFonts w:hint="default"/>
          <w:highlight w:val="none"/>
        </w:rPr>
        <w:t>第五章 评标要求</w:t>
      </w:r>
      <w:r>
        <w:rPr>
          <w:highlight w:val="none"/>
        </w:rPr>
        <w:tab/>
      </w:r>
      <w:r>
        <w:rPr>
          <w:highlight w:val="none"/>
        </w:rPr>
        <w:fldChar w:fldCharType="begin"/>
      </w:r>
      <w:r>
        <w:rPr>
          <w:highlight w:val="none"/>
        </w:rPr>
        <w:instrText xml:space="preserve"> PAGEREF _Toc5875398 \h </w:instrText>
      </w:r>
      <w:r>
        <w:rPr>
          <w:highlight w:val="none"/>
        </w:rPr>
        <w:fldChar w:fldCharType="separate"/>
      </w:r>
      <w:r>
        <w:rPr>
          <w:highlight w:val="none"/>
        </w:rPr>
        <w:t>63</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"_Toc5875399" </w:instrText>
      </w:r>
      <w:r>
        <w:rPr>
          <w:highlight w:val="none"/>
        </w:rPr>
        <w:fldChar w:fldCharType="separate"/>
      </w:r>
      <w:r>
        <w:rPr>
          <w:rStyle w:val="52"/>
          <w:rFonts w:hint="default"/>
          <w:highlight w:val="none"/>
        </w:rPr>
        <w:t>第六章 评标程序及评标方法</w:t>
      </w:r>
      <w:r>
        <w:rPr>
          <w:highlight w:val="none"/>
        </w:rPr>
        <w:tab/>
      </w:r>
      <w:r>
        <w:rPr>
          <w:highlight w:val="none"/>
        </w:rPr>
        <w:fldChar w:fldCharType="begin"/>
      </w:r>
      <w:r>
        <w:rPr>
          <w:highlight w:val="none"/>
        </w:rPr>
        <w:instrText xml:space="preserve"> PAGEREF _Toc5875399 \h </w:instrText>
      </w:r>
      <w:r>
        <w:rPr>
          <w:highlight w:val="none"/>
        </w:rPr>
        <w:fldChar w:fldCharType="separate"/>
      </w:r>
      <w:r>
        <w:rPr>
          <w:highlight w:val="none"/>
        </w:rPr>
        <w:t>64</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"_Toc5875400" </w:instrText>
      </w:r>
      <w:r>
        <w:rPr>
          <w:highlight w:val="none"/>
        </w:rPr>
        <w:fldChar w:fldCharType="separate"/>
      </w:r>
      <w:r>
        <w:rPr>
          <w:rStyle w:val="52"/>
          <w:rFonts w:hint="default"/>
          <w:highlight w:val="none"/>
        </w:rPr>
        <w:t>第七章 定标及公示</w:t>
      </w:r>
      <w:r>
        <w:rPr>
          <w:highlight w:val="none"/>
        </w:rPr>
        <w:tab/>
      </w:r>
      <w:r>
        <w:rPr>
          <w:highlight w:val="none"/>
        </w:rPr>
        <w:fldChar w:fldCharType="begin"/>
      </w:r>
      <w:r>
        <w:rPr>
          <w:highlight w:val="none"/>
        </w:rPr>
        <w:instrText xml:space="preserve"> PAGEREF _Toc5875400 \h </w:instrText>
      </w:r>
      <w:r>
        <w:rPr>
          <w:highlight w:val="none"/>
        </w:rPr>
        <w:fldChar w:fldCharType="separate"/>
      </w:r>
      <w:r>
        <w:rPr>
          <w:highlight w:val="none"/>
        </w:rPr>
        <w:t>67</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"_Toc5875401" </w:instrText>
      </w:r>
      <w:r>
        <w:rPr>
          <w:highlight w:val="none"/>
        </w:rPr>
        <w:fldChar w:fldCharType="separate"/>
      </w:r>
      <w:r>
        <w:rPr>
          <w:rStyle w:val="52"/>
          <w:rFonts w:hint="default"/>
          <w:highlight w:val="none"/>
        </w:rPr>
        <w:t>第八章 公开招标失败的后续处理</w:t>
      </w:r>
      <w:r>
        <w:rPr>
          <w:highlight w:val="none"/>
        </w:rPr>
        <w:tab/>
      </w:r>
      <w:r>
        <w:rPr>
          <w:highlight w:val="none"/>
        </w:rPr>
        <w:fldChar w:fldCharType="begin"/>
      </w:r>
      <w:r>
        <w:rPr>
          <w:highlight w:val="none"/>
        </w:rPr>
        <w:instrText xml:space="preserve"> PAGEREF _Toc5875401 \h </w:instrText>
      </w:r>
      <w:r>
        <w:rPr>
          <w:highlight w:val="none"/>
        </w:rPr>
        <w:fldChar w:fldCharType="separate"/>
      </w:r>
      <w:r>
        <w:rPr>
          <w:highlight w:val="none"/>
        </w:rPr>
        <w:t>69</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"_Toc5875402" </w:instrText>
      </w:r>
      <w:r>
        <w:rPr>
          <w:highlight w:val="none"/>
        </w:rPr>
        <w:fldChar w:fldCharType="separate"/>
      </w:r>
      <w:r>
        <w:rPr>
          <w:rStyle w:val="52"/>
          <w:rFonts w:hint="default"/>
          <w:highlight w:val="none"/>
        </w:rPr>
        <w:t>第九章 合同的授予与备案</w:t>
      </w:r>
      <w:r>
        <w:rPr>
          <w:highlight w:val="none"/>
        </w:rPr>
        <w:tab/>
      </w:r>
      <w:r>
        <w:rPr>
          <w:highlight w:val="none"/>
        </w:rPr>
        <w:fldChar w:fldCharType="begin"/>
      </w:r>
      <w:r>
        <w:rPr>
          <w:highlight w:val="none"/>
        </w:rPr>
        <w:instrText xml:space="preserve"> PAGEREF _Toc5875402 \h </w:instrText>
      </w:r>
      <w:r>
        <w:rPr>
          <w:highlight w:val="none"/>
        </w:rPr>
        <w:fldChar w:fldCharType="separate"/>
      </w:r>
      <w:r>
        <w:rPr>
          <w:highlight w:val="none"/>
        </w:rPr>
        <w:t>71</w:t>
      </w:r>
      <w:r>
        <w:rPr>
          <w:highlight w:val="none"/>
        </w:rPr>
        <w:fldChar w:fldCharType="end"/>
      </w:r>
      <w:r>
        <w:rPr>
          <w:highlight w:val="none"/>
        </w:rPr>
        <w:fldChar w:fldCharType="end"/>
      </w:r>
    </w:p>
    <w:p>
      <w:pPr>
        <w:pStyle w:val="36"/>
        <w:ind w:left="105"/>
        <w:rPr>
          <w:rFonts w:asciiTheme="minorHAnsi" w:hAnsiTheme="minorHAnsi" w:eastAsiaTheme="minorEastAsia" w:cstheme="minorBidi"/>
          <w:smallCaps w:val="0"/>
          <w:kern w:val="2"/>
          <w:sz w:val="21"/>
          <w:szCs w:val="22"/>
          <w:highlight w:val="none"/>
        </w:rPr>
      </w:pPr>
      <w:r>
        <w:rPr>
          <w:highlight w:val="none"/>
        </w:rPr>
        <w:fldChar w:fldCharType="begin"/>
      </w:r>
      <w:r>
        <w:rPr>
          <w:highlight w:val="none"/>
        </w:rPr>
        <w:instrText xml:space="preserve"> HYPERLINK \l "_Toc5875403" </w:instrText>
      </w:r>
      <w:r>
        <w:rPr>
          <w:highlight w:val="none"/>
        </w:rPr>
        <w:fldChar w:fldCharType="separate"/>
      </w:r>
      <w:r>
        <w:rPr>
          <w:rStyle w:val="52"/>
          <w:rFonts w:hint="default"/>
          <w:highlight w:val="none"/>
        </w:rPr>
        <w:t>第十章 质疑受理</w:t>
      </w:r>
      <w:r>
        <w:rPr>
          <w:highlight w:val="none"/>
        </w:rPr>
        <w:tab/>
      </w:r>
      <w:r>
        <w:rPr>
          <w:highlight w:val="none"/>
        </w:rPr>
        <w:fldChar w:fldCharType="begin"/>
      </w:r>
      <w:r>
        <w:rPr>
          <w:highlight w:val="none"/>
        </w:rPr>
        <w:instrText xml:space="preserve"> PAGEREF _Toc5875403 \h </w:instrText>
      </w:r>
      <w:r>
        <w:rPr>
          <w:highlight w:val="none"/>
        </w:rPr>
        <w:fldChar w:fldCharType="separate"/>
      </w:r>
      <w:r>
        <w:rPr>
          <w:highlight w:val="none"/>
        </w:rPr>
        <w:t>72</w:t>
      </w:r>
      <w:r>
        <w:rPr>
          <w:highlight w:val="none"/>
        </w:rPr>
        <w:fldChar w:fldCharType="end"/>
      </w:r>
      <w:r>
        <w:rPr>
          <w:highlight w:val="none"/>
        </w:rPr>
        <w:fldChar w:fldCharType="end"/>
      </w:r>
    </w:p>
    <w:p>
      <w:pPr>
        <w:pStyle w:val="31"/>
        <w:rPr>
          <w:rFonts w:asciiTheme="minorHAnsi" w:hAnsiTheme="minorHAnsi" w:eastAsiaTheme="minorEastAsia" w:cstheme="minorBidi"/>
          <w:b w:val="0"/>
          <w:bCs w:val="0"/>
          <w:caps w:val="0"/>
          <w:kern w:val="2"/>
          <w:sz w:val="21"/>
          <w:szCs w:val="22"/>
          <w:highlight w:val="none"/>
        </w:rPr>
      </w:pPr>
      <w:r>
        <w:rPr>
          <w:highlight w:val="none"/>
        </w:rPr>
        <w:fldChar w:fldCharType="begin"/>
      </w:r>
      <w:r>
        <w:rPr>
          <w:highlight w:val="none"/>
        </w:rPr>
        <w:instrText xml:space="preserve"> HYPERLINK \l "_Toc5875404" </w:instrText>
      </w:r>
      <w:r>
        <w:rPr>
          <w:highlight w:val="none"/>
        </w:rPr>
        <w:fldChar w:fldCharType="separate"/>
      </w:r>
      <w:r>
        <w:rPr>
          <w:rStyle w:val="52"/>
          <w:rFonts w:hint="default"/>
          <w:highlight w:val="none"/>
        </w:rPr>
        <w:t>招标代理服务取费说明</w:t>
      </w:r>
      <w:r>
        <w:rPr>
          <w:highlight w:val="none"/>
        </w:rPr>
        <w:tab/>
      </w:r>
      <w:r>
        <w:rPr>
          <w:highlight w:val="none"/>
        </w:rPr>
        <w:fldChar w:fldCharType="begin"/>
      </w:r>
      <w:r>
        <w:rPr>
          <w:highlight w:val="none"/>
        </w:rPr>
        <w:instrText xml:space="preserve"> PAGEREF _Toc5875404 \h </w:instrText>
      </w:r>
      <w:r>
        <w:rPr>
          <w:highlight w:val="none"/>
        </w:rPr>
        <w:fldChar w:fldCharType="separate"/>
      </w:r>
      <w:r>
        <w:rPr>
          <w:highlight w:val="none"/>
        </w:rPr>
        <w:t>74</w:t>
      </w:r>
      <w:r>
        <w:rPr>
          <w:highlight w:val="none"/>
        </w:rPr>
        <w:fldChar w:fldCharType="end"/>
      </w:r>
      <w:r>
        <w:rPr>
          <w:highlight w:val="none"/>
        </w:rPr>
        <w:fldChar w:fldCharType="end"/>
      </w:r>
    </w:p>
    <w:p>
      <w:pPr>
        <w:tabs>
          <w:tab w:val="right" w:leader="dot" w:pos="8820"/>
          <w:tab w:val="right" w:leader="dot" w:pos="9240"/>
          <w:tab w:val="clear" w:pos="426"/>
        </w:tabs>
        <w:rPr>
          <w:highlight w:val="none"/>
        </w:rPr>
      </w:pPr>
      <w:r>
        <w:rPr>
          <w:smallCaps/>
          <w:sz w:val="28"/>
          <w:highlight w:val="none"/>
        </w:rPr>
        <w:fldChar w:fldCharType="end"/>
      </w:r>
    </w:p>
    <w:p>
      <w:pPr>
        <w:tabs>
          <w:tab w:val="clear" w:pos="426"/>
        </w:tabs>
        <w:rPr>
          <w:highlight w:val="none"/>
        </w:rPr>
        <w:sectPr>
          <w:footerReference r:id="rId3" w:type="even"/>
          <w:pgSz w:w="11906" w:h="16838"/>
          <w:pgMar w:top="1134" w:right="1700" w:bottom="1134" w:left="1418" w:header="851" w:footer="992" w:gutter="0"/>
          <w:pgNumType w:start="0"/>
          <w:cols w:space="425" w:num="1"/>
          <w:titlePg/>
          <w:docGrid w:linePitch="462" w:charSpace="0"/>
        </w:sectPr>
      </w:pPr>
    </w:p>
    <w:p>
      <w:pPr>
        <w:pStyle w:val="33"/>
        <w:tabs>
          <w:tab w:val="clear" w:pos="426"/>
        </w:tabs>
        <w:rPr>
          <w:sz w:val="30"/>
          <w:szCs w:val="30"/>
          <w:highlight w:val="none"/>
        </w:rPr>
      </w:pPr>
      <w:bookmarkStart w:id="0" w:name="_Toc5875380"/>
      <w:bookmarkStart w:id="1" w:name="_Toc432592808"/>
      <w:r>
        <w:rPr>
          <w:rFonts w:hint="eastAsia"/>
          <w:sz w:val="30"/>
          <w:szCs w:val="30"/>
          <w:highlight w:val="none"/>
        </w:rPr>
        <w:t>警示条款</w:t>
      </w:r>
      <w:bookmarkEnd w:id="0"/>
    </w:p>
    <w:p>
      <w:pPr>
        <w:ind w:firstLine="560" w:firstLineChars="200"/>
        <w:rPr>
          <w:sz w:val="28"/>
          <w:szCs w:val="28"/>
          <w:highlight w:val="none"/>
        </w:rPr>
      </w:pPr>
      <w:r>
        <w:rPr>
          <w:rFonts w:hint="eastAsia"/>
          <w:sz w:val="28"/>
          <w:szCs w:val="28"/>
          <w:highlight w:val="none"/>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pPr>
        <w:tabs>
          <w:tab w:val="clear" w:pos="426"/>
        </w:tabs>
        <w:ind w:firstLine="425" w:firstLineChars="152"/>
        <w:rPr>
          <w:sz w:val="28"/>
          <w:szCs w:val="28"/>
          <w:highlight w:val="none"/>
        </w:rPr>
      </w:pPr>
      <w:r>
        <w:rPr>
          <w:rFonts w:hint="eastAsia"/>
          <w:sz w:val="28"/>
          <w:szCs w:val="28"/>
          <w:highlight w:val="none"/>
        </w:rPr>
        <w:t>（一）在采购活动中应当回避而未回避的；</w:t>
      </w:r>
    </w:p>
    <w:p>
      <w:pPr>
        <w:tabs>
          <w:tab w:val="clear" w:pos="426"/>
        </w:tabs>
        <w:ind w:firstLine="425" w:firstLineChars="152"/>
        <w:rPr>
          <w:sz w:val="28"/>
          <w:szCs w:val="28"/>
          <w:highlight w:val="none"/>
        </w:rPr>
      </w:pPr>
      <w:r>
        <w:rPr>
          <w:rFonts w:hint="eastAsia"/>
          <w:sz w:val="28"/>
          <w:szCs w:val="28"/>
          <w:highlight w:val="none"/>
        </w:rPr>
        <w:t>（二）未按本条例规定签订、履行采购合同，造成严重后果的；</w:t>
      </w:r>
    </w:p>
    <w:p>
      <w:pPr>
        <w:tabs>
          <w:tab w:val="clear" w:pos="426"/>
        </w:tabs>
        <w:ind w:firstLine="425" w:firstLineChars="152"/>
        <w:rPr>
          <w:sz w:val="28"/>
          <w:szCs w:val="28"/>
          <w:highlight w:val="none"/>
        </w:rPr>
      </w:pPr>
      <w:r>
        <w:rPr>
          <w:rFonts w:hint="eastAsia"/>
          <w:sz w:val="28"/>
          <w:szCs w:val="28"/>
          <w:highlight w:val="none"/>
        </w:rPr>
        <w:t>（三）隐瞒真实情况，提供虚假资料的；</w:t>
      </w:r>
    </w:p>
    <w:p>
      <w:pPr>
        <w:tabs>
          <w:tab w:val="clear" w:pos="426"/>
        </w:tabs>
        <w:ind w:firstLine="425" w:firstLineChars="152"/>
        <w:rPr>
          <w:sz w:val="28"/>
          <w:szCs w:val="28"/>
          <w:highlight w:val="none"/>
        </w:rPr>
      </w:pPr>
      <w:r>
        <w:rPr>
          <w:rFonts w:hint="eastAsia"/>
          <w:sz w:val="28"/>
          <w:szCs w:val="28"/>
          <w:highlight w:val="none"/>
        </w:rPr>
        <w:t>（四）以非法手段排斥其他供应商参与竞争的；</w:t>
      </w:r>
    </w:p>
    <w:p>
      <w:pPr>
        <w:tabs>
          <w:tab w:val="clear" w:pos="426"/>
        </w:tabs>
        <w:ind w:firstLine="425" w:firstLineChars="152"/>
        <w:rPr>
          <w:sz w:val="28"/>
          <w:szCs w:val="28"/>
          <w:highlight w:val="none"/>
        </w:rPr>
      </w:pPr>
      <w:r>
        <w:rPr>
          <w:rFonts w:hint="eastAsia"/>
          <w:sz w:val="28"/>
          <w:szCs w:val="28"/>
          <w:highlight w:val="none"/>
        </w:rPr>
        <w:t>（五）与其他采购参加人串通投标的；</w:t>
      </w:r>
    </w:p>
    <w:p>
      <w:pPr>
        <w:tabs>
          <w:tab w:val="clear" w:pos="426"/>
        </w:tabs>
        <w:ind w:firstLine="425" w:firstLineChars="152"/>
        <w:rPr>
          <w:sz w:val="28"/>
          <w:szCs w:val="28"/>
          <w:highlight w:val="none"/>
        </w:rPr>
      </w:pPr>
      <w:r>
        <w:rPr>
          <w:rFonts w:hint="eastAsia"/>
          <w:sz w:val="28"/>
          <w:szCs w:val="28"/>
          <w:highlight w:val="none"/>
        </w:rPr>
        <w:t>（六）恶意投诉的；</w:t>
      </w:r>
    </w:p>
    <w:p>
      <w:pPr>
        <w:tabs>
          <w:tab w:val="clear" w:pos="426"/>
        </w:tabs>
        <w:ind w:firstLine="425" w:firstLineChars="152"/>
        <w:rPr>
          <w:sz w:val="28"/>
          <w:szCs w:val="28"/>
          <w:highlight w:val="none"/>
        </w:rPr>
      </w:pPr>
      <w:r>
        <w:rPr>
          <w:rFonts w:hint="eastAsia"/>
          <w:sz w:val="28"/>
          <w:szCs w:val="28"/>
          <w:highlight w:val="none"/>
        </w:rPr>
        <w:t>（七）向采购项目相关人行贿或者提供其他不当利益的；</w:t>
      </w:r>
    </w:p>
    <w:p>
      <w:pPr>
        <w:tabs>
          <w:tab w:val="clear" w:pos="426"/>
        </w:tabs>
        <w:ind w:firstLine="425" w:firstLineChars="152"/>
        <w:rPr>
          <w:sz w:val="28"/>
          <w:szCs w:val="28"/>
          <w:highlight w:val="none"/>
        </w:rPr>
      </w:pPr>
      <w:r>
        <w:rPr>
          <w:rFonts w:hint="eastAsia"/>
          <w:sz w:val="28"/>
          <w:szCs w:val="28"/>
          <w:highlight w:val="none"/>
        </w:rPr>
        <w:t>（八）阻碍、抗拒主管部门监督检查的；</w:t>
      </w:r>
    </w:p>
    <w:p>
      <w:pPr>
        <w:tabs>
          <w:tab w:val="clear" w:pos="426"/>
        </w:tabs>
        <w:ind w:firstLine="425" w:firstLineChars="152"/>
        <w:rPr>
          <w:sz w:val="28"/>
          <w:szCs w:val="28"/>
          <w:highlight w:val="none"/>
        </w:rPr>
      </w:pPr>
      <w:r>
        <w:rPr>
          <w:rFonts w:hint="eastAsia"/>
          <w:sz w:val="28"/>
          <w:szCs w:val="28"/>
          <w:highlight w:val="none"/>
        </w:rPr>
        <w:t>（九）其他违反本条例规定的行为。</w:t>
      </w:r>
    </w:p>
    <w:p>
      <w:pPr>
        <w:tabs>
          <w:tab w:val="clear" w:pos="426"/>
        </w:tabs>
        <w:ind w:firstLine="425" w:firstLineChars="152"/>
        <w:rPr>
          <w:sz w:val="28"/>
          <w:szCs w:val="28"/>
          <w:highlight w:val="none"/>
        </w:rPr>
      </w:pPr>
    </w:p>
    <w:p>
      <w:pPr>
        <w:tabs>
          <w:tab w:val="clear" w:pos="426"/>
        </w:tabs>
        <w:ind w:firstLine="425" w:firstLineChars="152"/>
        <w:rPr>
          <w:sz w:val="28"/>
          <w:szCs w:val="28"/>
          <w:highlight w:val="none"/>
        </w:rPr>
      </w:pPr>
    </w:p>
    <w:p>
      <w:pPr>
        <w:tabs>
          <w:tab w:val="clear" w:pos="426"/>
        </w:tabs>
        <w:ind w:firstLine="425" w:firstLineChars="152"/>
        <w:rPr>
          <w:sz w:val="28"/>
          <w:szCs w:val="28"/>
          <w:highlight w:val="none"/>
        </w:rPr>
      </w:pPr>
    </w:p>
    <w:p>
      <w:pPr>
        <w:shd w:val="clear" w:color="auto" w:fill="auto"/>
        <w:tabs>
          <w:tab w:val="clear" w:pos="426"/>
        </w:tabs>
        <w:adjustRightInd/>
        <w:snapToGrid/>
        <w:spacing w:line="240" w:lineRule="auto"/>
        <w:jc w:val="left"/>
        <w:rPr>
          <w:rFonts w:ascii="Cambria" w:hAnsi="Cambria" w:cs="Times New Roman"/>
          <w:b/>
          <w:bCs/>
          <w:kern w:val="28"/>
          <w:sz w:val="28"/>
          <w:szCs w:val="32"/>
          <w:highlight w:val="none"/>
        </w:rPr>
      </w:pPr>
      <w:r>
        <w:rPr>
          <w:rFonts w:ascii="Cambria" w:hAnsi="Cambria" w:cs="Times New Roman"/>
          <w:b/>
          <w:bCs/>
          <w:kern w:val="28"/>
          <w:sz w:val="28"/>
          <w:szCs w:val="32"/>
          <w:highlight w:val="none"/>
        </w:rPr>
        <w:br w:type="page"/>
      </w:r>
    </w:p>
    <w:p>
      <w:pPr>
        <w:shd w:val="clear" w:color="auto" w:fill="auto"/>
        <w:tabs>
          <w:tab w:val="clear" w:pos="426"/>
        </w:tabs>
        <w:adjustRightInd/>
        <w:snapToGrid/>
        <w:spacing w:line="240" w:lineRule="auto"/>
        <w:jc w:val="left"/>
        <w:rPr>
          <w:rFonts w:ascii="Cambria" w:hAnsi="Cambria" w:cs="Times New Roman"/>
          <w:b/>
          <w:bCs/>
          <w:kern w:val="28"/>
          <w:sz w:val="28"/>
          <w:szCs w:val="32"/>
          <w:highlight w:val="none"/>
        </w:rPr>
      </w:pPr>
    </w:p>
    <w:p>
      <w:pPr>
        <w:pStyle w:val="33"/>
        <w:tabs>
          <w:tab w:val="clear" w:pos="426"/>
        </w:tabs>
        <w:rPr>
          <w:highlight w:val="none"/>
        </w:rPr>
      </w:pPr>
      <w:bookmarkStart w:id="2" w:name="_Toc5875381"/>
      <w:bookmarkStart w:id="3" w:name="_Hlk4694126"/>
      <w:r>
        <w:rPr>
          <w:rFonts w:hint="eastAsia"/>
          <w:highlight w:val="none"/>
        </w:rPr>
        <w:t>项目关键信息</w:t>
      </w:r>
      <w:bookmarkEnd w:id="1"/>
      <w:bookmarkEnd w:id="2"/>
    </w:p>
    <w:bookmarkEnd w:id="3"/>
    <w:tbl>
      <w:tblPr>
        <w:tblStyle w:val="44"/>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4"/>
        <w:gridCol w:w="6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szCs w:val="21"/>
                <w:highlight w:val="none"/>
              </w:rPr>
            </w:pPr>
            <w:r>
              <w:rPr>
                <w:rFonts w:hint="eastAsia"/>
                <w:szCs w:val="21"/>
                <w:highlight w:val="none"/>
              </w:rPr>
              <w:t>项目编号</w:t>
            </w:r>
          </w:p>
        </w:tc>
        <w:tc>
          <w:tcPr>
            <w:tcW w:w="6244" w:type="dxa"/>
            <w:vAlign w:val="center"/>
          </w:tcPr>
          <w:p>
            <w:pPr>
              <w:tabs>
                <w:tab w:val="clear" w:pos="426"/>
              </w:tabs>
              <w:adjustRightInd/>
              <w:snapToGrid/>
              <w:spacing w:line="240" w:lineRule="auto"/>
              <w:rPr>
                <w:szCs w:val="21"/>
                <w:highlight w:val="none"/>
              </w:rPr>
            </w:pPr>
            <w:r>
              <w:rPr>
                <w:rFonts w:hint="eastAsia"/>
                <w:szCs w:val="21"/>
                <w:highlight w:val="none"/>
              </w:rPr>
              <w:t>SSZX2019-134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szCs w:val="21"/>
                <w:highlight w:val="none"/>
              </w:rPr>
            </w:pPr>
            <w:r>
              <w:rPr>
                <w:rFonts w:hint="eastAsia"/>
                <w:szCs w:val="21"/>
                <w:highlight w:val="none"/>
              </w:rPr>
              <w:t>项目名称</w:t>
            </w:r>
          </w:p>
        </w:tc>
        <w:tc>
          <w:tcPr>
            <w:tcW w:w="6244" w:type="dxa"/>
            <w:vAlign w:val="center"/>
          </w:tcPr>
          <w:p>
            <w:pPr>
              <w:tabs>
                <w:tab w:val="clear" w:pos="426"/>
              </w:tabs>
              <w:adjustRightInd/>
              <w:snapToGrid/>
              <w:spacing w:line="240" w:lineRule="auto"/>
              <w:rPr>
                <w:szCs w:val="21"/>
                <w:highlight w:val="none"/>
              </w:rPr>
            </w:pPr>
            <w:r>
              <w:rPr>
                <w:rFonts w:hint="eastAsia"/>
                <w:szCs w:val="21"/>
                <w:highlight w:val="none"/>
              </w:rPr>
              <w:t>同心外国语学校二期电脑室、办公设备、网络监控消防广播系统迁移采购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szCs w:val="21"/>
                <w:highlight w:val="none"/>
              </w:rPr>
            </w:pPr>
            <w:r>
              <w:rPr>
                <w:szCs w:val="21"/>
                <w:highlight w:val="none"/>
              </w:rPr>
              <w:t>项目类型</w:t>
            </w:r>
          </w:p>
        </w:tc>
        <w:tc>
          <w:tcPr>
            <w:tcW w:w="6244" w:type="dxa"/>
            <w:vAlign w:val="center"/>
          </w:tcPr>
          <w:p>
            <w:pPr>
              <w:tabs>
                <w:tab w:val="clear" w:pos="426"/>
              </w:tabs>
              <w:adjustRightInd/>
              <w:snapToGrid/>
              <w:spacing w:line="240" w:lineRule="auto"/>
              <w:rPr>
                <w:szCs w:val="21"/>
                <w:highlight w:val="none"/>
              </w:rPr>
            </w:pPr>
            <w:r>
              <w:rPr>
                <w:rFonts w:hint="eastAsia"/>
                <w:szCs w:val="21"/>
                <w:highlight w:val="none"/>
              </w:rPr>
              <w:t>货物类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szCs w:val="21"/>
                <w:highlight w:val="none"/>
              </w:rPr>
            </w:pPr>
            <w:r>
              <w:rPr>
                <w:szCs w:val="21"/>
                <w:highlight w:val="none"/>
              </w:rPr>
              <w:t>采购方式</w:t>
            </w:r>
          </w:p>
        </w:tc>
        <w:tc>
          <w:tcPr>
            <w:tcW w:w="6244" w:type="dxa"/>
            <w:vAlign w:val="center"/>
          </w:tcPr>
          <w:p>
            <w:pPr>
              <w:tabs>
                <w:tab w:val="clear" w:pos="426"/>
              </w:tabs>
              <w:adjustRightInd/>
              <w:snapToGrid/>
              <w:spacing w:line="240" w:lineRule="auto"/>
              <w:rPr>
                <w:szCs w:val="21"/>
                <w:highlight w:val="none"/>
              </w:rPr>
            </w:pPr>
            <w:r>
              <w:rPr>
                <w:rFonts w:hint="eastAsia"/>
                <w:szCs w:val="21"/>
                <w:highlight w:val="none"/>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szCs w:val="21"/>
                <w:highlight w:val="none"/>
              </w:rPr>
            </w:pPr>
            <w:r>
              <w:rPr>
                <w:szCs w:val="21"/>
                <w:highlight w:val="none"/>
              </w:rPr>
              <w:t>货币类型</w:t>
            </w:r>
          </w:p>
        </w:tc>
        <w:tc>
          <w:tcPr>
            <w:tcW w:w="6244" w:type="dxa"/>
            <w:vAlign w:val="center"/>
          </w:tcPr>
          <w:p>
            <w:pPr>
              <w:tabs>
                <w:tab w:val="clear" w:pos="426"/>
              </w:tabs>
              <w:adjustRightInd/>
              <w:snapToGrid/>
              <w:spacing w:line="240" w:lineRule="auto"/>
              <w:rPr>
                <w:szCs w:val="21"/>
                <w:highlight w:val="none"/>
              </w:rPr>
            </w:pPr>
            <w:r>
              <w:rPr>
                <w:szCs w:val="21"/>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szCs w:val="21"/>
                <w:highlight w:val="none"/>
              </w:rPr>
            </w:pPr>
            <w:r>
              <w:rPr>
                <w:rFonts w:hint="eastAsia"/>
                <w:szCs w:val="21"/>
                <w:highlight w:val="none"/>
              </w:rPr>
              <w:t>预算金额</w:t>
            </w:r>
          </w:p>
        </w:tc>
        <w:tc>
          <w:tcPr>
            <w:tcW w:w="6244" w:type="dxa"/>
            <w:vAlign w:val="center"/>
          </w:tcPr>
          <w:p>
            <w:pPr>
              <w:tabs>
                <w:tab w:val="clear" w:pos="426"/>
              </w:tabs>
              <w:adjustRightInd/>
              <w:snapToGrid/>
              <w:spacing w:line="240" w:lineRule="auto"/>
              <w:rPr>
                <w:bCs/>
                <w:szCs w:val="21"/>
                <w:highlight w:val="none"/>
              </w:rPr>
            </w:pPr>
            <w:r>
              <w:rPr>
                <w:rFonts w:hint="eastAsia" w:eastAsia="微软雅黑"/>
                <w:bCs/>
                <w:szCs w:val="21"/>
                <w:highlight w:val="none"/>
              </w:rPr>
              <w:t>¥2,450,000.00</w:t>
            </w:r>
            <w:r>
              <w:rPr>
                <w:rFonts w:hint="eastAsia"/>
                <w:bCs/>
                <w:szCs w:val="21"/>
                <w:highlight w:val="none"/>
              </w:rPr>
              <w:t>元（人民币 贰佰肆拾伍万元整）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5" w:hRule="atLeast"/>
          <w:jc w:val="center"/>
        </w:trPr>
        <w:tc>
          <w:tcPr>
            <w:tcW w:w="2284" w:type="dxa"/>
            <w:vAlign w:val="center"/>
          </w:tcPr>
          <w:p>
            <w:pPr>
              <w:tabs>
                <w:tab w:val="clear" w:pos="426"/>
              </w:tabs>
              <w:adjustRightInd/>
              <w:snapToGrid/>
              <w:spacing w:line="240" w:lineRule="auto"/>
              <w:rPr>
                <w:bCs/>
                <w:szCs w:val="21"/>
                <w:highlight w:val="none"/>
              </w:rPr>
            </w:pPr>
            <w:r>
              <w:rPr>
                <w:rFonts w:hint="eastAsia"/>
                <w:bCs/>
                <w:szCs w:val="21"/>
                <w:highlight w:val="none"/>
              </w:rPr>
              <w:t>投标保证金</w:t>
            </w:r>
          </w:p>
        </w:tc>
        <w:tc>
          <w:tcPr>
            <w:tcW w:w="6244" w:type="dxa"/>
            <w:vAlign w:val="center"/>
          </w:tcPr>
          <w:p>
            <w:pPr>
              <w:tabs>
                <w:tab w:val="clear" w:pos="426"/>
              </w:tabs>
              <w:adjustRightInd/>
              <w:snapToGrid/>
              <w:spacing w:line="240" w:lineRule="auto"/>
              <w:rPr>
                <w:snapToGrid w:val="0"/>
                <w:szCs w:val="21"/>
                <w:highlight w:val="none"/>
                <w:u w:val="single"/>
                <w:lang w:val="zh-CN"/>
              </w:rPr>
            </w:pPr>
            <w:r>
              <w:rPr>
                <w:rFonts w:hint="eastAsia"/>
                <w:szCs w:val="21"/>
                <w:highlight w:val="none"/>
              </w:rPr>
              <w:t>投标保证金为人民币</w:t>
            </w:r>
            <w:r>
              <w:rPr>
                <w:rFonts w:hint="eastAsia"/>
                <w:szCs w:val="21"/>
                <w:highlight w:val="none"/>
                <w:u w:val="single"/>
              </w:rPr>
              <w:t xml:space="preserve"> 10,000.00 </w:t>
            </w:r>
            <w:r>
              <w:rPr>
                <w:rFonts w:hint="eastAsia"/>
                <w:szCs w:val="21"/>
                <w:highlight w:val="none"/>
              </w:rPr>
              <w:t>元整；投标保证金应在投标有效期截止日后九十（90）天内保持有效。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highlight w:val="none"/>
              </w:rPr>
            </w:pPr>
            <w:r>
              <w:rPr>
                <w:rFonts w:hint="eastAsia"/>
                <w:highlight w:val="none"/>
              </w:rPr>
              <w:t>评定分离</w:t>
            </w:r>
          </w:p>
        </w:tc>
        <w:tc>
          <w:tcPr>
            <w:tcW w:w="6244" w:type="dxa"/>
            <w:vAlign w:val="center"/>
          </w:tcPr>
          <w:p>
            <w:pPr>
              <w:tabs>
                <w:tab w:val="clear" w:pos="426"/>
              </w:tabs>
              <w:adjustRightInd/>
              <w:snapToGrid/>
              <w:spacing w:line="240" w:lineRule="auto"/>
              <w:rPr>
                <w:highlight w:val="none"/>
              </w:rPr>
            </w:pPr>
            <w:r>
              <w:rPr>
                <w:rFonts w:hint="eastAsia"/>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bCs/>
                <w:color w:val="000000"/>
                <w:szCs w:val="21"/>
                <w:highlight w:val="none"/>
              </w:rPr>
            </w:pPr>
            <w:r>
              <w:rPr>
                <w:rFonts w:hint="eastAsia"/>
                <w:bCs/>
                <w:color w:val="000000"/>
                <w:szCs w:val="21"/>
                <w:highlight w:val="none"/>
              </w:rPr>
              <w:t>评标方法</w:t>
            </w:r>
          </w:p>
        </w:tc>
        <w:tc>
          <w:tcPr>
            <w:tcW w:w="6244" w:type="dxa"/>
            <w:vAlign w:val="center"/>
          </w:tcPr>
          <w:p>
            <w:pPr>
              <w:tabs>
                <w:tab w:val="clear" w:pos="426"/>
              </w:tabs>
              <w:adjustRightInd/>
              <w:snapToGrid/>
              <w:spacing w:line="240" w:lineRule="auto"/>
              <w:rPr>
                <w:color w:val="000000"/>
                <w:szCs w:val="21"/>
                <w:highlight w:val="none"/>
              </w:rPr>
            </w:pPr>
            <w:r>
              <w:rPr>
                <w:highlight w:val="none"/>
              </w:rPr>
              <w:t>■</w:t>
            </w:r>
            <w:r>
              <w:rPr>
                <w:rFonts w:hint="eastAsia"/>
                <w:color w:val="000000"/>
                <w:szCs w:val="21"/>
                <w:highlight w:val="none"/>
              </w:rPr>
              <w:t xml:space="preserve">综合评分法     </w:t>
            </w:r>
            <w:r>
              <w:rPr>
                <w:rFonts w:hint="eastAsia"/>
                <w:highlight w:val="none"/>
              </w:rPr>
              <w:t>□</w:t>
            </w:r>
            <w:r>
              <w:rPr>
                <w:rFonts w:hint="eastAsia"/>
                <w:color w:val="000000"/>
                <w:szCs w:val="21"/>
                <w:highlight w:val="none"/>
              </w:rPr>
              <w:t xml:space="preserve">定性评审法     </w:t>
            </w:r>
            <w:r>
              <w:rPr>
                <w:rFonts w:hint="eastAsia"/>
                <w:highlight w:val="none"/>
              </w:rPr>
              <w:t>□</w:t>
            </w:r>
            <w:r>
              <w:rPr>
                <w:rFonts w:hint="eastAsia"/>
                <w:color w:val="000000"/>
                <w:szCs w:val="21"/>
                <w:highlight w:val="none"/>
              </w:rPr>
              <w:t>最低价法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bCs/>
                <w:color w:val="000000"/>
                <w:szCs w:val="21"/>
                <w:highlight w:val="none"/>
              </w:rPr>
            </w:pPr>
            <w:r>
              <w:rPr>
                <w:rFonts w:hint="eastAsia"/>
                <w:bCs/>
                <w:color w:val="000000"/>
                <w:szCs w:val="21"/>
                <w:highlight w:val="none"/>
              </w:rPr>
              <w:t>定标方法</w:t>
            </w:r>
          </w:p>
        </w:tc>
        <w:tc>
          <w:tcPr>
            <w:tcW w:w="6244" w:type="dxa"/>
            <w:vAlign w:val="center"/>
          </w:tcPr>
          <w:p>
            <w:pPr>
              <w:tabs>
                <w:tab w:val="clear" w:pos="426"/>
              </w:tabs>
              <w:adjustRightInd/>
              <w:snapToGrid/>
              <w:spacing w:line="240" w:lineRule="auto"/>
              <w:rPr>
                <w:color w:val="000000"/>
                <w:szCs w:val="21"/>
                <w:highlight w:val="none"/>
              </w:rPr>
            </w:pPr>
            <w:r>
              <w:rPr>
                <w:rFonts w:hint="eastAsia"/>
                <w:highlight w:val="none"/>
              </w:rPr>
              <w:t>■</w:t>
            </w:r>
            <w:r>
              <w:rPr>
                <w:rFonts w:hint="eastAsia"/>
                <w:color w:val="000000"/>
                <w:szCs w:val="21"/>
                <w:highlight w:val="none"/>
              </w:rPr>
              <w:t xml:space="preserve">自定法         </w:t>
            </w:r>
            <w:r>
              <w:rPr>
                <w:rFonts w:hint="eastAsia"/>
                <w:highlight w:val="none"/>
              </w:rPr>
              <w:t>□</w:t>
            </w:r>
            <w:r>
              <w:rPr>
                <w:rFonts w:hint="eastAsia"/>
                <w:color w:val="000000"/>
                <w:szCs w:val="21"/>
                <w:highlight w:val="none"/>
              </w:rPr>
              <w:t xml:space="preserve">抽签法         </w:t>
            </w:r>
            <w:r>
              <w:rPr>
                <w:rFonts w:hint="eastAsia"/>
                <w:highlight w:val="none"/>
              </w:rPr>
              <w:t>□</w:t>
            </w:r>
            <w:r>
              <w:rPr>
                <w:rFonts w:hint="eastAsia"/>
                <w:color w:val="000000"/>
                <w:szCs w:val="21"/>
                <w:highlight w:val="none"/>
              </w:rPr>
              <w:t>竞价法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highlight w:val="none"/>
              </w:rPr>
            </w:pPr>
            <w:r>
              <w:rPr>
                <w:rFonts w:hint="eastAsia"/>
                <w:highlight w:val="none"/>
              </w:rPr>
              <w:t>投标人的替代方案</w:t>
            </w:r>
          </w:p>
        </w:tc>
        <w:tc>
          <w:tcPr>
            <w:tcW w:w="6244" w:type="dxa"/>
            <w:vAlign w:val="center"/>
          </w:tcPr>
          <w:p>
            <w:pPr>
              <w:tabs>
                <w:tab w:val="clear" w:pos="426"/>
              </w:tabs>
              <w:adjustRightInd/>
              <w:snapToGrid/>
              <w:spacing w:line="240" w:lineRule="auto"/>
              <w:rPr>
                <w:highlight w:val="none"/>
                <w:u w:val="single"/>
              </w:rPr>
            </w:pPr>
            <w:r>
              <w:rPr>
                <w:rFonts w:hint="eastAsia"/>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highlight w:val="none"/>
              </w:rPr>
            </w:pPr>
            <w:r>
              <w:rPr>
                <w:rFonts w:hint="eastAsia"/>
                <w:highlight w:val="none"/>
              </w:rPr>
              <w:t>投标有效期</w:t>
            </w:r>
          </w:p>
        </w:tc>
        <w:tc>
          <w:tcPr>
            <w:tcW w:w="6244" w:type="dxa"/>
            <w:vAlign w:val="center"/>
          </w:tcPr>
          <w:p>
            <w:pPr>
              <w:tabs>
                <w:tab w:val="clear" w:pos="426"/>
              </w:tabs>
              <w:adjustRightInd/>
              <w:snapToGrid/>
              <w:spacing w:line="240" w:lineRule="auto"/>
              <w:rPr>
                <w:szCs w:val="21"/>
                <w:highlight w:val="none"/>
              </w:rPr>
            </w:pPr>
            <w:r>
              <w:rPr>
                <w:rFonts w:hint="eastAsia"/>
                <w:szCs w:val="21"/>
                <w:highlight w:val="none"/>
              </w:rPr>
              <w:t>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4" w:hRule="atLeast"/>
          <w:jc w:val="center"/>
        </w:trPr>
        <w:tc>
          <w:tcPr>
            <w:tcW w:w="2284" w:type="dxa"/>
            <w:vAlign w:val="center"/>
          </w:tcPr>
          <w:p>
            <w:pPr>
              <w:tabs>
                <w:tab w:val="clear" w:pos="426"/>
              </w:tabs>
              <w:adjustRightInd/>
              <w:snapToGrid/>
              <w:spacing w:line="240" w:lineRule="auto"/>
              <w:rPr>
                <w:highlight w:val="none"/>
              </w:rPr>
            </w:pPr>
            <w:r>
              <w:rPr>
                <w:rFonts w:hint="eastAsia"/>
                <w:highlight w:val="none"/>
              </w:rPr>
              <w:t>履约担保金额</w:t>
            </w:r>
          </w:p>
        </w:tc>
        <w:tc>
          <w:tcPr>
            <w:tcW w:w="6244" w:type="dxa"/>
            <w:vAlign w:val="center"/>
          </w:tcPr>
          <w:p>
            <w:pPr>
              <w:tabs>
                <w:tab w:val="clear" w:pos="426"/>
              </w:tabs>
              <w:adjustRightInd/>
              <w:snapToGrid/>
              <w:spacing w:line="240" w:lineRule="auto"/>
              <w:rPr>
                <w:highlight w:val="none"/>
              </w:rPr>
            </w:pPr>
            <w:r>
              <w:rPr>
                <w:highlight w:val="none"/>
              </w:rPr>
              <w:t>■</w:t>
            </w:r>
            <w:r>
              <w:rPr>
                <w:rFonts w:hint="eastAsia"/>
                <w:highlight w:val="none"/>
              </w:rPr>
              <w:t>不提交□</w:t>
            </w:r>
            <w:r>
              <w:rPr>
                <w:highlight w:val="none"/>
              </w:rPr>
              <w:t>提交</w:t>
            </w:r>
          </w:p>
          <w:p>
            <w:pPr>
              <w:tabs>
                <w:tab w:val="clear" w:pos="426"/>
              </w:tabs>
              <w:adjustRightInd/>
              <w:snapToGrid/>
              <w:spacing w:line="240" w:lineRule="auto"/>
              <w:rPr>
                <w:highlight w:val="none"/>
              </w:rPr>
            </w:pPr>
            <w:r>
              <w:rPr>
                <w:rFonts w:hint="eastAsia"/>
                <w:highlight w:val="none"/>
              </w:rPr>
              <w:t>担保金额：为中标价的</w:t>
            </w:r>
            <w:r>
              <w:rPr>
                <w:rFonts w:hint="eastAsia"/>
                <w:highlight w:val="none"/>
                <w:u w:val="single"/>
              </w:rPr>
              <w:t>/</w:t>
            </w:r>
            <w:r>
              <w:rPr>
                <w:highlight w:val="none"/>
              </w:rPr>
              <w:t>% 或</w:t>
            </w:r>
            <w:r>
              <w:rPr>
                <w:highlight w:val="none"/>
                <w:u w:val="single"/>
              </w:rPr>
              <w:t xml:space="preserve"> / </w:t>
            </w:r>
            <w:r>
              <w:rPr>
                <w:highlight w:val="none"/>
              </w:rPr>
              <w:t>万元</w:t>
            </w:r>
          </w:p>
          <w:p>
            <w:pPr>
              <w:tabs>
                <w:tab w:val="clear" w:pos="426"/>
              </w:tabs>
              <w:adjustRightInd/>
              <w:snapToGrid/>
              <w:spacing w:line="240" w:lineRule="auto"/>
              <w:rPr>
                <w:highlight w:val="none"/>
              </w:rPr>
            </w:pPr>
            <w:r>
              <w:rPr>
                <w:rFonts w:hint="eastAsia"/>
                <w:highlight w:val="none"/>
              </w:rPr>
              <w:t>担保提交时间：收到中标通知书后，并在签订合同前提交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highlight w:val="none"/>
              </w:rPr>
            </w:pPr>
            <w:r>
              <w:rPr>
                <w:rFonts w:hint="eastAsia"/>
                <w:highlight w:val="none"/>
              </w:rPr>
              <w:t>投标文件份数</w:t>
            </w:r>
          </w:p>
        </w:tc>
        <w:tc>
          <w:tcPr>
            <w:tcW w:w="6244" w:type="dxa"/>
            <w:vAlign w:val="center"/>
          </w:tcPr>
          <w:p>
            <w:pPr>
              <w:tabs>
                <w:tab w:val="clear" w:pos="426"/>
              </w:tabs>
              <w:adjustRightInd/>
              <w:snapToGrid/>
              <w:spacing w:line="240" w:lineRule="auto"/>
              <w:rPr>
                <w:highlight w:val="none"/>
              </w:rPr>
            </w:pPr>
            <w:r>
              <w:rPr>
                <w:rFonts w:hint="eastAsia"/>
                <w:highlight w:val="none"/>
              </w:rPr>
              <w:t>纸质投标文件一正、四副，开标信封一份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highlight w:val="none"/>
              </w:rPr>
            </w:pPr>
            <w:r>
              <w:rPr>
                <w:rFonts w:hint="eastAsia"/>
                <w:highlight w:val="none"/>
              </w:rPr>
              <w:t>投标文件电子档</w:t>
            </w:r>
          </w:p>
        </w:tc>
        <w:tc>
          <w:tcPr>
            <w:tcW w:w="6244" w:type="dxa"/>
            <w:vAlign w:val="center"/>
          </w:tcPr>
          <w:p>
            <w:pPr>
              <w:tabs>
                <w:tab w:val="clear" w:pos="426"/>
              </w:tabs>
              <w:adjustRightInd/>
              <w:snapToGrid/>
              <w:spacing w:line="240" w:lineRule="auto"/>
              <w:rPr>
                <w:highlight w:val="none"/>
              </w:rPr>
            </w:pPr>
            <w:r>
              <w:rPr>
                <w:rFonts w:hint="eastAsia"/>
                <w:highlight w:val="none"/>
              </w:rPr>
              <w:t>电子光盘一张（投标文件正本盖章后的彩色扫描件，</w:t>
            </w:r>
            <w:r>
              <w:rPr>
                <w:highlight w:val="none"/>
              </w:rPr>
              <w:t>PDF格式）</w:t>
            </w:r>
          </w:p>
        </w:tc>
      </w:tr>
    </w:tbl>
    <w:p>
      <w:pPr>
        <w:widowControl w:val="0"/>
        <w:shd w:val="clear" w:color="auto" w:fill="auto"/>
        <w:tabs>
          <w:tab w:val="clear" w:pos="426"/>
        </w:tabs>
        <w:adjustRightInd/>
        <w:snapToGrid/>
        <w:spacing w:line="240" w:lineRule="auto"/>
        <w:jc w:val="left"/>
        <w:rPr>
          <w:rFonts w:ascii="Calibri" w:hAnsi="Calibri" w:cs="Times New Roman"/>
          <w:b/>
          <w:kern w:val="2"/>
          <w:szCs w:val="22"/>
          <w:highlight w:val="none"/>
        </w:rPr>
      </w:pPr>
    </w:p>
    <w:p>
      <w:pPr>
        <w:widowControl w:val="0"/>
        <w:shd w:val="clear" w:color="auto" w:fill="auto"/>
        <w:tabs>
          <w:tab w:val="clear" w:pos="426"/>
        </w:tabs>
        <w:adjustRightInd/>
        <w:snapToGrid/>
        <w:spacing w:line="240" w:lineRule="auto"/>
        <w:jc w:val="left"/>
        <w:rPr>
          <w:rFonts w:ascii="Calibri" w:hAnsi="Calibri" w:cs="Times New Roman"/>
          <w:b/>
          <w:kern w:val="2"/>
          <w:szCs w:val="22"/>
          <w:highlight w:val="none"/>
        </w:rPr>
      </w:pPr>
    </w:p>
    <w:p>
      <w:pPr>
        <w:widowControl w:val="0"/>
        <w:shd w:val="clear" w:color="auto" w:fill="auto"/>
        <w:tabs>
          <w:tab w:val="clear" w:pos="426"/>
        </w:tabs>
        <w:adjustRightInd/>
        <w:snapToGrid/>
        <w:spacing w:line="240" w:lineRule="auto"/>
        <w:jc w:val="left"/>
        <w:rPr>
          <w:rFonts w:ascii="Calibri" w:hAnsi="Calibri" w:cs="Times New Roman"/>
          <w:b/>
          <w:kern w:val="2"/>
          <w:szCs w:val="22"/>
          <w:highlight w:val="none"/>
        </w:rPr>
      </w:pPr>
    </w:p>
    <w:p>
      <w:pPr>
        <w:tabs>
          <w:tab w:val="clear" w:pos="426"/>
        </w:tabs>
        <w:spacing w:line="240" w:lineRule="auto"/>
        <w:ind w:firstLine="426" w:firstLineChars="202"/>
        <w:rPr>
          <w:rFonts w:ascii="Calibri" w:hAnsi="Calibri" w:cs="Times New Roman"/>
          <w:b/>
          <w:kern w:val="2"/>
          <w:szCs w:val="22"/>
          <w:highlight w:val="none"/>
        </w:rPr>
      </w:pPr>
    </w:p>
    <w:p>
      <w:pPr>
        <w:tabs>
          <w:tab w:val="clear" w:pos="426"/>
        </w:tabs>
        <w:spacing w:line="240" w:lineRule="auto"/>
        <w:ind w:firstLine="424" w:firstLineChars="202"/>
        <w:rPr>
          <w:bCs/>
          <w:color w:val="000000"/>
          <w:highlight w:val="none"/>
        </w:rPr>
      </w:pPr>
    </w:p>
    <w:p>
      <w:pPr>
        <w:tabs>
          <w:tab w:val="clear" w:pos="426"/>
        </w:tabs>
        <w:spacing w:line="240" w:lineRule="auto"/>
        <w:ind w:firstLine="424" w:firstLineChars="202"/>
        <w:rPr>
          <w:bCs/>
          <w:color w:val="000000"/>
          <w:highlight w:val="none"/>
        </w:rPr>
      </w:pPr>
    </w:p>
    <w:p>
      <w:pPr>
        <w:pStyle w:val="33"/>
        <w:tabs>
          <w:tab w:val="clear" w:pos="426"/>
        </w:tabs>
        <w:rPr>
          <w:highlight w:val="none"/>
        </w:rPr>
      </w:pPr>
      <w:r>
        <w:rPr>
          <w:highlight w:val="none"/>
        </w:rPr>
        <w:br w:type="page"/>
      </w:r>
      <w:bookmarkStart w:id="4" w:name="_Toc5875382"/>
      <w:r>
        <w:rPr>
          <w:rFonts w:hint="eastAsia"/>
          <w:highlight w:val="none"/>
        </w:rPr>
        <w:t>资格性审查表、符合性审查表</w:t>
      </w:r>
      <w:bookmarkEnd w:id="4"/>
    </w:p>
    <w:p>
      <w:pPr>
        <w:jc w:val="center"/>
        <w:rPr>
          <w:b/>
          <w:color w:val="FF0000"/>
          <w:highlight w:val="none"/>
        </w:rPr>
      </w:pPr>
      <w:r>
        <w:rPr>
          <w:rFonts w:hint="eastAsia"/>
          <w:b/>
          <w:color w:val="FF0000"/>
          <w:highlight w:val="none"/>
        </w:rPr>
        <w:t>（凡有下列情形之一的，投标文件无效，投标作无效标处理</w:t>
      </w:r>
      <w:r>
        <w:rPr>
          <w:rFonts w:hint="eastAsia" w:ascii="黑体" w:eastAsia="黑体"/>
          <w:color w:val="FF0000"/>
          <w:szCs w:val="21"/>
          <w:highlight w:val="none"/>
        </w:rPr>
        <w:t>）</w:t>
      </w:r>
    </w:p>
    <w:tbl>
      <w:tblPr>
        <w:tblStyle w:val="4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7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645" w:type="dxa"/>
            <w:vAlign w:val="center"/>
          </w:tcPr>
          <w:p>
            <w:pPr>
              <w:tabs>
                <w:tab w:val="clear" w:pos="426"/>
              </w:tabs>
              <w:adjustRightInd/>
              <w:snapToGrid/>
              <w:spacing w:line="240" w:lineRule="auto"/>
              <w:jc w:val="center"/>
              <w:rPr>
                <w:b/>
                <w:highlight w:val="none"/>
              </w:rPr>
            </w:pPr>
            <w:r>
              <w:rPr>
                <w:rFonts w:hint="eastAsia"/>
                <w:b/>
                <w:highlight w:val="none"/>
              </w:rPr>
              <w:t>序号</w:t>
            </w:r>
          </w:p>
        </w:tc>
        <w:tc>
          <w:tcPr>
            <w:tcW w:w="7883" w:type="dxa"/>
            <w:vAlign w:val="center"/>
          </w:tcPr>
          <w:p>
            <w:pPr>
              <w:tabs>
                <w:tab w:val="clear" w:pos="426"/>
              </w:tabs>
              <w:adjustRightInd/>
              <w:snapToGrid/>
              <w:spacing w:line="240" w:lineRule="auto"/>
              <w:jc w:val="center"/>
              <w:rPr>
                <w:b/>
                <w:highlight w:val="none"/>
              </w:rPr>
            </w:pPr>
            <w:r>
              <w:rPr>
                <w:rFonts w:hint="eastAsia"/>
                <w:b/>
                <w:highlight w:val="none"/>
              </w:rPr>
              <w:t>评 审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528" w:type="dxa"/>
            <w:gridSpan w:val="2"/>
            <w:vAlign w:val="center"/>
          </w:tcPr>
          <w:p>
            <w:pPr>
              <w:tabs>
                <w:tab w:val="clear" w:pos="426"/>
              </w:tabs>
              <w:adjustRightInd/>
              <w:snapToGrid/>
              <w:spacing w:line="240" w:lineRule="auto"/>
              <w:jc w:val="center"/>
              <w:rPr>
                <w:b/>
                <w:highlight w:val="none"/>
              </w:rPr>
            </w:pPr>
            <w:r>
              <w:rPr>
                <w:rFonts w:hint="eastAsia"/>
                <w:highlight w:val="none"/>
              </w:rPr>
              <w:t>资格性审查表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atLeast"/>
        </w:trPr>
        <w:tc>
          <w:tcPr>
            <w:tcW w:w="645" w:type="dxa"/>
            <w:vAlign w:val="center"/>
          </w:tcPr>
          <w:p>
            <w:pPr>
              <w:numPr>
                <w:ilvl w:val="0"/>
                <w:numId w:val="20"/>
              </w:numPr>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投标人不具备招标资质要求，或未提交相应资质证明材料；(详见采购公告“投标人资质要求”，其中未列示的资质要求不得导致废标。)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645" w:type="dxa"/>
            <w:vAlign w:val="center"/>
          </w:tcPr>
          <w:p>
            <w:pPr>
              <w:numPr>
                <w:ilvl w:val="0"/>
                <w:numId w:val="20"/>
              </w:numPr>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投标截止时间前投标人未按“投标须知前附表”的要求提交投标保证金的。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528" w:type="dxa"/>
            <w:gridSpan w:val="2"/>
            <w:vAlign w:val="center"/>
          </w:tcPr>
          <w:p>
            <w:pPr>
              <w:tabs>
                <w:tab w:val="clear" w:pos="426"/>
              </w:tabs>
              <w:adjustRightInd/>
              <w:snapToGrid/>
              <w:spacing w:line="240" w:lineRule="auto"/>
              <w:jc w:val="center"/>
              <w:rPr>
                <w:highlight w:val="none"/>
              </w:rPr>
            </w:pPr>
            <w:r>
              <w:rPr>
                <w:rFonts w:hint="eastAsia"/>
                <w:highlight w:val="none"/>
              </w:rPr>
              <w:t>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1"/>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将一个包或一个标段的内容拆开投标；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1"/>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投标文件及开标一览表未按招标文件规定密封、签字、盖章；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1"/>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对同一项目投标时，提供两套以上的投标方案（招标文件另有规定的除外）；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1"/>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未按照招标文件规定要求签署、盖章或投标文件没有法定代表人签字，或签字人没有法定代表人有效授权书的；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1"/>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未按招标文件所提供的样式填写</w:t>
            </w:r>
            <w:r>
              <w:rPr>
                <w:highlight w:val="none"/>
              </w:rPr>
              <w:t>《</w:t>
            </w:r>
            <w:r>
              <w:rPr>
                <w:rFonts w:hint="eastAsia"/>
                <w:highlight w:val="none"/>
              </w:rPr>
              <w:t>投标函》；未按招标文件所提供的《政府采购投标及履约承诺函》进行承诺；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1"/>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投标总价或分项报价高于财政预算限额（最高投标限价）；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9" w:hRule="atLeast"/>
        </w:trPr>
        <w:tc>
          <w:tcPr>
            <w:tcW w:w="645" w:type="dxa"/>
            <w:vAlign w:val="center"/>
          </w:tcPr>
          <w:p>
            <w:pPr>
              <w:widowControl w:val="0"/>
              <w:numPr>
                <w:ilvl w:val="0"/>
                <w:numId w:val="21"/>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szCs w:val="21"/>
                <w:highlight w:val="none"/>
              </w:rPr>
              <w:t>同一项目出现两个及以上报价，且按规定无法确定哪个是有效报价；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1"/>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1"/>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spacing w:line="240" w:lineRule="auto"/>
              <w:jc w:val="left"/>
              <w:rPr>
                <w:highlight w:val="none"/>
              </w:rPr>
            </w:pPr>
            <w:r>
              <w:rPr>
                <w:rFonts w:hint="eastAsia"/>
                <w:highlight w:val="none"/>
              </w:rPr>
              <w:t>投标文件载明的交货期超过招标文件规定的期限；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1"/>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spacing w:line="240" w:lineRule="auto"/>
              <w:jc w:val="left"/>
              <w:rPr>
                <w:highlight w:val="none"/>
              </w:rPr>
            </w:pPr>
            <w:r>
              <w:rPr>
                <w:rFonts w:hint="eastAsia"/>
                <w:highlight w:val="none"/>
              </w:rPr>
              <w:t>投标文件载明的免费保修期低于招标文件规定的期限；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1"/>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所投产品、工程、服务在商务、技术等方面没有实质性满足招标文件要求的；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1"/>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《技术规格偏离表》或《商务需求偏离表》填写不全、不明或不实；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1"/>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投标文件存在招标文件中规定的其它投标无效条款的；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1"/>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法律、法规规定的属于投标无效的其他情形。</w:t>
            </w:r>
          </w:p>
        </w:tc>
      </w:tr>
    </w:tbl>
    <w:p>
      <w:pPr>
        <w:pStyle w:val="33"/>
        <w:tabs>
          <w:tab w:val="clear" w:pos="426"/>
        </w:tabs>
        <w:rPr>
          <w:highlight w:val="none"/>
        </w:rPr>
        <w:sectPr>
          <w:headerReference r:id="rId5" w:type="first"/>
          <w:footerReference r:id="rId7" w:type="first"/>
          <w:headerReference r:id="rId4" w:type="default"/>
          <w:footerReference r:id="rId6" w:type="default"/>
          <w:pgSz w:w="11906" w:h="16838"/>
          <w:pgMar w:top="1440" w:right="1797" w:bottom="1440" w:left="1797" w:header="851" w:footer="992" w:gutter="0"/>
          <w:pgNumType w:start="1"/>
          <w:cols w:space="425" w:num="1"/>
          <w:titlePg/>
          <w:docGrid w:linePitch="462" w:charSpace="0"/>
        </w:sectPr>
      </w:pPr>
      <w:bookmarkStart w:id="5" w:name="_Toc5875383"/>
      <w:bookmarkStart w:id="6" w:name="_Toc435514846"/>
    </w:p>
    <w:p>
      <w:pPr>
        <w:pStyle w:val="33"/>
        <w:tabs>
          <w:tab w:val="clear" w:pos="426"/>
        </w:tabs>
        <w:rPr>
          <w:highlight w:val="none"/>
        </w:rPr>
      </w:pPr>
      <w:r>
        <w:rPr>
          <w:highlight w:val="none"/>
        </w:rPr>
        <w:t>评标信息</w:t>
      </w:r>
      <w:bookmarkEnd w:id="5"/>
    </w:p>
    <w:p>
      <w:pPr>
        <w:widowControl w:val="0"/>
        <w:shd w:val="clear" w:color="auto" w:fill="auto"/>
        <w:tabs>
          <w:tab w:val="clear" w:pos="426"/>
        </w:tabs>
        <w:adjustRightInd/>
        <w:snapToGrid/>
        <w:spacing w:line="300" w:lineRule="auto"/>
        <w:ind w:firstLine="422" w:firstLineChars="200"/>
        <w:rPr>
          <w:b/>
          <w:szCs w:val="21"/>
          <w:highlight w:val="none"/>
        </w:rPr>
      </w:pPr>
    </w:p>
    <w:p>
      <w:pPr>
        <w:widowControl w:val="0"/>
        <w:shd w:val="clear" w:color="auto" w:fill="auto"/>
        <w:tabs>
          <w:tab w:val="clear" w:pos="426"/>
        </w:tabs>
        <w:adjustRightInd/>
        <w:snapToGrid/>
        <w:spacing w:line="300" w:lineRule="auto"/>
        <w:ind w:firstLine="422" w:firstLineChars="200"/>
        <w:rPr>
          <w:b/>
          <w:szCs w:val="21"/>
          <w:highlight w:val="none"/>
        </w:rPr>
      </w:pPr>
      <w:r>
        <w:rPr>
          <w:b/>
          <w:szCs w:val="21"/>
          <w:highlight w:val="none"/>
        </w:rPr>
        <w:t>1.本项目的评审办法采用：</w:t>
      </w:r>
      <w:r>
        <w:rPr>
          <w:rFonts w:hint="eastAsia"/>
          <w:b/>
          <w:szCs w:val="21"/>
          <w:highlight w:val="none"/>
        </w:rPr>
        <w:t>评定分离</w:t>
      </w:r>
      <w:r>
        <w:rPr>
          <w:b/>
          <w:szCs w:val="21"/>
          <w:highlight w:val="none"/>
        </w:rPr>
        <w:t>。</w:t>
      </w:r>
      <w:r>
        <w:rPr>
          <w:rFonts w:hint="eastAsia"/>
          <w:b/>
          <w:szCs w:val="21"/>
          <w:highlight w:val="none"/>
        </w:rPr>
        <w:t>本招标文件所述评标方法和定标方法与招标文件《通用条款</w:t>
      </w:r>
      <w:r>
        <w:rPr>
          <w:b/>
          <w:szCs w:val="21"/>
          <w:highlight w:val="none"/>
        </w:rPr>
        <w:t>》所述不一致之处，以以下方法为准。</w:t>
      </w:r>
    </w:p>
    <w:p>
      <w:pPr>
        <w:widowControl w:val="0"/>
        <w:shd w:val="clear" w:color="auto" w:fill="auto"/>
        <w:tabs>
          <w:tab w:val="clear" w:pos="426"/>
        </w:tabs>
        <w:adjustRightInd/>
        <w:snapToGrid/>
        <w:spacing w:line="300" w:lineRule="auto"/>
        <w:ind w:firstLine="420" w:firstLineChars="200"/>
        <w:rPr>
          <w:szCs w:val="21"/>
          <w:highlight w:val="none"/>
        </w:rPr>
      </w:pPr>
      <w:r>
        <w:rPr>
          <w:rFonts w:hint="eastAsia"/>
          <w:szCs w:val="21"/>
          <w:highlight w:val="none"/>
        </w:rPr>
        <w:t>评标方法：综合评分法，定标方法：自定法</w:t>
      </w:r>
    </w:p>
    <w:p>
      <w:pPr>
        <w:widowControl w:val="0"/>
        <w:shd w:val="clear" w:color="auto" w:fill="auto"/>
        <w:tabs>
          <w:tab w:val="clear" w:pos="426"/>
        </w:tabs>
        <w:adjustRightInd/>
        <w:snapToGrid/>
        <w:spacing w:line="300" w:lineRule="auto"/>
        <w:ind w:firstLine="420" w:firstLineChars="200"/>
        <w:rPr>
          <w:szCs w:val="21"/>
          <w:highlight w:val="none"/>
        </w:rPr>
      </w:pPr>
      <w:r>
        <w:rPr>
          <w:rFonts w:hint="eastAsia"/>
          <w:szCs w:val="21"/>
          <w:highlight w:val="none"/>
        </w:rPr>
        <w:t>候选中标人数量为：</w:t>
      </w:r>
      <w:r>
        <w:rPr>
          <w:szCs w:val="21"/>
          <w:highlight w:val="none"/>
        </w:rPr>
        <w:t>3家，中标人数量为：1家。</w:t>
      </w:r>
    </w:p>
    <w:p>
      <w:pPr>
        <w:widowControl w:val="0"/>
        <w:shd w:val="clear" w:color="auto" w:fill="auto"/>
        <w:tabs>
          <w:tab w:val="clear" w:pos="426"/>
        </w:tabs>
        <w:adjustRightInd/>
        <w:snapToGrid/>
        <w:spacing w:line="300" w:lineRule="auto"/>
        <w:ind w:firstLine="420" w:firstLineChars="200"/>
        <w:rPr>
          <w:szCs w:val="21"/>
          <w:highlight w:val="none"/>
        </w:rPr>
      </w:pPr>
      <w:r>
        <w:rPr>
          <w:rFonts w:hint="eastAsia"/>
          <w:szCs w:val="21"/>
          <w:highlight w:val="none"/>
        </w:rPr>
        <w:t>评定分离，是指在政府集中采购程序中，以公开招标方式采购的，由评审委员会负责对投标文件进行评审、推荐候选中标投标人并出具书面评审报告，由采购人根据评审委员会出具的评审报告和推荐的候选中标人确定中标人。</w:t>
      </w:r>
    </w:p>
    <w:p>
      <w:pPr>
        <w:widowControl w:val="0"/>
        <w:shd w:val="clear" w:color="auto" w:fill="auto"/>
        <w:tabs>
          <w:tab w:val="clear" w:pos="426"/>
        </w:tabs>
        <w:adjustRightInd/>
        <w:snapToGrid/>
        <w:spacing w:line="300" w:lineRule="auto"/>
        <w:ind w:firstLine="420" w:firstLineChars="200"/>
        <w:rPr>
          <w:szCs w:val="21"/>
          <w:highlight w:val="none"/>
        </w:rPr>
      </w:pPr>
      <w:r>
        <w:rPr>
          <w:rFonts w:hint="eastAsia"/>
          <w:szCs w:val="21"/>
          <w:highlight w:val="none"/>
        </w:rPr>
        <w:t>综合评分法，是指投标文件满足招标文件全部实质性要求，且按照评审因素的量化指标评审总得分排名前列（本项目规定选择评审总得分排名前三名）的投标人，作为推荐的候选中标人的评标方法。</w:t>
      </w:r>
    </w:p>
    <w:p>
      <w:pPr>
        <w:widowControl w:val="0"/>
        <w:shd w:val="clear" w:color="auto" w:fill="auto"/>
        <w:tabs>
          <w:tab w:val="clear" w:pos="426"/>
        </w:tabs>
        <w:adjustRightInd/>
        <w:snapToGrid/>
        <w:spacing w:line="300" w:lineRule="auto"/>
        <w:ind w:firstLine="420" w:firstLineChars="200"/>
        <w:rPr>
          <w:szCs w:val="21"/>
          <w:highlight w:val="none"/>
        </w:rPr>
      </w:pPr>
      <w:r>
        <w:rPr>
          <w:rFonts w:hint="eastAsia"/>
          <w:szCs w:val="21"/>
          <w:highlight w:val="none"/>
        </w:rPr>
        <w:t>评标时，评标委员会各成员应当独立对每个通过资格性审查和符合性审查且报价不超过预算控制金额的投标人的投标文件进行评价，并汇总每个投标人每项评分因素的评分、评标委员会各成员对每个投标人评分的和，取算术平均值确定每个投标人的评审总得分，评审总得分排名前三名的投标人将被推荐为候选中标人，并作出评审结论</w:t>
      </w:r>
      <w:r>
        <w:rPr>
          <w:rFonts w:hint="eastAsia"/>
          <w:bCs/>
          <w:szCs w:val="21"/>
          <w:highlight w:val="none"/>
        </w:rPr>
        <w:t>。</w:t>
      </w:r>
    </w:p>
    <w:p>
      <w:pPr>
        <w:widowControl w:val="0"/>
        <w:shd w:val="clear" w:color="auto" w:fill="auto"/>
        <w:tabs>
          <w:tab w:val="clear" w:pos="426"/>
        </w:tabs>
        <w:adjustRightInd/>
        <w:snapToGrid/>
        <w:spacing w:line="300" w:lineRule="auto"/>
        <w:ind w:firstLine="420" w:firstLineChars="200"/>
        <w:rPr>
          <w:bCs/>
          <w:szCs w:val="21"/>
          <w:highlight w:val="none"/>
        </w:rPr>
      </w:pPr>
      <w:r>
        <w:rPr>
          <w:rFonts w:hint="eastAsia"/>
          <w:szCs w:val="21"/>
          <w:highlight w:val="none"/>
        </w:rPr>
        <w:t>候选中标人按评审总得分由高到低顺序排列；得分相同的，按投标报价由低到高顺序排列；得分且投标报价相同的，按技术指标或服务方案优劣顺序排列；排列前三名的投标人获得候选中标人推荐资格。得分且投标报价相同的且技术指标或服务方案优劣相同的，</w:t>
      </w:r>
      <w:r>
        <w:rPr>
          <w:rFonts w:cs="Times New Roman"/>
          <w:bCs/>
          <w:kern w:val="2"/>
          <w:szCs w:val="21"/>
          <w:highlight w:val="none"/>
        </w:rPr>
        <w:t>采取随机抽取方式确定</w:t>
      </w:r>
      <w:r>
        <w:rPr>
          <w:rFonts w:hint="eastAsia" w:cs="Times New Roman"/>
          <w:bCs/>
          <w:kern w:val="2"/>
          <w:szCs w:val="21"/>
          <w:highlight w:val="none"/>
        </w:rPr>
        <w:t>候选</w:t>
      </w:r>
      <w:r>
        <w:rPr>
          <w:rFonts w:cs="Times New Roman"/>
          <w:bCs/>
          <w:kern w:val="2"/>
          <w:szCs w:val="21"/>
          <w:highlight w:val="none"/>
        </w:rPr>
        <w:t>中标人推荐资格</w:t>
      </w:r>
      <w:r>
        <w:rPr>
          <w:rFonts w:hint="eastAsia" w:cs="Times New Roman"/>
          <w:bCs/>
          <w:kern w:val="2"/>
          <w:szCs w:val="21"/>
          <w:highlight w:val="none"/>
        </w:rPr>
        <w:t>。</w:t>
      </w:r>
    </w:p>
    <w:p>
      <w:pPr>
        <w:tabs>
          <w:tab w:val="clear" w:pos="426"/>
        </w:tabs>
        <w:spacing w:line="300" w:lineRule="auto"/>
        <w:ind w:firstLine="420" w:firstLineChars="200"/>
        <w:rPr>
          <w:highlight w:val="none"/>
        </w:rPr>
      </w:pPr>
      <w:r>
        <w:rPr>
          <w:rFonts w:hint="eastAsia"/>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widowControl w:val="0"/>
        <w:shd w:val="clear" w:color="auto" w:fill="auto"/>
        <w:tabs>
          <w:tab w:val="clear" w:pos="426"/>
        </w:tabs>
        <w:adjustRightInd/>
        <w:snapToGrid/>
        <w:spacing w:line="300" w:lineRule="auto"/>
        <w:ind w:firstLine="420" w:firstLineChars="200"/>
        <w:rPr>
          <w:szCs w:val="21"/>
          <w:highlight w:val="none"/>
        </w:rPr>
      </w:pPr>
      <w:r>
        <w:rPr>
          <w:rFonts w:hint="eastAsia"/>
          <w:szCs w:val="21"/>
          <w:highlight w:val="none"/>
        </w:rPr>
        <w:t>2</w:t>
      </w:r>
      <w:r>
        <w:rPr>
          <w:szCs w:val="21"/>
          <w:highlight w:val="none"/>
        </w:rPr>
        <w:t>.价格分计算方法：</w:t>
      </w:r>
    </w:p>
    <w:p>
      <w:pPr>
        <w:tabs>
          <w:tab w:val="clear" w:pos="426"/>
        </w:tabs>
        <w:spacing w:line="300" w:lineRule="auto"/>
        <w:ind w:firstLine="420" w:firstLineChars="200"/>
        <w:rPr>
          <w:szCs w:val="21"/>
          <w:highlight w:val="none"/>
        </w:rPr>
      </w:pPr>
      <w:r>
        <w:rPr>
          <w:rFonts w:hint="eastAsia"/>
          <w:szCs w:val="21"/>
          <w:highlight w:val="none"/>
        </w:rPr>
        <w:t>依据《</w:t>
      </w:r>
      <w:r>
        <w:rPr>
          <w:szCs w:val="21"/>
          <w:highlight w:val="none"/>
        </w:rPr>
        <w:t>深圳市财政委员会关于严格执行财政部87号令价格分计算规定的通知</w:t>
      </w:r>
      <w:r>
        <w:rPr>
          <w:rFonts w:hint="eastAsia"/>
          <w:szCs w:val="21"/>
          <w:highlight w:val="none"/>
        </w:rPr>
        <w:t>》（深财购〔</w:t>
      </w:r>
      <w:r>
        <w:rPr>
          <w:szCs w:val="21"/>
          <w:highlight w:val="none"/>
        </w:rPr>
        <w:t>2018〕33号</w:t>
      </w:r>
      <w:r>
        <w:rPr>
          <w:rFonts w:hint="eastAsia"/>
          <w:szCs w:val="21"/>
          <w:highlight w:val="none"/>
        </w:rPr>
        <w:t>）、《</w:t>
      </w:r>
      <w:r>
        <w:rPr>
          <w:szCs w:val="21"/>
          <w:highlight w:val="none"/>
        </w:rPr>
        <w:t>政府采购货物和服务招标投标管理办法</w:t>
      </w:r>
      <w:r>
        <w:rPr>
          <w:rFonts w:hint="eastAsia"/>
          <w:szCs w:val="21"/>
          <w:highlight w:val="none"/>
        </w:rPr>
        <w:t>》（财政部令第</w:t>
      </w:r>
      <w:r>
        <w:rPr>
          <w:szCs w:val="21"/>
          <w:highlight w:val="none"/>
        </w:rPr>
        <w:t>87号）</w:t>
      </w:r>
      <w:r>
        <w:rPr>
          <w:rFonts w:hint="eastAsia"/>
          <w:szCs w:val="21"/>
          <w:highlight w:val="none"/>
        </w:rPr>
        <w:t>第五十五条第六款之规定：价格分应当采用低价优先法计算，即满足招标文件要求且投标价格最低的投标报价为评标基准价，其价格分为满分。其他投标人的价格分统一按照下列公式计算：</w:t>
      </w:r>
    </w:p>
    <w:p>
      <w:pPr>
        <w:tabs>
          <w:tab w:val="clear" w:pos="426"/>
        </w:tabs>
        <w:spacing w:line="300" w:lineRule="auto"/>
        <w:ind w:firstLine="420" w:firstLineChars="200"/>
        <w:rPr>
          <w:szCs w:val="21"/>
          <w:highlight w:val="none"/>
        </w:rPr>
      </w:pPr>
      <w:r>
        <w:rPr>
          <w:rFonts w:hint="eastAsia"/>
          <w:szCs w:val="21"/>
          <w:highlight w:val="none"/>
        </w:rPr>
        <w:t>投标报价得分</w:t>
      </w:r>
      <w:r>
        <w:rPr>
          <w:szCs w:val="21"/>
          <w:highlight w:val="none"/>
        </w:rPr>
        <w:t>=(评标基准价／投标报价)×100</w:t>
      </w:r>
    </w:p>
    <w:p>
      <w:pPr>
        <w:tabs>
          <w:tab w:val="clear" w:pos="426"/>
        </w:tabs>
        <w:spacing w:line="300" w:lineRule="auto"/>
        <w:ind w:firstLine="420" w:firstLineChars="200"/>
        <w:rPr>
          <w:szCs w:val="21"/>
          <w:highlight w:val="none"/>
        </w:rPr>
      </w:pPr>
      <w:r>
        <w:rPr>
          <w:rFonts w:hint="eastAsia"/>
          <w:szCs w:val="21"/>
          <w:highlight w:val="none"/>
        </w:rPr>
        <w:t>评标总得分＝</w:t>
      </w:r>
      <w:r>
        <w:rPr>
          <w:szCs w:val="21"/>
          <w:highlight w:val="none"/>
        </w:rPr>
        <w:t>F1×A1＋F2×A2＋……＋Fn×An</w:t>
      </w:r>
    </w:p>
    <w:p>
      <w:pPr>
        <w:tabs>
          <w:tab w:val="clear" w:pos="426"/>
        </w:tabs>
        <w:spacing w:line="300" w:lineRule="auto"/>
        <w:ind w:firstLine="420" w:firstLineChars="200"/>
        <w:rPr>
          <w:szCs w:val="21"/>
          <w:highlight w:val="none"/>
        </w:rPr>
      </w:pPr>
      <w:r>
        <w:rPr>
          <w:szCs w:val="21"/>
          <w:highlight w:val="none"/>
        </w:rPr>
        <w:t>F1、F2……Fn分别为各项评审因素的得分；</w:t>
      </w:r>
    </w:p>
    <w:p>
      <w:pPr>
        <w:tabs>
          <w:tab w:val="clear" w:pos="426"/>
        </w:tabs>
        <w:spacing w:line="300" w:lineRule="auto"/>
        <w:ind w:firstLine="420" w:firstLineChars="200"/>
        <w:rPr>
          <w:szCs w:val="21"/>
          <w:highlight w:val="none"/>
        </w:rPr>
      </w:pPr>
      <w:r>
        <w:rPr>
          <w:szCs w:val="21"/>
          <w:highlight w:val="none"/>
        </w:rPr>
        <w:t>A1、A2、……An 分别为各项评审因素所占的权重(A1＋A2＋……＋An＝1)。</w:t>
      </w:r>
    </w:p>
    <w:p>
      <w:pPr>
        <w:tabs>
          <w:tab w:val="clear" w:pos="426"/>
        </w:tabs>
        <w:spacing w:line="300" w:lineRule="auto"/>
        <w:ind w:firstLine="420" w:firstLineChars="200"/>
        <w:rPr>
          <w:szCs w:val="21"/>
          <w:highlight w:val="none"/>
        </w:rPr>
      </w:pPr>
      <w:r>
        <w:rPr>
          <w:rFonts w:hint="eastAsia"/>
          <w:szCs w:val="21"/>
          <w:highlight w:val="none"/>
        </w:rPr>
        <w:t>评标过程中，不得去掉报价中的最高报价和最低报价。</w:t>
      </w:r>
    </w:p>
    <w:p>
      <w:pPr>
        <w:tabs>
          <w:tab w:val="clear" w:pos="426"/>
        </w:tabs>
        <w:spacing w:line="300" w:lineRule="auto"/>
        <w:ind w:firstLine="420" w:firstLineChars="200"/>
        <w:rPr>
          <w:szCs w:val="21"/>
          <w:highlight w:val="none"/>
        </w:rPr>
      </w:pPr>
      <w:r>
        <w:rPr>
          <w:rFonts w:hint="eastAsia"/>
          <w:szCs w:val="21"/>
          <w:highlight w:val="none"/>
        </w:rPr>
        <w:t>因落实政府采购政策进行价格调整的，以调整后的价格计算评标基准价和投标报价。</w:t>
      </w:r>
    </w:p>
    <w:p>
      <w:pPr>
        <w:tabs>
          <w:tab w:val="clear" w:pos="426"/>
        </w:tabs>
        <w:spacing w:line="300" w:lineRule="auto"/>
        <w:ind w:firstLine="420" w:firstLineChars="200"/>
        <w:rPr>
          <w:szCs w:val="21"/>
          <w:highlight w:val="none"/>
        </w:rPr>
      </w:pPr>
      <w:r>
        <w:rPr>
          <w:rFonts w:hint="eastAsia"/>
          <w:szCs w:val="21"/>
          <w:highlight w:val="none"/>
        </w:rPr>
        <w:t>在实际评标过程中，《评分细则表》中的“分值”项为各项评审因素的实际分</w:t>
      </w:r>
      <w:r>
        <w:rPr>
          <w:szCs w:val="21"/>
          <w:highlight w:val="none"/>
        </w:rPr>
        <w:t>Sn，Sn=Fn×An，评标总得分=S1＋S2＋……＋Sn，投标报价的实际分=(评标基准价／投标报价)×100×价格权重。</w:t>
      </w:r>
    </w:p>
    <w:p>
      <w:pPr>
        <w:tabs>
          <w:tab w:val="clear" w:pos="426"/>
        </w:tabs>
        <w:spacing w:line="300" w:lineRule="auto"/>
        <w:ind w:firstLine="420" w:firstLineChars="200"/>
        <w:rPr>
          <w:szCs w:val="21"/>
          <w:highlight w:val="none"/>
        </w:rPr>
      </w:pPr>
      <w:r>
        <w:rPr>
          <w:szCs w:val="21"/>
          <w:highlight w:val="none"/>
        </w:rPr>
        <w:t>3.</w:t>
      </w:r>
      <w:r>
        <w:rPr>
          <w:rFonts w:hint="eastAsia"/>
          <w:szCs w:val="21"/>
          <w:highlight w:val="none"/>
        </w:rPr>
        <w:t>评标优惠政策</w:t>
      </w:r>
    </w:p>
    <w:p>
      <w:pPr>
        <w:tabs>
          <w:tab w:val="clear" w:pos="426"/>
        </w:tabs>
        <w:spacing w:line="300" w:lineRule="auto"/>
        <w:ind w:firstLine="420" w:firstLineChars="200"/>
        <w:rPr>
          <w:szCs w:val="21"/>
          <w:highlight w:val="none"/>
        </w:rPr>
      </w:pPr>
      <w:r>
        <w:rPr>
          <w:szCs w:val="21"/>
          <w:highlight w:val="none"/>
        </w:rPr>
        <w:t>3.1.根据《政府采购促进中小企业发展暂行办法》（财库[2011]181号）、《财政部 司法部关于政府采购支持监狱企业发展有关问题的通知》（财库〔2014〕68号）和《三部门联合发布关于促进残疾人就业政府采购政策的通知》（财库〔2017〕141号）的规定，对满足价格扣除条件且在投标文件中提交了</w:t>
      </w:r>
      <w:bookmarkStart w:id="7" w:name="_Hlk4679707"/>
      <w:r>
        <w:rPr>
          <w:szCs w:val="21"/>
          <w:highlight w:val="none"/>
        </w:rPr>
        <w:t>《投标人企业类型声明函》《残疾人福利性单位声明函》或省级以上监狱管理局、戒毒管理局（含新疆生产建设兵团）出具的属于监狱企业的证明文件</w:t>
      </w:r>
      <w:bookmarkEnd w:id="7"/>
      <w:r>
        <w:rPr>
          <w:szCs w:val="21"/>
          <w:highlight w:val="none"/>
        </w:rPr>
        <w:t>的投标人，其投标报价扣除</w:t>
      </w:r>
      <w:r>
        <w:rPr>
          <w:szCs w:val="21"/>
          <w:highlight w:val="none"/>
          <w:u w:val="single"/>
        </w:rPr>
        <w:t xml:space="preserve"> 6 </w:t>
      </w:r>
      <w:r>
        <w:rPr>
          <w:szCs w:val="21"/>
          <w:highlight w:val="none"/>
        </w:rPr>
        <w:t>%后参与评审。对于同时属于小微企业、监狱企业或残疾人福利性</w:t>
      </w:r>
      <w:r>
        <w:rPr>
          <w:rFonts w:hint="eastAsia"/>
          <w:szCs w:val="21"/>
          <w:highlight w:val="none"/>
        </w:rPr>
        <w:t>单位的，不重复进行投标报价扣除。如有其它政策支持因素（如鼓励创新等）需一并列出。</w:t>
      </w:r>
    </w:p>
    <w:p>
      <w:pPr>
        <w:tabs>
          <w:tab w:val="clear" w:pos="426"/>
        </w:tabs>
        <w:spacing w:line="300" w:lineRule="auto"/>
        <w:ind w:firstLine="420" w:firstLineChars="200"/>
        <w:rPr>
          <w:szCs w:val="21"/>
          <w:highlight w:val="none"/>
        </w:rPr>
      </w:pPr>
      <w:bookmarkStart w:id="8" w:name="_Hlk4679184"/>
      <w:r>
        <w:rPr>
          <w:szCs w:val="21"/>
          <w:highlight w:val="none"/>
        </w:rPr>
        <w:t>3.2.联合协议中约定，小型、微型企业、残疾人福利性单位和监狱企业的协议合同金额占到联合体协议合同总金额30%以上的，可给予联合体</w:t>
      </w:r>
      <w:r>
        <w:rPr>
          <w:szCs w:val="21"/>
          <w:highlight w:val="none"/>
          <w:u w:val="single"/>
        </w:rPr>
        <w:t xml:space="preserve"> 2 </w:t>
      </w:r>
      <w:r>
        <w:rPr>
          <w:szCs w:val="21"/>
          <w:highlight w:val="none"/>
        </w:rPr>
        <w:t>% （请在2%-3%范围内选择）的价格扣除。</w:t>
      </w:r>
    </w:p>
    <w:p>
      <w:pPr>
        <w:tabs>
          <w:tab w:val="clear" w:pos="426"/>
        </w:tabs>
        <w:spacing w:line="300" w:lineRule="auto"/>
        <w:ind w:firstLine="420" w:firstLineChars="200"/>
        <w:rPr>
          <w:szCs w:val="21"/>
          <w:highlight w:val="none"/>
        </w:rPr>
      </w:pPr>
      <w:r>
        <w:rPr>
          <w:rFonts w:hint="eastAsia"/>
          <w:szCs w:val="21"/>
          <w:highlight w:val="none"/>
        </w:rPr>
        <w:t>联合体各方均为小型、微型企业和监狱企业的，联合体视同为小型、微型企业和监狱企业，均享受</w:t>
      </w:r>
      <w:r>
        <w:rPr>
          <w:rFonts w:hint="eastAsia"/>
          <w:b/>
          <w:color w:val="FF0000"/>
          <w:szCs w:val="21"/>
          <w:highlight w:val="none"/>
        </w:rPr>
        <w:t>评标优惠政策</w:t>
      </w:r>
      <w:r>
        <w:rPr>
          <w:rFonts w:hint="eastAsia"/>
          <w:szCs w:val="21"/>
          <w:highlight w:val="none"/>
        </w:rPr>
        <w:t>第一款的优惠政策。</w:t>
      </w:r>
      <w:bookmarkEnd w:id="8"/>
    </w:p>
    <w:p>
      <w:pPr>
        <w:tabs>
          <w:tab w:val="clear" w:pos="426"/>
        </w:tabs>
        <w:spacing w:line="300" w:lineRule="auto"/>
        <w:ind w:firstLine="420" w:firstLineChars="200"/>
        <w:rPr>
          <w:szCs w:val="21"/>
          <w:highlight w:val="none"/>
        </w:rPr>
      </w:pPr>
      <w:r>
        <w:rPr>
          <w:szCs w:val="21"/>
          <w:highlight w:val="none"/>
        </w:rPr>
        <w:t>4.评标专家应对通过投标文件初审进入评标程序的投标文件先评技术标、再评商务标；</w:t>
      </w:r>
    </w:p>
    <w:p>
      <w:pPr>
        <w:tabs>
          <w:tab w:val="clear" w:pos="426"/>
        </w:tabs>
        <w:spacing w:line="300" w:lineRule="auto"/>
        <w:ind w:firstLine="420" w:firstLineChars="200"/>
        <w:rPr>
          <w:szCs w:val="21"/>
          <w:highlight w:val="none"/>
        </w:rPr>
      </w:pPr>
      <w:r>
        <w:rPr>
          <w:szCs w:val="21"/>
          <w:highlight w:val="none"/>
        </w:rPr>
        <w:t>5.评标专家需按招标文件规定的评审标准对投标人提交的投标文件进行评审，投标文件中与评审标准无关的内容不作为评审内容</w:t>
      </w:r>
      <w:r>
        <w:rPr>
          <w:rFonts w:hint="eastAsia"/>
          <w:szCs w:val="21"/>
          <w:highlight w:val="none"/>
        </w:rPr>
        <w:t>。</w:t>
      </w:r>
    </w:p>
    <w:p>
      <w:pPr>
        <w:widowControl w:val="0"/>
        <w:shd w:val="clear" w:color="auto" w:fill="auto"/>
        <w:tabs>
          <w:tab w:val="clear" w:pos="426"/>
        </w:tabs>
        <w:adjustRightInd/>
        <w:snapToGrid/>
        <w:ind w:left="420"/>
        <w:rPr>
          <w:szCs w:val="21"/>
          <w:highlight w:val="none"/>
        </w:rPr>
      </w:pPr>
      <w:r>
        <w:rPr>
          <w:szCs w:val="21"/>
          <w:highlight w:val="none"/>
        </w:rPr>
        <w:t>6.</w:t>
      </w:r>
      <w:r>
        <w:rPr>
          <w:rFonts w:hint="eastAsia"/>
          <w:szCs w:val="21"/>
          <w:highlight w:val="none"/>
        </w:rPr>
        <w:t>评标委员会在评标时，应按照以下量化的评审因素，对各投标文件进行分析和比较：</w:t>
      </w:r>
    </w:p>
    <w:bookmarkEnd w:id="6"/>
    <w:p>
      <w:pPr>
        <w:pStyle w:val="33"/>
        <w:widowControl w:val="0"/>
        <w:shd w:val="clear" w:color="auto" w:fill="auto"/>
        <w:tabs>
          <w:tab w:val="clear" w:pos="426"/>
        </w:tabs>
        <w:adjustRightInd/>
        <w:snapToGrid/>
        <w:outlineLvl w:val="9"/>
        <w:rPr>
          <w:rFonts w:ascii="宋体" w:hAnsi="宋体"/>
          <w:bCs w:val="0"/>
          <w:sz w:val="24"/>
          <w:szCs w:val="24"/>
          <w:highlight w:val="none"/>
        </w:rPr>
      </w:pPr>
      <w:r>
        <w:rPr>
          <w:rFonts w:hint="eastAsia" w:ascii="宋体" w:hAnsi="宋体"/>
          <w:bCs w:val="0"/>
          <w:sz w:val="24"/>
          <w:szCs w:val="24"/>
          <w:highlight w:val="none"/>
        </w:rPr>
        <w:t>评分细则表</w:t>
      </w:r>
    </w:p>
    <w:tbl>
      <w:tblPr>
        <w:tblStyle w:val="44"/>
        <w:tblW w:w="880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04"/>
        <w:gridCol w:w="1222"/>
        <w:gridCol w:w="588"/>
        <w:gridCol w:w="5186"/>
        <w:gridCol w:w="120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3" w:hRule="atLeast"/>
          <w:jc w:val="center"/>
        </w:trPr>
        <w:tc>
          <w:tcPr>
            <w:tcW w:w="7600" w:type="dxa"/>
            <w:gridSpan w:val="4"/>
            <w:noWrap/>
            <w:vAlign w:val="center"/>
          </w:tcPr>
          <w:p>
            <w:pPr>
              <w:autoSpaceDE w:val="0"/>
              <w:autoSpaceDN w:val="0"/>
              <w:jc w:val="center"/>
              <w:rPr>
                <w:b/>
                <w:sz w:val="22"/>
                <w:szCs w:val="22"/>
                <w:highlight w:val="none"/>
                <w:lang w:val="zh-CN"/>
              </w:rPr>
            </w:pPr>
            <w:bookmarkStart w:id="9" w:name="bt说明"/>
            <w:bookmarkEnd w:id="9"/>
            <w:bookmarkStart w:id="10" w:name="bt投标人须知"/>
            <w:bookmarkEnd w:id="10"/>
            <w:bookmarkStart w:id="11" w:name="bt其他资料2"/>
            <w:bookmarkEnd w:id="11"/>
            <w:bookmarkStart w:id="12" w:name="bt技术标投标文件格式"/>
            <w:bookmarkEnd w:id="12"/>
            <w:bookmarkStart w:id="13" w:name="bt合同条款"/>
            <w:bookmarkEnd w:id="13"/>
            <w:bookmarkStart w:id="14" w:name="bt合同条款及格式"/>
            <w:bookmarkEnd w:id="14"/>
            <w:bookmarkStart w:id="15" w:name="合同格式"/>
            <w:bookmarkEnd w:id="15"/>
            <w:bookmarkStart w:id="16" w:name="bt本工程承诺书"/>
            <w:bookmarkEnd w:id="16"/>
            <w:bookmarkStart w:id="17" w:name="bt商务标投标文件格式"/>
            <w:bookmarkEnd w:id="17"/>
            <w:bookmarkStart w:id="18" w:name="bt投标人情况介绍"/>
            <w:bookmarkEnd w:id="18"/>
            <w:bookmarkStart w:id="19" w:name="bt投标函"/>
            <w:bookmarkEnd w:id="19"/>
            <w:bookmarkStart w:id="20" w:name="bt投标报价汇总表"/>
            <w:bookmarkEnd w:id="20"/>
            <w:bookmarkStart w:id="21" w:name="bt其他资料由投标人自定"/>
            <w:bookmarkEnd w:id="21"/>
            <w:bookmarkStart w:id="22" w:name="bt项目管理班子配备情况"/>
            <w:bookmarkEnd w:id="22"/>
            <w:bookmarkStart w:id="23" w:name="bt开标一览表"/>
            <w:bookmarkEnd w:id="23"/>
            <w:bookmarkStart w:id="24" w:name="bt投标文件签署授权委托书"/>
            <w:bookmarkEnd w:id="24"/>
            <w:bookmarkStart w:id="25" w:name="bt合同格式"/>
            <w:bookmarkEnd w:id="25"/>
            <w:bookmarkStart w:id="26" w:name="_Toc432592812"/>
            <w:r>
              <w:rPr>
                <w:rFonts w:hint="eastAsia"/>
                <w:b/>
                <w:sz w:val="22"/>
                <w:szCs w:val="22"/>
                <w:highlight w:val="none"/>
                <w:lang w:val="zh-CN"/>
              </w:rPr>
              <w:t>评分项及评分规则</w:t>
            </w:r>
          </w:p>
        </w:tc>
        <w:tc>
          <w:tcPr>
            <w:tcW w:w="1207" w:type="dxa"/>
            <w:noWrap/>
            <w:vAlign w:val="center"/>
          </w:tcPr>
          <w:p>
            <w:pPr>
              <w:autoSpaceDE w:val="0"/>
              <w:autoSpaceDN w:val="0"/>
              <w:jc w:val="center"/>
              <w:rPr>
                <w:b/>
                <w:sz w:val="22"/>
                <w:szCs w:val="22"/>
                <w:highlight w:val="none"/>
                <w:lang w:val="zh-CN"/>
              </w:rPr>
            </w:pPr>
            <w:r>
              <w:rPr>
                <w:rFonts w:hint="eastAsia"/>
                <w:b/>
                <w:sz w:val="22"/>
                <w:szCs w:val="22"/>
                <w:highlight w:val="none"/>
                <w:lang w:val="zh-CN"/>
              </w:rPr>
              <w:t>权重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28" w:hRule="atLeast"/>
          <w:jc w:val="center"/>
        </w:trPr>
        <w:tc>
          <w:tcPr>
            <w:tcW w:w="7600" w:type="dxa"/>
            <w:gridSpan w:val="4"/>
            <w:noWrap/>
            <w:vAlign w:val="center"/>
          </w:tcPr>
          <w:p>
            <w:pPr>
              <w:autoSpaceDE w:val="0"/>
              <w:autoSpaceDN w:val="0"/>
              <w:jc w:val="center"/>
              <w:rPr>
                <w:b/>
                <w:sz w:val="22"/>
                <w:szCs w:val="22"/>
                <w:highlight w:val="none"/>
                <w:lang w:val="zh-CN"/>
              </w:rPr>
            </w:pPr>
            <w:r>
              <w:rPr>
                <w:rFonts w:hint="eastAsia"/>
                <w:b/>
                <w:sz w:val="22"/>
                <w:szCs w:val="22"/>
                <w:highlight w:val="none"/>
                <w:lang w:val="zh-CN"/>
              </w:rPr>
              <w:t>一、价格部分</w:t>
            </w:r>
          </w:p>
        </w:tc>
        <w:tc>
          <w:tcPr>
            <w:tcW w:w="1207" w:type="dxa"/>
            <w:noWrap/>
            <w:vAlign w:val="center"/>
          </w:tcPr>
          <w:p>
            <w:pPr>
              <w:autoSpaceDE w:val="0"/>
              <w:autoSpaceDN w:val="0"/>
              <w:jc w:val="center"/>
              <w:rPr>
                <w:sz w:val="22"/>
                <w:szCs w:val="22"/>
                <w:highlight w:val="none"/>
              </w:rPr>
            </w:pPr>
            <w:r>
              <w:rPr>
                <w:rFonts w:hint="eastAsia"/>
                <w:sz w:val="22"/>
                <w:szCs w:val="22"/>
                <w:highlight w:val="none"/>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9" w:hRule="atLeast"/>
          <w:jc w:val="center"/>
        </w:trPr>
        <w:tc>
          <w:tcPr>
            <w:tcW w:w="7600" w:type="dxa"/>
            <w:gridSpan w:val="4"/>
            <w:noWrap/>
            <w:vAlign w:val="center"/>
          </w:tcPr>
          <w:p>
            <w:pPr>
              <w:autoSpaceDE w:val="0"/>
              <w:autoSpaceDN w:val="0"/>
              <w:jc w:val="center"/>
              <w:rPr>
                <w:b/>
                <w:sz w:val="22"/>
                <w:szCs w:val="22"/>
                <w:highlight w:val="none"/>
              </w:rPr>
            </w:pPr>
            <w:r>
              <w:rPr>
                <w:rFonts w:hint="eastAsia"/>
                <w:b/>
                <w:sz w:val="22"/>
                <w:szCs w:val="22"/>
                <w:highlight w:val="none"/>
                <w:lang w:val="zh-CN"/>
              </w:rPr>
              <w:t>二、商务部分</w:t>
            </w:r>
          </w:p>
        </w:tc>
        <w:tc>
          <w:tcPr>
            <w:tcW w:w="1207" w:type="dxa"/>
            <w:noWrap/>
            <w:vAlign w:val="center"/>
          </w:tcPr>
          <w:p>
            <w:pPr>
              <w:autoSpaceDE w:val="0"/>
              <w:autoSpaceDN w:val="0"/>
              <w:jc w:val="center"/>
              <w:rPr>
                <w:sz w:val="22"/>
                <w:szCs w:val="22"/>
                <w:highlight w:val="none"/>
              </w:rPr>
            </w:pPr>
            <w:r>
              <w:rPr>
                <w:rFonts w:hint="eastAsia"/>
                <w:sz w:val="22"/>
                <w:szCs w:val="22"/>
                <w:highlight w:val="none"/>
              </w:rPr>
              <w:t>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604" w:type="dxa"/>
            <w:noWrap/>
            <w:vAlign w:val="center"/>
          </w:tcPr>
          <w:p>
            <w:pPr>
              <w:autoSpaceDE w:val="0"/>
              <w:autoSpaceDN w:val="0"/>
              <w:jc w:val="center"/>
              <w:rPr>
                <w:b/>
                <w:sz w:val="22"/>
                <w:szCs w:val="22"/>
                <w:highlight w:val="none"/>
              </w:rPr>
            </w:pPr>
            <w:r>
              <w:rPr>
                <w:rFonts w:hint="eastAsia"/>
                <w:b/>
                <w:sz w:val="22"/>
                <w:szCs w:val="22"/>
                <w:highlight w:val="none"/>
                <w:lang w:val="zh-CN"/>
              </w:rPr>
              <w:t>序号</w:t>
            </w:r>
          </w:p>
        </w:tc>
        <w:tc>
          <w:tcPr>
            <w:tcW w:w="1222" w:type="dxa"/>
            <w:noWrap/>
            <w:vAlign w:val="center"/>
          </w:tcPr>
          <w:p>
            <w:pPr>
              <w:autoSpaceDE w:val="0"/>
              <w:autoSpaceDN w:val="0"/>
              <w:jc w:val="center"/>
              <w:rPr>
                <w:b/>
                <w:sz w:val="22"/>
                <w:szCs w:val="22"/>
                <w:highlight w:val="none"/>
              </w:rPr>
            </w:pPr>
            <w:r>
              <w:rPr>
                <w:rFonts w:hint="eastAsia"/>
                <w:b/>
                <w:sz w:val="22"/>
                <w:szCs w:val="22"/>
                <w:highlight w:val="none"/>
                <w:lang w:val="zh-CN"/>
              </w:rPr>
              <w:t>内容</w:t>
            </w:r>
          </w:p>
        </w:tc>
        <w:tc>
          <w:tcPr>
            <w:tcW w:w="588" w:type="dxa"/>
            <w:noWrap/>
            <w:vAlign w:val="center"/>
          </w:tcPr>
          <w:p>
            <w:pPr>
              <w:autoSpaceDE w:val="0"/>
              <w:autoSpaceDN w:val="0"/>
              <w:jc w:val="center"/>
              <w:rPr>
                <w:b/>
                <w:sz w:val="22"/>
                <w:szCs w:val="22"/>
                <w:highlight w:val="none"/>
              </w:rPr>
            </w:pPr>
            <w:r>
              <w:rPr>
                <w:rFonts w:hint="eastAsia"/>
                <w:b/>
                <w:sz w:val="22"/>
                <w:szCs w:val="22"/>
                <w:highlight w:val="none"/>
                <w:lang w:val="zh-CN"/>
              </w:rPr>
              <w:t>权重</w:t>
            </w:r>
          </w:p>
        </w:tc>
        <w:tc>
          <w:tcPr>
            <w:tcW w:w="5186" w:type="dxa"/>
            <w:noWrap/>
            <w:vAlign w:val="center"/>
          </w:tcPr>
          <w:p>
            <w:pPr>
              <w:autoSpaceDE w:val="0"/>
              <w:autoSpaceDN w:val="0"/>
              <w:jc w:val="center"/>
              <w:rPr>
                <w:b/>
                <w:sz w:val="22"/>
                <w:szCs w:val="22"/>
                <w:highlight w:val="none"/>
              </w:rPr>
            </w:pPr>
            <w:r>
              <w:rPr>
                <w:rFonts w:hint="eastAsia"/>
                <w:b/>
                <w:sz w:val="22"/>
                <w:szCs w:val="22"/>
                <w:highlight w:val="none"/>
                <w:lang w:val="zh-CN"/>
              </w:rPr>
              <w:t>评分规则</w:t>
            </w:r>
          </w:p>
        </w:tc>
        <w:tc>
          <w:tcPr>
            <w:tcW w:w="1207" w:type="dxa"/>
            <w:noWrap/>
            <w:vAlign w:val="center"/>
          </w:tcPr>
          <w:p>
            <w:pPr>
              <w:autoSpaceDE w:val="0"/>
              <w:autoSpaceDN w:val="0"/>
              <w:jc w:val="center"/>
              <w:rPr>
                <w:b/>
                <w:sz w:val="22"/>
                <w:szCs w:val="22"/>
                <w:highlight w:val="none"/>
              </w:rPr>
            </w:pPr>
            <w:r>
              <w:rPr>
                <w:rFonts w:hint="eastAsia"/>
                <w:b/>
                <w:sz w:val="22"/>
                <w:szCs w:val="22"/>
                <w:highlight w:val="none"/>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604" w:type="dxa"/>
            <w:noWrap/>
            <w:vAlign w:val="center"/>
          </w:tcPr>
          <w:p>
            <w:pPr>
              <w:autoSpaceDE w:val="0"/>
              <w:autoSpaceDN w:val="0"/>
              <w:jc w:val="center"/>
              <w:rPr>
                <w:szCs w:val="21"/>
                <w:highlight w:val="none"/>
                <w:lang w:val="zh-CN"/>
              </w:rPr>
            </w:pPr>
            <w:r>
              <w:rPr>
                <w:rFonts w:hint="eastAsia"/>
                <w:szCs w:val="21"/>
                <w:highlight w:val="none"/>
                <w:lang w:val="zh-CN"/>
              </w:rPr>
              <w:t>2</w:t>
            </w:r>
          </w:p>
        </w:tc>
        <w:tc>
          <w:tcPr>
            <w:tcW w:w="1222" w:type="dxa"/>
            <w:noWrap/>
            <w:vAlign w:val="center"/>
          </w:tcPr>
          <w:p>
            <w:pPr>
              <w:spacing w:line="400" w:lineRule="atLeast"/>
              <w:jc w:val="left"/>
              <w:rPr>
                <w:szCs w:val="21"/>
                <w:highlight w:val="none"/>
              </w:rPr>
            </w:pPr>
            <w:r>
              <w:rPr>
                <w:rFonts w:hint="eastAsia"/>
                <w:szCs w:val="21"/>
                <w:highlight w:val="none"/>
              </w:rPr>
              <w:t>产品授权或代理商情况</w:t>
            </w:r>
          </w:p>
        </w:tc>
        <w:tc>
          <w:tcPr>
            <w:tcW w:w="588" w:type="dxa"/>
            <w:noWrap/>
            <w:vAlign w:val="center"/>
          </w:tcPr>
          <w:p>
            <w:pPr>
              <w:autoSpaceDE w:val="0"/>
              <w:autoSpaceDN w:val="0"/>
              <w:jc w:val="center"/>
              <w:rPr>
                <w:szCs w:val="21"/>
                <w:highlight w:val="none"/>
                <w:lang w:val="zh-CN"/>
              </w:rPr>
            </w:pPr>
            <w:r>
              <w:rPr>
                <w:rFonts w:hint="eastAsia"/>
                <w:szCs w:val="21"/>
                <w:highlight w:val="none"/>
                <w:lang w:val="zh-CN"/>
              </w:rPr>
              <w:t>3</w:t>
            </w:r>
          </w:p>
        </w:tc>
        <w:tc>
          <w:tcPr>
            <w:tcW w:w="5186" w:type="dxa"/>
            <w:noWrap/>
            <w:vAlign w:val="center"/>
          </w:tcPr>
          <w:p>
            <w:pPr>
              <w:spacing w:line="300" w:lineRule="exact"/>
              <w:rPr>
                <w:b/>
                <w:szCs w:val="21"/>
                <w:highlight w:val="none"/>
              </w:rPr>
            </w:pPr>
            <w:r>
              <w:rPr>
                <w:rFonts w:hint="eastAsia"/>
                <w:b/>
                <w:szCs w:val="21"/>
                <w:highlight w:val="none"/>
              </w:rPr>
              <w:t>1、评审标准：</w:t>
            </w:r>
          </w:p>
          <w:p>
            <w:pPr>
              <w:spacing w:line="300" w:lineRule="exact"/>
              <w:rPr>
                <w:szCs w:val="21"/>
                <w:highlight w:val="none"/>
              </w:rPr>
            </w:pPr>
            <w:r>
              <w:rPr>
                <w:rFonts w:hint="eastAsia"/>
                <w:szCs w:val="21"/>
                <w:highlight w:val="none"/>
              </w:rPr>
              <w:t>提供所投产品</w:t>
            </w:r>
            <w:r>
              <w:rPr>
                <w:rFonts w:hint="eastAsia"/>
                <w:b/>
                <w:szCs w:val="21"/>
                <w:highlight w:val="none"/>
                <w:u w:val="single"/>
              </w:rPr>
              <w:t>学生电脑、移动授课系统、速印机</w:t>
            </w:r>
            <w:r>
              <w:rPr>
                <w:rFonts w:hint="eastAsia"/>
                <w:szCs w:val="21"/>
                <w:highlight w:val="none"/>
              </w:rPr>
              <w:t>制造商或合法代理商及合法授权商的，每提供一项授权或代理证书得1分，提供二项得2分，提供三项得3分，未提供或无不得分。</w:t>
            </w:r>
          </w:p>
          <w:p>
            <w:pPr>
              <w:spacing w:line="300" w:lineRule="exact"/>
              <w:rPr>
                <w:b/>
                <w:szCs w:val="21"/>
                <w:highlight w:val="none"/>
              </w:rPr>
            </w:pPr>
            <w:r>
              <w:rPr>
                <w:rFonts w:hint="eastAsia"/>
                <w:b/>
                <w:szCs w:val="21"/>
                <w:highlight w:val="none"/>
              </w:rPr>
              <w:t>2、证明文件：</w:t>
            </w:r>
          </w:p>
          <w:p>
            <w:pPr>
              <w:jc w:val="left"/>
              <w:rPr>
                <w:szCs w:val="21"/>
                <w:highlight w:val="none"/>
              </w:rPr>
            </w:pPr>
            <w:r>
              <w:rPr>
                <w:rFonts w:hint="eastAsia"/>
                <w:szCs w:val="21"/>
                <w:highlight w:val="none"/>
              </w:rPr>
              <w:t>1）投标人若为制造商，须提供制造商声明复印件加盖投标人公章（原件备查）；投标人若为代理商，须提供有效的代理经销商证明文件复印件加盖投标人公章（原件备查）；投标人若为授权商，须提供有效的授权证明文件复印件加盖投标人公章（原件备查）；</w:t>
            </w:r>
          </w:p>
          <w:p>
            <w:pPr>
              <w:jc w:val="left"/>
              <w:rPr>
                <w:szCs w:val="21"/>
                <w:highlight w:val="none"/>
              </w:rPr>
            </w:pPr>
            <w:r>
              <w:rPr>
                <w:rFonts w:hint="eastAsia"/>
                <w:szCs w:val="21"/>
                <w:highlight w:val="none"/>
              </w:rPr>
              <w:t>2）不满足或未提供有效证明文件，不得分</w:t>
            </w:r>
          </w:p>
        </w:tc>
        <w:tc>
          <w:tcPr>
            <w:tcW w:w="1207" w:type="dxa"/>
            <w:noWrap/>
            <w:vAlign w:val="center"/>
          </w:tcPr>
          <w:p>
            <w:pPr>
              <w:autoSpaceDE w:val="0"/>
              <w:autoSpaceDN w:val="0"/>
              <w:jc w:val="center"/>
              <w:rPr>
                <w:szCs w:val="21"/>
                <w:highlight w:val="none"/>
                <w:lang w:val="zh-CN"/>
              </w:rPr>
            </w:pPr>
            <w:r>
              <w:rPr>
                <w:rFonts w:hint="eastAsia"/>
                <w:szCs w:val="21"/>
                <w:highlight w:val="none"/>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604" w:type="dxa"/>
            <w:noWrap/>
            <w:vAlign w:val="center"/>
          </w:tcPr>
          <w:p>
            <w:pPr>
              <w:autoSpaceDE w:val="0"/>
              <w:autoSpaceDN w:val="0"/>
              <w:jc w:val="center"/>
              <w:rPr>
                <w:szCs w:val="21"/>
                <w:highlight w:val="none"/>
                <w:lang w:val="zh-CN"/>
              </w:rPr>
            </w:pPr>
            <w:r>
              <w:rPr>
                <w:rFonts w:hint="eastAsia"/>
                <w:szCs w:val="21"/>
                <w:highlight w:val="none"/>
                <w:lang w:val="zh-CN"/>
              </w:rPr>
              <w:t>3</w:t>
            </w:r>
          </w:p>
        </w:tc>
        <w:tc>
          <w:tcPr>
            <w:tcW w:w="1222" w:type="dxa"/>
            <w:noWrap/>
            <w:vAlign w:val="center"/>
          </w:tcPr>
          <w:p>
            <w:pPr>
              <w:spacing w:line="400" w:lineRule="atLeast"/>
              <w:jc w:val="left"/>
              <w:rPr>
                <w:szCs w:val="21"/>
                <w:highlight w:val="none"/>
              </w:rPr>
            </w:pPr>
            <w:r>
              <w:rPr>
                <w:rFonts w:hint="eastAsia"/>
                <w:szCs w:val="21"/>
                <w:highlight w:val="none"/>
              </w:rPr>
              <w:t>同类项目业绩</w:t>
            </w:r>
          </w:p>
        </w:tc>
        <w:tc>
          <w:tcPr>
            <w:tcW w:w="588" w:type="dxa"/>
            <w:noWrap/>
            <w:vAlign w:val="center"/>
          </w:tcPr>
          <w:p>
            <w:pPr>
              <w:spacing w:line="340" w:lineRule="exact"/>
              <w:jc w:val="center"/>
              <w:rPr>
                <w:szCs w:val="21"/>
                <w:highlight w:val="none"/>
              </w:rPr>
            </w:pPr>
            <w:r>
              <w:rPr>
                <w:rFonts w:hint="eastAsia"/>
                <w:szCs w:val="21"/>
                <w:highlight w:val="none"/>
              </w:rPr>
              <w:t>2</w:t>
            </w:r>
          </w:p>
        </w:tc>
        <w:tc>
          <w:tcPr>
            <w:tcW w:w="5186" w:type="dxa"/>
            <w:noWrap/>
            <w:vAlign w:val="center"/>
          </w:tcPr>
          <w:p>
            <w:pPr>
              <w:numPr>
                <w:ilvl w:val="0"/>
                <w:numId w:val="22"/>
              </w:numPr>
              <w:tabs>
                <w:tab w:val="left" w:pos="420"/>
                <w:tab w:val="clear" w:pos="426"/>
              </w:tabs>
              <w:autoSpaceDE w:val="0"/>
              <w:autoSpaceDN w:val="0"/>
              <w:jc w:val="left"/>
              <w:rPr>
                <w:szCs w:val="21"/>
                <w:highlight w:val="none"/>
                <w:lang w:val="zh-CN"/>
              </w:rPr>
            </w:pPr>
            <w:r>
              <w:rPr>
                <w:rFonts w:hint="eastAsia"/>
                <w:b/>
                <w:bCs/>
                <w:szCs w:val="21"/>
                <w:highlight w:val="none"/>
                <w:lang w:val="zh-CN"/>
              </w:rPr>
              <w:t>评审标准</w:t>
            </w:r>
            <w:r>
              <w:rPr>
                <w:rFonts w:hint="eastAsia"/>
                <w:szCs w:val="21"/>
                <w:highlight w:val="none"/>
                <w:lang w:val="zh-CN"/>
              </w:rPr>
              <w:t>：提供</w:t>
            </w:r>
            <w:r>
              <w:rPr>
                <w:szCs w:val="21"/>
                <w:highlight w:val="none"/>
                <w:lang w:val="zh-CN"/>
              </w:rPr>
              <w:t>201</w:t>
            </w:r>
            <w:r>
              <w:rPr>
                <w:rFonts w:hint="eastAsia"/>
                <w:szCs w:val="21"/>
                <w:highlight w:val="none"/>
                <w:lang w:val="zh-CN"/>
              </w:rPr>
              <w:t>6年</w:t>
            </w:r>
            <w:r>
              <w:rPr>
                <w:szCs w:val="21"/>
                <w:highlight w:val="none"/>
                <w:lang w:val="zh-CN"/>
              </w:rPr>
              <w:t>01</w:t>
            </w:r>
            <w:r>
              <w:rPr>
                <w:rFonts w:hint="eastAsia"/>
                <w:szCs w:val="21"/>
                <w:highlight w:val="none"/>
                <w:lang w:val="zh-CN"/>
              </w:rPr>
              <w:t>月</w:t>
            </w:r>
            <w:r>
              <w:rPr>
                <w:szCs w:val="21"/>
                <w:highlight w:val="none"/>
                <w:lang w:val="zh-CN"/>
              </w:rPr>
              <w:t>01</w:t>
            </w:r>
            <w:r>
              <w:rPr>
                <w:rFonts w:hint="eastAsia"/>
                <w:szCs w:val="21"/>
                <w:highlight w:val="none"/>
                <w:lang w:val="zh-CN"/>
              </w:rPr>
              <w:t>日至本项目招标公告发布日已完成同类项目的成功案例。</w:t>
            </w:r>
          </w:p>
          <w:p>
            <w:pPr>
              <w:numPr>
                <w:ilvl w:val="0"/>
                <w:numId w:val="23"/>
              </w:numPr>
              <w:autoSpaceDE w:val="0"/>
              <w:autoSpaceDN w:val="0"/>
              <w:jc w:val="left"/>
              <w:rPr>
                <w:szCs w:val="21"/>
                <w:highlight w:val="none"/>
                <w:lang w:val="zh-CN"/>
              </w:rPr>
            </w:pPr>
            <w:r>
              <w:rPr>
                <w:rFonts w:hint="eastAsia"/>
                <w:szCs w:val="21"/>
                <w:highlight w:val="none"/>
                <w:lang w:val="zh-CN"/>
              </w:rPr>
              <w:t>每提供</w:t>
            </w:r>
            <w:r>
              <w:rPr>
                <w:szCs w:val="21"/>
                <w:highlight w:val="none"/>
                <w:lang w:val="zh-CN"/>
              </w:rPr>
              <w:t>1</w:t>
            </w:r>
            <w:r>
              <w:rPr>
                <w:rFonts w:hint="eastAsia"/>
                <w:szCs w:val="21"/>
                <w:highlight w:val="none"/>
                <w:lang w:val="zh-CN"/>
              </w:rPr>
              <w:t>个得1分，最高得分2分；</w:t>
            </w:r>
          </w:p>
          <w:p>
            <w:pPr>
              <w:numPr>
                <w:ilvl w:val="0"/>
                <w:numId w:val="23"/>
              </w:numPr>
              <w:autoSpaceDE w:val="0"/>
              <w:autoSpaceDN w:val="0"/>
              <w:jc w:val="left"/>
              <w:rPr>
                <w:szCs w:val="21"/>
                <w:highlight w:val="none"/>
                <w:lang w:val="zh-CN"/>
              </w:rPr>
            </w:pPr>
            <w:r>
              <w:rPr>
                <w:rFonts w:hint="eastAsia"/>
                <w:szCs w:val="21"/>
                <w:highlight w:val="none"/>
                <w:lang w:val="zh-CN"/>
              </w:rPr>
              <w:t>未提供或不满足不得分。</w:t>
            </w:r>
          </w:p>
          <w:p>
            <w:pPr>
              <w:spacing w:line="400" w:lineRule="atLeast"/>
              <w:jc w:val="left"/>
              <w:rPr>
                <w:szCs w:val="21"/>
                <w:highlight w:val="none"/>
              </w:rPr>
            </w:pPr>
            <w:r>
              <w:rPr>
                <w:b/>
                <w:bCs/>
                <w:szCs w:val="21"/>
                <w:highlight w:val="none"/>
                <w:lang w:val="zh-CN"/>
              </w:rPr>
              <w:t>2</w:t>
            </w:r>
            <w:r>
              <w:rPr>
                <w:rFonts w:hint="eastAsia"/>
                <w:b/>
                <w:bCs/>
                <w:szCs w:val="21"/>
                <w:highlight w:val="none"/>
                <w:lang w:val="zh-CN"/>
              </w:rPr>
              <w:t>、证明文件：</w:t>
            </w:r>
            <w:r>
              <w:rPr>
                <w:rFonts w:hint="eastAsia"/>
                <w:szCs w:val="21"/>
                <w:highlight w:val="none"/>
                <w:lang w:val="zh-CN"/>
              </w:rPr>
              <w:t>提供合同关键页或中标通知复印件，原件备查。</w:t>
            </w:r>
          </w:p>
        </w:tc>
        <w:tc>
          <w:tcPr>
            <w:tcW w:w="1207" w:type="dxa"/>
            <w:noWrap/>
            <w:vAlign w:val="center"/>
          </w:tcPr>
          <w:p>
            <w:pPr>
              <w:autoSpaceDE w:val="0"/>
              <w:autoSpaceDN w:val="0"/>
              <w:jc w:val="center"/>
              <w:rPr>
                <w:szCs w:val="21"/>
                <w:highlight w:val="none"/>
                <w:lang w:val="zh-CN"/>
              </w:rPr>
            </w:pPr>
            <w:r>
              <w:rPr>
                <w:rFonts w:hint="eastAsia"/>
                <w:szCs w:val="21"/>
                <w:highlight w:val="none"/>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604" w:type="dxa"/>
            <w:noWrap/>
            <w:vAlign w:val="center"/>
          </w:tcPr>
          <w:p>
            <w:pPr>
              <w:autoSpaceDE w:val="0"/>
              <w:autoSpaceDN w:val="0"/>
              <w:jc w:val="center"/>
              <w:rPr>
                <w:szCs w:val="21"/>
                <w:highlight w:val="none"/>
                <w:lang w:val="zh-CN"/>
              </w:rPr>
            </w:pPr>
            <w:r>
              <w:rPr>
                <w:rFonts w:hint="eastAsia"/>
                <w:szCs w:val="21"/>
                <w:highlight w:val="none"/>
              </w:rPr>
              <w:t>4</w:t>
            </w:r>
          </w:p>
        </w:tc>
        <w:tc>
          <w:tcPr>
            <w:tcW w:w="1222" w:type="dxa"/>
            <w:noWrap/>
            <w:vAlign w:val="center"/>
          </w:tcPr>
          <w:p>
            <w:pPr>
              <w:spacing w:line="400" w:lineRule="atLeast"/>
              <w:jc w:val="left"/>
              <w:rPr>
                <w:szCs w:val="21"/>
                <w:highlight w:val="none"/>
              </w:rPr>
            </w:pPr>
            <w:r>
              <w:rPr>
                <w:rFonts w:hint="eastAsia"/>
                <w:szCs w:val="21"/>
                <w:highlight w:val="none"/>
              </w:rPr>
              <w:t>服务便利性</w:t>
            </w:r>
          </w:p>
        </w:tc>
        <w:tc>
          <w:tcPr>
            <w:tcW w:w="588" w:type="dxa"/>
            <w:noWrap/>
            <w:vAlign w:val="center"/>
          </w:tcPr>
          <w:p>
            <w:pPr>
              <w:spacing w:line="276" w:lineRule="auto"/>
              <w:jc w:val="center"/>
              <w:rPr>
                <w:szCs w:val="21"/>
                <w:highlight w:val="none"/>
              </w:rPr>
            </w:pPr>
            <w:r>
              <w:rPr>
                <w:rFonts w:hint="eastAsia"/>
                <w:szCs w:val="21"/>
                <w:highlight w:val="none"/>
              </w:rPr>
              <w:t>3</w:t>
            </w:r>
          </w:p>
        </w:tc>
        <w:tc>
          <w:tcPr>
            <w:tcW w:w="5186" w:type="dxa"/>
            <w:noWrap/>
            <w:vAlign w:val="center"/>
          </w:tcPr>
          <w:p>
            <w:pPr>
              <w:spacing w:line="400" w:lineRule="atLeast"/>
              <w:jc w:val="left"/>
              <w:rPr>
                <w:b/>
                <w:szCs w:val="21"/>
                <w:highlight w:val="none"/>
                <w:lang w:val="zh-CN"/>
              </w:rPr>
            </w:pPr>
            <w:r>
              <w:rPr>
                <w:rFonts w:hint="eastAsia"/>
                <w:b/>
                <w:szCs w:val="21"/>
                <w:highlight w:val="none"/>
                <w:lang w:val="zh-CN"/>
              </w:rPr>
              <w:t>1、评审标准：</w:t>
            </w:r>
          </w:p>
          <w:p>
            <w:pPr>
              <w:rPr>
                <w:szCs w:val="21"/>
                <w:highlight w:val="none"/>
                <w:lang w:val="zh-CN"/>
              </w:rPr>
            </w:pPr>
            <w:r>
              <w:rPr>
                <w:rFonts w:hint="eastAsia"/>
                <w:szCs w:val="21"/>
                <w:highlight w:val="none"/>
                <w:lang w:val="zh-CN"/>
              </w:rPr>
              <w:t>为保证售后服务响应的及时性：</w:t>
            </w:r>
          </w:p>
          <w:p>
            <w:pPr>
              <w:rPr>
                <w:szCs w:val="21"/>
                <w:highlight w:val="none"/>
              </w:rPr>
            </w:pPr>
            <w:r>
              <w:rPr>
                <w:rFonts w:hint="eastAsia"/>
                <w:szCs w:val="21"/>
                <w:highlight w:val="none"/>
              </w:rPr>
              <w:t>（</w:t>
            </w:r>
            <w:r>
              <w:rPr>
                <w:szCs w:val="21"/>
                <w:highlight w:val="none"/>
              </w:rPr>
              <w:t>1</w:t>
            </w:r>
            <w:r>
              <w:rPr>
                <w:rFonts w:hint="eastAsia"/>
                <w:szCs w:val="21"/>
                <w:highlight w:val="none"/>
              </w:rPr>
              <w:t>）投标人在坪山区内有固定经营场地，需出具营业执照或正规房屋租赁合同</w:t>
            </w:r>
            <w:r>
              <w:rPr>
                <w:rFonts w:hint="eastAsia"/>
                <w:szCs w:val="21"/>
                <w:highlight w:val="none"/>
                <w:lang w:val="zh-CN"/>
              </w:rPr>
              <w:t>复印</w:t>
            </w:r>
            <w:r>
              <w:rPr>
                <w:rFonts w:hint="eastAsia"/>
                <w:szCs w:val="21"/>
                <w:highlight w:val="none"/>
              </w:rPr>
              <w:t>件（原件备查）得3分。</w:t>
            </w:r>
          </w:p>
          <w:p>
            <w:pPr>
              <w:rPr>
                <w:szCs w:val="21"/>
                <w:highlight w:val="none"/>
              </w:rPr>
            </w:pPr>
            <w:r>
              <w:rPr>
                <w:rFonts w:hint="eastAsia"/>
                <w:szCs w:val="21"/>
                <w:highlight w:val="none"/>
              </w:rPr>
              <w:t>（</w:t>
            </w:r>
            <w:r>
              <w:rPr>
                <w:szCs w:val="21"/>
                <w:highlight w:val="none"/>
              </w:rPr>
              <w:t>2</w:t>
            </w:r>
            <w:r>
              <w:rPr>
                <w:rFonts w:hint="eastAsia"/>
                <w:szCs w:val="21"/>
                <w:highlight w:val="none"/>
              </w:rPr>
              <w:t>）投标人在深圳地区有固定经营场地，需出具营业执照或正规房屋租赁合同</w:t>
            </w:r>
            <w:r>
              <w:rPr>
                <w:rFonts w:hint="eastAsia"/>
                <w:szCs w:val="21"/>
                <w:highlight w:val="none"/>
                <w:lang w:val="zh-CN"/>
              </w:rPr>
              <w:t>复印</w:t>
            </w:r>
            <w:r>
              <w:rPr>
                <w:rFonts w:hint="eastAsia"/>
                <w:szCs w:val="21"/>
                <w:highlight w:val="none"/>
              </w:rPr>
              <w:t>件（原件备查）得2分。</w:t>
            </w:r>
          </w:p>
          <w:p>
            <w:pPr>
              <w:jc w:val="left"/>
              <w:rPr>
                <w:szCs w:val="21"/>
                <w:highlight w:val="none"/>
              </w:rPr>
            </w:pPr>
            <w:r>
              <w:rPr>
                <w:rFonts w:hint="eastAsia"/>
                <w:szCs w:val="21"/>
                <w:highlight w:val="none"/>
              </w:rPr>
              <w:t>（</w:t>
            </w:r>
            <w:r>
              <w:rPr>
                <w:szCs w:val="21"/>
                <w:highlight w:val="none"/>
              </w:rPr>
              <w:t>3</w:t>
            </w:r>
            <w:r>
              <w:rPr>
                <w:rFonts w:hint="eastAsia"/>
                <w:szCs w:val="21"/>
                <w:highlight w:val="none"/>
              </w:rPr>
              <w:t>）投标人在广东省地区有固定经营场地，需出具营业执照或正规房屋租赁合同</w:t>
            </w:r>
            <w:r>
              <w:rPr>
                <w:rFonts w:hint="eastAsia"/>
                <w:szCs w:val="21"/>
                <w:highlight w:val="none"/>
                <w:lang w:val="zh-CN"/>
              </w:rPr>
              <w:t>复印</w:t>
            </w:r>
            <w:r>
              <w:rPr>
                <w:rFonts w:hint="eastAsia"/>
                <w:szCs w:val="21"/>
                <w:highlight w:val="none"/>
              </w:rPr>
              <w:t>件（原件备查）得1分。</w:t>
            </w:r>
          </w:p>
          <w:p>
            <w:pPr>
              <w:spacing w:line="400" w:lineRule="atLeast"/>
              <w:jc w:val="left"/>
              <w:rPr>
                <w:b/>
                <w:szCs w:val="21"/>
                <w:highlight w:val="none"/>
              </w:rPr>
            </w:pPr>
            <w:r>
              <w:rPr>
                <w:rFonts w:hint="eastAsia"/>
                <w:b/>
                <w:szCs w:val="21"/>
                <w:highlight w:val="none"/>
              </w:rPr>
              <w:t>2、证明文件：</w:t>
            </w:r>
            <w:r>
              <w:rPr>
                <w:rFonts w:hint="eastAsia"/>
                <w:szCs w:val="21"/>
                <w:highlight w:val="none"/>
              </w:rPr>
              <w:t>投标人须提供营业执照或正规房屋租赁合同</w:t>
            </w:r>
            <w:r>
              <w:rPr>
                <w:rFonts w:hint="eastAsia"/>
                <w:szCs w:val="21"/>
                <w:highlight w:val="none"/>
                <w:lang w:val="zh-CN"/>
              </w:rPr>
              <w:t>复印</w:t>
            </w:r>
            <w:r>
              <w:rPr>
                <w:rFonts w:hint="eastAsia"/>
                <w:szCs w:val="21"/>
                <w:highlight w:val="none"/>
              </w:rPr>
              <w:t>件，原件备查。</w:t>
            </w:r>
            <w:r>
              <w:rPr>
                <w:rFonts w:hint="eastAsia"/>
                <w:szCs w:val="21"/>
                <w:highlight w:val="none"/>
                <w:lang w:val="zh-CN"/>
              </w:rPr>
              <w:t>不满足或未提供有效证明文件的，不得分。</w:t>
            </w:r>
          </w:p>
        </w:tc>
        <w:tc>
          <w:tcPr>
            <w:tcW w:w="1207" w:type="dxa"/>
            <w:noWrap/>
            <w:vAlign w:val="center"/>
          </w:tcPr>
          <w:p>
            <w:pPr>
              <w:autoSpaceDE w:val="0"/>
              <w:autoSpaceDN w:val="0"/>
              <w:jc w:val="center"/>
              <w:rPr>
                <w:szCs w:val="21"/>
                <w:highlight w:val="none"/>
              </w:rPr>
            </w:pPr>
            <w:r>
              <w:rPr>
                <w:rFonts w:hint="eastAsia"/>
                <w:szCs w:val="21"/>
                <w:highlight w:val="none"/>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604" w:type="dxa"/>
            <w:noWrap/>
            <w:vAlign w:val="center"/>
          </w:tcPr>
          <w:p>
            <w:pPr>
              <w:autoSpaceDE w:val="0"/>
              <w:autoSpaceDN w:val="0"/>
              <w:jc w:val="center"/>
              <w:rPr>
                <w:szCs w:val="21"/>
                <w:highlight w:val="none"/>
                <w:lang w:val="zh-CN"/>
              </w:rPr>
            </w:pPr>
            <w:r>
              <w:rPr>
                <w:rFonts w:hint="eastAsia"/>
                <w:szCs w:val="21"/>
                <w:highlight w:val="none"/>
              </w:rPr>
              <w:t>5</w:t>
            </w:r>
          </w:p>
        </w:tc>
        <w:tc>
          <w:tcPr>
            <w:tcW w:w="1222" w:type="dxa"/>
            <w:noWrap/>
            <w:vAlign w:val="center"/>
          </w:tcPr>
          <w:p>
            <w:pPr>
              <w:spacing w:line="400" w:lineRule="atLeast"/>
              <w:jc w:val="center"/>
              <w:rPr>
                <w:szCs w:val="21"/>
                <w:highlight w:val="none"/>
              </w:rPr>
            </w:pPr>
            <w:r>
              <w:rPr>
                <w:rFonts w:hint="eastAsia"/>
                <w:szCs w:val="21"/>
                <w:highlight w:val="none"/>
              </w:rPr>
              <w:t>诚信档案</w:t>
            </w:r>
          </w:p>
        </w:tc>
        <w:tc>
          <w:tcPr>
            <w:tcW w:w="588" w:type="dxa"/>
            <w:noWrap/>
            <w:vAlign w:val="center"/>
          </w:tcPr>
          <w:p>
            <w:pPr>
              <w:spacing w:line="276" w:lineRule="auto"/>
              <w:jc w:val="center"/>
              <w:rPr>
                <w:szCs w:val="21"/>
                <w:highlight w:val="none"/>
              </w:rPr>
            </w:pPr>
            <w:r>
              <w:rPr>
                <w:rFonts w:hint="eastAsia"/>
                <w:szCs w:val="21"/>
                <w:highlight w:val="none"/>
              </w:rPr>
              <w:t>5</w:t>
            </w:r>
          </w:p>
        </w:tc>
        <w:tc>
          <w:tcPr>
            <w:tcW w:w="5186" w:type="dxa"/>
            <w:noWrap/>
            <w:vAlign w:val="center"/>
          </w:tcPr>
          <w:p>
            <w:pPr>
              <w:numPr>
                <w:ilvl w:val="0"/>
                <w:numId w:val="24"/>
              </w:numPr>
              <w:autoSpaceDE w:val="0"/>
              <w:autoSpaceDN w:val="0"/>
              <w:spacing w:line="360" w:lineRule="exact"/>
              <w:jc w:val="left"/>
              <w:rPr>
                <w:color w:val="000000" w:themeColor="text1"/>
                <w:highlight w:val="none"/>
              </w:rPr>
            </w:pPr>
            <w:r>
              <w:rPr>
                <w:rFonts w:hint="eastAsia"/>
                <w:b/>
                <w:color w:val="000000" w:themeColor="text1"/>
                <w:szCs w:val="21"/>
                <w:highlight w:val="none"/>
                <w:lang w:val="zh-CN"/>
              </w:rPr>
              <w:t>评审标准：</w:t>
            </w:r>
          </w:p>
          <w:p>
            <w:pPr>
              <w:tabs>
                <w:tab w:val="left" w:pos="0"/>
                <w:tab w:val="clear" w:pos="426"/>
              </w:tabs>
              <w:jc w:val="left"/>
              <w:rPr>
                <w:color w:val="000000" w:themeColor="text1"/>
                <w:highlight w:val="none"/>
              </w:rPr>
            </w:pPr>
            <w:r>
              <w:rPr>
                <w:rFonts w:hint="eastAsia"/>
                <w:color w:val="000000" w:themeColor="text1"/>
                <w:highlight w:val="none"/>
              </w:rPr>
              <w:t>根据《深圳市财政委员会关于印发〈深圳市政府采购供应商诚信管理暂行办法操作细则〉的通知》（深财购[2017]42号）的要求，投标人在参与政府采购活动中存在诚信相关问题且在主管部门相关处理措施实施期限内的，本项不得分，否则得5分。</w:t>
            </w:r>
          </w:p>
          <w:p>
            <w:pPr>
              <w:numPr>
                <w:ilvl w:val="0"/>
                <w:numId w:val="24"/>
              </w:numPr>
              <w:autoSpaceDE w:val="0"/>
              <w:autoSpaceDN w:val="0"/>
              <w:spacing w:line="360" w:lineRule="exact"/>
              <w:jc w:val="left"/>
              <w:rPr>
                <w:b/>
                <w:color w:val="000000" w:themeColor="text1"/>
                <w:szCs w:val="21"/>
                <w:highlight w:val="none"/>
                <w:lang w:val="zh-CN"/>
              </w:rPr>
            </w:pPr>
            <w:r>
              <w:rPr>
                <w:rFonts w:hint="eastAsia"/>
                <w:b/>
                <w:color w:val="000000" w:themeColor="text1"/>
                <w:szCs w:val="21"/>
                <w:highlight w:val="none"/>
                <w:lang w:val="zh-CN"/>
              </w:rPr>
              <w:t>证明文件：</w:t>
            </w:r>
          </w:p>
          <w:p>
            <w:pPr>
              <w:autoSpaceDE w:val="0"/>
              <w:autoSpaceDN w:val="0"/>
              <w:jc w:val="left"/>
              <w:rPr>
                <w:szCs w:val="21"/>
                <w:highlight w:val="none"/>
              </w:rPr>
            </w:pPr>
            <w:r>
              <w:rPr>
                <w:rFonts w:hint="eastAsia"/>
                <w:color w:val="000000" w:themeColor="text1"/>
                <w:highlight w:val="none"/>
                <w:lang w:val="zh-CN"/>
              </w:rPr>
              <w:t>须提供《诚信承诺函》，如若投标人承诺与实际情况不相符，将按照虚假投标的情况报相关主管部门处理，承诺函应按招标文件格式填写原件加盖投标人公章（诚信承诺函格式详见投标文件格式、附件）。</w:t>
            </w:r>
          </w:p>
        </w:tc>
        <w:tc>
          <w:tcPr>
            <w:tcW w:w="1207" w:type="dxa"/>
            <w:noWrap/>
            <w:vAlign w:val="center"/>
          </w:tcPr>
          <w:p>
            <w:pPr>
              <w:autoSpaceDE w:val="0"/>
              <w:autoSpaceDN w:val="0"/>
              <w:jc w:val="center"/>
              <w:rPr>
                <w:szCs w:val="21"/>
                <w:highlight w:val="none"/>
              </w:rPr>
            </w:pPr>
            <w:r>
              <w:rPr>
                <w:rFonts w:hint="eastAsia"/>
                <w:szCs w:val="21"/>
                <w:highlight w:val="none"/>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604" w:type="dxa"/>
            <w:noWrap/>
            <w:vAlign w:val="center"/>
          </w:tcPr>
          <w:p>
            <w:pPr>
              <w:autoSpaceDE w:val="0"/>
              <w:autoSpaceDN w:val="0"/>
              <w:jc w:val="center"/>
              <w:rPr>
                <w:szCs w:val="21"/>
                <w:highlight w:val="none"/>
                <w:lang w:val="zh-CN"/>
              </w:rPr>
            </w:pPr>
            <w:r>
              <w:rPr>
                <w:rFonts w:hint="eastAsia"/>
                <w:szCs w:val="21"/>
                <w:highlight w:val="none"/>
                <w:lang w:val="zh-CN"/>
              </w:rPr>
              <w:t>6</w:t>
            </w:r>
          </w:p>
        </w:tc>
        <w:tc>
          <w:tcPr>
            <w:tcW w:w="1222" w:type="dxa"/>
            <w:noWrap/>
            <w:vAlign w:val="center"/>
          </w:tcPr>
          <w:p>
            <w:pPr>
              <w:spacing w:line="400" w:lineRule="exact"/>
              <w:jc w:val="center"/>
              <w:rPr>
                <w:szCs w:val="21"/>
                <w:highlight w:val="none"/>
                <w:lang w:val="zh-CN"/>
              </w:rPr>
            </w:pPr>
            <w:r>
              <w:rPr>
                <w:rFonts w:hint="eastAsia"/>
                <w:szCs w:val="21"/>
                <w:highlight w:val="none"/>
              </w:rPr>
              <w:t>现场踏勘</w:t>
            </w:r>
          </w:p>
        </w:tc>
        <w:tc>
          <w:tcPr>
            <w:tcW w:w="588" w:type="dxa"/>
            <w:noWrap/>
            <w:vAlign w:val="center"/>
          </w:tcPr>
          <w:p>
            <w:pPr>
              <w:autoSpaceDE w:val="0"/>
              <w:autoSpaceDN w:val="0"/>
              <w:jc w:val="center"/>
              <w:rPr>
                <w:szCs w:val="21"/>
                <w:highlight w:val="none"/>
              </w:rPr>
            </w:pPr>
            <w:r>
              <w:rPr>
                <w:rFonts w:hint="eastAsia"/>
                <w:szCs w:val="21"/>
                <w:highlight w:val="none"/>
              </w:rPr>
              <w:t>2</w:t>
            </w:r>
          </w:p>
        </w:tc>
        <w:tc>
          <w:tcPr>
            <w:tcW w:w="5186" w:type="dxa"/>
            <w:noWrap/>
            <w:vAlign w:val="center"/>
          </w:tcPr>
          <w:p>
            <w:pPr>
              <w:rPr>
                <w:b/>
                <w:szCs w:val="21"/>
                <w:highlight w:val="none"/>
              </w:rPr>
            </w:pPr>
            <w:r>
              <w:rPr>
                <w:rFonts w:hint="eastAsia"/>
                <w:b/>
                <w:szCs w:val="21"/>
                <w:highlight w:val="none"/>
              </w:rPr>
              <w:t>1、评审内容：</w:t>
            </w:r>
          </w:p>
          <w:p>
            <w:pPr>
              <w:rPr>
                <w:szCs w:val="21"/>
                <w:highlight w:val="none"/>
              </w:rPr>
            </w:pPr>
            <w:r>
              <w:rPr>
                <w:rFonts w:hint="eastAsia"/>
                <w:szCs w:val="21"/>
                <w:highlight w:val="none"/>
              </w:rPr>
              <w:t>投标人需对进行现场踏勘。</w:t>
            </w:r>
          </w:p>
          <w:p>
            <w:pPr>
              <w:rPr>
                <w:b/>
                <w:szCs w:val="21"/>
                <w:highlight w:val="none"/>
              </w:rPr>
            </w:pPr>
            <w:r>
              <w:rPr>
                <w:rFonts w:hint="eastAsia"/>
                <w:b/>
                <w:szCs w:val="21"/>
                <w:highlight w:val="none"/>
              </w:rPr>
              <w:t>2、评审标准：</w:t>
            </w:r>
          </w:p>
          <w:p>
            <w:pPr>
              <w:rPr>
                <w:szCs w:val="21"/>
                <w:highlight w:val="none"/>
              </w:rPr>
            </w:pPr>
            <w:r>
              <w:rPr>
                <w:rFonts w:hint="eastAsia"/>
                <w:szCs w:val="21"/>
                <w:highlight w:val="none"/>
              </w:rPr>
              <w:t>投标人投标时须出具现场踏勘证明（由采购单位出具并加盖采购单位公章）。</w:t>
            </w:r>
          </w:p>
          <w:p>
            <w:pPr>
              <w:autoSpaceDE w:val="0"/>
              <w:autoSpaceDN w:val="0"/>
              <w:jc w:val="left"/>
              <w:rPr>
                <w:szCs w:val="21"/>
                <w:highlight w:val="none"/>
              </w:rPr>
            </w:pPr>
            <w:r>
              <w:rPr>
                <w:rFonts w:hint="eastAsia"/>
                <w:szCs w:val="21"/>
                <w:highlight w:val="none"/>
              </w:rPr>
              <w:t>提供采购单位盖章的现场踏勘证明得2分，未提供不得分。</w:t>
            </w:r>
          </w:p>
        </w:tc>
        <w:tc>
          <w:tcPr>
            <w:tcW w:w="1207" w:type="dxa"/>
            <w:noWrap/>
            <w:vAlign w:val="center"/>
          </w:tcPr>
          <w:p>
            <w:pPr>
              <w:autoSpaceDE w:val="0"/>
              <w:autoSpaceDN w:val="0"/>
              <w:jc w:val="center"/>
              <w:rPr>
                <w:szCs w:val="21"/>
                <w:highlight w:val="none"/>
                <w:lang w:val="zh-CN"/>
              </w:rPr>
            </w:pPr>
            <w:r>
              <w:rPr>
                <w:rFonts w:hint="eastAsia"/>
                <w:szCs w:val="21"/>
                <w:highlight w:val="none"/>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7600" w:type="dxa"/>
            <w:gridSpan w:val="4"/>
            <w:noWrap/>
            <w:vAlign w:val="center"/>
          </w:tcPr>
          <w:p>
            <w:pPr>
              <w:autoSpaceDE w:val="0"/>
              <w:autoSpaceDN w:val="0"/>
              <w:jc w:val="center"/>
              <w:rPr>
                <w:b/>
                <w:sz w:val="22"/>
                <w:szCs w:val="22"/>
                <w:highlight w:val="none"/>
                <w:lang w:val="zh-CN"/>
              </w:rPr>
            </w:pPr>
            <w:r>
              <w:rPr>
                <w:rFonts w:hint="eastAsia"/>
                <w:b/>
                <w:sz w:val="22"/>
                <w:szCs w:val="22"/>
                <w:highlight w:val="none"/>
                <w:lang w:val="zh-CN"/>
              </w:rPr>
              <w:t>三、技术部分</w:t>
            </w:r>
          </w:p>
        </w:tc>
        <w:tc>
          <w:tcPr>
            <w:tcW w:w="1207" w:type="dxa"/>
            <w:noWrap/>
            <w:vAlign w:val="center"/>
          </w:tcPr>
          <w:p>
            <w:pPr>
              <w:autoSpaceDE w:val="0"/>
              <w:autoSpaceDN w:val="0"/>
              <w:jc w:val="center"/>
              <w:rPr>
                <w:sz w:val="22"/>
                <w:szCs w:val="22"/>
                <w:highlight w:val="none"/>
                <w:lang w:val="zh-CN"/>
              </w:rPr>
            </w:pPr>
            <w:r>
              <w:rPr>
                <w:rFonts w:hint="eastAsia"/>
                <w:sz w:val="22"/>
                <w:szCs w:val="22"/>
                <w:highlight w:val="none"/>
              </w:rPr>
              <w:t>55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1" w:hRule="atLeast"/>
          <w:jc w:val="center"/>
        </w:trPr>
        <w:tc>
          <w:tcPr>
            <w:tcW w:w="604" w:type="dxa"/>
            <w:noWrap/>
            <w:vAlign w:val="center"/>
          </w:tcPr>
          <w:p>
            <w:pPr>
              <w:autoSpaceDE w:val="0"/>
              <w:autoSpaceDN w:val="0"/>
              <w:jc w:val="center"/>
              <w:rPr>
                <w:sz w:val="22"/>
                <w:szCs w:val="22"/>
                <w:highlight w:val="none"/>
              </w:rPr>
            </w:pPr>
            <w:r>
              <w:rPr>
                <w:rFonts w:hint="eastAsia"/>
                <w:sz w:val="22"/>
                <w:szCs w:val="22"/>
                <w:highlight w:val="none"/>
                <w:lang w:val="zh-CN"/>
              </w:rPr>
              <w:t>序号</w:t>
            </w:r>
          </w:p>
        </w:tc>
        <w:tc>
          <w:tcPr>
            <w:tcW w:w="1222" w:type="dxa"/>
            <w:noWrap/>
            <w:vAlign w:val="center"/>
          </w:tcPr>
          <w:p>
            <w:pPr>
              <w:autoSpaceDE w:val="0"/>
              <w:autoSpaceDN w:val="0"/>
              <w:jc w:val="center"/>
              <w:rPr>
                <w:sz w:val="22"/>
                <w:szCs w:val="22"/>
                <w:highlight w:val="none"/>
              </w:rPr>
            </w:pPr>
            <w:r>
              <w:rPr>
                <w:rFonts w:hint="eastAsia"/>
                <w:sz w:val="22"/>
                <w:szCs w:val="22"/>
                <w:highlight w:val="none"/>
                <w:lang w:val="zh-CN"/>
              </w:rPr>
              <w:t>内容</w:t>
            </w:r>
          </w:p>
        </w:tc>
        <w:tc>
          <w:tcPr>
            <w:tcW w:w="588" w:type="dxa"/>
            <w:noWrap/>
            <w:vAlign w:val="center"/>
          </w:tcPr>
          <w:p>
            <w:pPr>
              <w:autoSpaceDE w:val="0"/>
              <w:autoSpaceDN w:val="0"/>
              <w:jc w:val="center"/>
              <w:rPr>
                <w:sz w:val="22"/>
                <w:szCs w:val="22"/>
                <w:highlight w:val="none"/>
              </w:rPr>
            </w:pPr>
            <w:r>
              <w:rPr>
                <w:rFonts w:hint="eastAsia"/>
                <w:sz w:val="22"/>
                <w:szCs w:val="22"/>
                <w:highlight w:val="none"/>
                <w:lang w:val="zh-CN"/>
              </w:rPr>
              <w:t>权重</w:t>
            </w:r>
          </w:p>
        </w:tc>
        <w:tc>
          <w:tcPr>
            <w:tcW w:w="5186" w:type="dxa"/>
            <w:noWrap/>
            <w:vAlign w:val="center"/>
          </w:tcPr>
          <w:p>
            <w:pPr>
              <w:autoSpaceDE w:val="0"/>
              <w:autoSpaceDN w:val="0"/>
              <w:jc w:val="center"/>
              <w:rPr>
                <w:sz w:val="22"/>
                <w:szCs w:val="22"/>
                <w:highlight w:val="none"/>
                <w:lang w:val="zh-CN"/>
              </w:rPr>
            </w:pPr>
            <w:r>
              <w:rPr>
                <w:rFonts w:hint="eastAsia"/>
                <w:sz w:val="22"/>
                <w:szCs w:val="22"/>
                <w:highlight w:val="none"/>
                <w:lang w:val="zh-CN"/>
              </w:rPr>
              <w:t>评分规则</w:t>
            </w:r>
          </w:p>
        </w:tc>
        <w:tc>
          <w:tcPr>
            <w:tcW w:w="1207" w:type="dxa"/>
            <w:noWrap/>
            <w:vAlign w:val="center"/>
          </w:tcPr>
          <w:p>
            <w:pPr>
              <w:autoSpaceDE w:val="0"/>
              <w:autoSpaceDN w:val="0"/>
              <w:jc w:val="center"/>
              <w:rPr>
                <w:sz w:val="22"/>
                <w:szCs w:val="22"/>
                <w:highlight w:val="none"/>
                <w:lang w:val="zh-CN"/>
              </w:rPr>
            </w:pPr>
            <w:r>
              <w:rPr>
                <w:rFonts w:hint="eastAsia"/>
                <w:sz w:val="22"/>
                <w:szCs w:val="22"/>
                <w:highlight w:val="none"/>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604" w:type="dxa"/>
            <w:noWrap/>
            <w:vAlign w:val="center"/>
          </w:tcPr>
          <w:p>
            <w:pPr>
              <w:autoSpaceDE w:val="0"/>
              <w:autoSpaceDN w:val="0"/>
              <w:jc w:val="center"/>
              <w:rPr>
                <w:szCs w:val="21"/>
                <w:highlight w:val="none"/>
              </w:rPr>
            </w:pPr>
            <w:r>
              <w:rPr>
                <w:szCs w:val="21"/>
                <w:highlight w:val="none"/>
              </w:rPr>
              <w:t>1</w:t>
            </w:r>
          </w:p>
        </w:tc>
        <w:tc>
          <w:tcPr>
            <w:tcW w:w="1222" w:type="dxa"/>
            <w:noWrap/>
            <w:vAlign w:val="center"/>
          </w:tcPr>
          <w:p>
            <w:pPr>
              <w:pStyle w:val="18"/>
              <w:ind w:left="40" w:leftChars="19"/>
              <w:jc w:val="center"/>
              <w:rPr>
                <w:rFonts w:hAnsi="宋体"/>
                <w:kern w:val="2"/>
                <w:sz w:val="21"/>
                <w:szCs w:val="21"/>
                <w:highlight w:val="none"/>
              </w:rPr>
            </w:pPr>
            <w:r>
              <w:rPr>
                <w:rFonts w:hint="eastAsia" w:hAnsi="宋体"/>
                <w:kern w:val="2"/>
                <w:sz w:val="21"/>
                <w:szCs w:val="21"/>
                <w:highlight w:val="none"/>
              </w:rPr>
              <w:t>总体方案</w:t>
            </w:r>
          </w:p>
        </w:tc>
        <w:tc>
          <w:tcPr>
            <w:tcW w:w="588" w:type="dxa"/>
            <w:noWrap/>
            <w:vAlign w:val="center"/>
          </w:tcPr>
          <w:p>
            <w:pPr>
              <w:autoSpaceDE w:val="0"/>
              <w:autoSpaceDN w:val="0"/>
              <w:jc w:val="center"/>
              <w:rPr>
                <w:szCs w:val="21"/>
                <w:highlight w:val="none"/>
              </w:rPr>
            </w:pPr>
            <w:r>
              <w:rPr>
                <w:rFonts w:hint="eastAsia"/>
                <w:szCs w:val="21"/>
                <w:highlight w:val="none"/>
              </w:rPr>
              <w:t>3</w:t>
            </w:r>
          </w:p>
        </w:tc>
        <w:tc>
          <w:tcPr>
            <w:tcW w:w="5186" w:type="dxa"/>
            <w:noWrap/>
            <w:vAlign w:val="center"/>
          </w:tcPr>
          <w:p>
            <w:pPr>
              <w:autoSpaceDE w:val="0"/>
              <w:autoSpaceDN w:val="0"/>
              <w:jc w:val="left"/>
              <w:rPr>
                <w:b/>
                <w:szCs w:val="21"/>
                <w:highlight w:val="none"/>
                <w:lang w:val="zh-CN"/>
              </w:rPr>
            </w:pPr>
            <w:r>
              <w:rPr>
                <w:rFonts w:hint="eastAsia"/>
                <w:b/>
                <w:szCs w:val="21"/>
                <w:highlight w:val="none"/>
                <w:lang w:val="zh-CN"/>
              </w:rPr>
              <w:t>1、</w:t>
            </w:r>
            <w:r>
              <w:rPr>
                <w:rFonts w:hint="eastAsia"/>
                <w:b/>
                <w:szCs w:val="21"/>
                <w:highlight w:val="none"/>
              </w:rPr>
              <w:t>评审内容</w:t>
            </w:r>
            <w:r>
              <w:rPr>
                <w:rFonts w:hint="eastAsia"/>
                <w:b/>
                <w:szCs w:val="21"/>
                <w:highlight w:val="none"/>
                <w:lang w:val="zh-CN"/>
              </w:rPr>
              <w:t>：</w:t>
            </w:r>
          </w:p>
          <w:p>
            <w:pPr>
              <w:autoSpaceDE w:val="0"/>
              <w:autoSpaceDN w:val="0"/>
              <w:jc w:val="left"/>
              <w:rPr>
                <w:szCs w:val="21"/>
                <w:highlight w:val="none"/>
              </w:rPr>
            </w:pPr>
            <w:r>
              <w:rPr>
                <w:rFonts w:hint="eastAsia"/>
                <w:szCs w:val="21"/>
                <w:highlight w:val="none"/>
              </w:rPr>
              <w:t>根据项目工作实施整体方案内容的合理性，全面性及项目在实施过程中的设备布置安排、合理的时间安排、质量监管保障措施、人员保障、项目验收、项目培训等情况综合打分，能很好满足以上要求的评价为优，较好地满足以上要求的评价为良，基本满足以上要求的评价为中，不能满足以上要求的评价为差。</w:t>
            </w:r>
          </w:p>
          <w:p>
            <w:pPr>
              <w:autoSpaceDE w:val="0"/>
              <w:autoSpaceDN w:val="0"/>
              <w:jc w:val="left"/>
              <w:rPr>
                <w:b/>
                <w:szCs w:val="21"/>
                <w:highlight w:val="none"/>
                <w:lang w:val="zh-CN"/>
              </w:rPr>
            </w:pPr>
            <w:r>
              <w:rPr>
                <w:rFonts w:hint="eastAsia"/>
                <w:b/>
                <w:szCs w:val="21"/>
                <w:highlight w:val="none"/>
                <w:lang w:val="zh-CN"/>
              </w:rPr>
              <w:t>2、评</w:t>
            </w:r>
            <w:r>
              <w:rPr>
                <w:rFonts w:hint="eastAsia"/>
                <w:b/>
                <w:szCs w:val="21"/>
                <w:highlight w:val="none"/>
              </w:rPr>
              <w:t>分</w:t>
            </w:r>
            <w:r>
              <w:rPr>
                <w:rFonts w:hint="eastAsia"/>
                <w:b/>
                <w:szCs w:val="21"/>
                <w:highlight w:val="none"/>
                <w:lang w:val="zh-CN"/>
              </w:rPr>
              <w:t>标准：</w:t>
            </w:r>
          </w:p>
          <w:p>
            <w:pPr>
              <w:autoSpaceDE w:val="0"/>
              <w:autoSpaceDN w:val="0"/>
              <w:jc w:val="left"/>
              <w:rPr>
                <w:szCs w:val="21"/>
                <w:highlight w:val="none"/>
              </w:rPr>
            </w:pPr>
            <w:r>
              <w:rPr>
                <w:rFonts w:hint="eastAsia"/>
                <w:szCs w:val="21"/>
                <w:highlight w:val="none"/>
              </w:rPr>
              <w:t>根据优劣情况评分：优</w:t>
            </w:r>
            <w:r>
              <w:rPr>
                <w:szCs w:val="21"/>
                <w:highlight w:val="none"/>
              </w:rPr>
              <w:t>3</w:t>
            </w:r>
            <w:r>
              <w:rPr>
                <w:rFonts w:hint="eastAsia"/>
                <w:szCs w:val="21"/>
                <w:highlight w:val="none"/>
              </w:rPr>
              <w:t>分；良2分；中1.5分；差不得分。</w:t>
            </w:r>
          </w:p>
        </w:tc>
        <w:tc>
          <w:tcPr>
            <w:tcW w:w="1207" w:type="dxa"/>
            <w:noWrap/>
            <w:vAlign w:val="center"/>
          </w:tcPr>
          <w:p>
            <w:pPr>
              <w:autoSpaceDE w:val="0"/>
              <w:autoSpaceDN w:val="0"/>
              <w:jc w:val="center"/>
              <w:rPr>
                <w:szCs w:val="21"/>
                <w:highlight w:val="none"/>
              </w:rPr>
            </w:pPr>
            <w:r>
              <w:rPr>
                <w:rFonts w:hint="eastAsia"/>
                <w:szCs w:val="21"/>
                <w:highlight w:val="none"/>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604" w:type="dxa"/>
            <w:noWrap/>
            <w:vAlign w:val="center"/>
          </w:tcPr>
          <w:p>
            <w:pPr>
              <w:autoSpaceDE w:val="0"/>
              <w:autoSpaceDN w:val="0"/>
              <w:jc w:val="center"/>
              <w:rPr>
                <w:szCs w:val="21"/>
                <w:highlight w:val="none"/>
              </w:rPr>
            </w:pPr>
            <w:r>
              <w:rPr>
                <w:rFonts w:hint="eastAsia"/>
                <w:szCs w:val="21"/>
                <w:highlight w:val="none"/>
              </w:rPr>
              <w:t>2</w:t>
            </w:r>
          </w:p>
        </w:tc>
        <w:tc>
          <w:tcPr>
            <w:tcW w:w="1222" w:type="dxa"/>
            <w:noWrap/>
            <w:vAlign w:val="center"/>
          </w:tcPr>
          <w:p>
            <w:pPr>
              <w:pStyle w:val="18"/>
              <w:ind w:left="40" w:leftChars="19"/>
              <w:jc w:val="center"/>
              <w:rPr>
                <w:rFonts w:hAnsi="宋体"/>
                <w:kern w:val="2"/>
                <w:sz w:val="21"/>
                <w:szCs w:val="21"/>
                <w:highlight w:val="none"/>
              </w:rPr>
            </w:pPr>
            <w:r>
              <w:rPr>
                <w:rFonts w:hint="eastAsia" w:hAnsi="宋体"/>
                <w:kern w:val="2"/>
                <w:sz w:val="21"/>
                <w:szCs w:val="21"/>
                <w:highlight w:val="none"/>
              </w:rPr>
              <w:t>技术参数响应情况</w:t>
            </w:r>
          </w:p>
        </w:tc>
        <w:tc>
          <w:tcPr>
            <w:tcW w:w="588" w:type="dxa"/>
            <w:noWrap/>
            <w:vAlign w:val="center"/>
          </w:tcPr>
          <w:p>
            <w:pPr>
              <w:autoSpaceDE w:val="0"/>
              <w:autoSpaceDN w:val="0"/>
              <w:jc w:val="center"/>
              <w:rPr>
                <w:szCs w:val="21"/>
                <w:highlight w:val="none"/>
                <w:lang w:val="zh-CN"/>
              </w:rPr>
            </w:pPr>
            <w:r>
              <w:rPr>
                <w:rFonts w:hint="eastAsia"/>
                <w:szCs w:val="21"/>
                <w:highlight w:val="none"/>
              </w:rPr>
              <w:t>50</w:t>
            </w:r>
          </w:p>
        </w:tc>
        <w:tc>
          <w:tcPr>
            <w:tcW w:w="5186" w:type="dxa"/>
            <w:noWrap/>
            <w:vAlign w:val="center"/>
          </w:tcPr>
          <w:p>
            <w:pPr>
              <w:pStyle w:val="18"/>
              <w:numPr>
                <w:ilvl w:val="0"/>
                <w:numId w:val="25"/>
              </w:numPr>
              <w:tabs>
                <w:tab w:val="clear" w:pos="426"/>
              </w:tabs>
              <w:rPr>
                <w:rFonts w:hAnsi="宋体"/>
                <w:b/>
                <w:kern w:val="2"/>
                <w:sz w:val="21"/>
                <w:szCs w:val="21"/>
                <w:highlight w:val="none"/>
              </w:rPr>
            </w:pPr>
            <w:r>
              <w:rPr>
                <w:rFonts w:hint="eastAsia" w:hAnsi="宋体"/>
                <w:b/>
                <w:kern w:val="2"/>
                <w:sz w:val="21"/>
                <w:szCs w:val="21"/>
                <w:highlight w:val="none"/>
              </w:rPr>
              <w:t>评审内容：</w:t>
            </w:r>
          </w:p>
          <w:p>
            <w:pPr>
              <w:pStyle w:val="18"/>
              <w:rPr>
                <w:rFonts w:hAnsi="宋体"/>
                <w:b/>
                <w:kern w:val="2"/>
                <w:sz w:val="21"/>
                <w:szCs w:val="21"/>
                <w:highlight w:val="none"/>
              </w:rPr>
            </w:pPr>
            <w:r>
              <w:rPr>
                <w:rFonts w:hint="eastAsia" w:hAnsi="宋体"/>
                <w:kern w:val="2"/>
                <w:sz w:val="21"/>
                <w:szCs w:val="21"/>
                <w:highlight w:val="none"/>
              </w:rPr>
              <w:t>根据投标文件中对所投产品参数技术响应情况进行打分。</w:t>
            </w:r>
          </w:p>
          <w:p>
            <w:pPr>
              <w:pStyle w:val="18"/>
              <w:numPr>
                <w:ilvl w:val="0"/>
                <w:numId w:val="25"/>
              </w:numPr>
              <w:tabs>
                <w:tab w:val="clear" w:pos="426"/>
              </w:tabs>
              <w:rPr>
                <w:rFonts w:hAnsi="宋体"/>
                <w:b/>
                <w:kern w:val="2"/>
                <w:sz w:val="21"/>
                <w:szCs w:val="21"/>
                <w:highlight w:val="none"/>
              </w:rPr>
            </w:pPr>
            <w:r>
              <w:rPr>
                <w:rFonts w:hint="eastAsia" w:hAnsi="宋体"/>
                <w:b/>
                <w:kern w:val="2"/>
                <w:sz w:val="21"/>
                <w:szCs w:val="21"/>
                <w:highlight w:val="none"/>
              </w:rPr>
              <w:t>评分标准：</w:t>
            </w:r>
          </w:p>
          <w:p>
            <w:pPr>
              <w:pStyle w:val="18"/>
              <w:rPr>
                <w:rFonts w:hAnsi="宋体"/>
                <w:kern w:val="2"/>
                <w:sz w:val="21"/>
                <w:szCs w:val="21"/>
                <w:highlight w:val="none"/>
              </w:rPr>
            </w:pPr>
            <w:r>
              <w:rPr>
                <w:rFonts w:hint="eastAsia" w:hAnsi="宋体"/>
                <w:kern w:val="2"/>
                <w:sz w:val="21"/>
                <w:szCs w:val="21"/>
                <w:highlight w:val="none"/>
              </w:rPr>
              <w:t>完全响应得50分，一般参数负偏离每项扣3分，重点参数（带</w:t>
            </w:r>
            <w:r>
              <w:rPr>
                <w:rFonts w:hint="eastAsia" w:hAnsi="宋体" w:cs="宋体"/>
                <w:sz w:val="21"/>
                <w:szCs w:val="21"/>
                <w:highlight w:val="none"/>
              </w:rPr>
              <w:t>▲</w:t>
            </w:r>
            <w:r>
              <w:rPr>
                <w:rFonts w:hint="eastAsia" w:hAnsi="宋体"/>
                <w:kern w:val="2"/>
                <w:sz w:val="21"/>
                <w:szCs w:val="21"/>
                <w:highlight w:val="none"/>
              </w:rPr>
              <w:t>）负偏离每项扣6分（重点需提供相关证书和证明材料要求并加盖生产厂商公章），扣完为止。</w:t>
            </w:r>
          </w:p>
        </w:tc>
        <w:tc>
          <w:tcPr>
            <w:tcW w:w="1207" w:type="dxa"/>
            <w:noWrap/>
            <w:vAlign w:val="center"/>
          </w:tcPr>
          <w:p>
            <w:pPr>
              <w:autoSpaceDE w:val="0"/>
              <w:autoSpaceDN w:val="0"/>
              <w:jc w:val="center"/>
              <w:rPr>
                <w:szCs w:val="21"/>
                <w:highlight w:val="none"/>
              </w:rPr>
            </w:pPr>
            <w:r>
              <w:rPr>
                <w:rFonts w:hint="eastAsia"/>
                <w:szCs w:val="21"/>
                <w:highlight w:val="none"/>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604" w:type="dxa"/>
            <w:noWrap/>
            <w:vAlign w:val="center"/>
          </w:tcPr>
          <w:p>
            <w:pPr>
              <w:autoSpaceDE w:val="0"/>
              <w:autoSpaceDN w:val="0"/>
              <w:jc w:val="center"/>
              <w:rPr>
                <w:sz w:val="22"/>
                <w:szCs w:val="22"/>
                <w:highlight w:val="none"/>
                <w:lang w:val="zh-CN"/>
              </w:rPr>
            </w:pPr>
            <w:r>
              <w:rPr>
                <w:rFonts w:hint="eastAsia"/>
                <w:sz w:val="22"/>
                <w:szCs w:val="22"/>
                <w:highlight w:val="none"/>
                <w:lang w:val="zh-CN"/>
              </w:rPr>
              <w:t>3</w:t>
            </w:r>
          </w:p>
        </w:tc>
        <w:tc>
          <w:tcPr>
            <w:tcW w:w="1222" w:type="dxa"/>
            <w:noWrap/>
            <w:vAlign w:val="center"/>
          </w:tcPr>
          <w:p>
            <w:pPr>
              <w:pStyle w:val="18"/>
              <w:ind w:left="40" w:leftChars="19"/>
              <w:jc w:val="center"/>
              <w:rPr>
                <w:rFonts w:hAnsi="宋体"/>
                <w:kern w:val="2"/>
                <w:sz w:val="21"/>
                <w:szCs w:val="21"/>
                <w:highlight w:val="none"/>
              </w:rPr>
            </w:pPr>
            <w:r>
              <w:rPr>
                <w:rFonts w:hint="eastAsia" w:hAnsi="宋体"/>
                <w:kern w:val="2"/>
                <w:sz w:val="21"/>
                <w:szCs w:val="21"/>
                <w:highlight w:val="none"/>
              </w:rPr>
              <w:t>服务保障</w:t>
            </w:r>
          </w:p>
          <w:p>
            <w:pPr>
              <w:pStyle w:val="18"/>
              <w:ind w:left="40" w:leftChars="19"/>
              <w:jc w:val="center"/>
              <w:rPr>
                <w:rFonts w:hAnsi="宋体"/>
                <w:kern w:val="2"/>
                <w:sz w:val="21"/>
                <w:szCs w:val="21"/>
                <w:highlight w:val="none"/>
              </w:rPr>
            </w:pPr>
            <w:r>
              <w:rPr>
                <w:rFonts w:hint="eastAsia" w:hAnsi="宋体"/>
                <w:kern w:val="2"/>
                <w:sz w:val="21"/>
                <w:szCs w:val="21"/>
                <w:highlight w:val="none"/>
              </w:rPr>
              <w:t>措施</w:t>
            </w:r>
          </w:p>
        </w:tc>
        <w:tc>
          <w:tcPr>
            <w:tcW w:w="588" w:type="dxa"/>
            <w:noWrap/>
            <w:vAlign w:val="center"/>
          </w:tcPr>
          <w:p>
            <w:pPr>
              <w:spacing w:line="276" w:lineRule="auto"/>
              <w:jc w:val="center"/>
              <w:rPr>
                <w:szCs w:val="21"/>
                <w:highlight w:val="none"/>
              </w:rPr>
            </w:pPr>
            <w:r>
              <w:rPr>
                <w:rFonts w:hint="eastAsia"/>
                <w:szCs w:val="21"/>
                <w:highlight w:val="none"/>
              </w:rPr>
              <w:t>2</w:t>
            </w:r>
          </w:p>
        </w:tc>
        <w:tc>
          <w:tcPr>
            <w:tcW w:w="5186" w:type="dxa"/>
            <w:noWrap/>
            <w:vAlign w:val="center"/>
          </w:tcPr>
          <w:p>
            <w:pPr>
              <w:pStyle w:val="18"/>
              <w:numPr>
                <w:ilvl w:val="0"/>
                <w:numId w:val="26"/>
              </w:numPr>
              <w:tabs>
                <w:tab w:val="clear" w:pos="426"/>
              </w:tabs>
              <w:rPr>
                <w:rFonts w:hAnsi="宋体"/>
                <w:b/>
                <w:kern w:val="2"/>
                <w:sz w:val="21"/>
                <w:szCs w:val="21"/>
                <w:highlight w:val="none"/>
              </w:rPr>
            </w:pPr>
            <w:r>
              <w:rPr>
                <w:rFonts w:hint="eastAsia" w:hAnsi="宋体"/>
                <w:b/>
                <w:kern w:val="2"/>
                <w:sz w:val="21"/>
                <w:szCs w:val="21"/>
                <w:highlight w:val="none"/>
              </w:rPr>
              <w:t>评审内容：</w:t>
            </w:r>
          </w:p>
          <w:p>
            <w:pPr>
              <w:autoSpaceDE w:val="0"/>
              <w:autoSpaceDN w:val="0"/>
              <w:jc w:val="left"/>
              <w:rPr>
                <w:kern w:val="2"/>
                <w:szCs w:val="21"/>
                <w:highlight w:val="none"/>
              </w:rPr>
            </w:pPr>
            <w:r>
              <w:rPr>
                <w:rFonts w:hint="eastAsia"/>
                <w:kern w:val="2"/>
                <w:szCs w:val="21"/>
                <w:highlight w:val="none"/>
              </w:rPr>
              <w:t>根据投标文件中详细说明服务保障措施，在满足招标文件要求的基础上，根据交货期、免费质保期、维修服务、备品备件供应及价格优惠情况、培训方案和人员安排等方面进行横向比较，</w:t>
            </w:r>
            <w:r>
              <w:rPr>
                <w:rFonts w:hint="eastAsia"/>
                <w:szCs w:val="21"/>
                <w:highlight w:val="none"/>
              </w:rPr>
              <w:t>能很好满足以上要求的评价为优，较好地满足以上要求的评价为良，基本满足以上要求的评价为中，不能满足以上要求的评价为差。</w:t>
            </w:r>
          </w:p>
          <w:p>
            <w:pPr>
              <w:pStyle w:val="18"/>
              <w:numPr>
                <w:ilvl w:val="0"/>
                <w:numId w:val="26"/>
              </w:numPr>
              <w:tabs>
                <w:tab w:val="clear" w:pos="426"/>
              </w:tabs>
              <w:rPr>
                <w:rFonts w:hAnsi="宋体"/>
                <w:b/>
                <w:kern w:val="2"/>
                <w:sz w:val="21"/>
                <w:szCs w:val="21"/>
                <w:highlight w:val="none"/>
              </w:rPr>
            </w:pPr>
            <w:r>
              <w:rPr>
                <w:rFonts w:hint="eastAsia" w:hAnsi="宋体"/>
                <w:b/>
                <w:kern w:val="2"/>
                <w:sz w:val="21"/>
                <w:szCs w:val="21"/>
                <w:highlight w:val="none"/>
              </w:rPr>
              <w:t>评分标准：</w:t>
            </w:r>
          </w:p>
          <w:p>
            <w:pPr>
              <w:jc w:val="left"/>
              <w:rPr>
                <w:b/>
                <w:szCs w:val="21"/>
                <w:highlight w:val="none"/>
              </w:rPr>
            </w:pPr>
            <w:r>
              <w:rPr>
                <w:rFonts w:hint="eastAsia"/>
                <w:szCs w:val="21"/>
                <w:highlight w:val="none"/>
              </w:rPr>
              <w:t>根据优劣情况评分：优</w:t>
            </w:r>
            <w:r>
              <w:rPr>
                <w:szCs w:val="21"/>
                <w:highlight w:val="none"/>
              </w:rPr>
              <w:t>2</w:t>
            </w:r>
            <w:r>
              <w:rPr>
                <w:rFonts w:hint="eastAsia"/>
                <w:szCs w:val="21"/>
                <w:highlight w:val="none"/>
              </w:rPr>
              <w:t>分；良1</w:t>
            </w:r>
            <w:r>
              <w:rPr>
                <w:szCs w:val="21"/>
                <w:highlight w:val="none"/>
              </w:rPr>
              <w:t>.</w:t>
            </w:r>
            <w:r>
              <w:rPr>
                <w:rFonts w:hint="eastAsia"/>
                <w:szCs w:val="21"/>
                <w:highlight w:val="none"/>
              </w:rPr>
              <w:t>5分；中1分；差不得分。</w:t>
            </w:r>
          </w:p>
        </w:tc>
        <w:tc>
          <w:tcPr>
            <w:tcW w:w="1207" w:type="dxa"/>
            <w:noWrap/>
            <w:vAlign w:val="center"/>
          </w:tcPr>
          <w:p>
            <w:pPr>
              <w:autoSpaceDE w:val="0"/>
              <w:autoSpaceDN w:val="0"/>
              <w:jc w:val="center"/>
              <w:rPr>
                <w:szCs w:val="21"/>
                <w:highlight w:val="none"/>
              </w:rPr>
            </w:pPr>
            <w:r>
              <w:rPr>
                <w:rFonts w:hint="eastAsia"/>
                <w:szCs w:val="21"/>
                <w:highlight w:val="none"/>
              </w:rPr>
              <w:t>专家打分</w:t>
            </w:r>
          </w:p>
        </w:tc>
      </w:tr>
    </w:tbl>
    <w:p>
      <w:pPr>
        <w:tabs>
          <w:tab w:val="clear" w:pos="426"/>
        </w:tabs>
        <w:spacing w:line="240" w:lineRule="auto"/>
        <w:rPr>
          <w:highlight w:val="none"/>
        </w:rPr>
      </w:pPr>
      <w:r>
        <w:rPr>
          <w:rFonts w:hint="eastAsia"/>
          <w:highlight w:val="none"/>
        </w:rPr>
        <w:t>备注：</w:t>
      </w:r>
    </w:p>
    <w:p>
      <w:pPr>
        <w:tabs>
          <w:tab w:val="clear" w:pos="426"/>
        </w:tabs>
        <w:spacing w:line="240" w:lineRule="auto"/>
        <w:ind w:firstLine="424" w:firstLineChars="202"/>
        <w:rPr>
          <w:highlight w:val="none"/>
        </w:rPr>
      </w:pPr>
      <w:r>
        <w:rPr>
          <w:rFonts w:hint="eastAsia"/>
          <w:highlight w:val="none"/>
        </w:rPr>
        <w:t>1.有取值范围的，含上限值不含下限值。每一项的得分均不能超过该项最高分值。</w:t>
      </w:r>
    </w:p>
    <w:p>
      <w:pPr>
        <w:tabs>
          <w:tab w:val="clear" w:pos="426"/>
        </w:tabs>
        <w:spacing w:line="240" w:lineRule="auto"/>
        <w:ind w:firstLine="424" w:firstLineChars="202"/>
        <w:rPr>
          <w:highlight w:val="none"/>
        </w:rPr>
      </w:pPr>
      <w:r>
        <w:rPr>
          <w:rFonts w:hint="eastAsia"/>
          <w:highlight w:val="none"/>
        </w:rPr>
        <w:t>2.缺项则该项为0分或不合格为0分。</w:t>
      </w:r>
    </w:p>
    <w:p>
      <w:pPr>
        <w:tabs>
          <w:tab w:val="clear" w:pos="426"/>
        </w:tabs>
        <w:spacing w:line="240" w:lineRule="auto"/>
        <w:ind w:firstLine="424" w:firstLineChars="202"/>
        <w:rPr>
          <w:highlight w:val="none"/>
        </w:rPr>
      </w:pPr>
      <w:r>
        <w:rPr>
          <w:rFonts w:hint="eastAsia"/>
          <w:highlight w:val="none"/>
        </w:rPr>
        <w:t>3.价格、技术、商务部分为针对项目具体情况设置项目，累加满分为100分，固定额外加分部分为固定设置项，对涉及政策导向优先采购产品进行额外加分。</w:t>
      </w:r>
    </w:p>
    <w:p>
      <w:pPr>
        <w:tabs>
          <w:tab w:val="clear" w:pos="426"/>
        </w:tabs>
        <w:spacing w:line="240" w:lineRule="auto"/>
        <w:ind w:firstLine="424" w:firstLineChars="202"/>
        <w:rPr>
          <w:rFonts w:ascii="Arial" w:hAnsi="Arial" w:cs="Arial"/>
          <w:snapToGrid w:val="0"/>
          <w:szCs w:val="18"/>
          <w:highlight w:val="none"/>
        </w:rPr>
      </w:pPr>
      <w:r>
        <w:rPr>
          <w:rFonts w:hint="eastAsia"/>
          <w:highlight w:val="none"/>
        </w:rPr>
        <w:t>4.综合以上</w:t>
      </w:r>
      <w:r>
        <w:rPr>
          <w:rFonts w:hint="eastAsia"/>
          <w:snapToGrid w:val="0"/>
          <w:highlight w:val="none"/>
        </w:rPr>
        <w:t>分析比较，评委会将对各投标文件进行书面的量化评定，得分</w:t>
      </w:r>
      <w:r>
        <w:rPr>
          <w:rFonts w:ascii="Arial" w:hAnsi="Arial" w:cs="Arial"/>
          <w:snapToGrid w:val="0"/>
          <w:szCs w:val="18"/>
          <w:highlight w:val="none"/>
        </w:rPr>
        <w:t>精确到小数点后两位</w:t>
      </w:r>
      <w:r>
        <w:rPr>
          <w:rFonts w:hint="eastAsia" w:ascii="Arial" w:hAnsi="Arial" w:cs="Arial"/>
          <w:snapToGrid w:val="0"/>
          <w:szCs w:val="18"/>
          <w:highlight w:val="none"/>
        </w:rPr>
        <w:t>。</w:t>
      </w:r>
    </w:p>
    <w:p>
      <w:pPr>
        <w:tabs>
          <w:tab w:val="clear" w:pos="426"/>
        </w:tabs>
        <w:spacing w:line="240" w:lineRule="auto"/>
        <w:ind w:firstLine="424" w:firstLineChars="202"/>
        <w:rPr>
          <w:bCs/>
          <w:color w:val="000000"/>
          <w:highlight w:val="none"/>
        </w:rPr>
      </w:pPr>
      <w:r>
        <w:rPr>
          <w:rFonts w:hint="eastAsia"/>
          <w:bCs/>
          <w:color w:val="000000"/>
          <w:highlight w:val="none"/>
        </w:rPr>
        <w:t>5客观评分项，所有评审专家应当统一打分分值；主观评分项，评审专家应当按照打分标准独立打分，对于单项打分低于60%或者达到100%，评审专家需要做出书面合理说明。</w:t>
      </w:r>
    </w:p>
    <w:p>
      <w:pPr>
        <w:tabs>
          <w:tab w:val="clear" w:pos="426"/>
        </w:tabs>
        <w:spacing w:line="240" w:lineRule="auto"/>
        <w:ind w:firstLine="424" w:firstLineChars="202"/>
        <w:jc w:val="left"/>
        <w:rPr>
          <w:bCs/>
          <w:color w:val="000000"/>
          <w:highlight w:val="none"/>
        </w:rPr>
      </w:pPr>
      <w:r>
        <w:rPr>
          <w:rFonts w:hint="eastAsia"/>
          <w:bCs/>
          <w:color w:val="000000"/>
          <w:highlight w:val="none"/>
        </w:rPr>
        <w:t>6.根据财政部《关于在政府采购活动中查询及使用信用记录有关问题的通知》（财库</w:t>
      </w:r>
      <w:r>
        <w:rPr>
          <w:rFonts w:ascii="Arial" w:hAnsi="Arial" w:cs="Arial"/>
          <w:color w:val="333333"/>
          <w:sz w:val="20"/>
          <w:szCs w:val="20"/>
          <w:highlight w:val="none"/>
          <w:shd w:val="clear" w:color="auto" w:fill="FFFFFF"/>
        </w:rPr>
        <w:t>〔</w:t>
      </w:r>
      <w:r>
        <w:rPr>
          <w:rFonts w:hint="eastAsia" w:ascii="Arial" w:hAnsi="Arial" w:cs="Arial"/>
          <w:color w:val="333333"/>
          <w:sz w:val="20"/>
          <w:szCs w:val="20"/>
          <w:highlight w:val="none"/>
          <w:shd w:val="clear" w:color="auto" w:fill="FFFFFF"/>
        </w:rPr>
        <w:t>2016</w:t>
      </w:r>
      <w:r>
        <w:rPr>
          <w:rFonts w:ascii="Arial" w:hAnsi="Arial" w:cs="Arial"/>
          <w:color w:val="333333"/>
          <w:sz w:val="20"/>
          <w:szCs w:val="20"/>
          <w:highlight w:val="none"/>
          <w:shd w:val="clear" w:color="auto" w:fill="FFFFFF"/>
        </w:rPr>
        <w:t>〕</w:t>
      </w:r>
      <w:r>
        <w:rPr>
          <w:rFonts w:hint="eastAsia" w:ascii="Arial" w:hAnsi="Arial" w:cs="Arial"/>
          <w:color w:val="333333"/>
          <w:sz w:val="20"/>
          <w:szCs w:val="20"/>
          <w:highlight w:val="none"/>
          <w:shd w:val="clear" w:color="auto" w:fill="FFFFFF"/>
        </w:rPr>
        <w:t>125号</w:t>
      </w:r>
      <w:r>
        <w:rPr>
          <w:rFonts w:hint="eastAsia"/>
          <w:bCs/>
          <w:color w:val="000000"/>
          <w:highlight w:val="none"/>
        </w:rPr>
        <w:t>）、《深圳市政府采购供应商诚信管理暂行办法》（深财规〔</w:t>
      </w:r>
      <w:r>
        <w:rPr>
          <w:bCs/>
          <w:color w:val="000000"/>
          <w:highlight w:val="none"/>
        </w:rPr>
        <w:t>2017〕8号</w:t>
      </w:r>
      <w:r>
        <w:rPr>
          <w:rFonts w:hint="eastAsia"/>
          <w:bCs/>
          <w:color w:val="000000"/>
          <w:highlight w:val="none"/>
        </w:rPr>
        <w:t>），供应商信用信息的查询渠道为“信用中国（</w:t>
      </w:r>
      <w:r>
        <w:rPr>
          <w:bCs/>
          <w:color w:val="000000"/>
          <w:highlight w:val="none"/>
        </w:rPr>
        <w:t>https://www.creditchina.gov.cn/</w:t>
      </w:r>
      <w:r>
        <w:rPr>
          <w:rFonts w:hint="eastAsia"/>
          <w:bCs/>
          <w:color w:val="000000"/>
          <w:highlight w:val="none"/>
        </w:rPr>
        <w:t>）”、 “中国政府采购网（</w:t>
      </w:r>
      <w:r>
        <w:rPr>
          <w:bCs/>
          <w:color w:val="000000"/>
          <w:highlight w:val="none"/>
        </w:rPr>
        <w:t>http://www.ccgp.gov.cn/</w:t>
      </w:r>
      <w:r>
        <w:rPr>
          <w:rFonts w:hint="eastAsia"/>
          <w:bCs/>
          <w:color w:val="000000"/>
          <w:highlight w:val="none"/>
        </w:rPr>
        <w:t>）”、“深圳市政府采购监管网（</w:t>
      </w:r>
      <w:r>
        <w:rPr>
          <w:bCs/>
          <w:color w:val="000000"/>
          <w:highlight w:val="none"/>
        </w:rPr>
        <w:t>http://www.zfcg.sz.gov.cn/</w:t>
      </w:r>
      <w:r>
        <w:rPr>
          <w:rFonts w:hint="eastAsia"/>
          <w:bCs/>
          <w:color w:val="000000"/>
          <w:highlight w:val="none"/>
        </w:rPr>
        <w:t>）”，相关信息以中标通知书发出前的查询结果为准。</w:t>
      </w:r>
    </w:p>
    <w:p>
      <w:pPr>
        <w:tabs>
          <w:tab w:val="clear" w:pos="426"/>
        </w:tabs>
        <w:spacing w:line="240" w:lineRule="auto"/>
        <w:rPr>
          <w:bCs/>
          <w:color w:val="000000"/>
          <w:highlight w:val="none"/>
        </w:rPr>
      </w:pPr>
    </w:p>
    <w:p>
      <w:pPr>
        <w:widowControl w:val="0"/>
        <w:shd w:val="clear" w:color="auto" w:fill="auto"/>
        <w:tabs>
          <w:tab w:val="clear" w:pos="426"/>
        </w:tabs>
        <w:adjustRightInd/>
        <w:snapToGrid/>
        <w:spacing w:line="240" w:lineRule="auto"/>
        <w:jc w:val="left"/>
        <w:rPr>
          <w:rFonts w:ascii="Calibri" w:hAnsi="Calibri" w:cs="Times New Roman"/>
          <w:b/>
          <w:kern w:val="2"/>
          <w:szCs w:val="22"/>
          <w:highlight w:val="none"/>
        </w:rPr>
      </w:pPr>
    </w:p>
    <w:p>
      <w:pPr>
        <w:widowControl w:val="0"/>
        <w:shd w:val="clear" w:color="auto" w:fill="auto"/>
        <w:tabs>
          <w:tab w:val="clear" w:pos="426"/>
        </w:tabs>
        <w:adjustRightInd/>
        <w:snapToGrid/>
        <w:spacing w:line="240" w:lineRule="auto"/>
        <w:jc w:val="left"/>
        <w:rPr>
          <w:rFonts w:ascii="Calibri" w:hAnsi="Calibri" w:cs="Times New Roman"/>
          <w:b/>
          <w:kern w:val="2"/>
          <w:szCs w:val="22"/>
          <w:highlight w:val="none"/>
        </w:rPr>
      </w:pPr>
    </w:p>
    <w:p>
      <w:pPr>
        <w:widowControl w:val="0"/>
        <w:shd w:val="clear" w:color="auto" w:fill="auto"/>
        <w:tabs>
          <w:tab w:val="clear" w:pos="426"/>
        </w:tabs>
        <w:adjustRightInd/>
        <w:snapToGrid/>
        <w:spacing w:line="240" w:lineRule="auto"/>
        <w:jc w:val="left"/>
        <w:rPr>
          <w:rFonts w:ascii="Calibri" w:hAnsi="Calibri" w:cs="Times New Roman"/>
          <w:b/>
          <w:kern w:val="2"/>
          <w:szCs w:val="22"/>
          <w:highlight w:val="none"/>
        </w:rPr>
      </w:pPr>
    </w:p>
    <w:p>
      <w:pPr>
        <w:shd w:val="clear" w:color="auto" w:fill="auto"/>
        <w:tabs>
          <w:tab w:val="clear" w:pos="426"/>
        </w:tabs>
        <w:adjustRightInd/>
        <w:snapToGrid/>
        <w:spacing w:line="240" w:lineRule="auto"/>
        <w:jc w:val="left"/>
        <w:rPr>
          <w:rFonts w:ascii="Calibri" w:hAnsi="Calibri" w:cs="Times New Roman"/>
          <w:b/>
          <w:kern w:val="2"/>
          <w:szCs w:val="22"/>
          <w:highlight w:val="none"/>
        </w:rPr>
      </w:pPr>
    </w:p>
    <w:p>
      <w:pPr>
        <w:shd w:val="clear" w:color="auto" w:fill="auto"/>
        <w:tabs>
          <w:tab w:val="clear" w:pos="426"/>
        </w:tabs>
        <w:adjustRightInd/>
        <w:snapToGrid/>
        <w:spacing w:line="240" w:lineRule="auto"/>
        <w:jc w:val="left"/>
        <w:rPr>
          <w:rFonts w:ascii="Calibri" w:hAnsi="Calibri" w:cs="Times New Roman"/>
          <w:b/>
          <w:kern w:val="2"/>
          <w:szCs w:val="22"/>
          <w:highlight w:val="none"/>
        </w:rPr>
      </w:pPr>
      <w:r>
        <w:rPr>
          <w:rFonts w:ascii="Calibri" w:hAnsi="Calibri" w:cs="Times New Roman"/>
          <w:b/>
          <w:kern w:val="2"/>
          <w:szCs w:val="22"/>
          <w:highlight w:val="none"/>
        </w:rPr>
        <w:br w:type="page"/>
      </w:r>
    </w:p>
    <w:p>
      <w:pPr>
        <w:pStyle w:val="33"/>
        <w:tabs>
          <w:tab w:val="clear" w:pos="426"/>
        </w:tabs>
        <w:rPr>
          <w:highlight w:val="none"/>
        </w:rPr>
      </w:pPr>
      <w:bookmarkStart w:id="27" w:name="_Toc5875384"/>
      <w:bookmarkStart w:id="28" w:name="_Toc482964468"/>
      <w:bookmarkStart w:id="29" w:name="_Hlk5873239"/>
      <w:r>
        <w:rPr>
          <w:rFonts w:hint="eastAsia"/>
          <w:highlight w:val="none"/>
        </w:rPr>
        <w:t>定</w:t>
      </w:r>
      <w:r>
        <w:rPr>
          <w:highlight w:val="none"/>
        </w:rPr>
        <w:t>标信息</w:t>
      </w:r>
      <w:bookmarkEnd w:id="27"/>
      <w:bookmarkEnd w:id="28"/>
    </w:p>
    <w:p>
      <w:pPr>
        <w:tabs>
          <w:tab w:val="clear" w:pos="426"/>
        </w:tabs>
        <w:wordWrap w:val="0"/>
        <w:rPr>
          <w:b/>
          <w:bCs/>
          <w:highlight w:val="none"/>
        </w:rPr>
      </w:pPr>
    </w:p>
    <w:p>
      <w:pPr>
        <w:tabs>
          <w:tab w:val="clear" w:pos="426"/>
        </w:tabs>
        <w:wordWrap w:val="0"/>
        <w:rPr>
          <w:b/>
          <w:bCs/>
          <w:highlight w:val="none"/>
        </w:rPr>
      </w:pPr>
      <w:r>
        <w:rPr>
          <w:rFonts w:hint="eastAsia"/>
          <w:b/>
          <w:bCs/>
          <w:highlight w:val="none"/>
        </w:rPr>
        <w:t>一、定标原则</w:t>
      </w:r>
    </w:p>
    <w:p>
      <w:pPr>
        <w:tabs>
          <w:tab w:val="clear" w:pos="426"/>
        </w:tabs>
        <w:ind w:firstLine="411" w:firstLineChars="196"/>
        <w:rPr>
          <w:highlight w:val="none"/>
        </w:rPr>
      </w:pPr>
      <w:r>
        <w:rPr>
          <w:rFonts w:hint="eastAsia"/>
          <w:highlight w:val="none"/>
        </w:rPr>
        <w:t>按照招标文件规定的《评标信息》进行评审后，进入定标程序的三家投标单位按照自定法定标程序确定中标候选人。经采购人同意后，确定为中标人。</w:t>
      </w:r>
    </w:p>
    <w:p>
      <w:pPr>
        <w:tabs>
          <w:tab w:val="clear" w:pos="426"/>
        </w:tabs>
        <w:rPr>
          <w:highlight w:val="none"/>
        </w:rPr>
      </w:pPr>
    </w:p>
    <w:p>
      <w:pPr>
        <w:tabs>
          <w:tab w:val="clear" w:pos="426"/>
        </w:tabs>
        <w:rPr>
          <w:b/>
          <w:highlight w:val="none"/>
        </w:rPr>
      </w:pPr>
      <w:r>
        <w:rPr>
          <w:rFonts w:hint="eastAsia"/>
          <w:b/>
          <w:highlight w:val="none"/>
        </w:rPr>
        <w:t>二、定标流程</w:t>
      </w:r>
    </w:p>
    <w:p>
      <w:pPr>
        <w:tabs>
          <w:tab w:val="clear" w:pos="426"/>
        </w:tabs>
        <w:ind w:firstLine="420" w:firstLineChars="200"/>
        <w:rPr>
          <w:highlight w:val="none"/>
        </w:rPr>
      </w:pPr>
      <w:r>
        <w:rPr>
          <w:highlight w:val="none"/>
        </w:rPr>
        <w:t>1</w:t>
      </w:r>
      <w:r>
        <w:rPr>
          <w:rFonts w:hint="eastAsia"/>
          <w:highlight w:val="none"/>
        </w:rPr>
        <w:t>.项目评审结束之日起</w:t>
      </w:r>
      <w:r>
        <w:rPr>
          <w:highlight w:val="none"/>
        </w:rPr>
        <w:t>2</w:t>
      </w:r>
      <w:r>
        <w:rPr>
          <w:rFonts w:hint="eastAsia"/>
          <w:highlight w:val="none"/>
        </w:rPr>
        <w:t>个工作日内，采购人领取《评审报告》、《采购结果确定书》等材料；</w:t>
      </w:r>
    </w:p>
    <w:p>
      <w:pPr>
        <w:tabs>
          <w:tab w:val="clear" w:pos="426"/>
        </w:tabs>
        <w:ind w:firstLine="420" w:firstLineChars="200"/>
        <w:rPr>
          <w:highlight w:val="none"/>
        </w:rPr>
      </w:pPr>
      <w:r>
        <w:rPr>
          <w:highlight w:val="none"/>
        </w:rPr>
        <w:t>2</w:t>
      </w:r>
      <w:r>
        <w:rPr>
          <w:rFonts w:hint="eastAsia"/>
          <w:highlight w:val="none"/>
        </w:rPr>
        <w:t>.采购人应当在自收到评审报告之日起</w:t>
      </w:r>
      <w:r>
        <w:rPr>
          <w:highlight w:val="none"/>
        </w:rPr>
        <w:t>2</w:t>
      </w:r>
      <w:r>
        <w:rPr>
          <w:rFonts w:hint="eastAsia"/>
          <w:highlight w:val="none"/>
        </w:rPr>
        <w:t>个工作日内，组成定标委员会，召开定标会并确定中标人。</w:t>
      </w:r>
    </w:p>
    <w:p>
      <w:pPr>
        <w:tabs>
          <w:tab w:val="clear" w:pos="426"/>
        </w:tabs>
        <w:ind w:firstLine="420" w:firstLineChars="200"/>
        <w:rPr>
          <w:highlight w:val="none"/>
        </w:rPr>
      </w:pPr>
      <w:r>
        <w:rPr>
          <w:rFonts w:hint="eastAsia"/>
          <w:highlight w:val="none"/>
        </w:rPr>
        <w:t>定标委员会应当由</w:t>
      </w:r>
      <w:r>
        <w:rPr>
          <w:highlight w:val="none"/>
        </w:rPr>
        <w:t>5人或以上单数组成，采购人应当按照以下要求组成定标委员会：</w:t>
      </w:r>
    </w:p>
    <w:p>
      <w:pPr>
        <w:tabs>
          <w:tab w:val="clear" w:pos="426"/>
        </w:tabs>
        <w:ind w:firstLine="420" w:firstLineChars="200"/>
        <w:rPr>
          <w:highlight w:val="none"/>
        </w:rPr>
      </w:pPr>
      <w:r>
        <w:rPr>
          <w:rFonts w:hint="eastAsia"/>
          <w:highlight w:val="none"/>
        </w:rPr>
        <w:t>（一）采购金额在</w:t>
      </w:r>
      <w:r>
        <w:rPr>
          <w:highlight w:val="none"/>
        </w:rPr>
        <w:t>100万元以下（不含100万元）的采购项目，定标委员会应当由3人或以上单数组成，定标委员会成员应当由采购人的中层管理人员、所采购项目管理人员等组成。</w:t>
      </w:r>
    </w:p>
    <w:p>
      <w:pPr>
        <w:tabs>
          <w:tab w:val="clear" w:pos="426"/>
        </w:tabs>
        <w:ind w:firstLine="420" w:firstLineChars="200"/>
        <w:rPr>
          <w:highlight w:val="none"/>
        </w:rPr>
      </w:pPr>
      <w:r>
        <w:rPr>
          <w:rFonts w:hint="eastAsia"/>
          <w:highlight w:val="none"/>
        </w:rPr>
        <w:t>（二）采购金额在</w:t>
      </w:r>
      <w:r>
        <w:rPr>
          <w:highlight w:val="none"/>
        </w:rPr>
        <w:t>100万元以上（含100万元）500万元以下（不含500万元）的采购项目，定标委员会应当由5人或以上单数组成，定标委员会成员应当由采购人的高层管理人员、中层管理人员、所采购项目管理人员（或者具有与所采购项目对应的专业领域中级以上职称的专家）等组成。</w:t>
      </w:r>
    </w:p>
    <w:p>
      <w:pPr>
        <w:tabs>
          <w:tab w:val="clear" w:pos="426"/>
        </w:tabs>
        <w:ind w:firstLine="420" w:firstLineChars="200"/>
        <w:rPr>
          <w:highlight w:val="none"/>
        </w:rPr>
      </w:pPr>
      <w:r>
        <w:rPr>
          <w:rFonts w:hint="eastAsia"/>
          <w:highlight w:val="none"/>
        </w:rPr>
        <w:t>（三）采购金额在</w:t>
      </w:r>
      <w:r>
        <w:rPr>
          <w:highlight w:val="none"/>
        </w:rPr>
        <w:t>500万元以上（含500万元）的采购项目，定标委员会应当由7人或以上单数组成，定标委员会成员应当由采购人的行政首长、其他高层管理人员、中层管理人员、所采购项目管理人员（或者具有与所采购项目对应的专业领域中级以上职称的专家）等组成。</w:t>
      </w:r>
    </w:p>
    <w:p>
      <w:pPr>
        <w:tabs>
          <w:tab w:val="clear" w:pos="426"/>
        </w:tabs>
        <w:ind w:firstLine="420" w:firstLineChars="200"/>
        <w:rPr>
          <w:highlight w:val="none"/>
        </w:rPr>
      </w:pPr>
      <w:r>
        <w:rPr>
          <w:rFonts w:hint="eastAsia"/>
          <w:highlight w:val="none"/>
        </w:rPr>
        <w:t>定标委员会成员应当在定标当日由采购人从</w:t>
      </w:r>
      <w:r>
        <w:rPr>
          <w:highlight w:val="none"/>
        </w:rPr>
        <w:t>2倍以上符合条件的备选人员名单中随机抽取确定。其中采购人行政首长和高层管理人员无需随机抽取。</w:t>
      </w:r>
    </w:p>
    <w:p>
      <w:pPr>
        <w:tabs>
          <w:tab w:val="clear" w:pos="426"/>
        </w:tabs>
        <w:ind w:firstLine="420" w:firstLineChars="200"/>
        <w:rPr>
          <w:highlight w:val="none"/>
        </w:rPr>
      </w:pPr>
      <w:r>
        <w:rPr>
          <w:rFonts w:hint="eastAsia"/>
          <w:highlight w:val="none"/>
        </w:rPr>
        <w:t>采购人自身人数无法达到本办法规定的定标委员会人数的，可委托采购代理机构申请随机抽取与政府采购项目对应的专家参与组成定标委员会，但定标专家比例不得超过定标委员会人数的三分之一。</w:t>
      </w:r>
    </w:p>
    <w:p>
      <w:pPr>
        <w:tabs>
          <w:tab w:val="clear" w:pos="426"/>
        </w:tabs>
        <w:ind w:firstLine="420" w:firstLineChars="200"/>
        <w:rPr>
          <w:highlight w:val="none"/>
        </w:rPr>
      </w:pPr>
      <w:r>
        <w:rPr>
          <w:rFonts w:hint="eastAsia"/>
          <w:highlight w:val="none"/>
        </w:rPr>
        <w:t>定标委员会组成后，采购人应当推选</w:t>
      </w:r>
      <w:r>
        <w:rPr>
          <w:highlight w:val="none"/>
        </w:rPr>
        <w:t>1</w:t>
      </w:r>
      <w:r>
        <w:rPr>
          <w:rFonts w:hint="eastAsia"/>
          <w:highlight w:val="none"/>
        </w:rPr>
        <w:t>人为定标委员会主任，主持当次定标会议并依据招标文件进行定标的各项程序。</w:t>
      </w:r>
    </w:p>
    <w:p>
      <w:pPr>
        <w:tabs>
          <w:tab w:val="clear" w:pos="426"/>
        </w:tabs>
        <w:ind w:firstLine="420" w:firstLineChars="200"/>
        <w:rPr>
          <w:highlight w:val="none"/>
        </w:rPr>
      </w:pPr>
      <w:r>
        <w:rPr>
          <w:highlight w:val="none"/>
        </w:rPr>
        <w:t>采购人组成定标委员会后可选取</w:t>
      </w:r>
      <w:r>
        <w:rPr>
          <w:rFonts w:hint="eastAsia"/>
          <w:highlight w:val="none"/>
        </w:rPr>
        <w:t>以</w:t>
      </w:r>
      <w:r>
        <w:rPr>
          <w:highlight w:val="none"/>
        </w:rPr>
        <w:t>下方式之一定标：</w:t>
      </w:r>
    </w:p>
    <w:p>
      <w:pPr>
        <w:tabs>
          <w:tab w:val="clear" w:pos="426"/>
        </w:tabs>
        <w:ind w:firstLine="420" w:firstLineChars="200"/>
        <w:rPr>
          <w:highlight w:val="none"/>
        </w:rPr>
      </w:pPr>
      <w:r>
        <w:rPr>
          <w:highlight w:val="none"/>
        </w:rPr>
        <w:t>（1）直线票决法：直线票决法分为一次票决、逐轮票决、先票决后抽签和先票决后竞价四种方式，定标委员会成员所有投票及意见均采取实名制且应当进行书面记录，作为定标报告的重要内容。</w:t>
      </w:r>
    </w:p>
    <w:p>
      <w:pPr>
        <w:tabs>
          <w:tab w:val="clear" w:pos="426"/>
        </w:tabs>
        <w:ind w:firstLine="420" w:firstLineChars="200"/>
        <w:rPr>
          <w:highlight w:val="none"/>
        </w:rPr>
      </w:pPr>
      <w:r>
        <w:rPr>
          <w:highlight w:val="none"/>
        </w:rPr>
        <w:t>（2）集体议事法：定标委员会通过召开会议，集体商议决策确定中标供应商，由定标委员会主任最终确定。所有参加会议的定标委员会成员的意见，应当全部书面记录，并由定标委员会成员签字确认。</w:t>
      </w:r>
    </w:p>
    <w:p>
      <w:pPr>
        <w:tabs>
          <w:tab w:val="clear" w:pos="426"/>
        </w:tabs>
        <w:ind w:firstLine="420" w:firstLineChars="200"/>
        <w:rPr>
          <w:highlight w:val="none"/>
        </w:rPr>
      </w:pPr>
      <w:r>
        <w:rPr>
          <w:highlight w:val="none"/>
        </w:rPr>
        <w:t>（3）累积投票法：定标委员会每个成员都持有等同于推荐候选中标供应商数量100倍的分值，定标委员会成员既可用所有的分值集中投给某一个推荐候选中标供应商，也可将分值分散投给全部或者部分推荐候选中标供应商。按最终得分多少确定中标供应商，即得分最高的供应商为中标供应商。</w:t>
      </w:r>
    </w:p>
    <w:p>
      <w:pPr>
        <w:tabs>
          <w:tab w:val="clear" w:pos="426"/>
        </w:tabs>
        <w:ind w:firstLine="420" w:firstLineChars="200"/>
        <w:rPr>
          <w:highlight w:val="none"/>
        </w:rPr>
      </w:pPr>
      <w:r>
        <w:rPr>
          <w:highlight w:val="none"/>
        </w:rPr>
        <w:t>3</w:t>
      </w:r>
      <w:r>
        <w:rPr>
          <w:rFonts w:hint="eastAsia"/>
          <w:highlight w:val="none"/>
        </w:rPr>
        <w:t>.采购人应当在定标会召开后的</w:t>
      </w:r>
      <w:r>
        <w:rPr>
          <w:highlight w:val="none"/>
        </w:rPr>
        <w:t>2</w:t>
      </w:r>
      <w:r>
        <w:rPr>
          <w:rFonts w:hint="eastAsia"/>
          <w:highlight w:val="none"/>
        </w:rPr>
        <w:t>个工作日内，将《定标书面记录》、《定标报告》在采购人内部网站或者内部公共办公区域公示，公示日期不少于</w:t>
      </w:r>
      <w:r>
        <w:rPr>
          <w:highlight w:val="none"/>
        </w:rPr>
        <w:t>3</w:t>
      </w:r>
      <w:r>
        <w:rPr>
          <w:rFonts w:hint="eastAsia"/>
          <w:highlight w:val="none"/>
        </w:rPr>
        <w:t>个工作日。公示内容包括定标委员会候选人员名单、正式成员名单、定标程序、定标环节及定标结果等内容。</w:t>
      </w:r>
    </w:p>
    <w:p>
      <w:pPr>
        <w:tabs>
          <w:tab w:val="clear" w:pos="426"/>
        </w:tabs>
        <w:ind w:firstLine="420" w:firstLineChars="200"/>
        <w:rPr>
          <w:highlight w:val="none"/>
        </w:rPr>
      </w:pPr>
      <w:r>
        <w:rPr>
          <w:highlight w:val="none"/>
        </w:rPr>
        <w:t>4</w:t>
      </w:r>
      <w:r>
        <w:rPr>
          <w:rFonts w:hint="eastAsia"/>
          <w:highlight w:val="none"/>
        </w:rPr>
        <w:t>.采购人应当在公示结束后</w:t>
      </w:r>
      <w:r>
        <w:rPr>
          <w:highlight w:val="none"/>
        </w:rPr>
        <w:t>2</w:t>
      </w:r>
      <w:r>
        <w:rPr>
          <w:rFonts w:hint="eastAsia"/>
          <w:highlight w:val="none"/>
        </w:rPr>
        <w:t>个工作日内，将《定标报告》和《采购结果确定书》移交采购代理机构。定标报告应当包括但不限于定标委员会候选人员名单、正式成员名单、定标委员会的产生过程、定标程序及定标结果等内容。</w:t>
      </w:r>
    </w:p>
    <w:p>
      <w:pPr>
        <w:tabs>
          <w:tab w:val="clear" w:pos="426"/>
        </w:tabs>
        <w:ind w:firstLine="420" w:firstLineChars="200"/>
        <w:rPr>
          <w:highlight w:val="none"/>
        </w:rPr>
      </w:pPr>
      <w:r>
        <w:rPr>
          <w:highlight w:val="none"/>
        </w:rPr>
        <w:t>5</w:t>
      </w:r>
      <w:r>
        <w:rPr>
          <w:rFonts w:hint="eastAsia"/>
          <w:highlight w:val="none"/>
        </w:rPr>
        <w:t>.采购代理机构项目评审负责人收到《定标报告》和《采购结果确定书》后当天在深圳市政府采购网发布项目《中标结果公示》。</w:t>
      </w:r>
    </w:p>
    <w:p>
      <w:pPr>
        <w:tabs>
          <w:tab w:val="clear" w:pos="426"/>
        </w:tabs>
        <w:ind w:firstLine="420" w:firstLineChars="200"/>
        <w:rPr>
          <w:highlight w:val="none"/>
        </w:rPr>
      </w:pPr>
      <w:r>
        <w:rPr>
          <w:highlight w:val="none"/>
        </w:rPr>
        <w:t>6</w:t>
      </w:r>
      <w:r>
        <w:rPr>
          <w:rFonts w:hint="eastAsia"/>
          <w:highlight w:val="none"/>
        </w:rPr>
        <w:t>.中标结果公示后，如无质疑投诉或已按相关法规妥善处理，采购代理机构发出中标通知书。</w:t>
      </w:r>
    </w:p>
    <w:bookmarkEnd w:id="29"/>
    <w:p>
      <w:pPr>
        <w:pStyle w:val="42"/>
        <w:tabs>
          <w:tab w:val="clear" w:pos="426"/>
        </w:tabs>
        <w:rPr>
          <w:highlight w:val="none"/>
        </w:rPr>
      </w:pPr>
      <w:r>
        <w:rPr>
          <w:highlight w:val="none"/>
        </w:rPr>
        <w:br w:type="page"/>
      </w:r>
      <w:bookmarkStart w:id="30" w:name="_Toc5875387"/>
      <w:r>
        <w:rPr>
          <w:rFonts w:hint="eastAsia"/>
          <w:highlight w:val="none"/>
        </w:rPr>
        <w:t>第一册  专用条款</w:t>
      </w:r>
      <w:bookmarkEnd w:id="26"/>
      <w:bookmarkEnd w:id="30"/>
    </w:p>
    <w:p>
      <w:pPr>
        <w:pStyle w:val="33"/>
        <w:tabs>
          <w:tab w:val="clear" w:pos="426"/>
        </w:tabs>
        <w:rPr>
          <w:highlight w:val="none"/>
        </w:rPr>
      </w:pPr>
      <w:bookmarkStart w:id="31" w:name="_Toc265483798"/>
      <w:bookmarkStart w:id="32" w:name="_Toc432592813"/>
      <w:bookmarkStart w:id="33" w:name="_Toc5875388"/>
      <w:r>
        <w:rPr>
          <w:rFonts w:hint="eastAsia"/>
          <w:highlight w:val="none"/>
        </w:rPr>
        <w:t>第一章 采购公告</w:t>
      </w:r>
      <w:bookmarkEnd w:id="31"/>
      <w:bookmarkEnd w:id="32"/>
      <w:bookmarkEnd w:id="33"/>
    </w:p>
    <w:p>
      <w:pPr>
        <w:tabs>
          <w:tab w:val="clear" w:pos="426"/>
        </w:tabs>
        <w:rPr>
          <w:b/>
          <w:highlight w:val="none"/>
        </w:rPr>
      </w:pPr>
      <w:bookmarkStart w:id="381" w:name="_GoBack"/>
      <w:r>
        <w:rPr>
          <w:rFonts w:hint="eastAsia"/>
          <w:b/>
          <w:highlight w:val="none"/>
        </w:rPr>
        <w:t>一、项目概况</w:t>
      </w:r>
    </w:p>
    <w:p>
      <w:pPr>
        <w:tabs>
          <w:tab w:val="clear" w:pos="426"/>
        </w:tabs>
        <w:ind w:firstLine="424" w:firstLineChars="202"/>
        <w:rPr>
          <w:kern w:val="2"/>
          <w:highlight w:val="none"/>
        </w:rPr>
      </w:pPr>
      <w:bookmarkStart w:id="34" w:name="项目概况2"/>
      <w:r>
        <w:rPr>
          <w:rFonts w:hint="eastAsia"/>
          <w:highlight w:val="none"/>
        </w:rPr>
        <w:t>1.招标项目编号：SSZX2019-134</w:t>
      </w:r>
    </w:p>
    <w:p>
      <w:pPr>
        <w:tabs>
          <w:tab w:val="clear" w:pos="426"/>
        </w:tabs>
        <w:ind w:firstLine="424" w:firstLineChars="202"/>
        <w:rPr>
          <w:highlight w:val="none"/>
        </w:rPr>
      </w:pPr>
      <w:r>
        <w:rPr>
          <w:rFonts w:hint="eastAsia"/>
          <w:highlight w:val="none"/>
        </w:rPr>
        <w:t>2.项目名称：同心外国语学校二期电脑室、办公设备、网络监控消防广播系统迁移采购</w:t>
      </w:r>
    </w:p>
    <w:p>
      <w:pPr>
        <w:tabs>
          <w:tab w:val="clear" w:pos="426"/>
        </w:tabs>
        <w:ind w:firstLine="424" w:firstLineChars="202"/>
        <w:rPr>
          <w:highlight w:val="none"/>
        </w:rPr>
      </w:pPr>
      <w:r>
        <w:rPr>
          <w:rFonts w:hint="eastAsia"/>
          <w:highlight w:val="none"/>
        </w:rPr>
        <w:t>3.采购人：深圳市坪山区同心外国语学校</w:t>
      </w:r>
    </w:p>
    <w:p>
      <w:pPr>
        <w:tabs>
          <w:tab w:val="clear" w:pos="426"/>
        </w:tabs>
        <w:ind w:firstLine="424" w:firstLineChars="202"/>
        <w:rPr>
          <w:highlight w:val="none"/>
        </w:rPr>
      </w:pPr>
      <w:r>
        <w:rPr>
          <w:rFonts w:hint="eastAsia"/>
          <w:highlight w:val="none"/>
        </w:rPr>
        <w:t>4.采购代理机构：深圳市深水水务咨询有限公司</w:t>
      </w:r>
    </w:p>
    <w:p>
      <w:pPr>
        <w:tabs>
          <w:tab w:val="clear" w:pos="426"/>
        </w:tabs>
        <w:ind w:firstLine="424" w:firstLineChars="202"/>
        <w:rPr>
          <w:highlight w:val="none"/>
        </w:rPr>
      </w:pPr>
      <w:r>
        <w:rPr>
          <w:rFonts w:hint="eastAsia"/>
          <w:highlight w:val="none"/>
        </w:rPr>
        <w:t>5.项目地点：深圳市</w:t>
      </w:r>
    </w:p>
    <w:p>
      <w:pPr>
        <w:tabs>
          <w:tab w:val="clear" w:pos="426"/>
        </w:tabs>
        <w:ind w:firstLine="424" w:firstLineChars="202"/>
        <w:rPr>
          <w:highlight w:val="none"/>
        </w:rPr>
      </w:pPr>
      <w:r>
        <w:rPr>
          <w:rFonts w:hint="eastAsia"/>
          <w:highlight w:val="none"/>
        </w:rPr>
        <w:t>6.项目规模及特征：详</w:t>
      </w:r>
      <w:r>
        <w:rPr>
          <w:rFonts w:hint="eastAsia"/>
          <w:kern w:val="2"/>
          <w:highlight w:val="none"/>
        </w:rPr>
        <w:t>见招标文件及采购需求</w:t>
      </w:r>
      <w:r>
        <w:rPr>
          <w:rFonts w:hint="eastAsia"/>
          <w:highlight w:val="none"/>
        </w:rPr>
        <w:t>。</w:t>
      </w:r>
    </w:p>
    <w:p>
      <w:pPr>
        <w:tabs>
          <w:tab w:val="clear" w:pos="426"/>
        </w:tabs>
        <w:ind w:firstLine="424" w:firstLineChars="202"/>
        <w:rPr>
          <w:highlight w:val="none"/>
        </w:rPr>
      </w:pPr>
      <w:r>
        <w:rPr>
          <w:rFonts w:hint="eastAsia"/>
          <w:highlight w:val="none"/>
        </w:rPr>
        <w:t>7.资金来源：财政资金100%</w:t>
      </w:r>
    </w:p>
    <w:p>
      <w:pPr>
        <w:tabs>
          <w:tab w:val="clear" w:pos="426"/>
        </w:tabs>
        <w:ind w:firstLine="424" w:firstLineChars="202"/>
        <w:rPr>
          <w:highlight w:val="none"/>
        </w:rPr>
      </w:pPr>
      <w:r>
        <w:rPr>
          <w:rFonts w:hint="eastAsia"/>
          <w:highlight w:val="none"/>
        </w:rPr>
        <w:t>8</w:t>
      </w:r>
      <w:r>
        <w:rPr>
          <w:highlight w:val="none"/>
        </w:rPr>
        <w:t>.</w:t>
      </w:r>
      <w:r>
        <w:rPr>
          <w:rFonts w:hint="eastAsia"/>
          <w:highlight w:val="none"/>
        </w:rPr>
        <w:t xml:space="preserve"> 采购计划编号：PLAN-2019-007059-000013</w:t>
      </w:r>
    </w:p>
    <w:p>
      <w:pPr>
        <w:tabs>
          <w:tab w:val="clear" w:pos="426"/>
        </w:tabs>
        <w:ind w:firstLine="424" w:firstLineChars="202"/>
        <w:rPr>
          <w:highlight w:val="none"/>
        </w:rPr>
      </w:pPr>
      <w:r>
        <w:rPr>
          <w:color w:val="000000"/>
          <w:highlight w:val="none"/>
        </w:rPr>
        <w:t>9</w:t>
      </w:r>
      <w:r>
        <w:rPr>
          <w:rFonts w:hint="eastAsia"/>
          <w:color w:val="000000"/>
          <w:highlight w:val="none"/>
        </w:rPr>
        <w:t>.采购内容</w:t>
      </w:r>
      <w:r>
        <w:rPr>
          <w:rFonts w:hint="eastAsia"/>
          <w:highlight w:val="none"/>
        </w:rPr>
        <w:t>：同心外国语学校二期电脑室、办公设备、网络监控消防广播系统迁移采购，详</w:t>
      </w:r>
      <w:r>
        <w:rPr>
          <w:rFonts w:hint="eastAsia"/>
          <w:kern w:val="2"/>
          <w:highlight w:val="none"/>
        </w:rPr>
        <w:t>见招标文件及采购需求</w:t>
      </w:r>
      <w:r>
        <w:rPr>
          <w:rFonts w:hint="eastAsia"/>
          <w:highlight w:val="none"/>
        </w:rPr>
        <w:t>。</w:t>
      </w:r>
    </w:p>
    <w:tbl>
      <w:tblPr>
        <w:tblStyle w:val="4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2565"/>
        <w:gridCol w:w="807"/>
        <w:gridCol w:w="909"/>
        <w:gridCol w:w="909"/>
        <w:gridCol w:w="1097"/>
        <w:gridCol w:w="1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54" w:type="dxa"/>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序号</w:t>
            </w:r>
          </w:p>
        </w:tc>
        <w:tc>
          <w:tcPr>
            <w:tcW w:w="2565" w:type="dxa"/>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货物名称</w:t>
            </w:r>
          </w:p>
        </w:tc>
        <w:tc>
          <w:tcPr>
            <w:tcW w:w="807" w:type="dxa"/>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数量</w:t>
            </w:r>
          </w:p>
        </w:tc>
        <w:tc>
          <w:tcPr>
            <w:tcW w:w="909" w:type="dxa"/>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单位</w:t>
            </w:r>
          </w:p>
        </w:tc>
        <w:tc>
          <w:tcPr>
            <w:tcW w:w="909" w:type="dxa"/>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hint="eastAsia" w:cs="Times New Roman"/>
                <w:b/>
                <w:bCs/>
                <w:szCs w:val="21"/>
                <w:highlight w:val="none"/>
              </w:rPr>
              <w:t>是否核心产品</w:t>
            </w:r>
          </w:p>
        </w:tc>
        <w:tc>
          <w:tcPr>
            <w:tcW w:w="1097" w:type="dxa"/>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备注</w:t>
            </w:r>
          </w:p>
        </w:tc>
        <w:tc>
          <w:tcPr>
            <w:tcW w:w="1487" w:type="dxa"/>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财政预算限额(元)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754" w:type="dxa"/>
            <w:vAlign w:val="center"/>
          </w:tcPr>
          <w:p>
            <w:pPr>
              <w:spacing w:line="240" w:lineRule="auto"/>
              <w:jc w:val="center"/>
              <w:rPr>
                <w:bCs/>
                <w:szCs w:val="21"/>
                <w:highlight w:val="none"/>
              </w:rPr>
            </w:pPr>
            <w:r>
              <w:rPr>
                <w:rFonts w:hint="eastAsia"/>
                <w:bCs/>
                <w:szCs w:val="21"/>
                <w:highlight w:val="none"/>
              </w:rPr>
              <w:t>1</w:t>
            </w:r>
          </w:p>
        </w:tc>
        <w:tc>
          <w:tcPr>
            <w:tcW w:w="2565" w:type="dxa"/>
            <w:vAlign w:val="center"/>
          </w:tcPr>
          <w:p>
            <w:pPr>
              <w:spacing w:line="240" w:lineRule="auto"/>
              <w:jc w:val="center"/>
              <w:rPr>
                <w:bCs/>
                <w:szCs w:val="21"/>
                <w:highlight w:val="none"/>
              </w:rPr>
            </w:pPr>
            <w:r>
              <w:rPr>
                <w:rFonts w:hint="eastAsia"/>
                <w:bCs/>
                <w:szCs w:val="21"/>
                <w:highlight w:val="none"/>
              </w:rPr>
              <w:t>电脑室</w:t>
            </w:r>
          </w:p>
        </w:tc>
        <w:tc>
          <w:tcPr>
            <w:tcW w:w="807" w:type="dxa"/>
            <w:vAlign w:val="center"/>
          </w:tcPr>
          <w:p>
            <w:pPr>
              <w:spacing w:line="240" w:lineRule="auto"/>
              <w:jc w:val="center"/>
              <w:rPr>
                <w:bCs/>
                <w:szCs w:val="21"/>
                <w:highlight w:val="none"/>
              </w:rPr>
            </w:pPr>
            <w:r>
              <w:rPr>
                <w:rFonts w:hint="eastAsia"/>
                <w:bCs/>
                <w:szCs w:val="21"/>
                <w:highlight w:val="none"/>
              </w:rPr>
              <w:t>1</w:t>
            </w:r>
          </w:p>
        </w:tc>
        <w:tc>
          <w:tcPr>
            <w:tcW w:w="909" w:type="dxa"/>
            <w:vAlign w:val="center"/>
          </w:tcPr>
          <w:p>
            <w:pPr>
              <w:spacing w:line="240" w:lineRule="auto"/>
              <w:jc w:val="center"/>
              <w:rPr>
                <w:bCs/>
                <w:szCs w:val="21"/>
                <w:highlight w:val="none"/>
              </w:rPr>
            </w:pPr>
            <w:r>
              <w:rPr>
                <w:rFonts w:hint="eastAsia"/>
                <w:bCs/>
                <w:szCs w:val="21"/>
                <w:highlight w:val="none"/>
              </w:rPr>
              <w:t>批</w:t>
            </w:r>
          </w:p>
        </w:tc>
        <w:tc>
          <w:tcPr>
            <w:tcW w:w="909" w:type="dxa"/>
            <w:vAlign w:val="center"/>
          </w:tcPr>
          <w:p>
            <w:pPr>
              <w:spacing w:line="240" w:lineRule="auto"/>
              <w:jc w:val="center"/>
              <w:rPr>
                <w:szCs w:val="21"/>
                <w:highlight w:val="none"/>
              </w:rPr>
            </w:pPr>
            <w:r>
              <w:rPr>
                <w:rFonts w:hint="eastAsia"/>
                <w:szCs w:val="21"/>
                <w:highlight w:val="none"/>
              </w:rPr>
              <w:t>是</w:t>
            </w:r>
          </w:p>
        </w:tc>
        <w:tc>
          <w:tcPr>
            <w:tcW w:w="1097" w:type="dxa"/>
            <w:vAlign w:val="center"/>
          </w:tcPr>
          <w:p>
            <w:pPr>
              <w:spacing w:line="240" w:lineRule="auto"/>
              <w:jc w:val="center"/>
              <w:rPr>
                <w:bCs/>
                <w:szCs w:val="21"/>
                <w:highlight w:val="none"/>
              </w:rPr>
            </w:pPr>
            <w:r>
              <w:rPr>
                <w:rFonts w:hint="eastAsia"/>
                <w:szCs w:val="21"/>
                <w:highlight w:val="none"/>
              </w:rPr>
              <w:t>拒绝进口</w:t>
            </w:r>
          </w:p>
        </w:tc>
        <w:tc>
          <w:tcPr>
            <w:tcW w:w="1487" w:type="dxa"/>
            <w:vMerge w:val="restart"/>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2,450,000.00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754" w:type="dxa"/>
            <w:vAlign w:val="center"/>
          </w:tcPr>
          <w:p>
            <w:pPr>
              <w:spacing w:line="240" w:lineRule="auto"/>
              <w:jc w:val="center"/>
              <w:rPr>
                <w:bCs/>
                <w:szCs w:val="21"/>
                <w:highlight w:val="none"/>
              </w:rPr>
            </w:pPr>
            <w:r>
              <w:rPr>
                <w:rFonts w:hint="eastAsia"/>
                <w:bCs/>
                <w:szCs w:val="21"/>
                <w:highlight w:val="none"/>
              </w:rPr>
              <w:t>2</w:t>
            </w:r>
          </w:p>
        </w:tc>
        <w:tc>
          <w:tcPr>
            <w:tcW w:w="2565" w:type="dxa"/>
            <w:vAlign w:val="center"/>
          </w:tcPr>
          <w:p>
            <w:pPr>
              <w:spacing w:line="240" w:lineRule="auto"/>
              <w:jc w:val="center"/>
              <w:rPr>
                <w:bCs/>
                <w:szCs w:val="21"/>
                <w:highlight w:val="none"/>
              </w:rPr>
            </w:pPr>
            <w:r>
              <w:rPr>
                <w:rFonts w:hint="eastAsia"/>
                <w:bCs/>
                <w:szCs w:val="21"/>
                <w:highlight w:val="none"/>
              </w:rPr>
              <w:t>办公设备</w:t>
            </w:r>
          </w:p>
        </w:tc>
        <w:tc>
          <w:tcPr>
            <w:tcW w:w="807" w:type="dxa"/>
            <w:vAlign w:val="center"/>
          </w:tcPr>
          <w:p>
            <w:pPr>
              <w:spacing w:line="240" w:lineRule="auto"/>
              <w:jc w:val="center"/>
              <w:rPr>
                <w:bCs/>
                <w:szCs w:val="21"/>
                <w:highlight w:val="none"/>
              </w:rPr>
            </w:pPr>
            <w:r>
              <w:rPr>
                <w:rFonts w:hint="eastAsia"/>
                <w:bCs/>
                <w:szCs w:val="21"/>
                <w:highlight w:val="none"/>
              </w:rPr>
              <w:t>1</w:t>
            </w:r>
          </w:p>
        </w:tc>
        <w:tc>
          <w:tcPr>
            <w:tcW w:w="909" w:type="dxa"/>
            <w:vAlign w:val="center"/>
          </w:tcPr>
          <w:p>
            <w:pPr>
              <w:spacing w:line="240" w:lineRule="auto"/>
              <w:jc w:val="center"/>
              <w:rPr>
                <w:bCs/>
                <w:szCs w:val="21"/>
                <w:highlight w:val="none"/>
              </w:rPr>
            </w:pPr>
            <w:r>
              <w:rPr>
                <w:rFonts w:hint="eastAsia"/>
                <w:bCs/>
                <w:szCs w:val="21"/>
                <w:highlight w:val="none"/>
              </w:rPr>
              <w:t>批</w:t>
            </w:r>
          </w:p>
        </w:tc>
        <w:tc>
          <w:tcPr>
            <w:tcW w:w="909" w:type="dxa"/>
            <w:vAlign w:val="center"/>
          </w:tcPr>
          <w:p>
            <w:pPr>
              <w:spacing w:line="240" w:lineRule="auto"/>
              <w:jc w:val="center"/>
              <w:rPr>
                <w:szCs w:val="21"/>
                <w:highlight w:val="none"/>
              </w:rPr>
            </w:pPr>
          </w:p>
        </w:tc>
        <w:tc>
          <w:tcPr>
            <w:tcW w:w="1097" w:type="dxa"/>
            <w:vAlign w:val="center"/>
          </w:tcPr>
          <w:p>
            <w:pPr>
              <w:spacing w:line="240" w:lineRule="auto"/>
              <w:jc w:val="center"/>
              <w:rPr>
                <w:szCs w:val="21"/>
                <w:highlight w:val="none"/>
              </w:rPr>
            </w:pPr>
            <w:r>
              <w:rPr>
                <w:rFonts w:hint="eastAsia"/>
                <w:szCs w:val="21"/>
                <w:highlight w:val="none"/>
              </w:rPr>
              <w:t>拒绝进口</w:t>
            </w:r>
          </w:p>
        </w:tc>
        <w:tc>
          <w:tcPr>
            <w:tcW w:w="1487" w:type="dxa"/>
            <w:vMerge w:val="continue"/>
            <w:vAlign w:val="center"/>
          </w:tcPr>
          <w:p>
            <w:pPr>
              <w:widowControl w:val="0"/>
              <w:shd w:val="clear" w:color="auto" w:fill="auto"/>
              <w:tabs>
                <w:tab w:val="clear" w:pos="426"/>
              </w:tabs>
              <w:adjustRightInd/>
              <w:snapToGrid/>
              <w:spacing w:line="240" w:lineRule="auto"/>
              <w:jc w:val="center"/>
              <w:rPr>
                <w:rFonts w:cs="Times New Roman"/>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trPr>
        <w:tc>
          <w:tcPr>
            <w:tcW w:w="754" w:type="dxa"/>
            <w:vAlign w:val="center"/>
          </w:tcPr>
          <w:p>
            <w:pPr>
              <w:spacing w:line="240" w:lineRule="auto"/>
              <w:jc w:val="center"/>
              <w:rPr>
                <w:bCs/>
                <w:szCs w:val="21"/>
                <w:highlight w:val="none"/>
              </w:rPr>
            </w:pPr>
            <w:r>
              <w:rPr>
                <w:rFonts w:hint="eastAsia"/>
                <w:bCs/>
                <w:szCs w:val="21"/>
                <w:highlight w:val="none"/>
              </w:rPr>
              <w:t>3</w:t>
            </w:r>
          </w:p>
        </w:tc>
        <w:tc>
          <w:tcPr>
            <w:tcW w:w="2565" w:type="dxa"/>
            <w:vAlign w:val="center"/>
          </w:tcPr>
          <w:p>
            <w:pPr>
              <w:spacing w:line="240" w:lineRule="auto"/>
              <w:jc w:val="center"/>
              <w:rPr>
                <w:bCs/>
                <w:szCs w:val="21"/>
                <w:highlight w:val="none"/>
              </w:rPr>
            </w:pPr>
            <w:r>
              <w:rPr>
                <w:rFonts w:hint="eastAsia"/>
                <w:bCs/>
                <w:szCs w:val="21"/>
                <w:highlight w:val="none"/>
              </w:rPr>
              <w:t>网络、监控、广播及消防系统迁移</w:t>
            </w:r>
          </w:p>
        </w:tc>
        <w:tc>
          <w:tcPr>
            <w:tcW w:w="807" w:type="dxa"/>
            <w:vAlign w:val="center"/>
          </w:tcPr>
          <w:p>
            <w:pPr>
              <w:spacing w:line="240" w:lineRule="auto"/>
              <w:jc w:val="center"/>
              <w:rPr>
                <w:bCs/>
                <w:szCs w:val="21"/>
                <w:highlight w:val="none"/>
              </w:rPr>
            </w:pPr>
            <w:r>
              <w:rPr>
                <w:rFonts w:hint="eastAsia"/>
                <w:bCs/>
                <w:szCs w:val="21"/>
                <w:highlight w:val="none"/>
              </w:rPr>
              <w:t>1</w:t>
            </w:r>
          </w:p>
        </w:tc>
        <w:tc>
          <w:tcPr>
            <w:tcW w:w="909" w:type="dxa"/>
            <w:vAlign w:val="center"/>
          </w:tcPr>
          <w:p>
            <w:pPr>
              <w:spacing w:line="240" w:lineRule="auto"/>
              <w:jc w:val="center"/>
              <w:rPr>
                <w:bCs/>
                <w:szCs w:val="21"/>
                <w:highlight w:val="none"/>
              </w:rPr>
            </w:pPr>
            <w:r>
              <w:rPr>
                <w:rFonts w:hint="eastAsia"/>
                <w:bCs/>
                <w:szCs w:val="21"/>
                <w:highlight w:val="none"/>
              </w:rPr>
              <w:t>批</w:t>
            </w:r>
          </w:p>
        </w:tc>
        <w:tc>
          <w:tcPr>
            <w:tcW w:w="909" w:type="dxa"/>
            <w:vAlign w:val="center"/>
          </w:tcPr>
          <w:p>
            <w:pPr>
              <w:spacing w:line="240" w:lineRule="auto"/>
              <w:jc w:val="center"/>
              <w:rPr>
                <w:szCs w:val="21"/>
                <w:highlight w:val="none"/>
              </w:rPr>
            </w:pPr>
          </w:p>
        </w:tc>
        <w:tc>
          <w:tcPr>
            <w:tcW w:w="1097" w:type="dxa"/>
            <w:vAlign w:val="center"/>
          </w:tcPr>
          <w:p>
            <w:pPr>
              <w:spacing w:line="240" w:lineRule="auto"/>
              <w:jc w:val="center"/>
              <w:rPr>
                <w:szCs w:val="21"/>
                <w:highlight w:val="none"/>
              </w:rPr>
            </w:pPr>
            <w:r>
              <w:rPr>
                <w:rFonts w:hint="eastAsia"/>
                <w:szCs w:val="21"/>
                <w:highlight w:val="none"/>
              </w:rPr>
              <w:t>拒绝进口</w:t>
            </w:r>
          </w:p>
        </w:tc>
        <w:tc>
          <w:tcPr>
            <w:tcW w:w="1487" w:type="dxa"/>
            <w:vMerge w:val="continue"/>
            <w:vAlign w:val="center"/>
          </w:tcPr>
          <w:p>
            <w:pPr>
              <w:widowControl w:val="0"/>
              <w:shd w:val="clear" w:color="auto" w:fill="auto"/>
              <w:tabs>
                <w:tab w:val="clear" w:pos="426"/>
              </w:tabs>
              <w:adjustRightInd/>
              <w:snapToGrid/>
              <w:spacing w:line="240" w:lineRule="auto"/>
              <w:jc w:val="center"/>
              <w:rPr>
                <w:rFonts w:cs="Times New Roman"/>
                <w:szCs w:val="21"/>
                <w:highlight w:val="none"/>
              </w:rPr>
            </w:pPr>
          </w:p>
        </w:tc>
      </w:tr>
    </w:tbl>
    <w:p>
      <w:pPr>
        <w:tabs>
          <w:tab w:val="clear" w:pos="426"/>
        </w:tabs>
        <w:ind w:firstLine="424" w:firstLineChars="202"/>
        <w:rPr>
          <w:highlight w:val="none"/>
        </w:rPr>
      </w:pPr>
      <w:r>
        <w:rPr>
          <w:highlight w:val="none"/>
        </w:rPr>
        <w:t>10</w:t>
      </w:r>
      <w:r>
        <w:rPr>
          <w:rFonts w:hint="eastAsia"/>
          <w:highlight w:val="none"/>
        </w:rPr>
        <w:t>.采购方式：公开招标</w:t>
      </w:r>
    </w:p>
    <w:p>
      <w:pPr>
        <w:tabs>
          <w:tab w:val="clear" w:pos="426"/>
        </w:tabs>
        <w:ind w:firstLine="424" w:firstLineChars="202"/>
        <w:rPr>
          <w:szCs w:val="21"/>
          <w:highlight w:val="none"/>
        </w:rPr>
      </w:pPr>
      <w:r>
        <w:rPr>
          <w:rFonts w:hint="eastAsia"/>
          <w:highlight w:val="none"/>
        </w:rPr>
        <w:t>1</w:t>
      </w:r>
      <w:r>
        <w:rPr>
          <w:highlight w:val="none"/>
        </w:rPr>
        <w:t>1.</w:t>
      </w:r>
      <w:r>
        <w:rPr>
          <w:rFonts w:hint="eastAsia"/>
          <w:highlight w:val="none"/>
        </w:rPr>
        <w:t>评标方法：综合评分法，定标方法：</w:t>
      </w:r>
      <w:r>
        <w:rPr>
          <w:rFonts w:hint="eastAsia"/>
          <w:szCs w:val="21"/>
          <w:highlight w:val="none"/>
        </w:rPr>
        <w:t>自定法</w:t>
      </w:r>
    </w:p>
    <w:p>
      <w:pPr>
        <w:tabs>
          <w:tab w:val="clear" w:pos="426"/>
        </w:tabs>
        <w:ind w:firstLine="424" w:firstLineChars="202"/>
        <w:rPr>
          <w:highlight w:val="none"/>
        </w:rPr>
      </w:pPr>
      <w:r>
        <w:rPr>
          <w:rFonts w:hint="eastAsia"/>
          <w:highlight w:val="none"/>
        </w:rPr>
        <w:t>1</w:t>
      </w:r>
      <w:r>
        <w:rPr>
          <w:highlight w:val="none"/>
        </w:rPr>
        <w:t>2</w:t>
      </w:r>
      <w:r>
        <w:rPr>
          <w:rFonts w:hint="eastAsia"/>
          <w:highlight w:val="none"/>
        </w:rPr>
        <w:t>.交货期要求：</w:t>
      </w:r>
      <w:bookmarkEnd w:id="34"/>
      <w:r>
        <w:rPr>
          <w:rFonts w:hint="eastAsia"/>
          <w:highlight w:val="none"/>
        </w:rPr>
        <w:t>合同签订后</w:t>
      </w:r>
      <w:r>
        <w:rPr>
          <w:rFonts w:hint="eastAsia"/>
          <w:b/>
          <w:bCs/>
          <w:highlight w:val="none"/>
          <w:u w:val="single"/>
        </w:rPr>
        <w:t>30</w:t>
      </w:r>
      <w:r>
        <w:rPr>
          <w:rFonts w:hint="eastAsia"/>
          <w:highlight w:val="none"/>
        </w:rPr>
        <w:t xml:space="preserve"> 日历日内</w:t>
      </w:r>
    </w:p>
    <w:p>
      <w:pPr>
        <w:keepNext w:val="0"/>
        <w:keepLines w:val="0"/>
        <w:widowControl/>
        <w:suppressLineNumbers w:val="0"/>
        <w:jc w:val="left"/>
        <w:rPr>
          <w:highlight w:val="none"/>
        </w:rPr>
      </w:pPr>
      <w:r>
        <w:rPr>
          <w:rFonts w:hint="eastAsia"/>
          <w:highlight w:val="none"/>
        </w:rPr>
        <w:t>13.现场踏勘:</w:t>
      </w:r>
      <w:r>
        <w:rPr>
          <w:rFonts w:hint="eastAsia"/>
          <w:b/>
          <w:bCs/>
          <w:highlight w:val="none"/>
        </w:rPr>
        <w:t>时间</w:t>
      </w:r>
      <w:r>
        <w:rPr>
          <w:rFonts w:hint="eastAsia"/>
          <w:highlight w:val="none"/>
        </w:rPr>
        <w:t>：</w:t>
      </w:r>
      <w:r>
        <w:rPr>
          <w:rFonts w:hint="eastAsia"/>
          <w:b/>
          <w:bCs/>
          <w:highlight w:val="none"/>
          <w:lang w:val="en-US" w:eastAsia="zh-CN"/>
        </w:rPr>
        <w:t>2019年6月24日15:00；</w:t>
      </w:r>
      <w:r>
        <w:rPr>
          <w:rFonts w:hint="eastAsia"/>
          <w:b/>
          <w:bCs/>
          <w:highlight w:val="none"/>
        </w:rPr>
        <w:t>地点：</w:t>
      </w:r>
      <w:r>
        <w:rPr>
          <w:rFonts w:hint="eastAsia" w:ascii="宋体" w:hAnsi="宋体" w:eastAsia="宋体" w:cs="宋体"/>
          <w:b/>
          <w:bCs/>
          <w:color w:val="000000"/>
          <w:kern w:val="0"/>
          <w:sz w:val="20"/>
          <w:szCs w:val="20"/>
          <w:lang w:val="en-US" w:eastAsia="zh-CN" w:bidi="ar"/>
        </w:rPr>
        <w:t>深圳市坪山区锦绣中路3号同心外国语学校</w:t>
      </w:r>
      <w:r>
        <w:rPr>
          <w:rFonts w:hint="eastAsia" w:cs="宋体"/>
          <w:color w:val="000000"/>
          <w:kern w:val="0"/>
          <w:sz w:val="20"/>
          <w:szCs w:val="20"/>
          <w:lang w:val="en-US" w:eastAsia="zh-CN" w:bidi="ar"/>
        </w:rPr>
        <w:t>。</w:t>
      </w:r>
    </w:p>
    <w:p>
      <w:pPr>
        <w:tabs>
          <w:tab w:val="clear" w:pos="426"/>
        </w:tabs>
        <w:rPr>
          <w:b/>
          <w:highlight w:val="none"/>
        </w:rPr>
      </w:pPr>
      <w:r>
        <w:rPr>
          <w:rFonts w:hint="eastAsia"/>
          <w:b/>
          <w:highlight w:val="none"/>
        </w:rPr>
        <w:t>二、投标人资格要求</w:t>
      </w:r>
    </w:p>
    <w:p>
      <w:pPr>
        <w:pStyle w:val="7"/>
        <w:tabs>
          <w:tab w:val="clear" w:pos="426"/>
        </w:tabs>
        <w:ind w:firstLine="424" w:firstLineChars="202"/>
        <w:rPr>
          <w:rFonts w:ascii="宋体" w:hAnsi="宋体"/>
          <w:highlight w:val="none"/>
        </w:rPr>
      </w:pPr>
      <w:r>
        <w:rPr>
          <w:rFonts w:hint="eastAsia" w:ascii="宋体" w:hAnsi="宋体"/>
          <w:highlight w:val="none"/>
        </w:rPr>
        <w:t>1.投标人须具有独立法人资格</w:t>
      </w:r>
      <w:r>
        <w:rPr>
          <w:rFonts w:ascii="宋体" w:hAnsi="宋体"/>
          <w:highlight w:val="none"/>
        </w:rPr>
        <w:t>（证明文件：须提供营业执照</w:t>
      </w:r>
      <w:r>
        <w:rPr>
          <w:rFonts w:hint="eastAsia" w:ascii="宋体" w:hAnsi="宋体"/>
          <w:highlight w:val="none"/>
        </w:rPr>
        <w:t>或法人证书</w:t>
      </w:r>
      <w:r>
        <w:rPr>
          <w:rFonts w:ascii="宋体" w:hAnsi="宋体"/>
          <w:highlight w:val="none"/>
        </w:rPr>
        <w:t>或其他证明文件的</w:t>
      </w:r>
      <w:r>
        <w:rPr>
          <w:rFonts w:hint="eastAsia" w:ascii="宋体" w:hAnsi="宋体"/>
          <w:highlight w:val="none"/>
        </w:rPr>
        <w:t>复印件</w:t>
      </w:r>
      <w:r>
        <w:rPr>
          <w:rFonts w:ascii="宋体" w:hAnsi="宋体"/>
          <w:highlight w:val="none"/>
        </w:rPr>
        <w:t>并加盖投标人公章</w:t>
      </w:r>
      <w:r>
        <w:rPr>
          <w:rFonts w:hint="eastAsia" w:ascii="宋体" w:hAnsi="宋体"/>
          <w:highlight w:val="none"/>
        </w:rPr>
        <w:t>）；</w:t>
      </w:r>
    </w:p>
    <w:p>
      <w:pPr>
        <w:tabs>
          <w:tab w:val="clear" w:pos="426"/>
        </w:tabs>
        <w:ind w:firstLine="424" w:firstLineChars="202"/>
        <w:rPr>
          <w:highlight w:val="none"/>
        </w:rPr>
      </w:pPr>
      <w:r>
        <w:rPr>
          <w:rFonts w:hint="eastAsia"/>
          <w:highlight w:val="none"/>
        </w:rPr>
        <w:t>2.本项目不接受联合体投标，不允许转包、分包，</w:t>
      </w:r>
      <w:r>
        <w:rPr>
          <w:rFonts w:hint="eastAsia"/>
          <w:b/>
          <w:highlight w:val="none"/>
        </w:rPr>
        <w:t>不接受</w:t>
      </w:r>
      <w:r>
        <w:rPr>
          <w:rFonts w:hint="eastAsia"/>
          <w:highlight w:val="none"/>
        </w:rPr>
        <w:t>进口产品投标；</w:t>
      </w:r>
    </w:p>
    <w:p>
      <w:pPr>
        <w:tabs>
          <w:tab w:val="clear" w:pos="426"/>
        </w:tabs>
        <w:ind w:firstLine="424" w:firstLineChars="202"/>
        <w:rPr>
          <w:highlight w:val="none"/>
        </w:rPr>
      </w:pPr>
      <w:r>
        <w:rPr>
          <w:rFonts w:hint="eastAsia"/>
          <w:highlight w:val="none"/>
        </w:rPr>
        <w:t>3</w:t>
      </w:r>
      <w:r>
        <w:rPr>
          <w:highlight w:val="none"/>
        </w:rPr>
        <w:t>.</w:t>
      </w:r>
      <w:r>
        <w:rPr>
          <w:rFonts w:hint="eastAsia"/>
          <w:highlight w:val="none"/>
        </w:rPr>
        <w:t>参与本项目投标前三年内，在经营活动中没有重大违法记录（由供应商在《政府采购投标及履约承诺函》中作出声明）；</w:t>
      </w:r>
    </w:p>
    <w:p>
      <w:pPr>
        <w:tabs>
          <w:tab w:val="clear" w:pos="426"/>
        </w:tabs>
        <w:ind w:firstLine="424" w:firstLineChars="202"/>
        <w:rPr>
          <w:highlight w:val="none"/>
        </w:rPr>
      </w:pPr>
      <w:r>
        <w:rPr>
          <w:highlight w:val="none"/>
        </w:rPr>
        <w:t>4</w:t>
      </w:r>
      <w:r>
        <w:rPr>
          <w:rFonts w:hint="eastAsia"/>
          <w:highlight w:val="none"/>
        </w:rPr>
        <w:t>.</w:t>
      </w:r>
      <w:r>
        <w:rPr>
          <w:highlight w:val="none"/>
        </w:rPr>
        <w:t>参与本项目政府采购活动时不存在被有关部门禁止参与政府采购活动且在有效期内的情况（由供应商在《政府采购投标及履约承诺函》中作出声明）；</w:t>
      </w:r>
    </w:p>
    <w:p>
      <w:pPr>
        <w:tabs>
          <w:tab w:val="clear" w:pos="426"/>
        </w:tabs>
        <w:ind w:firstLine="424" w:firstLineChars="202"/>
        <w:rPr>
          <w:highlight w:val="none"/>
        </w:rPr>
      </w:pPr>
      <w:r>
        <w:rPr>
          <w:highlight w:val="none"/>
        </w:rPr>
        <w:t>5</w:t>
      </w:r>
      <w:r>
        <w:rPr>
          <w:rFonts w:hint="eastAsia"/>
          <w:highlight w:val="none"/>
        </w:rPr>
        <w:t>.</w:t>
      </w:r>
      <w:r>
        <w:rPr>
          <w:highlight w:val="none"/>
        </w:rPr>
        <w:t>参与本项目的供应商具备《中华人民共和国政府采购法》第二十二条第一款规定的条件（由供应商在《政府采购投标及履约承诺函》中作出声明）</w:t>
      </w:r>
      <w:r>
        <w:rPr>
          <w:rFonts w:hint="eastAsia"/>
          <w:highlight w:val="none"/>
        </w:rPr>
        <w:t>；</w:t>
      </w:r>
    </w:p>
    <w:p>
      <w:pPr>
        <w:tabs>
          <w:tab w:val="clear" w:pos="426"/>
        </w:tabs>
        <w:ind w:firstLine="424" w:firstLineChars="202"/>
        <w:rPr>
          <w:highlight w:val="none"/>
        </w:rPr>
      </w:pPr>
      <w:r>
        <w:rPr>
          <w:rFonts w:hint="eastAsia"/>
          <w:highlight w:val="none"/>
        </w:rPr>
        <w:t>6</w:t>
      </w:r>
      <w:r>
        <w:rPr>
          <w:highlight w:val="none"/>
        </w:rPr>
        <w:t>.</w:t>
      </w:r>
      <w:r>
        <w:rPr>
          <w:rFonts w:hint="eastAsia"/>
          <w:highlight w:val="none"/>
        </w:rPr>
        <w:t>参与政府采购项目投标的供应商未被列入失信被执行人、重大税收违法案件当事人名单、政府采购严重违法失信行为记录名单（由供应商在《政府采购投标及履约承诺函》中作出声明）；</w:t>
      </w:r>
    </w:p>
    <w:p>
      <w:pPr>
        <w:tabs>
          <w:tab w:val="clear" w:pos="426"/>
        </w:tabs>
        <w:ind w:firstLine="424" w:firstLineChars="202"/>
        <w:rPr>
          <w:highlight w:val="none"/>
        </w:rPr>
      </w:pPr>
      <w:r>
        <w:rPr>
          <w:rFonts w:hint="eastAsia"/>
          <w:highlight w:val="none"/>
        </w:rPr>
        <w:t>7</w:t>
      </w:r>
      <w:r>
        <w:rPr>
          <w:highlight w:val="none"/>
        </w:rPr>
        <w:t>.</w:t>
      </w:r>
      <w:r>
        <w:rPr>
          <w:rFonts w:hint="eastAsia"/>
          <w:highlight w:val="none"/>
        </w:rPr>
        <w:t>投标人必须具有深圳市政府采购注册供应商资格（供应商注册网址http://www.szzfcg.cn，投标文件中无需提供证明材料。采购代理机构将在开标当天从供应商资料库里查询本项目所有投标人的注册状态，投标人注册状态无效的，将按资格不符合招标文件要求，作资格审查不通过处理）；</w:t>
      </w:r>
    </w:p>
    <w:p>
      <w:pPr>
        <w:widowControl w:val="0"/>
        <w:shd w:val="clear" w:color="auto" w:fill="auto"/>
        <w:tabs>
          <w:tab w:val="clear" w:pos="426"/>
        </w:tabs>
        <w:adjustRightInd/>
        <w:snapToGrid/>
        <w:rPr>
          <w:rFonts w:ascii="Times New Roman" w:hAnsi="Times New Roman" w:cs="Times New Roman"/>
          <w:b/>
          <w:kern w:val="2"/>
          <w:szCs w:val="21"/>
          <w:highlight w:val="none"/>
        </w:rPr>
      </w:pPr>
      <w:r>
        <w:rPr>
          <w:rFonts w:hint="eastAsia" w:ascii="Times New Roman" w:hAnsi="Times New Roman" w:cs="Times New Roman"/>
          <w:b/>
          <w:kern w:val="2"/>
          <w:szCs w:val="21"/>
          <w:highlight w:val="none"/>
        </w:rPr>
        <w:t>三、获取招标文件的时间、地点、方式及招标文件售价</w:t>
      </w:r>
    </w:p>
    <w:p>
      <w:pPr>
        <w:tabs>
          <w:tab w:val="clear" w:pos="426"/>
        </w:tabs>
        <w:ind w:firstLine="426" w:firstLineChars="202"/>
        <w:rPr>
          <w:b/>
          <w:bCs/>
          <w:color w:val="000000" w:themeColor="text1"/>
          <w:highlight w:val="none"/>
          <w14:textFill>
            <w14:solidFill>
              <w14:schemeClr w14:val="tx1"/>
            </w14:solidFill>
          </w14:textFill>
        </w:rPr>
      </w:pPr>
      <w:r>
        <w:rPr>
          <w:b/>
          <w:bCs/>
          <w:color w:val="000000" w:themeColor="text1"/>
          <w:highlight w:val="none"/>
          <w14:textFill>
            <w14:solidFill>
              <w14:schemeClr w14:val="tx1"/>
            </w14:solidFill>
          </w14:textFill>
        </w:rPr>
        <w:t>1</w:t>
      </w:r>
      <w:r>
        <w:rPr>
          <w:rFonts w:hint="eastAsia"/>
          <w:b/>
          <w:bCs/>
          <w:color w:val="000000" w:themeColor="text1"/>
          <w:highlight w:val="none"/>
          <w14:textFill>
            <w14:solidFill>
              <w14:schemeClr w14:val="tx1"/>
            </w14:solidFill>
          </w14:textFill>
        </w:rPr>
        <w:t>.获取招标文件时间：</w:t>
      </w:r>
      <w:r>
        <w:rPr>
          <w:rFonts w:hint="eastAsia"/>
          <w:b/>
          <w:bCs/>
          <w:color w:val="000000" w:themeColor="text1"/>
          <w:highlight w:val="none"/>
          <w:u w:val="single"/>
          <w14:textFill>
            <w14:solidFill>
              <w14:schemeClr w14:val="tx1"/>
            </w14:solidFill>
          </w14:textFill>
        </w:rPr>
        <w:t>2019</w:t>
      </w:r>
      <w:r>
        <w:rPr>
          <w:rFonts w:hint="eastAsia"/>
          <w:b/>
          <w:bCs/>
          <w:color w:val="000000" w:themeColor="text1"/>
          <w:highlight w:val="none"/>
          <w14:textFill>
            <w14:solidFill>
              <w14:schemeClr w14:val="tx1"/>
            </w14:solidFill>
          </w14:textFill>
        </w:rPr>
        <w:t>年</w:t>
      </w:r>
      <w:r>
        <w:rPr>
          <w:rFonts w:hint="eastAsia"/>
          <w:b/>
          <w:bCs/>
          <w:color w:val="000000" w:themeColor="text1"/>
          <w:highlight w:val="none"/>
          <w:u w:val="single"/>
          <w:lang w:val="en-US" w:eastAsia="zh-CN"/>
          <w14:textFill>
            <w14:solidFill>
              <w14:schemeClr w14:val="tx1"/>
            </w14:solidFill>
          </w14:textFill>
        </w:rPr>
        <w:t>6</w:t>
      </w:r>
      <w:r>
        <w:rPr>
          <w:rFonts w:hint="eastAsia"/>
          <w:b/>
          <w:bCs/>
          <w:color w:val="000000" w:themeColor="text1"/>
          <w:highlight w:val="none"/>
          <w14:textFill>
            <w14:solidFill>
              <w14:schemeClr w14:val="tx1"/>
            </w14:solidFill>
          </w14:textFill>
        </w:rPr>
        <w:t>月</w:t>
      </w:r>
      <w:r>
        <w:rPr>
          <w:rFonts w:hint="eastAsia"/>
          <w:b/>
          <w:bCs/>
          <w:color w:val="000000" w:themeColor="text1"/>
          <w:highlight w:val="none"/>
          <w:u w:val="single"/>
          <w:lang w:val="en-US" w:eastAsia="zh-CN"/>
          <w14:textFill>
            <w14:solidFill>
              <w14:schemeClr w14:val="tx1"/>
            </w14:solidFill>
          </w14:textFill>
        </w:rPr>
        <w:t>17</w:t>
      </w:r>
      <w:r>
        <w:rPr>
          <w:rFonts w:hint="eastAsia"/>
          <w:b/>
          <w:bCs/>
          <w:color w:val="000000" w:themeColor="text1"/>
          <w:highlight w:val="none"/>
          <w14:textFill>
            <w14:solidFill>
              <w14:schemeClr w14:val="tx1"/>
            </w14:solidFill>
          </w14:textFill>
        </w:rPr>
        <w:t>日起至</w:t>
      </w:r>
      <w:r>
        <w:rPr>
          <w:rFonts w:hint="eastAsia"/>
          <w:b/>
          <w:bCs/>
          <w:color w:val="000000" w:themeColor="text1"/>
          <w:highlight w:val="none"/>
          <w:u w:val="single"/>
          <w14:textFill>
            <w14:solidFill>
              <w14:schemeClr w14:val="tx1"/>
            </w14:solidFill>
          </w14:textFill>
        </w:rPr>
        <w:t>2019</w:t>
      </w:r>
      <w:r>
        <w:rPr>
          <w:rFonts w:hint="eastAsia"/>
          <w:b/>
          <w:bCs/>
          <w:color w:val="000000" w:themeColor="text1"/>
          <w:highlight w:val="none"/>
          <w14:textFill>
            <w14:solidFill>
              <w14:schemeClr w14:val="tx1"/>
            </w14:solidFill>
          </w14:textFill>
        </w:rPr>
        <w:t>年</w:t>
      </w:r>
      <w:r>
        <w:rPr>
          <w:rFonts w:hint="eastAsia"/>
          <w:b/>
          <w:bCs/>
          <w:color w:val="000000" w:themeColor="text1"/>
          <w:highlight w:val="none"/>
          <w:u w:val="single"/>
          <w:lang w:val="en-US" w:eastAsia="zh-CN"/>
          <w14:textFill>
            <w14:solidFill>
              <w14:schemeClr w14:val="tx1"/>
            </w14:solidFill>
          </w14:textFill>
        </w:rPr>
        <w:t>6</w:t>
      </w:r>
      <w:r>
        <w:rPr>
          <w:rFonts w:hint="eastAsia"/>
          <w:b/>
          <w:bCs/>
          <w:color w:val="000000" w:themeColor="text1"/>
          <w:highlight w:val="none"/>
          <w14:textFill>
            <w14:solidFill>
              <w14:schemeClr w14:val="tx1"/>
            </w14:solidFill>
          </w14:textFill>
        </w:rPr>
        <w:t>月</w:t>
      </w:r>
      <w:r>
        <w:rPr>
          <w:rFonts w:hint="eastAsia"/>
          <w:b/>
          <w:bCs/>
          <w:color w:val="000000" w:themeColor="text1"/>
          <w:highlight w:val="none"/>
          <w:u w:val="single"/>
          <w:lang w:val="en-US" w:eastAsia="zh-CN"/>
          <w14:textFill>
            <w14:solidFill>
              <w14:schemeClr w14:val="tx1"/>
            </w14:solidFill>
          </w14:textFill>
        </w:rPr>
        <w:t>21</w:t>
      </w:r>
      <w:r>
        <w:rPr>
          <w:rFonts w:hint="eastAsia"/>
          <w:b/>
          <w:bCs/>
          <w:color w:val="000000" w:themeColor="text1"/>
          <w:highlight w:val="none"/>
          <w14:textFill>
            <w14:solidFill>
              <w14:schemeClr w14:val="tx1"/>
            </w14:solidFill>
          </w14:textFill>
        </w:rPr>
        <w:t>日（节假日除外），</w:t>
      </w:r>
      <w:r>
        <w:rPr>
          <w:rFonts w:hint="eastAsia"/>
          <w:b/>
          <w:bCs/>
          <w:color w:val="000000" w:themeColor="text1"/>
          <w:highlight w:val="none"/>
          <w:u w:val="single"/>
          <w14:textFill>
            <w14:solidFill>
              <w14:schemeClr w14:val="tx1"/>
            </w14:solidFill>
          </w14:textFill>
        </w:rPr>
        <w:t>09:00</w:t>
      </w:r>
      <w:r>
        <w:rPr>
          <w:rFonts w:hint="eastAsia"/>
          <w:b/>
          <w:bCs/>
          <w:color w:val="000000" w:themeColor="text1"/>
          <w:highlight w:val="none"/>
          <w14:textFill>
            <w14:solidFill>
              <w14:schemeClr w14:val="tx1"/>
            </w14:solidFill>
          </w14:textFill>
        </w:rPr>
        <w:t>～</w:t>
      </w:r>
      <w:r>
        <w:rPr>
          <w:rFonts w:hint="eastAsia"/>
          <w:b/>
          <w:bCs/>
          <w:color w:val="000000" w:themeColor="text1"/>
          <w:highlight w:val="none"/>
          <w:u w:val="single"/>
          <w14:textFill>
            <w14:solidFill>
              <w14:schemeClr w14:val="tx1"/>
            </w14:solidFill>
          </w14:textFill>
        </w:rPr>
        <w:t xml:space="preserve">11:30  </w:t>
      </w:r>
      <w:r>
        <w:rPr>
          <w:rFonts w:hint="eastAsia"/>
          <w:b/>
          <w:bCs/>
          <w:color w:val="000000" w:themeColor="text1"/>
          <w:highlight w:val="none"/>
          <w14:textFill>
            <w14:solidFill>
              <w14:schemeClr w14:val="tx1"/>
            </w14:solidFill>
          </w14:textFill>
        </w:rPr>
        <w:t>，</w:t>
      </w:r>
      <w:r>
        <w:rPr>
          <w:rFonts w:hint="eastAsia"/>
          <w:b/>
          <w:bCs/>
          <w:color w:val="000000" w:themeColor="text1"/>
          <w:highlight w:val="none"/>
          <w:u w:val="single"/>
          <w14:textFill>
            <w14:solidFill>
              <w14:schemeClr w14:val="tx1"/>
            </w14:solidFill>
          </w14:textFill>
        </w:rPr>
        <w:t>14:00</w:t>
      </w:r>
      <w:r>
        <w:rPr>
          <w:rFonts w:hint="eastAsia"/>
          <w:b/>
          <w:bCs/>
          <w:color w:val="000000" w:themeColor="text1"/>
          <w:highlight w:val="none"/>
          <w14:textFill>
            <w14:solidFill>
              <w14:schemeClr w14:val="tx1"/>
            </w14:solidFill>
          </w14:textFill>
        </w:rPr>
        <w:t>～</w:t>
      </w:r>
      <w:r>
        <w:rPr>
          <w:rFonts w:hint="eastAsia"/>
          <w:b/>
          <w:bCs/>
          <w:color w:val="000000" w:themeColor="text1"/>
          <w:highlight w:val="none"/>
          <w:u w:val="single"/>
          <w14:textFill>
            <w14:solidFill>
              <w14:schemeClr w14:val="tx1"/>
            </w14:solidFill>
          </w14:textFill>
        </w:rPr>
        <w:t>17:30（</w:t>
      </w:r>
      <w:r>
        <w:rPr>
          <w:rFonts w:hint="eastAsia"/>
          <w:b/>
          <w:bCs/>
          <w:color w:val="000000" w:themeColor="text1"/>
          <w:highlight w:val="none"/>
          <w14:textFill>
            <w14:solidFill>
              <w14:schemeClr w14:val="tx1"/>
            </w14:solidFill>
          </w14:textFill>
        </w:rPr>
        <w:t>北京时间）。</w:t>
      </w:r>
    </w:p>
    <w:p>
      <w:pPr>
        <w:tabs>
          <w:tab w:val="clear" w:pos="426"/>
        </w:tabs>
        <w:ind w:firstLine="424" w:firstLineChars="202"/>
        <w:rPr>
          <w:highlight w:val="none"/>
        </w:rPr>
      </w:pPr>
      <w:r>
        <w:rPr>
          <w:highlight w:val="none"/>
        </w:rPr>
        <w:t>2</w:t>
      </w:r>
      <w:r>
        <w:rPr>
          <w:rFonts w:hint="eastAsia"/>
          <w:highlight w:val="none"/>
        </w:rPr>
        <w:t>.获取招标文件地点：深圳市罗湖区布吉路1028号中设广场B座307。</w:t>
      </w:r>
    </w:p>
    <w:p>
      <w:pPr>
        <w:tabs>
          <w:tab w:val="clear" w:pos="426"/>
        </w:tabs>
        <w:ind w:firstLine="424" w:firstLineChars="202"/>
        <w:rPr>
          <w:highlight w:val="none"/>
        </w:rPr>
      </w:pPr>
      <w:r>
        <w:rPr>
          <w:highlight w:val="none"/>
        </w:rPr>
        <w:t>3</w:t>
      </w:r>
      <w:r>
        <w:rPr>
          <w:rFonts w:hint="eastAsia"/>
          <w:highlight w:val="none"/>
        </w:rPr>
        <w:t>.获取招标文件方式：现场购买或邮购。</w:t>
      </w:r>
    </w:p>
    <w:p>
      <w:pPr>
        <w:tabs>
          <w:tab w:val="clear" w:pos="426"/>
        </w:tabs>
        <w:ind w:firstLine="424" w:firstLineChars="202"/>
        <w:rPr>
          <w:highlight w:val="none"/>
        </w:rPr>
      </w:pPr>
      <w:r>
        <w:rPr>
          <w:highlight w:val="none"/>
        </w:rPr>
        <w:t>4</w:t>
      </w:r>
      <w:r>
        <w:rPr>
          <w:rFonts w:hint="eastAsia"/>
          <w:highlight w:val="none"/>
        </w:rPr>
        <w:t>.招标文件售价：每套人民币5</w:t>
      </w:r>
      <w:r>
        <w:rPr>
          <w:highlight w:val="none"/>
        </w:rPr>
        <w:t>00</w:t>
      </w:r>
      <w:r>
        <w:rPr>
          <w:rFonts w:hint="eastAsia"/>
          <w:highlight w:val="none"/>
        </w:rPr>
        <w:t>元</w:t>
      </w:r>
      <w:r>
        <w:rPr>
          <w:rFonts w:hint="eastAsia"/>
          <w:b/>
          <w:highlight w:val="none"/>
        </w:rPr>
        <w:t>（现金）</w:t>
      </w:r>
      <w:r>
        <w:rPr>
          <w:rFonts w:hint="eastAsia"/>
          <w:highlight w:val="none"/>
        </w:rPr>
        <w:t>；若邮购，每份加收人民币</w:t>
      </w:r>
      <w:r>
        <w:rPr>
          <w:highlight w:val="none"/>
        </w:rPr>
        <w:t>50元</w:t>
      </w:r>
      <w:r>
        <w:rPr>
          <w:rFonts w:hint="eastAsia"/>
          <w:highlight w:val="none"/>
        </w:rPr>
        <w:t>。招标文件售后不退。</w:t>
      </w:r>
    </w:p>
    <w:p>
      <w:pPr>
        <w:tabs>
          <w:tab w:val="clear" w:pos="426"/>
        </w:tabs>
        <w:ind w:firstLine="424" w:firstLineChars="202"/>
        <w:rPr>
          <w:highlight w:val="none"/>
        </w:rPr>
      </w:pPr>
      <w:r>
        <w:rPr>
          <w:rFonts w:hint="eastAsia"/>
          <w:highlight w:val="none"/>
        </w:rPr>
        <w:t>5.现场报名时提交以下资料：</w:t>
      </w:r>
    </w:p>
    <w:p>
      <w:pPr>
        <w:tabs>
          <w:tab w:val="clear" w:pos="426"/>
        </w:tabs>
        <w:ind w:firstLine="424" w:firstLineChars="202"/>
        <w:rPr>
          <w:highlight w:val="none"/>
        </w:rPr>
      </w:pPr>
      <w:r>
        <w:rPr>
          <w:rFonts w:hint="eastAsia"/>
          <w:highlight w:val="none"/>
        </w:rPr>
        <w:t>（1）投标人的营业执照复印件；</w:t>
      </w:r>
    </w:p>
    <w:p>
      <w:pPr>
        <w:tabs>
          <w:tab w:val="clear" w:pos="426"/>
        </w:tabs>
        <w:ind w:firstLine="424" w:firstLineChars="202"/>
        <w:rPr>
          <w:highlight w:val="none"/>
        </w:rPr>
      </w:pPr>
      <w:r>
        <w:rPr>
          <w:rFonts w:hint="eastAsia"/>
          <w:highlight w:val="none"/>
        </w:rPr>
        <w:t>（2）法人代表证明书原件、授权委托书原件、被授权委托人身份证复印件、被授权委托人联系方式</w:t>
      </w:r>
      <w:r>
        <w:rPr>
          <w:rFonts w:hint="eastAsia"/>
          <w:b/>
          <w:highlight w:val="none"/>
        </w:rPr>
        <w:t>（电话、邮箱）</w:t>
      </w:r>
      <w:r>
        <w:rPr>
          <w:rFonts w:hint="eastAsia"/>
          <w:highlight w:val="none"/>
        </w:rPr>
        <w:t>；</w:t>
      </w:r>
    </w:p>
    <w:p>
      <w:pPr>
        <w:tabs>
          <w:tab w:val="clear" w:pos="426"/>
        </w:tabs>
        <w:ind w:firstLine="424" w:firstLineChars="202"/>
        <w:rPr>
          <w:highlight w:val="none"/>
        </w:rPr>
      </w:pPr>
      <w:r>
        <w:rPr>
          <w:rFonts w:hint="eastAsia"/>
          <w:highlight w:val="none"/>
        </w:rPr>
        <w:t>（</w:t>
      </w:r>
      <w:r>
        <w:rPr>
          <w:highlight w:val="none"/>
        </w:rPr>
        <w:t>3）投标人的增值税发票开票（信息）资料；</w:t>
      </w:r>
    </w:p>
    <w:p>
      <w:pPr>
        <w:tabs>
          <w:tab w:val="clear" w:pos="426"/>
        </w:tabs>
        <w:ind w:firstLine="424" w:firstLineChars="202"/>
        <w:rPr>
          <w:highlight w:val="none"/>
        </w:rPr>
      </w:pPr>
      <w:r>
        <w:rPr>
          <w:rFonts w:hint="eastAsia"/>
          <w:highlight w:val="none"/>
        </w:rPr>
        <w:t>以上资料均需加盖公章。</w:t>
      </w:r>
    </w:p>
    <w:p>
      <w:pPr>
        <w:tabs>
          <w:tab w:val="clear" w:pos="426"/>
        </w:tabs>
        <w:ind w:firstLine="424" w:firstLineChars="202"/>
        <w:rPr>
          <w:highlight w:val="none"/>
        </w:rPr>
      </w:pPr>
      <w:r>
        <w:rPr>
          <w:rFonts w:hint="eastAsia"/>
          <w:highlight w:val="none"/>
        </w:rPr>
        <w:t>如需邮购，请于办理汇款手续后，快递上述报名资料、汇款凭证至采购代理机构。</w:t>
      </w:r>
    </w:p>
    <w:p>
      <w:pPr>
        <w:widowControl w:val="0"/>
        <w:shd w:val="clear" w:color="auto" w:fill="auto"/>
        <w:tabs>
          <w:tab w:val="clear" w:pos="426"/>
        </w:tabs>
        <w:adjustRightInd/>
        <w:snapToGrid/>
        <w:rPr>
          <w:rFonts w:ascii="Times New Roman" w:hAnsi="Times New Roman" w:cs="Times New Roman"/>
          <w:b/>
          <w:kern w:val="2"/>
          <w:szCs w:val="21"/>
          <w:highlight w:val="none"/>
        </w:rPr>
      </w:pPr>
      <w:r>
        <w:rPr>
          <w:rFonts w:hint="eastAsia" w:ascii="Times New Roman" w:hAnsi="Times New Roman" w:cs="Times New Roman"/>
          <w:b/>
          <w:kern w:val="2"/>
          <w:szCs w:val="21"/>
          <w:highlight w:val="none"/>
        </w:rPr>
        <w:t>四、投标截止时间、开标时间及地点</w:t>
      </w:r>
    </w:p>
    <w:p>
      <w:pPr>
        <w:tabs>
          <w:tab w:val="clear" w:pos="426"/>
        </w:tabs>
        <w:ind w:firstLine="424" w:firstLineChars="202"/>
        <w:rPr>
          <w:color w:val="000000" w:themeColor="text1"/>
          <w:highlight w:val="none"/>
          <w14:textFill>
            <w14:solidFill>
              <w14:schemeClr w14:val="tx1"/>
            </w14:solidFill>
          </w14:textFill>
        </w:rPr>
      </w:pPr>
      <w:r>
        <w:rPr>
          <w:color w:val="FF0000"/>
          <w:highlight w:val="none"/>
        </w:rPr>
        <w:t>1</w:t>
      </w:r>
      <w:r>
        <w:rPr>
          <w:rFonts w:hint="eastAsia"/>
          <w:color w:val="FF0000"/>
          <w:highlight w:val="none"/>
        </w:rPr>
        <w:t>.</w:t>
      </w:r>
      <w:r>
        <w:rPr>
          <w:rFonts w:hint="eastAsia"/>
          <w:color w:val="000000" w:themeColor="text1"/>
          <w:highlight w:val="none"/>
          <w14:textFill>
            <w14:solidFill>
              <w14:schemeClr w14:val="tx1"/>
            </w14:solidFill>
          </w14:textFill>
        </w:rPr>
        <w:t>递交投标文件时间：</w:t>
      </w:r>
      <w:r>
        <w:rPr>
          <w:rFonts w:hint="eastAsia"/>
          <w:color w:val="000000" w:themeColor="text1"/>
          <w:highlight w:val="none"/>
          <w:u w:val="single"/>
          <w14:textFill>
            <w14:solidFill>
              <w14:schemeClr w14:val="tx1"/>
            </w14:solidFill>
          </w14:textFill>
        </w:rPr>
        <w:t xml:space="preserve"> </w:t>
      </w:r>
      <w:r>
        <w:rPr>
          <w:rFonts w:hint="eastAsia"/>
          <w:b/>
          <w:bCs/>
          <w:color w:val="000000" w:themeColor="text1"/>
          <w:highlight w:val="none"/>
          <w:u w:val="single"/>
          <w14:textFill>
            <w14:solidFill>
              <w14:schemeClr w14:val="tx1"/>
            </w14:solidFill>
          </w14:textFill>
        </w:rPr>
        <w:t>2019</w:t>
      </w:r>
      <w:r>
        <w:rPr>
          <w:rFonts w:hint="eastAsia"/>
          <w:b/>
          <w:bCs/>
          <w:color w:val="000000" w:themeColor="text1"/>
          <w:highlight w:val="none"/>
          <w14:textFill>
            <w14:solidFill>
              <w14:schemeClr w14:val="tx1"/>
            </w14:solidFill>
          </w14:textFill>
        </w:rPr>
        <w:t>年</w:t>
      </w:r>
      <w:r>
        <w:rPr>
          <w:rFonts w:hint="eastAsia"/>
          <w:b/>
          <w:bCs/>
          <w:color w:val="000000" w:themeColor="text1"/>
          <w:highlight w:val="none"/>
          <w:u w:val="single"/>
          <w:lang w:val="en-US" w:eastAsia="zh-CN"/>
          <w14:textFill>
            <w14:solidFill>
              <w14:schemeClr w14:val="tx1"/>
            </w14:solidFill>
          </w14:textFill>
        </w:rPr>
        <w:t>6</w:t>
      </w:r>
      <w:r>
        <w:rPr>
          <w:rFonts w:hint="eastAsia"/>
          <w:b/>
          <w:bCs/>
          <w:color w:val="000000" w:themeColor="text1"/>
          <w:highlight w:val="none"/>
          <w14:textFill>
            <w14:solidFill>
              <w14:schemeClr w14:val="tx1"/>
            </w14:solidFill>
          </w14:textFill>
        </w:rPr>
        <w:t>月</w:t>
      </w:r>
      <w:r>
        <w:rPr>
          <w:rFonts w:hint="eastAsia"/>
          <w:b/>
          <w:bCs/>
          <w:color w:val="000000" w:themeColor="text1"/>
          <w:highlight w:val="none"/>
          <w:u w:val="single"/>
          <w:lang w:val="en-US" w:eastAsia="zh-CN"/>
          <w14:textFill>
            <w14:solidFill>
              <w14:schemeClr w14:val="tx1"/>
            </w14:solidFill>
          </w14:textFill>
        </w:rPr>
        <w:t>28</w:t>
      </w:r>
      <w:r>
        <w:rPr>
          <w:rFonts w:hint="eastAsia"/>
          <w:b/>
          <w:bCs/>
          <w:color w:val="000000" w:themeColor="text1"/>
          <w:highlight w:val="none"/>
          <w14:textFill>
            <w14:solidFill>
              <w14:schemeClr w14:val="tx1"/>
            </w14:solidFill>
          </w14:textFill>
        </w:rPr>
        <w:t>日</w:t>
      </w:r>
      <w:r>
        <w:rPr>
          <w:rFonts w:hint="eastAsia"/>
          <w:b/>
          <w:bCs/>
          <w:color w:val="000000" w:themeColor="text1"/>
          <w:highlight w:val="none"/>
          <w:u w:val="single"/>
          <w:lang w:val="en-US" w:eastAsia="zh-CN"/>
          <w14:textFill>
            <w14:solidFill>
              <w14:schemeClr w14:val="tx1"/>
            </w14:solidFill>
          </w14:textFill>
        </w:rPr>
        <w:t>14</w:t>
      </w:r>
      <w:r>
        <w:rPr>
          <w:rFonts w:hint="eastAsia"/>
          <w:b/>
          <w:bCs/>
          <w:color w:val="000000" w:themeColor="text1"/>
          <w:highlight w:val="none"/>
          <w:u w:val="single"/>
          <w14:textFill>
            <w14:solidFill>
              <w14:schemeClr w14:val="tx1"/>
            </w14:solidFill>
          </w14:textFill>
        </w:rPr>
        <w:t>:00</w:t>
      </w:r>
      <w:r>
        <w:rPr>
          <w:rFonts w:hint="eastAsia"/>
          <w:b/>
          <w:bCs/>
          <w:color w:val="000000" w:themeColor="text1"/>
          <w:highlight w:val="none"/>
          <w14:textFill>
            <w14:solidFill>
              <w14:schemeClr w14:val="tx1"/>
            </w14:solidFill>
          </w14:textFill>
        </w:rPr>
        <w:t>～</w:t>
      </w:r>
      <w:r>
        <w:rPr>
          <w:rFonts w:hint="eastAsia"/>
          <w:b/>
          <w:bCs/>
          <w:color w:val="000000" w:themeColor="text1"/>
          <w:highlight w:val="none"/>
          <w:u w:val="single"/>
          <w:lang w:val="en-US" w:eastAsia="zh-CN"/>
          <w14:textFill>
            <w14:solidFill>
              <w14:schemeClr w14:val="tx1"/>
            </w14:solidFill>
          </w14:textFill>
        </w:rPr>
        <w:t>14</w:t>
      </w:r>
      <w:r>
        <w:rPr>
          <w:rFonts w:hint="eastAsia"/>
          <w:b/>
          <w:bCs/>
          <w:color w:val="000000" w:themeColor="text1"/>
          <w:highlight w:val="none"/>
          <w:u w:val="single"/>
          <w14:textFill>
            <w14:solidFill>
              <w14:schemeClr w14:val="tx1"/>
            </w14:solidFill>
          </w14:textFill>
        </w:rPr>
        <w:t>:30</w:t>
      </w:r>
      <w:r>
        <w:rPr>
          <w:rFonts w:hint="eastAsia"/>
          <w:b/>
          <w:bCs/>
          <w:color w:val="000000" w:themeColor="text1"/>
          <w:highlight w:val="none"/>
          <w14:textFill>
            <w14:solidFill>
              <w14:schemeClr w14:val="tx1"/>
            </w14:solidFill>
          </w14:textFill>
        </w:rPr>
        <w:t>。</w:t>
      </w:r>
    </w:p>
    <w:p>
      <w:pPr>
        <w:tabs>
          <w:tab w:val="clear" w:pos="426"/>
        </w:tabs>
        <w:ind w:firstLine="424" w:firstLineChars="202"/>
        <w:rPr>
          <w:color w:val="FF0000"/>
          <w:highlight w:val="none"/>
        </w:rPr>
      </w:pP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.投标截止及开标时间：</w:t>
      </w:r>
      <w:r>
        <w:rPr>
          <w:rFonts w:hint="eastAsia"/>
          <w:b/>
          <w:bCs/>
          <w:color w:val="000000" w:themeColor="text1"/>
          <w:highlight w:val="none"/>
          <w:u w:val="single"/>
          <w14:textFill>
            <w14:solidFill>
              <w14:schemeClr w14:val="tx1"/>
            </w14:solidFill>
          </w14:textFill>
        </w:rPr>
        <w:t>2019</w:t>
      </w:r>
      <w:r>
        <w:rPr>
          <w:rFonts w:hint="eastAsia"/>
          <w:b/>
          <w:bCs/>
          <w:color w:val="000000" w:themeColor="text1"/>
          <w:highlight w:val="none"/>
          <w14:textFill>
            <w14:solidFill>
              <w14:schemeClr w14:val="tx1"/>
            </w14:solidFill>
          </w14:textFill>
        </w:rPr>
        <w:t>年</w:t>
      </w:r>
      <w:r>
        <w:rPr>
          <w:rFonts w:hint="eastAsia"/>
          <w:b/>
          <w:bCs/>
          <w:color w:val="000000" w:themeColor="text1"/>
          <w:highlight w:val="none"/>
          <w:u w:val="single"/>
          <w:lang w:val="en-US" w:eastAsia="zh-CN"/>
          <w14:textFill>
            <w14:solidFill>
              <w14:schemeClr w14:val="tx1"/>
            </w14:solidFill>
          </w14:textFill>
        </w:rPr>
        <w:t>6</w:t>
      </w:r>
      <w:r>
        <w:rPr>
          <w:rFonts w:hint="eastAsia"/>
          <w:b/>
          <w:bCs/>
          <w:color w:val="000000" w:themeColor="text1"/>
          <w:highlight w:val="none"/>
          <w14:textFill>
            <w14:solidFill>
              <w14:schemeClr w14:val="tx1"/>
            </w14:solidFill>
          </w14:textFill>
        </w:rPr>
        <w:t>月</w:t>
      </w:r>
      <w:r>
        <w:rPr>
          <w:rFonts w:hint="eastAsia"/>
          <w:b/>
          <w:bCs/>
          <w:color w:val="000000" w:themeColor="text1"/>
          <w:highlight w:val="none"/>
          <w:u w:val="single"/>
          <w:lang w:val="en-US" w:eastAsia="zh-CN"/>
          <w14:textFill>
            <w14:solidFill>
              <w14:schemeClr w14:val="tx1"/>
            </w14:solidFill>
          </w14:textFill>
        </w:rPr>
        <w:t>28</w:t>
      </w:r>
      <w:r>
        <w:rPr>
          <w:rFonts w:hint="eastAsia"/>
          <w:b/>
          <w:bCs/>
          <w:color w:val="000000" w:themeColor="text1"/>
          <w:highlight w:val="none"/>
          <w14:textFill>
            <w14:solidFill>
              <w14:schemeClr w14:val="tx1"/>
            </w14:solidFill>
          </w14:textFill>
        </w:rPr>
        <w:t>日</w:t>
      </w:r>
      <w:r>
        <w:rPr>
          <w:rFonts w:hint="eastAsia"/>
          <w:b/>
          <w:bCs/>
          <w:color w:val="000000" w:themeColor="text1"/>
          <w:highlight w:val="none"/>
          <w:u w:val="single"/>
          <w:lang w:val="en-US" w:eastAsia="zh-CN"/>
          <w14:textFill>
            <w14:solidFill>
              <w14:schemeClr w14:val="tx1"/>
            </w14:solidFill>
          </w14:textFill>
        </w:rPr>
        <w:t>14</w:t>
      </w:r>
      <w:r>
        <w:rPr>
          <w:rFonts w:hint="eastAsia"/>
          <w:b/>
          <w:bCs/>
          <w:color w:val="000000" w:themeColor="text1"/>
          <w:highlight w:val="none"/>
          <w14:textFill>
            <w14:solidFill>
              <w14:schemeClr w14:val="tx1"/>
            </w14:solidFill>
          </w14:textFill>
        </w:rPr>
        <w:t>时</w:t>
      </w:r>
      <w:r>
        <w:rPr>
          <w:rFonts w:hint="eastAsia"/>
          <w:b/>
          <w:bCs/>
          <w:color w:val="000000" w:themeColor="text1"/>
          <w:highlight w:val="none"/>
          <w:u w:val="single"/>
          <w14:textFill>
            <w14:solidFill>
              <w14:schemeClr w14:val="tx1"/>
            </w14:solidFill>
          </w14:textFill>
        </w:rPr>
        <w:t xml:space="preserve"> 30 </w:t>
      </w:r>
      <w:r>
        <w:rPr>
          <w:rFonts w:hint="eastAsia"/>
          <w:b/>
          <w:bCs/>
          <w:color w:val="000000" w:themeColor="text1"/>
          <w:highlight w:val="none"/>
          <w14:textFill>
            <w14:solidFill>
              <w14:schemeClr w14:val="tx1"/>
            </w14:solidFill>
          </w14:textFill>
        </w:rPr>
        <w:t>分</w:t>
      </w:r>
      <w:r>
        <w:rPr>
          <w:rFonts w:hint="eastAsia"/>
          <w:b/>
          <w:bCs/>
          <w:color w:val="FF0000"/>
          <w:highlight w:val="none"/>
        </w:rPr>
        <w:t>。</w:t>
      </w:r>
    </w:p>
    <w:p>
      <w:pPr>
        <w:tabs>
          <w:tab w:val="clear" w:pos="426"/>
        </w:tabs>
        <w:ind w:firstLine="424" w:firstLineChars="202"/>
        <w:rPr>
          <w:highlight w:val="none"/>
        </w:rPr>
      </w:pPr>
      <w:r>
        <w:rPr>
          <w:highlight w:val="none"/>
        </w:rPr>
        <w:t>3</w:t>
      </w:r>
      <w:r>
        <w:rPr>
          <w:rFonts w:hint="eastAsia"/>
          <w:highlight w:val="none"/>
        </w:rPr>
        <w:t>.开标地点：深圳市罗湖区布吉路1028号中设广场B座30</w:t>
      </w:r>
      <w:r>
        <w:rPr>
          <w:highlight w:val="none"/>
        </w:rPr>
        <w:t>7</w:t>
      </w:r>
      <w:r>
        <w:rPr>
          <w:rFonts w:hint="eastAsia"/>
          <w:highlight w:val="none"/>
        </w:rPr>
        <w:t>开标室。</w:t>
      </w:r>
    </w:p>
    <w:p>
      <w:pPr>
        <w:widowControl w:val="0"/>
        <w:shd w:val="clear" w:color="auto" w:fill="auto"/>
        <w:tabs>
          <w:tab w:val="clear" w:pos="426"/>
        </w:tabs>
        <w:adjustRightInd/>
        <w:snapToGrid/>
        <w:rPr>
          <w:rFonts w:ascii="Times New Roman" w:hAnsi="Times New Roman" w:cs="Times New Roman"/>
          <w:b/>
          <w:kern w:val="2"/>
          <w:szCs w:val="21"/>
          <w:highlight w:val="none"/>
        </w:rPr>
      </w:pPr>
      <w:r>
        <w:rPr>
          <w:rFonts w:hint="eastAsia" w:ascii="Times New Roman" w:hAnsi="Times New Roman" w:cs="Times New Roman"/>
          <w:b/>
          <w:kern w:val="2"/>
          <w:szCs w:val="21"/>
          <w:highlight w:val="none"/>
        </w:rPr>
        <w:t>五、答疑事项</w:t>
      </w:r>
    </w:p>
    <w:p>
      <w:pPr>
        <w:tabs>
          <w:tab w:val="clear" w:pos="426"/>
        </w:tabs>
        <w:ind w:firstLine="424" w:firstLineChars="202"/>
        <w:rPr>
          <w:szCs w:val="21"/>
          <w:highlight w:val="none"/>
        </w:rPr>
      </w:pPr>
      <w:r>
        <w:rPr>
          <w:szCs w:val="21"/>
          <w:highlight w:val="none"/>
        </w:rPr>
        <w:t>1.本项目实行网下纸质答疑，凡对招标文件有任何疑问的（包括认为招标文件的技术指标或参数存在排他性或歧视性条款），请投标人于</w:t>
      </w:r>
      <w:r>
        <w:rPr>
          <w:rFonts w:hint="eastAsia"/>
          <w:b/>
          <w:bCs/>
          <w:szCs w:val="21"/>
          <w:highlight w:val="none"/>
          <w:lang w:val="en-US" w:eastAsia="zh-CN"/>
        </w:rPr>
        <w:t>2019</w:t>
      </w:r>
      <w:r>
        <w:rPr>
          <w:b/>
          <w:bCs/>
          <w:szCs w:val="21"/>
          <w:highlight w:val="none"/>
        </w:rPr>
        <w:t>年</w:t>
      </w:r>
      <w:r>
        <w:rPr>
          <w:rFonts w:hint="eastAsia"/>
          <w:b/>
          <w:bCs/>
          <w:szCs w:val="21"/>
          <w:highlight w:val="none"/>
          <w:lang w:val="en-US" w:eastAsia="zh-CN"/>
        </w:rPr>
        <w:t>6</w:t>
      </w:r>
      <w:r>
        <w:rPr>
          <w:b/>
          <w:bCs/>
          <w:szCs w:val="21"/>
          <w:highlight w:val="none"/>
        </w:rPr>
        <w:t>月</w:t>
      </w:r>
      <w:r>
        <w:rPr>
          <w:rFonts w:hint="eastAsia"/>
          <w:b/>
          <w:bCs/>
          <w:szCs w:val="21"/>
          <w:highlight w:val="none"/>
          <w:lang w:val="en-US" w:eastAsia="zh-CN"/>
        </w:rPr>
        <w:t>25</w:t>
      </w:r>
      <w:r>
        <w:rPr>
          <w:b/>
          <w:bCs/>
          <w:szCs w:val="21"/>
          <w:highlight w:val="none"/>
        </w:rPr>
        <w:t>日17:30前，</w:t>
      </w:r>
      <w:r>
        <w:rPr>
          <w:szCs w:val="21"/>
          <w:highlight w:val="none"/>
        </w:rPr>
        <w:t>根据《深圳经济特区政府采购条例》第六章、《深圳市经济特区政府采购条例实施细则》第六章及深圳市政府采购中心网页http://www.cgzx.sz.gov.cn/zxfw/</w:t>
      </w:r>
      <w:r>
        <w:rPr>
          <w:rFonts w:hint="eastAsia"/>
          <w:szCs w:val="21"/>
          <w:highlight w:val="none"/>
        </w:rPr>
        <w:t>mx</w:t>
      </w:r>
      <w:r>
        <w:rPr>
          <w:szCs w:val="21"/>
          <w:highlight w:val="none"/>
        </w:rPr>
        <w:t>gys/zyzn/所发布的有关质疑的指引及要求填写质疑函件，并将质疑函件以及相关质疑内容的证明材料原件送达深圳市深水水务咨询有限公司，逾期不受理。</w:t>
      </w:r>
    </w:p>
    <w:p>
      <w:pPr>
        <w:tabs>
          <w:tab w:val="clear" w:pos="426"/>
        </w:tabs>
        <w:ind w:firstLine="424" w:firstLineChars="202"/>
        <w:rPr>
          <w:highlight w:val="none"/>
        </w:rPr>
      </w:pPr>
      <w:r>
        <w:rPr>
          <w:szCs w:val="21"/>
          <w:highlight w:val="none"/>
        </w:rPr>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投标人因疏忽，未及时登录相关网站了解相关的答疑情况及补充说明，产生的不利后果由投标人自行承担。</w:t>
      </w:r>
    </w:p>
    <w:p>
      <w:pPr>
        <w:tabs>
          <w:tab w:val="clear" w:pos="426"/>
        </w:tabs>
        <w:rPr>
          <w:b/>
          <w:highlight w:val="none"/>
        </w:rPr>
      </w:pPr>
      <w:r>
        <w:rPr>
          <w:rFonts w:hint="eastAsia"/>
          <w:b/>
          <w:highlight w:val="none"/>
        </w:rPr>
        <w:t>六、相关信息</w:t>
      </w:r>
    </w:p>
    <w:tbl>
      <w:tblPr>
        <w:tblStyle w:val="44"/>
        <w:tblW w:w="7964" w:type="dxa"/>
        <w:jc w:val="center"/>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1514"/>
        <w:gridCol w:w="6450"/>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jc w:val="center"/>
        </w:trPr>
        <w:tc>
          <w:tcPr>
            <w:tcW w:w="7964" w:type="dxa"/>
            <w:gridSpan w:val="2"/>
            <w:tcBorders>
              <w:top w:val="double" w:color="auto" w:sz="4" w:space="0"/>
              <w:left w:val="double" w:color="auto" w:sz="4" w:space="0"/>
              <w:bottom w:val="single" w:color="auto" w:sz="8" w:space="0"/>
              <w:right w:val="double" w:color="auto" w:sz="4" w:space="0"/>
            </w:tcBorders>
            <w:tcMar>
              <w:left w:w="108" w:type="dxa"/>
              <w:right w:w="108" w:type="dxa"/>
            </w:tcMar>
            <w:vAlign w:val="center"/>
          </w:tcPr>
          <w:p>
            <w:pPr>
              <w:pStyle w:val="40"/>
              <w:jc w:val="center"/>
              <w:rPr>
                <w:highlight w:val="none"/>
              </w:rPr>
            </w:pPr>
            <w:r>
              <w:rPr>
                <w:rStyle w:val="48"/>
                <w:rFonts w:hint="eastAsia"/>
                <w:color w:val="000000"/>
                <w:sz w:val="20"/>
                <w:szCs w:val="20"/>
                <w:highlight w:val="none"/>
              </w:rPr>
              <w:t>联系表</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jc w:val="center"/>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交易实施机构</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深圳市深圳市深水水务咨询有限公司</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jc w:val="center"/>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单位地址</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深圳市罗湖区布吉路1028号中设广场B座307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jc w:val="center"/>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联系电话</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lang w:eastAsia="zh-CN"/>
              </w:rPr>
              <w:t>蒋晋</w:t>
            </w:r>
            <w:r>
              <w:rPr>
                <w:rFonts w:hint="eastAsia"/>
                <w:color w:val="000000"/>
                <w:highlight w:val="none"/>
              </w:rPr>
              <w:t>0755-25160321 ，13925205100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jc w:val="center"/>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邮箱</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244868795@qq.com</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jc w:val="center"/>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邮政编码</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518118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jc w:val="center"/>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相关网址</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 xml:space="preserve">深圳市政府采购网  </w:t>
            </w:r>
            <w:r>
              <w:rPr>
                <w:highlight w:val="none"/>
              </w:rPr>
              <w:fldChar w:fldCharType="begin"/>
            </w:r>
            <w:r>
              <w:rPr>
                <w:highlight w:val="none"/>
              </w:rPr>
              <w:instrText xml:space="preserve"> HYPERLINK "http://www.szzfcg.cn" </w:instrText>
            </w:r>
            <w:r>
              <w:rPr>
                <w:highlight w:val="none"/>
              </w:rPr>
              <w:fldChar w:fldCharType="separate"/>
            </w:r>
            <w:r>
              <w:rPr>
                <w:rFonts w:hint="eastAsia"/>
                <w:color w:val="000000"/>
                <w:highlight w:val="none"/>
              </w:rPr>
              <w:t>http://www.szzfcg.cn</w:t>
            </w:r>
            <w:r>
              <w:rPr>
                <w:rFonts w:hint="eastAsia"/>
                <w:color w:val="000000"/>
                <w:highlight w:val="none"/>
              </w:rPr>
              <w:fldChar w:fldCharType="end"/>
            </w:r>
          </w:p>
          <w:p>
            <w:pPr>
              <w:jc w:val="left"/>
              <w:rPr>
                <w:color w:val="000000"/>
                <w:highlight w:val="none"/>
              </w:rPr>
            </w:pPr>
            <w:r>
              <w:rPr>
                <w:rFonts w:hint="eastAsia"/>
                <w:color w:val="000000"/>
                <w:highlight w:val="none"/>
              </w:rPr>
              <w:t>深圳市坪山区公共资源交易中心：http://ps.szzfcg.cn</w:t>
            </w:r>
          </w:p>
          <w:p>
            <w:pPr>
              <w:jc w:val="left"/>
              <w:rPr>
                <w:color w:val="000000"/>
                <w:highlight w:val="none"/>
              </w:rPr>
            </w:pPr>
            <w:r>
              <w:rPr>
                <w:rFonts w:hint="eastAsia"/>
                <w:color w:val="000000"/>
                <w:highlight w:val="none"/>
              </w:rPr>
              <w:t>深圳市深水水务咨询有限公司</w:t>
            </w:r>
            <w:r>
              <w:rPr>
                <w:highlight w:val="none"/>
              </w:rPr>
              <w:fldChar w:fldCharType="begin"/>
            </w:r>
            <w:r>
              <w:rPr>
                <w:highlight w:val="none"/>
              </w:rPr>
              <w:instrText xml:space="preserve"> HYPERLINK "http://www.szsszx.com" </w:instrText>
            </w:r>
            <w:r>
              <w:rPr>
                <w:highlight w:val="none"/>
              </w:rPr>
              <w:fldChar w:fldCharType="separate"/>
            </w:r>
            <w:r>
              <w:rPr>
                <w:rFonts w:hint="eastAsia"/>
                <w:color w:val="000000"/>
                <w:highlight w:val="none"/>
              </w:rPr>
              <w:t>http://www.szsszx.com</w:t>
            </w:r>
            <w:r>
              <w:rPr>
                <w:rFonts w:hint="eastAsia"/>
                <w:color w:val="000000"/>
                <w:highlight w:val="none"/>
              </w:rPr>
              <w:fldChar w:fldCharType="end"/>
            </w:r>
            <w:r>
              <w:rPr>
                <w:rFonts w:hint="eastAsia"/>
                <w:color w:val="000000"/>
                <w:highlight w:val="none"/>
                <w:lang w:eastAsia="zh-CN"/>
              </w:rPr>
              <w:t>（文件下载）</w:t>
            </w:r>
            <w:r>
              <w:rPr>
                <w:rFonts w:hint="eastAsia"/>
                <w:color w:val="000000"/>
                <w:highlight w:val="none"/>
              </w:rPr>
              <w:t xml:space="preserve">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jc w:val="center"/>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采购单位</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深圳市坪山区同心外国语学校</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jc w:val="center"/>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联系人</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李老师，18028477060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jc w:val="center"/>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rFonts w:hint="eastAsia" w:eastAsia="宋体"/>
                <w:color w:val="000000"/>
                <w:highlight w:val="none"/>
                <w:lang w:eastAsia="zh-CN"/>
              </w:rPr>
            </w:pPr>
            <w:r>
              <w:rPr>
                <w:rFonts w:hint="eastAsia"/>
                <w:color w:val="000000"/>
                <w:highlight w:val="none"/>
                <w:lang w:eastAsia="zh-CN"/>
              </w:rPr>
              <w:t>地址</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rFonts w:hint="eastAsia"/>
                <w:color w:val="000000"/>
                <w:highlight w:val="none"/>
              </w:rPr>
            </w:pPr>
            <w:r>
              <w:rPr>
                <w:rFonts w:hint="eastAsia" w:ascii="宋体" w:hAnsi="宋体" w:eastAsia="宋体" w:cs="宋体"/>
                <w:color w:val="000000"/>
                <w:kern w:val="0"/>
                <w:sz w:val="20"/>
                <w:szCs w:val="20"/>
                <w:lang w:val="en-US" w:eastAsia="zh-CN" w:bidi="ar"/>
              </w:rPr>
              <w:t>深圳市坪山区锦绣中路3号同心外国语学校</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jc w:val="center"/>
        </w:trPr>
        <w:tc>
          <w:tcPr>
            <w:tcW w:w="7964" w:type="dxa"/>
            <w:gridSpan w:val="2"/>
            <w:tcBorders>
              <w:top w:val="nil"/>
              <w:left w:val="double" w:color="auto" w:sz="4" w:space="0"/>
              <w:bottom w:val="single" w:color="auto" w:sz="8" w:space="0"/>
              <w:right w:val="double" w:color="auto" w:sz="4" w:space="0"/>
            </w:tcBorders>
            <w:tcMar>
              <w:left w:w="108" w:type="dxa"/>
              <w:right w:w="108" w:type="dxa"/>
            </w:tcMar>
            <w:vAlign w:val="center"/>
          </w:tcPr>
          <w:p>
            <w:pPr>
              <w:pStyle w:val="40"/>
              <w:jc w:val="center"/>
              <w:rPr>
                <w:highlight w:val="none"/>
              </w:rPr>
            </w:pPr>
            <w:r>
              <w:rPr>
                <w:rStyle w:val="48"/>
                <w:rFonts w:hint="eastAsia"/>
                <w:color w:val="000000"/>
                <w:sz w:val="20"/>
                <w:szCs w:val="20"/>
                <w:highlight w:val="none"/>
              </w:rPr>
              <w:t>网上操作相关咨询</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jc w:val="center"/>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详细地址</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深圳市景田东路9号财政大厦附楼</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jc w:val="center"/>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邮政编码</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518034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jc w:val="center"/>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注册咨询</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0755-83938966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jc w:val="center"/>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网上操作咨询</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0755-83948100、83948149、83948544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720" w:hRule="atLeast"/>
          <w:jc w:val="center"/>
        </w:trPr>
        <w:tc>
          <w:tcPr>
            <w:tcW w:w="1514" w:type="dxa"/>
            <w:vMerge w:val="restart"/>
            <w:tcBorders>
              <w:top w:val="nil"/>
              <w:left w:val="double" w:color="auto" w:sz="4" w:space="0"/>
              <w:bottom w:val="double" w:color="auto" w:sz="4"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电子密钥咨询</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highlight w:val="none"/>
              </w:rPr>
              <w:fldChar w:fldCharType="begin"/>
            </w:r>
            <w:r>
              <w:rPr>
                <w:highlight w:val="none"/>
              </w:rPr>
              <w:instrText xml:space="preserve"> HYPERLINK "http://www.cnca.net/cn/html/2013-10-30/44_362.html" </w:instrText>
            </w:r>
            <w:r>
              <w:rPr>
                <w:highlight w:val="none"/>
              </w:rPr>
              <w:fldChar w:fldCharType="separate"/>
            </w:r>
            <w:r>
              <w:rPr>
                <w:rFonts w:hint="eastAsia"/>
                <w:color w:val="000000"/>
                <w:highlight w:val="none"/>
              </w:rPr>
              <w:t>广东省电子商务认证有限公司（NETCA)</w:t>
            </w:r>
            <w:r>
              <w:rPr>
                <w:rFonts w:hint="eastAsia"/>
                <w:color w:val="000000"/>
                <w:highlight w:val="none"/>
              </w:rPr>
              <w:fldChar w:fldCharType="end"/>
            </w:r>
          </w:p>
          <w:p>
            <w:pPr>
              <w:jc w:val="left"/>
              <w:rPr>
                <w:color w:val="000000"/>
                <w:highlight w:val="none"/>
              </w:rPr>
            </w:pPr>
            <w:r>
              <w:rPr>
                <w:rFonts w:hint="eastAsia"/>
                <w:color w:val="000000"/>
                <w:highlight w:val="none"/>
              </w:rPr>
              <w:t>4008301330   0755-83948165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40" w:hRule="atLeast"/>
          <w:jc w:val="center"/>
        </w:trPr>
        <w:tc>
          <w:tcPr>
            <w:tcW w:w="1514" w:type="dxa"/>
            <w:vMerge w:val="continue"/>
            <w:tcBorders>
              <w:top w:val="nil"/>
              <w:left w:val="double" w:color="auto" w:sz="4" w:space="0"/>
              <w:bottom w:val="double" w:color="auto" w:sz="4" w:space="0"/>
              <w:right w:val="single" w:color="auto" w:sz="8" w:space="0"/>
            </w:tcBorders>
            <w:tcMar>
              <w:left w:w="108" w:type="dxa"/>
              <w:right w:w="108" w:type="dxa"/>
            </w:tcMar>
            <w:vAlign w:val="center"/>
          </w:tcPr>
          <w:p>
            <w:pPr>
              <w:ind w:firstLine="424" w:firstLineChars="202"/>
              <w:rPr>
                <w:color w:val="000000"/>
                <w:highlight w:val="none"/>
              </w:rPr>
            </w:pP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highlight w:val="none"/>
              </w:rPr>
              <w:fldChar w:fldCharType="begin"/>
            </w:r>
            <w:r>
              <w:rPr>
                <w:highlight w:val="none"/>
              </w:rPr>
              <w:instrText xml:space="preserve"> HYPERLINK "http://www.gdca.com.cn/info/197150" </w:instrText>
            </w:r>
            <w:r>
              <w:rPr>
                <w:highlight w:val="none"/>
              </w:rPr>
              <w:fldChar w:fldCharType="separate"/>
            </w:r>
            <w:r>
              <w:rPr>
                <w:rFonts w:hint="eastAsia"/>
                <w:color w:val="000000"/>
                <w:highlight w:val="none"/>
              </w:rPr>
              <w:t>广东数字证书认证中心有限公司(GDCA)</w:t>
            </w:r>
            <w:r>
              <w:rPr>
                <w:rFonts w:hint="eastAsia"/>
                <w:color w:val="000000"/>
                <w:highlight w:val="none"/>
              </w:rPr>
              <w:fldChar w:fldCharType="end"/>
            </w:r>
          </w:p>
          <w:p>
            <w:pPr>
              <w:jc w:val="left"/>
              <w:rPr>
                <w:color w:val="000000"/>
                <w:highlight w:val="none"/>
              </w:rPr>
            </w:pPr>
            <w:r>
              <w:rPr>
                <w:rFonts w:hint="eastAsia"/>
                <w:color w:val="000000"/>
                <w:highlight w:val="none"/>
              </w:rPr>
              <w:t>0755-95105813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23" w:hRule="atLeast"/>
          <w:jc w:val="center"/>
        </w:trPr>
        <w:tc>
          <w:tcPr>
            <w:tcW w:w="1514" w:type="dxa"/>
            <w:vMerge w:val="continue"/>
            <w:tcBorders>
              <w:top w:val="nil"/>
              <w:left w:val="double" w:color="auto" w:sz="4" w:space="0"/>
              <w:bottom w:val="double" w:color="auto" w:sz="4" w:space="0"/>
              <w:right w:val="single" w:color="auto" w:sz="8" w:space="0"/>
            </w:tcBorders>
            <w:tcMar>
              <w:left w:w="108" w:type="dxa"/>
              <w:right w:w="108" w:type="dxa"/>
            </w:tcMar>
            <w:vAlign w:val="center"/>
          </w:tcPr>
          <w:p>
            <w:pPr>
              <w:rPr>
                <w:sz w:val="20"/>
                <w:szCs w:val="20"/>
                <w:highlight w:val="none"/>
              </w:rPr>
            </w:pPr>
          </w:p>
        </w:tc>
        <w:tc>
          <w:tcPr>
            <w:tcW w:w="6450" w:type="dxa"/>
            <w:tcBorders>
              <w:top w:val="nil"/>
              <w:left w:val="nil"/>
              <w:bottom w:val="double" w:color="auto" w:sz="4"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深圳市电子商务安全证书管理有限公司(SZCA)</w:t>
            </w:r>
          </w:p>
          <w:p>
            <w:pPr>
              <w:jc w:val="left"/>
              <w:rPr>
                <w:highlight w:val="none"/>
              </w:rPr>
            </w:pPr>
            <w:r>
              <w:rPr>
                <w:rFonts w:hint="eastAsia"/>
                <w:color w:val="000000"/>
                <w:highlight w:val="none"/>
              </w:rPr>
              <w:t>4001123838    0755-26588388</w:t>
            </w:r>
          </w:p>
        </w:tc>
      </w:tr>
    </w:tbl>
    <w:p>
      <w:pPr>
        <w:widowControl w:val="0"/>
        <w:shd w:val="clear" w:color="auto" w:fill="auto"/>
        <w:tabs>
          <w:tab w:val="clear" w:pos="426"/>
        </w:tabs>
        <w:adjustRightInd/>
        <w:snapToGrid/>
        <w:rPr>
          <w:rFonts w:ascii="Times New Roman" w:hAnsi="Times New Roman" w:cs="Times New Roman"/>
          <w:b/>
          <w:kern w:val="2"/>
          <w:szCs w:val="21"/>
          <w:highlight w:val="none"/>
        </w:rPr>
      </w:pPr>
      <w:r>
        <w:rPr>
          <w:rFonts w:hint="eastAsia" w:ascii="Times New Roman" w:hAnsi="Times New Roman" w:cs="Times New Roman"/>
          <w:b/>
          <w:kern w:val="2"/>
          <w:szCs w:val="21"/>
          <w:highlight w:val="none"/>
        </w:rPr>
        <w:t>七、采购文件</w:t>
      </w:r>
    </w:p>
    <w:p>
      <w:pPr>
        <w:tabs>
          <w:tab w:val="clear" w:pos="426"/>
        </w:tabs>
        <w:ind w:firstLine="363" w:firstLineChars="202"/>
        <w:rPr>
          <w:rStyle w:val="52"/>
          <w:rFonts w:hint="default"/>
          <w:highlight w:val="none"/>
        </w:rPr>
      </w:pPr>
      <w:r>
        <w:rPr>
          <w:rStyle w:val="52"/>
          <w:rFonts w:hint="default"/>
          <w:highlight w:val="none"/>
        </w:rPr>
        <w:t>-点此下载-</w:t>
      </w:r>
    </w:p>
    <w:bookmarkEnd w:id="381"/>
    <w:p>
      <w:pPr>
        <w:tabs>
          <w:tab w:val="clear" w:pos="426"/>
        </w:tabs>
        <w:ind w:firstLine="424" w:firstLineChars="202"/>
        <w:rPr>
          <w:highlight w:val="none"/>
        </w:rPr>
      </w:pPr>
    </w:p>
    <w:p>
      <w:pPr>
        <w:tabs>
          <w:tab w:val="clear" w:pos="426"/>
        </w:tabs>
        <w:ind w:firstLine="424" w:firstLineChars="202"/>
        <w:rPr>
          <w:strike/>
          <w:highlight w:val="none"/>
        </w:rPr>
      </w:pPr>
    </w:p>
    <w:p>
      <w:pPr>
        <w:pStyle w:val="33"/>
        <w:tabs>
          <w:tab w:val="clear" w:pos="426"/>
        </w:tabs>
        <w:rPr>
          <w:highlight w:val="none"/>
        </w:rPr>
        <w:sectPr>
          <w:pgSz w:w="11906" w:h="16838"/>
          <w:pgMar w:top="1440" w:right="1797" w:bottom="1440" w:left="1797" w:header="851" w:footer="992" w:gutter="0"/>
          <w:cols w:space="425" w:num="1"/>
          <w:titlePg/>
          <w:docGrid w:linePitch="462" w:charSpace="0"/>
        </w:sectPr>
      </w:pPr>
      <w:bookmarkStart w:id="35" w:name="_Toc432592814"/>
    </w:p>
    <w:p>
      <w:pPr>
        <w:pStyle w:val="33"/>
        <w:tabs>
          <w:tab w:val="clear" w:pos="426"/>
        </w:tabs>
        <w:rPr>
          <w:highlight w:val="none"/>
        </w:rPr>
      </w:pPr>
      <w:bookmarkStart w:id="36" w:name="_Toc5875389"/>
      <w:r>
        <w:rPr>
          <w:rFonts w:hint="eastAsia"/>
          <w:highlight w:val="none"/>
        </w:rPr>
        <w:t xml:space="preserve">第二章 </w:t>
      </w:r>
      <w:bookmarkEnd w:id="35"/>
      <w:bookmarkStart w:id="37" w:name="_Hlk4694149"/>
      <w:r>
        <w:rPr>
          <w:rFonts w:hint="eastAsia"/>
          <w:highlight w:val="none"/>
        </w:rPr>
        <w:t>投标须知前附表</w:t>
      </w:r>
      <w:bookmarkEnd w:id="36"/>
      <w:bookmarkEnd w:id="37"/>
    </w:p>
    <w:p>
      <w:pPr>
        <w:tabs>
          <w:tab w:val="clear" w:pos="426"/>
        </w:tabs>
        <w:spacing w:line="240" w:lineRule="auto"/>
        <w:ind w:right="-174" w:rightChars="-83"/>
        <w:rPr>
          <w:highlight w:val="none"/>
        </w:rPr>
      </w:pPr>
      <w:r>
        <w:rPr>
          <w:rFonts w:hint="eastAsia"/>
          <w:highlight w:val="none"/>
        </w:rPr>
        <w:t>说明：本表是对通用条款《投标人须知》条款的补充、修改和完善，如果有矛盾，应以本表为准。</w:t>
      </w:r>
    </w:p>
    <w:tbl>
      <w:tblPr>
        <w:tblStyle w:val="44"/>
        <w:tblW w:w="9570"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00"/>
        <w:gridCol w:w="719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序号</w:t>
            </w:r>
          </w:p>
        </w:tc>
        <w:tc>
          <w:tcPr>
            <w:tcW w:w="1700" w:type="dxa"/>
            <w:vAlign w:val="center"/>
          </w:tcPr>
          <w:p>
            <w:pPr>
              <w:tabs>
                <w:tab w:val="clear" w:pos="426"/>
              </w:tabs>
              <w:adjustRightInd/>
              <w:snapToGrid/>
              <w:spacing w:line="240" w:lineRule="exact"/>
              <w:jc w:val="center"/>
              <w:rPr>
                <w:highlight w:val="none"/>
              </w:rPr>
            </w:pPr>
            <w:r>
              <w:rPr>
                <w:rFonts w:hint="eastAsia"/>
                <w:highlight w:val="none"/>
              </w:rPr>
              <w:t>内容</w:t>
            </w:r>
          </w:p>
        </w:tc>
        <w:tc>
          <w:tcPr>
            <w:tcW w:w="7195" w:type="dxa"/>
            <w:vAlign w:val="center"/>
          </w:tcPr>
          <w:p>
            <w:pPr>
              <w:tabs>
                <w:tab w:val="clear" w:pos="426"/>
              </w:tabs>
              <w:adjustRightInd/>
              <w:snapToGrid/>
              <w:spacing w:line="240" w:lineRule="exact"/>
              <w:jc w:val="center"/>
              <w:rPr>
                <w:highlight w:val="none"/>
              </w:rPr>
            </w:pPr>
            <w:r>
              <w:rPr>
                <w:rFonts w:hint="eastAsia"/>
                <w:highlight w:val="none"/>
              </w:rPr>
              <w:t>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1</w:t>
            </w:r>
          </w:p>
        </w:tc>
        <w:tc>
          <w:tcPr>
            <w:tcW w:w="1700" w:type="dxa"/>
            <w:vAlign w:val="center"/>
          </w:tcPr>
          <w:p>
            <w:pPr>
              <w:tabs>
                <w:tab w:val="clear" w:pos="426"/>
              </w:tabs>
              <w:adjustRightInd/>
              <w:snapToGrid/>
              <w:spacing w:line="240" w:lineRule="exact"/>
              <w:rPr>
                <w:highlight w:val="none"/>
              </w:rPr>
            </w:pPr>
            <w:r>
              <w:rPr>
                <w:rFonts w:hint="eastAsia"/>
                <w:highlight w:val="none"/>
              </w:rPr>
              <w:t>联合体投标</w:t>
            </w:r>
          </w:p>
        </w:tc>
        <w:tc>
          <w:tcPr>
            <w:tcW w:w="7195" w:type="dxa"/>
            <w:vAlign w:val="center"/>
          </w:tcPr>
          <w:p>
            <w:pPr>
              <w:tabs>
                <w:tab w:val="clear" w:pos="426"/>
              </w:tabs>
              <w:adjustRightInd/>
              <w:snapToGrid/>
              <w:spacing w:line="240" w:lineRule="exact"/>
              <w:rPr>
                <w:highlight w:val="none"/>
              </w:rPr>
            </w:pPr>
            <w:r>
              <w:rPr>
                <w:rFonts w:hint="eastAsia"/>
                <w:highlight w:val="none"/>
              </w:rPr>
              <w:t>■不接受（招标文件中相关联合体规定均不适用）   □接受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2</w:t>
            </w:r>
          </w:p>
        </w:tc>
        <w:tc>
          <w:tcPr>
            <w:tcW w:w="1700" w:type="dxa"/>
            <w:vAlign w:val="center"/>
          </w:tcPr>
          <w:p>
            <w:pPr>
              <w:tabs>
                <w:tab w:val="clear" w:pos="426"/>
              </w:tabs>
              <w:adjustRightInd/>
              <w:snapToGrid/>
              <w:spacing w:line="240" w:lineRule="exact"/>
              <w:rPr>
                <w:highlight w:val="none"/>
              </w:rPr>
            </w:pPr>
            <w:r>
              <w:rPr>
                <w:highlight w:val="none"/>
              </w:rPr>
              <w:t>踏勘现场</w:t>
            </w:r>
          </w:p>
        </w:tc>
        <w:tc>
          <w:tcPr>
            <w:tcW w:w="7195" w:type="dxa"/>
            <w:vAlign w:val="center"/>
          </w:tcPr>
          <w:p>
            <w:pPr>
              <w:tabs>
                <w:tab w:val="clear" w:pos="426"/>
              </w:tabs>
              <w:adjustRightInd/>
              <w:snapToGrid/>
              <w:spacing w:line="240" w:lineRule="exact"/>
              <w:rPr>
                <w:highlight w:val="none"/>
              </w:rPr>
            </w:pPr>
            <w:r>
              <w:rPr>
                <w:rFonts w:hint="eastAsia"/>
                <w:highlight w:val="none"/>
              </w:rPr>
              <w:t>□不组织。</w:t>
            </w:r>
          </w:p>
          <w:p>
            <w:pPr>
              <w:tabs>
                <w:tab w:val="clear" w:pos="426"/>
              </w:tabs>
              <w:adjustRightInd/>
              <w:snapToGrid/>
              <w:spacing w:line="240" w:lineRule="exact"/>
              <w:rPr>
                <w:highlight w:val="none"/>
              </w:rPr>
            </w:pPr>
            <w:r>
              <w:rPr>
                <w:rFonts w:hint="eastAsia"/>
                <w:highlight w:val="none"/>
              </w:rPr>
              <w:t>■组织。踏勘时间：</w:t>
            </w:r>
            <w:r>
              <w:rPr>
                <w:rFonts w:hint="eastAsia"/>
                <w:highlight w:val="none"/>
                <w:u w:val="single"/>
              </w:rPr>
              <w:t xml:space="preserve"> </w:t>
            </w:r>
            <w:r>
              <w:rPr>
                <w:rFonts w:hint="eastAsia"/>
                <w:highlight w:val="none"/>
                <w:u w:val="single"/>
                <w:lang w:val="en-US" w:eastAsia="zh-CN"/>
              </w:rPr>
              <w:t>2019</w:t>
            </w:r>
            <w:r>
              <w:rPr>
                <w:rFonts w:hint="eastAsia"/>
                <w:highlight w:val="none"/>
                <w:u w:val="single"/>
              </w:rPr>
              <w:t>年</w:t>
            </w:r>
            <w:r>
              <w:rPr>
                <w:rFonts w:hint="eastAsia"/>
                <w:highlight w:val="none"/>
                <w:u w:val="single"/>
                <w:lang w:val="en-US" w:eastAsia="zh-CN"/>
              </w:rPr>
              <w:t>6</w:t>
            </w:r>
            <w:r>
              <w:rPr>
                <w:rFonts w:hint="eastAsia"/>
                <w:highlight w:val="none"/>
                <w:u w:val="single"/>
              </w:rPr>
              <w:t>月</w:t>
            </w:r>
            <w:r>
              <w:rPr>
                <w:rFonts w:hint="eastAsia"/>
                <w:highlight w:val="none"/>
                <w:u w:val="single"/>
                <w:lang w:val="en-US" w:eastAsia="zh-CN"/>
              </w:rPr>
              <w:t>24</w:t>
            </w:r>
            <w:r>
              <w:rPr>
                <w:rFonts w:hint="eastAsia"/>
                <w:highlight w:val="none"/>
                <w:u w:val="single"/>
              </w:rPr>
              <w:t>日</w:t>
            </w:r>
            <w:r>
              <w:rPr>
                <w:rFonts w:hint="eastAsia"/>
                <w:highlight w:val="none"/>
                <w:u w:val="single"/>
                <w:lang w:val="en-US" w:eastAsia="zh-CN"/>
              </w:rPr>
              <w:t>15</w:t>
            </w:r>
            <w:r>
              <w:rPr>
                <w:rFonts w:hint="eastAsia"/>
                <w:highlight w:val="none"/>
                <w:u w:val="single"/>
              </w:rPr>
              <w:t>时</w:t>
            </w:r>
            <w:r>
              <w:rPr>
                <w:rFonts w:hint="eastAsia"/>
                <w:highlight w:val="none"/>
                <w:u w:val="single"/>
                <w:lang w:val="en-US" w:eastAsia="zh-CN"/>
              </w:rPr>
              <w:t>00</w:t>
            </w:r>
            <w:r>
              <w:rPr>
                <w:rFonts w:hint="eastAsia"/>
                <w:highlight w:val="none"/>
                <w:u w:val="single"/>
              </w:rPr>
              <w:t>分</w:t>
            </w:r>
          </w:p>
          <w:p>
            <w:pPr>
              <w:keepNext w:val="0"/>
              <w:keepLines w:val="0"/>
              <w:widowControl/>
              <w:suppressLineNumbers w:val="0"/>
              <w:jc w:val="left"/>
              <w:rPr>
                <w:highlight w:val="none"/>
              </w:rPr>
            </w:pPr>
            <w:r>
              <w:rPr>
                <w:rFonts w:hint="eastAsia"/>
                <w:highlight w:val="none"/>
              </w:rPr>
              <w:t xml:space="preserve">        集合地点：</w:t>
            </w:r>
            <w:r>
              <w:rPr>
                <w:rFonts w:hint="eastAsia" w:ascii="宋体" w:hAnsi="宋体" w:eastAsia="宋体" w:cs="宋体"/>
                <w:color w:val="000000"/>
                <w:kern w:val="0"/>
                <w:sz w:val="20"/>
                <w:szCs w:val="20"/>
                <w:lang w:val="en-US" w:eastAsia="zh-CN" w:bidi="ar"/>
              </w:rPr>
              <w:t>深圳市坪山区锦绣中路 3 号同心外国语学校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3</w:t>
            </w:r>
          </w:p>
        </w:tc>
        <w:tc>
          <w:tcPr>
            <w:tcW w:w="1700" w:type="dxa"/>
            <w:vAlign w:val="center"/>
          </w:tcPr>
          <w:p>
            <w:pPr>
              <w:tabs>
                <w:tab w:val="clear" w:pos="426"/>
              </w:tabs>
              <w:adjustRightInd/>
              <w:snapToGrid/>
              <w:spacing w:line="240" w:lineRule="exact"/>
              <w:rPr>
                <w:highlight w:val="none"/>
              </w:rPr>
            </w:pPr>
            <w:r>
              <w:rPr>
                <w:rFonts w:hint="eastAsia"/>
                <w:highlight w:val="none"/>
              </w:rPr>
              <w:t>投标人提出疑问截止时间</w:t>
            </w:r>
          </w:p>
        </w:tc>
        <w:tc>
          <w:tcPr>
            <w:tcW w:w="7195" w:type="dxa"/>
            <w:vAlign w:val="center"/>
          </w:tcPr>
          <w:p>
            <w:pPr>
              <w:tabs>
                <w:tab w:val="clear" w:pos="426"/>
              </w:tabs>
              <w:adjustRightInd/>
              <w:snapToGrid/>
              <w:spacing w:line="240" w:lineRule="exact"/>
              <w:rPr>
                <w:highlight w:val="none"/>
              </w:rPr>
            </w:pPr>
            <w:r>
              <w:rPr>
                <w:rFonts w:hint="eastAsia"/>
                <w:highlight w:val="none"/>
              </w:rPr>
              <w:t>采购文件发布之日起第7个工作日</w:t>
            </w:r>
            <w:r>
              <w:rPr>
                <w:rFonts w:hint="eastAsia"/>
                <w:highlight w:val="none"/>
                <w:u w:val="single"/>
              </w:rPr>
              <w:t>17：30</w:t>
            </w:r>
            <w:r>
              <w:rPr>
                <w:rFonts w:hint="eastAsia"/>
                <w:highlight w:val="none"/>
              </w:rPr>
              <w:t>点前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4</w:t>
            </w:r>
          </w:p>
        </w:tc>
        <w:tc>
          <w:tcPr>
            <w:tcW w:w="1700" w:type="dxa"/>
            <w:vAlign w:val="center"/>
          </w:tcPr>
          <w:p>
            <w:pPr>
              <w:tabs>
                <w:tab w:val="clear" w:pos="426"/>
              </w:tabs>
              <w:adjustRightInd/>
              <w:snapToGrid/>
              <w:spacing w:line="240" w:lineRule="exact"/>
              <w:rPr>
                <w:highlight w:val="none"/>
              </w:rPr>
            </w:pPr>
            <w:r>
              <w:rPr>
                <w:rFonts w:hint="eastAsia"/>
                <w:highlight w:val="none"/>
              </w:rPr>
              <w:t>澄清或修补、答疑的期限</w:t>
            </w:r>
          </w:p>
        </w:tc>
        <w:tc>
          <w:tcPr>
            <w:tcW w:w="7195" w:type="dxa"/>
            <w:vAlign w:val="center"/>
          </w:tcPr>
          <w:p>
            <w:pPr>
              <w:tabs>
                <w:tab w:val="clear" w:pos="426"/>
              </w:tabs>
              <w:adjustRightInd/>
              <w:snapToGrid/>
              <w:spacing w:line="240" w:lineRule="exact"/>
              <w:rPr>
                <w:highlight w:val="none"/>
              </w:rPr>
            </w:pPr>
            <w:r>
              <w:rPr>
                <w:rFonts w:hint="eastAsia"/>
                <w:highlight w:val="none"/>
              </w:rPr>
              <w:t>截标3</w:t>
            </w:r>
            <w:r>
              <w:rPr>
                <w:highlight w:val="none"/>
              </w:rPr>
              <w:t>日</w:t>
            </w:r>
            <w:r>
              <w:rPr>
                <w:rFonts w:hint="eastAsia"/>
                <w:highlight w:val="none"/>
              </w:rPr>
              <w:t>前</w:t>
            </w:r>
            <w:r>
              <w:rPr>
                <w:rFonts w:hint="eastAsia"/>
                <w:highlight w:val="none"/>
                <w:u w:val="single"/>
              </w:rPr>
              <w:t>17：30</w:t>
            </w:r>
            <w:r>
              <w:rPr>
                <w:rFonts w:hint="eastAsia"/>
                <w:highlight w:val="none"/>
              </w:rPr>
              <w:t>点前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5</w:t>
            </w:r>
          </w:p>
        </w:tc>
        <w:tc>
          <w:tcPr>
            <w:tcW w:w="1700" w:type="dxa"/>
            <w:vAlign w:val="center"/>
          </w:tcPr>
          <w:p>
            <w:pPr>
              <w:tabs>
                <w:tab w:val="clear" w:pos="426"/>
              </w:tabs>
              <w:adjustRightInd/>
              <w:snapToGrid/>
              <w:spacing w:line="240" w:lineRule="exact"/>
              <w:rPr>
                <w:highlight w:val="none"/>
              </w:rPr>
            </w:pPr>
            <w:r>
              <w:rPr>
                <w:rFonts w:hint="eastAsia"/>
                <w:highlight w:val="none"/>
              </w:rPr>
              <w:t>招标代理</w:t>
            </w:r>
            <w:r>
              <w:rPr>
                <w:highlight w:val="none"/>
              </w:rPr>
              <w:t>服务费</w:t>
            </w:r>
          </w:p>
        </w:tc>
        <w:tc>
          <w:tcPr>
            <w:tcW w:w="7195" w:type="dxa"/>
            <w:vAlign w:val="center"/>
          </w:tcPr>
          <w:p>
            <w:pPr>
              <w:tabs>
                <w:tab w:val="clear" w:pos="426"/>
              </w:tabs>
              <w:adjustRightInd/>
              <w:snapToGrid/>
              <w:spacing w:line="240" w:lineRule="exact"/>
              <w:rPr>
                <w:highlight w:val="none"/>
              </w:rPr>
            </w:pPr>
            <w:r>
              <w:rPr>
                <w:rFonts w:hint="eastAsia"/>
                <w:highlight w:val="none"/>
              </w:rPr>
              <w:t>采购代理机构以中标金额为计算基数，按《深圳市财政委员会关于规范深圳市社会采购代理机构管理有关事项的补充通知》（深财购〔</w:t>
            </w:r>
            <w:r>
              <w:rPr>
                <w:highlight w:val="none"/>
              </w:rPr>
              <w:t>2018〕27号）规定的招标代理服务费收费办法，按差额定率累进法计算，并向中标人收取。</w:t>
            </w:r>
            <w:r>
              <w:rPr>
                <w:rFonts w:hint="eastAsia"/>
                <w:highlight w:val="none"/>
              </w:rPr>
              <w:t>交易服务费采用转账的方式，账户信息如下：</w:t>
            </w:r>
          </w:p>
          <w:p>
            <w:pPr>
              <w:tabs>
                <w:tab w:val="clear" w:pos="426"/>
              </w:tabs>
              <w:adjustRightInd/>
              <w:snapToGrid/>
              <w:spacing w:line="240" w:lineRule="exact"/>
              <w:rPr>
                <w:highlight w:val="none"/>
              </w:rPr>
            </w:pPr>
            <w:r>
              <w:rPr>
                <w:rFonts w:hint="eastAsia"/>
                <w:highlight w:val="none"/>
              </w:rPr>
              <w:t>户名：深圳市深水水务咨询有限公司</w:t>
            </w:r>
          </w:p>
          <w:p>
            <w:pPr>
              <w:tabs>
                <w:tab w:val="clear" w:pos="426"/>
              </w:tabs>
              <w:adjustRightInd/>
              <w:snapToGrid/>
              <w:spacing w:line="240" w:lineRule="exact"/>
              <w:rPr>
                <w:highlight w:val="none"/>
              </w:rPr>
            </w:pPr>
            <w:r>
              <w:rPr>
                <w:rFonts w:hint="eastAsia"/>
                <w:highlight w:val="none"/>
              </w:rPr>
              <w:t>账号：</w:t>
            </w:r>
            <w:r>
              <w:rPr>
                <w:highlight w:val="none"/>
              </w:rPr>
              <w:t>4000021219200366130</w:t>
            </w:r>
          </w:p>
          <w:p>
            <w:pPr>
              <w:tabs>
                <w:tab w:val="clear" w:pos="426"/>
              </w:tabs>
              <w:adjustRightInd/>
              <w:snapToGrid/>
              <w:spacing w:line="240" w:lineRule="exact"/>
              <w:rPr>
                <w:highlight w:val="none"/>
              </w:rPr>
            </w:pPr>
            <w:r>
              <w:rPr>
                <w:rFonts w:hint="eastAsia"/>
                <w:highlight w:val="none"/>
              </w:rPr>
              <w:t>开户行：中国工商银行深圳红围支行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6</w:t>
            </w:r>
          </w:p>
        </w:tc>
        <w:tc>
          <w:tcPr>
            <w:tcW w:w="1700" w:type="dxa"/>
            <w:vAlign w:val="center"/>
          </w:tcPr>
          <w:p>
            <w:pPr>
              <w:tabs>
                <w:tab w:val="clear" w:pos="426"/>
              </w:tabs>
              <w:adjustRightInd/>
              <w:snapToGrid/>
              <w:spacing w:line="240" w:lineRule="exact"/>
              <w:rPr>
                <w:highlight w:val="none"/>
              </w:rPr>
            </w:pPr>
            <w:r>
              <w:rPr>
                <w:highlight w:val="none"/>
              </w:rPr>
              <w:t>投标</w:t>
            </w:r>
            <w:r>
              <w:rPr>
                <w:rFonts w:hint="eastAsia"/>
                <w:highlight w:val="none"/>
              </w:rPr>
              <w:t>担保</w:t>
            </w:r>
          </w:p>
        </w:tc>
        <w:tc>
          <w:tcPr>
            <w:tcW w:w="7195" w:type="dxa"/>
            <w:vAlign w:val="center"/>
          </w:tcPr>
          <w:p>
            <w:pPr>
              <w:spacing w:line="240" w:lineRule="exact"/>
              <w:rPr>
                <w:color w:val="000000"/>
                <w:highlight w:val="none"/>
              </w:rPr>
            </w:pPr>
            <w:r>
              <w:rPr>
                <w:rFonts w:hint="eastAsia"/>
                <w:color w:val="000000"/>
                <w:highlight w:val="none"/>
              </w:rPr>
              <w:t>根据《深圳市财政委员会关于规范政府采购项目投标保证金和履约保证金管理的通知》深财购﹝2017﹞55号文：</w:t>
            </w:r>
          </w:p>
          <w:p>
            <w:pPr>
              <w:numPr>
                <w:ilvl w:val="255"/>
                <w:numId w:val="0"/>
              </w:numPr>
              <w:spacing w:line="240" w:lineRule="exact"/>
              <w:rPr>
                <w:color w:val="000000"/>
                <w:szCs w:val="21"/>
                <w:highlight w:val="none"/>
              </w:rPr>
            </w:pPr>
            <w:r>
              <w:rPr>
                <w:rFonts w:hint="eastAsia"/>
                <w:color w:val="000000"/>
                <w:szCs w:val="21"/>
                <w:highlight w:val="none"/>
              </w:rPr>
              <w:t>（1）供应商须为深圳市政府采购注册供应商并缴纳保证金一万元（由深圳市政府采购中心收取）；如另有规定，详见招标文件《专用条款》规定。</w:t>
            </w:r>
          </w:p>
          <w:p>
            <w:pPr>
              <w:spacing w:line="240" w:lineRule="exact"/>
              <w:rPr>
                <w:color w:val="000000"/>
                <w:szCs w:val="21"/>
                <w:highlight w:val="none"/>
              </w:rPr>
            </w:pPr>
            <w:r>
              <w:rPr>
                <w:rFonts w:hint="eastAsia"/>
                <w:color w:val="000000"/>
                <w:szCs w:val="21"/>
                <w:highlight w:val="none"/>
              </w:rPr>
              <w:t>（2）投标保证金必须在项目开标日前两个工作日到账。</w:t>
            </w:r>
          </w:p>
          <w:p>
            <w:pPr>
              <w:spacing w:line="240" w:lineRule="exact"/>
              <w:rPr>
                <w:color w:val="000000"/>
                <w:szCs w:val="21"/>
                <w:highlight w:val="none"/>
              </w:rPr>
            </w:pPr>
            <w:r>
              <w:rPr>
                <w:rFonts w:hint="eastAsia"/>
                <w:color w:val="000000"/>
                <w:szCs w:val="21"/>
                <w:highlight w:val="none"/>
              </w:rPr>
              <w:t>（3）交纳投标保证金应一律从投标人基本账户转出，否则按隐瞒真实情况，提供虚假资料处理。取消现金汇款等交纳方式，禁止个人银行结算账户转出和第三方代交。</w:t>
            </w:r>
          </w:p>
          <w:p>
            <w:pPr>
              <w:spacing w:line="240" w:lineRule="exact"/>
              <w:rPr>
                <w:color w:val="000000"/>
                <w:szCs w:val="21"/>
                <w:highlight w:val="none"/>
              </w:rPr>
            </w:pPr>
            <w:r>
              <w:rPr>
                <w:rFonts w:hint="eastAsia"/>
                <w:color w:val="000000"/>
                <w:szCs w:val="21"/>
                <w:highlight w:val="none"/>
              </w:rPr>
              <w:t>（4）投标人须提供承诺函，承诺已在市政府采购中心缴纳投标保证金，所缴纳的投标保证金作为本次政府采购活动的投标保证金；若投标保证金被依法不予退还，应及时补缴，否则投标无效。</w:t>
            </w:r>
          </w:p>
          <w:p>
            <w:pPr>
              <w:spacing w:line="240" w:lineRule="exact"/>
              <w:rPr>
                <w:color w:val="000000"/>
                <w:szCs w:val="21"/>
                <w:highlight w:val="none"/>
              </w:rPr>
            </w:pPr>
            <w:r>
              <w:rPr>
                <w:rFonts w:hint="eastAsia"/>
                <w:color w:val="000000"/>
                <w:szCs w:val="21"/>
                <w:highlight w:val="none"/>
              </w:rPr>
              <w:t>（5）以上相关要求必须严格遵守。否则，由此造成的后果由供应商自行负责。</w:t>
            </w:r>
          </w:p>
          <w:p>
            <w:pPr>
              <w:spacing w:line="240" w:lineRule="exact"/>
              <w:rPr>
                <w:color w:val="000000"/>
                <w:szCs w:val="21"/>
                <w:highlight w:val="none"/>
              </w:rPr>
            </w:pPr>
            <w:r>
              <w:rPr>
                <w:rFonts w:hint="eastAsia"/>
                <w:color w:val="000000"/>
                <w:szCs w:val="21"/>
                <w:highlight w:val="none"/>
              </w:rPr>
              <w:t>（6）缴纳投标保证金账户信息：</w:t>
            </w:r>
          </w:p>
          <w:p>
            <w:pPr>
              <w:spacing w:line="240" w:lineRule="exact"/>
              <w:rPr>
                <w:color w:val="000000"/>
                <w:szCs w:val="21"/>
                <w:highlight w:val="none"/>
              </w:rPr>
            </w:pPr>
            <w:r>
              <w:rPr>
                <w:rFonts w:hint="eastAsia"/>
                <w:color w:val="000000"/>
                <w:szCs w:val="21"/>
                <w:highlight w:val="none"/>
              </w:rPr>
              <w:t>账户名称：深圳市政府采购中心</w:t>
            </w:r>
          </w:p>
          <w:p>
            <w:pPr>
              <w:spacing w:line="240" w:lineRule="exact"/>
              <w:rPr>
                <w:color w:val="000000"/>
                <w:szCs w:val="21"/>
                <w:highlight w:val="none"/>
              </w:rPr>
            </w:pPr>
            <w:r>
              <w:rPr>
                <w:rFonts w:hint="eastAsia"/>
                <w:color w:val="000000"/>
                <w:szCs w:val="21"/>
                <w:highlight w:val="none"/>
              </w:rPr>
              <w:t>账    号：0012100200549</w:t>
            </w:r>
          </w:p>
          <w:p>
            <w:pPr>
              <w:spacing w:line="240" w:lineRule="exact"/>
              <w:rPr>
                <w:color w:val="000000"/>
                <w:szCs w:val="21"/>
                <w:highlight w:val="none"/>
              </w:rPr>
            </w:pPr>
            <w:r>
              <w:rPr>
                <w:rFonts w:hint="eastAsia"/>
                <w:color w:val="000000"/>
                <w:szCs w:val="21"/>
                <w:highlight w:val="none"/>
              </w:rPr>
              <w:t xml:space="preserve">开户银行：平安银行股份有限公司深圳分行营业部  </w:t>
            </w:r>
          </w:p>
          <w:p>
            <w:pPr>
              <w:tabs>
                <w:tab w:val="clear" w:pos="426"/>
              </w:tabs>
              <w:adjustRightInd/>
              <w:snapToGrid/>
              <w:spacing w:line="240" w:lineRule="exact"/>
              <w:rPr>
                <w:color w:val="000000"/>
                <w:szCs w:val="21"/>
                <w:highlight w:val="none"/>
              </w:rPr>
            </w:pPr>
            <w:r>
              <w:rPr>
                <w:rFonts w:hint="eastAsia"/>
                <w:color w:val="000000"/>
                <w:szCs w:val="21"/>
                <w:highlight w:val="none"/>
              </w:rPr>
              <w:t>行    号：307584021015</w:t>
            </w:r>
          </w:p>
          <w:p>
            <w:pPr>
              <w:tabs>
                <w:tab w:val="clear" w:pos="426"/>
              </w:tabs>
              <w:adjustRightInd/>
              <w:snapToGrid/>
              <w:spacing w:line="240" w:lineRule="exact"/>
              <w:rPr>
                <w:highlight w:val="none"/>
              </w:rPr>
            </w:pPr>
            <w:r>
              <w:rPr>
                <w:rFonts w:hint="eastAsia"/>
                <w:highlight w:val="none"/>
              </w:rPr>
              <w:t>（</w:t>
            </w:r>
            <w:r>
              <w:rPr>
                <w:highlight w:val="none"/>
              </w:rPr>
              <w:t>7）咨询电话：0755-83948155</w:t>
            </w:r>
            <w:r>
              <w:rPr>
                <w:rFonts w:hint="eastAsia"/>
                <w:highlight w:val="none"/>
              </w:rPr>
              <w:t>市采购中心保证金业务办理事宜。</w:t>
            </w:r>
            <w:r>
              <w:rPr>
                <w:highlight w:val="none"/>
              </w:rPr>
              <w:t>办理网址</w:t>
            </w:r>
            <w:r>
              <w:rPr>
                <w:rFonts w:hint="eastAsia"/>
                <w:highlight w:val="none"/>
              </w:rPr>
              <w:t>：</w:t>
            </w:r>
            <w:r>
              <w:rPr>
                <w:highlight w:val="none"/>
              </w:rPr>
              <w:t>http://www.cgzx.sz.gov.cn/zxfw/mxgys/bzjywbl/</w:t>
            </w:r>
            <w:r>
              <w:rPr>
                <w:highlight w:val="none"/>
              </w:rPr>
              <w:fldChar w:fldCharType="begin"/>
            </w:r>
            <w:r>
              <w:rPr>
                <w:highlight w:val="none"/>
              </w:rPr>
              <w:instrText xml:space="preserve"> HYPERLINK "http://www.cgzx.sz.gov.cn/zxfw/gys/bzjblzn/" </w:instrText>
            </w:r>
            <w:r>
              <w:rPr>
                <w:highlight w:val="none"/>
              </w:rPr>
              <w:fldChar w:fldCharType="separate"/>
            </w:r>
            <w:r>
              <w:rPr>
                <w:highlight w:val="none"/>
              </w:rPr>
              <w:fldChar w:fldCharType="end"/>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7</w:t>
            </w:r>
          </w:p>
        </w:tc>
        <w:tc>
          <w:tcPr>
            <w:tcW w:w="1700" w:type="dxa"/>
            <w:vAlign w:val="center"/>
          </w:tcPr>
          <w:p>
            <w:pPr>
              <w:tabs>
                <w:tab w:val="clear" w:pos="426"/>
              </w:tabs>
              <w:adjustRightInd/>
              <w:snapToGrid/>
              <w:spacing w:line="240" w:lineRule="exact"/>
              <w:rPr>
                <w:highlight w:val="none"/>
              </w:rPr>
            </w:pPr>
            <w:r>
              <w:rPr>
                <w:highlight w:val="none"/>
              </w:rPr>
              <w:t>投标有效期</w:t>
            </w:r>
          </w:p>
        </w:tc>
        <w:tc>
          <w:tcPr>
            <w:tcW w:w="7195" w:type="dxa"/>
            <w:vAlign w:val="center"/>
          </w:tcPr>
          <w:p>
            <w:pPr>
              <w:tabs>
                <w:tab w:val="clear" w:pos="426"/>
              </w:tabs>
              <w:adjustRightInd/>
              <w:snapToGrid/>
              <w:spacing w:line="240" w:lineRule="exact"/>
              <w:rPr>
                <w:highlight w:val="none"/>
              </w:rPr>
            </w:pPr>
            <w:r>
              <w:rPr>
                <w:rFonts w:hint="eastAsia"/>
                <w:highlight w:val="none"/>
              </w:rPr>
              <w:t>90</w:t>
            </w:r>
            <w:r>
              <w:rPr>
                <w:highlight w:val="none"/>
              </w:rPr>
              <w:t>日历天（</w:t>
            </w:r>
            <w:r>
              <w:rPr>
                <w:rFonts w:hint="eastAsia"/>
                <w:highlight w:val="none"/>
              </w:rPr>
              <w:t>从投标截止之日算起</w:t>
            </w:r>
            <w:r>
              <w:rPr>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8</w:t>
            </w:r>
          </w:p>
        </w:tc>
        <w:tc>
          <w:tcPr>
            <w:tcW w:w="1700" w:type="dxa"/>
            <w:vAlign w:val="center"/>
          </w:tcPr>
          <w:p>
            <w:pPr>
              <w:tabs>
                <w:tab w:val="clear" w:pos="426"/>
              </w:tabs>
              <w:adjustRightInd/>
              <w:snapToGrid/>
              <w:spacing w:line="240" w:lineRule="exact"/>
              <w:rPr>
                <w:highlight w:val="none"/>
              </w:rPr>
            </w:pPr>
            <w:r>
              <w:rPr>
                <w:rFonts w:hint="eastAsia"/>
                <w:highlight w:val="none"/>
              </w:rPr>
              <w:t>替代方案</w:t>
            </w:r>
          </w:p>
        </w:tc>
        <w:tc>
          <w:tcPr>
            <w:tcW w:w="7195" w:type="dxa"/>
            <w:vAlign w:val="center"/>
          </w:tcPr>
          <w:p>
            <w:pPr>
              <w:tabs>
                <w:tab w:val="clear" w:pos="426"/>
              </w:tabs>
              <w:adjustRightInd/>
              <w:snapToGrid/>
              <w:spacing w:line="240" w:lineRule="exact"/>
              <w:rPr>
                <w:highlight w:val="none"/>
              </w:rPr>
            </w:pPr>
            <w:r>
              <w:rPr>
                <w:rFonts w:hint="eastAsia"/>
                <w:highlight w:val="none"/>
              </w:rPr>
              <w:t>■不允许          □允许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9</w:t>
            </w:r>
          </w:p>
        </w:tc>
        <w:tc>
          <w:tcPr>
            <w:tcW w:w="1700" w:type="dxa"/>
            <w:vAlign w:val="center"/>
          </w:tcPr>
          <w:p>
            <w:pPr>
              <w:tabs>
                <w:tab w:val="clear" w:pos="426"/>
              </w:tabs>
              <w:adjustRightInd/>
              <w:snapToGrid/>
              <w:spacing w:line="240" w:lineRule="exact"/>
              <w:rPr>
                <w:highlight w:val="none"/>
              </w:rPr>
            </w:pPr>
            <w:r>
              <w:rPr>
                <w:rFonts w:hint="eastAsia"/>
                <w:highlight w:val="none"/>
              </w:rPr>
              <w:t>评定分离</w:t>
            </w:r>
          </w:p>
        </w:tc>
        <w:tc>
          <w:tcPr>
            <w:tcW w:w="7195" w:type="dxa"/>
            <w:vAlign w:val="center"/>
          </w:tcPr>
          <w:p>
            <w:pPr>
              <w:tabs>
                <w:tab w:val="clear" w:pos="426"/>
              </w:tabs>
              <w:adjustRightInd/>
              <w:snapToGrid/>
              <w:spacing w:line="240" w:lineRule="auto"/>
              <w:rPr>
                <w:highlight w:val="none"/>
              </w:rPr>
            </w:pPr>
            <w:r>
              <w:rPr>
                <w:rFonts w:hint="eastAsia"/>
                <w:highlight w:val="none"/>
              </w:rPr>
              <w:t>■是             □否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10</w:t>
            </w:r>
          </w:p>
        </w:tc>
        <w:tc>
          <w:tcPr>
            <w:tcW w:w="1700" w:type="dxa"/>
            <w:vAlign w:val="center"/>
          </w:tcPr>
          <w:p>
            <w:pPr>
              <w:tabs>
                <w:tab w:val="clear" w:pos="426"/>
              </w:tabs>
              <w:adjustRightInd/>
              <w:snapToGrid/>
              <w:spacing w:line="240" w:lineRule="exact"/>
              <w:rPr>
                <w:highlight w:val="none"/>
              </w:rPr>
            </w:pPr>
            <w:r>
              <w:rPr>
                <w:highlight w:val="none"/>
              </w:rPr>
              <w:t>评标</w:t>
            </w:r>
            <w:r>
              <w:rPr>
                <w:rFonts w:hint="eastAsia"/>
                <w:highlight w:val="none"/>
              </w:rPr>
              <w:t>方</w:t>
            </w:r>
            <w:r>
              <w:rPr>
                <w:highlight w:val="none"/>
              </w:rPr>
              <w:t>法</w:t>
            </w:r>
          </w:p>
        </w:tc>
        <w:tc>
          <w:tcPr>
            <w:tcW w:w="7195" w:type="dxa"/>
            <w:vAlign w:val="center"/>
          </w:tcPr>
          <w:p>
            <w:pPr>
              <w:tabs>
                <w:tab w:val="clear" w:pos="426"/>
              </w:tabs>
              <w:adjustRightInd/>
              <w:snapToGrid/>
              <w:spacing w:line="240" w:lineRule="auto"/>
              <w:rPr>
                <w:color w:val="000000"/>
                <w:szCs w:val="21"/>
                <w:highlight w:val="none"/>
              </w:rPr>
            </w:pPr>
            <w:r>
              <w:rPr>
                <w:highlight w:val="none"/>
              </w:rPr>
              <w:t>■</w:t>
            </w:r>
            <w:r>
              <w:rPr>
                <w:rFonts w:hint="eastAsia"/>
                <w:color w:val="000000"/>
                <w:szCs w:val="21"/>
                <w:highlight w:val="none"/>
              </w:rPr>
              <w:t xml:space="preserve">综合评分法    </w:t>
            </w:r>
            <w:r>
              <w:rPr>
                <w:rFonts w:hint="eastAsia"/>
                <w:highlight w:val="none"/>
              </w:rPr>
              <w:t>□</w:t>
            </w:r>
            <w:r>
              <w:rPr>
                <w:rFonts w:hint="eastAsia"/>
                <w:color w:val="000000"/>
                <w:szCs w:val="21"/>
                <w:highlight w:val="none"/>
              </w:rPr>
              <w:t xml:space="preserve">定性评审法   </w:t>
            </w:r>
            <w:r>
              <w:rPr>
                <w:rFonts w:hint="eastAsia"/>
                <w:highlight w:val="none"/>
              </w:rPr>
              <w:t>□</w:t>
            </w:r>
            <w:r>
              <w:rPr>
                <w:rFonts w:hint="eastAsia"/>
                <w:color w:val="000000"/>
                <w:szCs w:val="21"/>
                <w:highlight w:val="none"/>
              </w:rPr>
              <w:t>最低价法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11</w:t>
            </w:r>
          </w:p>
        </w:tc>
        <w:tc>
          <w:tcPr>
            <w:tcW w:w="1700" w:type="dxa"/>
            <w:vAlign w:val="center"/>
          </w:tcPr>
          <w:p>
            <w:pPr>
              <w:tabs>
                <w:tab w:val="clear" w:pos="426"/>
              </w:tabs>
              <w:adjustRightInd/>
              <w:snapToGrid/>
              <w:spacing w:line="240" w:lineRule="exact"/>
              <w:rPr>
                <w:highlight w:val="none"/>
              </w:rPr>
            </w:pPr>
            <w:r>
              <w:rPr>
                <w:rFonts w:hint="eastAsia"/>
                <w:highlight w:val="none"/>
              </w:rPr>
              <w:t>定</w:t>
            </w:r>
            <w:r>
              <w:rPr>
                <w:highlight w:val="none"/>
              </w:rPr>
              <w:t>标</w:t>
            </w:r>
            <w:r>
              <w:rPr>
                <w:rFonts w:hint="eastAsia"/>
                <w:highlight w:val="none"/>
              </w:rPr>
              <w:t>方</w:t>
            </w:r>
            <w:r>
              <w:rPr>
                <w:highlight w:val="none"/>
              </w:rPr>
              <w:t>法</w:t>
            </w:r>
          </w:p>
        </w:tc>
        <w:tc>
          <w:tcPr>
            <w:tcW w:w="7195" w:type="dxa"/>
            <w:vAlign w:val="center"/>
          </w:tcPr>
          <w:p>
            <w:pPr>
              <w:tabs>
                <w:tab w:val="clear" w:pos="426"/>
              </w:tabs>
              <w:adjustRightInd/>
              <w:snapToGrid/>
              <w:spacing w:line="240" w:lineRule="auto"/>
              <w:rPr>
                <w:color w:val="000000"/>
                <w:szCs w:val="21"/>
                <w:highlight w:val="none"/>
              </w:rPr>
            </w:pPr>
            <w:r>
              <w:rPr>
                <w:rFonts w:hint="eastAsia"/>
                <w:highlight w:val="none"/>
              </w:rPr>
              <w:t>■</w:t>
            </w:r>
            <w:r>
              <w:rPr>
                <w:rFonts w:hint="eastAsia"/>
                <w:color w:val="000000"/>
                <w:szCs w:val="21"/>
                <w:highlight w:val="none"/>
              </w:rPr>
              <w:t xml:space="preserve">自定法         </w:t>
            </w:r>
            <w:r>
              <w:rPr>
                <w:rFonts w:hint="eastAsia"/>
                <w:highlight w:val="none"/>
              </w:rPr>
              <w:t>□</w:t>
            </w:r>
            <w:r>
              <w:rPr>
                <w:rFonts w:hint="eastAsia"/>
                <w:color w:val="000000"/>
                <w:szCs w:val="21"/>
                <w:highlight w:val="none"/>
              </w:rPr>
              <w:t xml:space="preserve">抽签法         </w:t>
            </w:r>
            <w:r>
              <w:rPr>
                <w:rFonts w:hint="eastAsia"/>
                <w:highlight w:val="none"/>
              </w:rPr>
              <w:t>□</w:t>
            </w:r>
            <w:r>
              <w:rPr>
                <w:rFonts w:hint="eastAsia"/>
                <w:color w:val="000000"/>
                <w:szCs w:val="21"/>
                <w:highlight w:val="none"/>
              </w:rPr>
              <w:t>竞价法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12</w:t>
            </w:r>
          </w:p>
        </w:tc>
        <w:tc>
          <w:tcPr>
            <w:tcW w:w="1700" w:type="dxa"/>
            <w:vAlign w:val="center"/>
          </w:tcPr>
          <w:p>
            <w:pPr>
              <w:tabs>
                <w:tab w:val="clear" w:pos="426"/>
              </w:tabs>
              <w:adjustRightInd/>
              <w:snapToGrid/>
              <w:spacing w:line="240" w:lineRule="exact"/>
              <w:rPr>
                <w:highlight w:val="none"/>
              </w:rPr>
            </w:pPr>
            <w:r>
              <w:rPr>
                <w:highlight w:val="none"/>
              </w:rPr>
              <w:t>履约保证金</w:t>
            </w:r>
          </w:p>
        </w:tc>
        <w:tc>
          <w:tcPr>
            <w:tcW w:w="7195" w:type="dxa"/>
            <w:vAlign w:val="center"/>
          </w:tcPr>
          <w:p>
            <w:pPr>
              <w:tabs>
                <w:tab w:val="clear" w:pos="426"/>
              </w:tabs>
              <w:adjustRightInd/>
              <w:snapToGrid/>
              <w:spacing w:line="240" w:lineRule="exact"/>
              <w:rPr>
                <w:highlight w:val="none"/>
              </w:rPr>
            </w:pPr>
            <w:r>
              <w:rPr>
                <w:highlight w:val="none"/>
              </w:rPr>
              <w:t>■</w:t>
            </w:r>
            <w:r>
              <w:rPr>
                <w:rFonts w:hint="eastAsia"/>
                <w:highlight w:val="none"/>
              </w:rPr>
              <w:t>不提交         □提交</w:t>
            </w:r>
          </w:p>
          <w:p>
            <w:pPr>
              <w:tabs>
                <w:tab w:val="clear" w:pos="426"/>
              </w:tabs>
              <w:adjustRightInd/>
              <w:snapToGrid/>
              <w:spacing w:line="240" w:lineRule="exact"/>
              <w:rPr>
                <w:highlight w:val="none"/>
              </w:rPr>
            </w:pPr>
            <w:r>
              <w:rPr>
                <w:rFonts w:hint="eastAsia"/>
                <w:highlight w:val="none"/>
              </w:rPr>
              <w:t>担保金额：为中标价的</w:t>
            </w:r>
            <w:r>
              <w:rPr>
                <w:rFonts w:hint="eastAsia"/>
                <w:highlight w:val="none"/>
                <w:u w:val="single"/>
              </w:rPr>
              <w:t xml:space="preserve"> /  </w:t>
            </w:r>
            <w:r>
              <w:rPr>
                <w:rFonts w:hint="eastAsia"/>
                <w:highlight w:val="none"/>
              </w:rPr>
              <w:t>% 或</w:t>
            </w:r>
            <w:r>
              <w:rPr>
                <w:rFonts w:hint="eastAsia"/>
                <w:highlight w:val="none"/>
                <w:u w:val="single"/>
              </w:rPr>
              <w:t xml:space="preserve"> / </w:t>
            </w:r>
            <w:r>
              <w:rPr>
                <w:rFonts w:hint="eastAsia"/>
                <w:highlight w:val="none"/>
              </w:rPr>
              <w:t>万元</w:t>
            </w:r>
          </w:p>
          <w:p>
            <w:pPr>
              <w:tabs>
                <w:tab w:val="clear" w:pos="426"/>
              </w:tabs>
              <w:adjustRightInd/>
              <w:snapToGrid/>
              <w:spacing w:line="240" w:lineRule="exact"/>
              <w:rPr>
                <w:highlight w:val="none"/>
              </w:rPr>
            </w:pPr>
            <w:r>
              <w:rPr>
                <w:rFonts w:hint="eastAsia"/>
                <w:highlight w:val="none"/>
              </w:rPr>
              <w:t>担保提交时间：收到中标通知书后，并在签订合同前提交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13</w:t>
            </w:r>
          </w:p>
        </w:tc>
        <w:tc>
          <w:tcPr>
            <w:tcW w:w="1700" w:type="dxa"/>
            <w:vAlign w:val="center"/>
          </w:tcPr>
          <w:p>
            <w:pPr>
              <w:tabs>
                <w:tab w:val="clear" w:pos="426"/>
              </w:tabs>
              <w:adjustRightInd/>
              <w:snapToGrid/>
              <w:spacing w:line="240" w:lineRule="exact"/>
              <w:rPr>
                <w:highlight w:val="none"/>
              </w:rPr>
            </w:pPr>
            <w:r>
              <w:rPr>
                <w:highlight w:val="none"/>
              </w:rPr>
              <w:t>投标文件份数</w:t>
            </w:r>
          </w:p>
        </w:tc>
        <w:tc>
          <w:tcPr>
            <w:tcW w:w="7195" w:type="dxa"/>
            <w:vAlign w:val="center"/>
          </w:tcPr>
          <w:p>
            <w:pPr>
              <w:tabs>
                <w:tab w:val="clear" w:pos="426"/>
              </w:tabs>
              <w:adjustRightInd/>
              <w:snapToGrid/>
              <w:spacing w:line="240" w:lineRule="exact"/>
              <w:rPr>
                <w:highlight w:val="none"/>
              </w:rPr>
            </w:pPr>
            <w:r>
              <w:rPr>
                <w:rFonts w:hint="eastAsia"/>
                <w:highlight w:val="none"/>
              </w:rPr>
              <w:t>（1）开标信封一份。</w:t>
            </w:r>
          </w:p>
          <w:p>
            <w:pPr>
              <w:tabs>
                <w:tab w:val="clear" w:pos="426"/>
              </w:tabs>
              <w:adjustRightInd/>
              <w:snapToGrid/>
              <w:spacing w:line="240" w:lineRule="exact"/>
              <w:rPr>
                <w:highlight w:val="none"/>
              </w:rPr>
            </w:pPr>
            <w:r>
              <w:rPr>
                <w:rFonts w:hint="eastAsia"/>
                <w:highlight w:val="none"/>
              </w:rPr>
              <w:t>（2）纸质投标文件</w:t>
            </w:r>
            <w:r>
              <w:rPr>
                <w:highlight w:val="none"/>
                <w:u w:val="single"/>
              </w:rPr>
              <w:t>一</w:t>
            </w:r>
            <w:r>
              <w:rPr>
                <w:highlight w:val="none"/>
              </w:rPr>
              <w:t>正本，</w:t>
            </w:r>
            <w:r>
              <w:rPr>
                <w:highlight w:val="none"/>
                <w:u w:val="single"/>
              </w:rPr>
              <w:t>四</w:t>
            </w:r>
            <w:r>
              <w:rPr>
                <w:highlight w:val="none"/>
              </w:rPr>
              <w:t>副本</w:t>
            </w:r>
            <w:r>
              <w:rPr>
                <w:rFonts w:hint="eastAsia"/>
                <w:highlight w:val="none"/>
              </w:rPr>
              <w:t>，建议胶装，统一密封在一个外密封包里。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14</w:t>
            </w:r>
          </w:p>
        </w:tc>
        <w:tc>
          <w:tcPr>
            <w:tcW w:w="1700" w:type="dxa"/>
            <w:vAlign w:val="center"/>
          </w:tcPr>
          <w:p>
            <w:pPr>
              <w:tabs>
                <w:tab w:val="clear" w:pos="426"/>
              </w:tabs>
              <w:adjustRightInd/>
              <w:snapToGrid/>
              <w:spacing w:line="240" w:lineRule="exact"/>
              <w:rPr>
                <w:highlight w:val="none"/>
              </w:rPr>
            </w:pPr>
            <w:r>
              <w:rPr>
                <w:rFonts w:hint="eastAsia"/>
                <w:highlight w:val="none"/>
              </w:rPr>
              <w:t>投标文件电子版</w:t>
            </w:r>
          </w:p>
        </w:tc>
        <w:tc>
          <w:tcPr>
            <w:tcW w:w="7195" w:type="dxa"/>
            <w:vAlign w:val="center"/>
          </w:tcPr>
          <w:p>
            <w:pPr>
              <w:tabs>
                <w:tab w:val="clear" w:pos="426"/>
              </w:tabs>
              <w:adjustRightInd/>
              <w:snapToGrid/>
              <w:spacing w:line="240" w:lineRule="exact"/>
              <w:rPr>
                <w:highlight w:val="none"/>
              </w:rPr>
            </w:pPr>
            <w:r>
              <w:rPr>
                <w:rFonts w:hint="eastAsia"/>
                <w:highlight w:val="none"/>
              </w:rPr>
              <w:t>电子光盘一张（投标文件正本盖章后的彩色扫描件，</w:t>
            </w:r>
            <w:r>
              <w:rPr>
                <w:highlight w:val="none"/>
              </w:rPr>
              <w:t>PDF格式）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15</w:t>
            </w:r>
          </w:p>
        </w:tc>
        <w:tc>
          <w:tcPr>
            <w:tcW w:w="1700" w:type="dxa"/>
            <w:vAlign w:val="center"/>
          </w:tcPr>
          <w:p>
            <w:pPr>
              <w:tabs>
                <w:tab w:val="clear" w:pos="426"/>
              </w:tabs>
              <w:adjustRightInd/>
              <w:snapToGrid/>
              <w:spacing w:line="240" w:lineRule="exact"/>
              <w:rPr>
                <w:highlight w:val="none"/>
              </w:rPr>
            </w:pPr>
            <w:r>
              <w:rPr>
                <w:rFonts w:hint="eastAsia"/>
                <w:highlight w:val="none"/>
              </w:rPr>
              <w:t>财政预算限额</w:t>
            </w:r>
          </w:p>
        </w:tc>
        <w:tc>
          <w:tcPr>
            <w:tcW w:w="7195" w:type="dxa"/>
            <w:vAlign w:val="center"/>
          </w:tcPr>
          <w:p>
            <w:pPr>
              <w:tabs>
                <w:tab w:val="clear" w:pos="426"/>
              </w:tabs>
              <w:adjustRightInd/>
              <w:snapToGrid/>
              <w:spacing w:line="240" w:lineRule="exact"/>
              <w:rPr>
                <w:color w:val="FF0000"/>
                <w:highlight w:val="none"/>
              </w:rPr>
            </w:pPr>
            <w:r>
              <w:rPr>
                <w:rFonts w:hint="eastAsia"/>
                <w:b/>
                <w:highlight w:val="none"/>
              </w:rPr>
              <w:t>金额：</w:t>
            </w:r>
            <w:r>
              <w:rPr>
                <w:rFonts w:hint="eastAsia"/>
                <w:b/>
                <w:highlight w:val="none"/>
                <w:u w:val="single"/>
              </w:rPr>
              <w:t>人民币 贰佰肆拾伍万元整</w:t>
            </w:r>
            <w:r>
              <w:rPr>
                <w:b/>
                <w:highlight w:val="none"/>
                <w:u w:val="single"/>
              </w:rPr>
              <w:t>（</w:t>
            </w:r>
            <w:r>
              <w:rPr>
                <w:rFonts w:hint="eastAsia" w:eastAsia="微软雅黑"/>
                <w:b/>
                <w:highlight w:val="none"/>
                <w:u w:val="single"/>
              </w:rPr>
              <w:t>¥2,450,000.00</w:t>
            </w:r>
            <w:r>
              <w:rPr>
                <w:rFonts w:hint="eastAsia"/>
                <w:b/>
                <w:highlight w:val="none"/>
                <w:u w:val="single"/>
              </w:rPr>
              <w:t>元</w:t>
            </w:r>
            <w:r>
              <w:rPr>
                <w:b/>
                <w:highlight w:val="none"/>
                <w:u w:val="single"/>
              </w:rPr>
              <w:t>）</w:t>
            </w:r>
            <w:r>
              <w:rPr>
                <w:rFonts w:hint="eastAsia"/>
                <w:b/>
                <w:highlight w:val="none"/>
                <w:u w:val="single"/>
              </w:rPr>
              <w:t>，</w:t>
            </w:r>
            <w:r>
              <w:rPr>
                <w:rFonts w:hint="eastAsia"/>
                <w:highlight w:val="none"/>
              </w:rPr>
              <w:t>分项预算限额详见货物清单一览表，超出财政预算限额或分项预算限额的投标文件将不被接受。</w:t>
            </w:r>
          </w:p>
        </w:tc>
      </w:tr>
    </w:tbl>
    <w:p>
      <w:pPr>
        <w:pStyle w:val="33"/>
        <w:tabs>
          <w:tab w:val="clear" w:pos="426"/>
        </w:tabs>
        <w:rPr>
          <w:highlight w:val="none"/>
        </w:rPr>
      </w:pPr>
      <w:r>
        <w:rPr>
          <w:highlight w:val="none"/>
        </w:rPr>
        <w:br w:type="page"/>
      </w:r>
      <w:bookmarkStart w:id="38" w:name="_Toc5875390"/>
      <w:bookmarkStart w:id="39" w:name="_Toc398220525"/>
      <w:bookmarkStart w:id="40" w:name="_Toc432592816"/>
      <w:r>
        <w:rPr>
          <w:rFonts w:hint="eastAsia"/>
          <w:highlight w:val="none"/>
        </w:rPr>
        <w:t xml:space="preserve">第三章 </w:t>
      </w:r>
      <w:r>
        <w:rPr>
          <w:highlight w:val="none"/>
        </w:rPr>
        <w:t>项目</w:t>
      </w:r>
      <w:r>
        <w:rPr>
          <w:rFonts w:hint="eastAsia"/>
          <w:highlight w:val="none"/>
        </w:rPr>
        <w:t>需求</w:t>
      </w:r>
      <w:bookmarkEnd w:id="38"/>
    </w:p>
    <w:p>
      <w:pPr>
        <w:numPr>
          <w:ilvl w:val="0"/>
          <w:numId w:val="27"/>
        </w:numPr>
        <w:adjustRightInd/>
        <w:snapToGrid/>
        <w:spacing w:before="280" w:after="290" w:line="377" w:lineRule="auto"/>
        <w:jc w:val="left"/>
        <w:outlineLvl w:val="2"/>
        <w:rPr>
          <w:b/>
          <w:sz w:val="24"/>
          <w:highlight w:val="none"/>
        </w:rPr>
      </w:pPr>
      <w:r>
        <w:rPr>
          <w:b/>
          <w:sz w:val="24"/>
          <w:highlight w:val="none"/>
        </w:rPr>
        <w:t>货物清单</w:t>
      </w:r>
      <w:r>
        <w:rPr>
          <w:rFonts w:hint="eastAsia"/>
          <w:b/>
          <w:sz w:val="24"/>
          <w:highlight w:val="none"/>
        </w:rPr>
        <w:t>一览表</w:t>
      </w:r>
    </w:p>
    <w:p>
      <w:pPr>
        <w:widowControl w:val="0"/>
        <w:shd w:val="clear" w:color="auto" w:fill="auto"/>
        <w:tabs>
          <w:tab w:val="clear" w:pos="426"/>
        </w:tabs>
        <w:adjustRightInd/>
        <w:snapToGrid/>
        <w:spacing w:beforeLines="50" w:line="300" w:lineRule="auto"/>
        <w:ind w:firstLine="422" w:firstLineChars="200"/>
        <w:rPr>
          <w:rFonts w:cs="Times New Roman"/>
          <w:b/>
          <w:bCs/>
          <w:kern w:val="2"/>
          <w:szCs w:val="21"/>
          <w:highlight w:val="none"/>
        </w:rPr>
      </w:pPr>
      <w:r>
        <w:rPr>
          <w:rFonts w:hint="eastAsia" w:cs="Times New Roman"/>
          <w:b/>
          <w:bCs/>
          <w:kern w:val="2"/>
          <w:szCs w:val="21"/>
          <w:highlight w:val="none"/>
        </w:rPr>
        <w:t>（一）货物总清单</w:t>
      </w:r>
    </w:p>
    <w:tbl>
      <w:tblPr>
        <w:tblStyle w:val="44"/>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
        <w:gridCol w:w="1132"/>
        <w:gridCol w:w="1448"/>
        <w:gridCol w:w="2865"/>
        <w:gridCol w:w="720"/>
        <w:gridCol w:w="765"/>
        <w:gridCol w:w="70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473" w:type="dxa"/>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序号</w:t>
            </w:r>
          </w:p>
        </w:tc>
        <w:tc>
          <w:tcPr>
            <w:tcW w:w="1132" w:type="dxa"/>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hint="eastAsia" w:cs="Times New Roman"/>
                <w:b/>
                <w:bCs/>
                <w:szCs w:val="21"/>
                <w:highlight w:val="none"/>
              </w:rPr>
              <w:t>采购计划编号</w:t>
            </w:r>
          </w:p>
        </w:tc>
        <w:tc>
          <w:tcPr>
            <w:tcW w:w="1448" w:type="dxa"/>
            <w:vAlign w:val="center"/>
          </w:tcPr>
          <w:p>
            <w:pPr>
              <w:widowControl w:val="0"/>
              <w:jc w:val="center"/>
              <w:rPr>
                <w:rFonts w:cs="Times New Roman"/>
                <w:b/>
                <w:bCs/>
                <w:szCs w:val="21"/>
                <w:highlight w:val="none"/>
              </w:rPr>
            </w:pPr>
            <w:r>
              <w:rPr>
                <w:rFonts w:cs="Times New Roman"/>
                <w:b/>
                <w:bCs/>
                <w:szCs w:val="21"/>
                <w:highlight w:val="none"/>
              </w:rPr>
              <w:t>货物名称</w:t>
            </w:r>
          </w:p>
        </w:tc>
        <w:tc>
          <w:tcPr>
            <w:tcW w:w="2865" w:type="dxa"/>
            <w:vAlign w:val="center"/>
          </w:tcPr>
          <w:p>
            <w:pPr>
              <w:widowControl w:val="0"/>
              <w:jc w:val="center"/>
              <w:rPr>
                <w:rFonts w:cs="Times New Roman"/>
                <w:b/>
                <w:bCs/>
                <w:szCs w:val="21"/>
                <w:highlight w:val="none"/>
              </w:rPr>
            </w:pPr>
            <w:r>
              <w:rPr>
                <w:rFonts w:hint="eastAsia" w:cs="Times New Roman"/>
                <w:b/>
                <w:bCs/>
                <w:szCs w:val="21"/>
                <w:highlight w:val="none"/>
              </w:rPr>
              <w:t>配置要求（主要部件）</w:t>
            </w:r>
          </w:p>
        </w:tc>
        <w:tc>
          <w:tcPr>
            <w:tcW w:w="720" w:type="dxa"/>
            <w:vAlign w:val="center"/>
          </w:tcPr>
          <w:p>
            <w:pPr>
              <w:widowControl w:val="0"/>
              <w:jc w:val="center"/>
              <w:rPr>
                <w:rFonts w:cs="Times New Roman"/>
                <w:b/>
                <w:bCs/>
                <w:szCs w:val="21"/>
                <w:highlight w:val="none"/>
              </w:rPr>
            </w:pPr>
            <w:r>
              <w:rPr>
                <w:rFonts w:cs="Times New Roman"/>
                <w:b/>
                <w:bCs/>
                <w:szCs w:val="21"/>
                <w:highlight w:val="none"/>
              </w:rPr>
              <w:t>数量</w:t>
            </w:r>
          </w:p>
        </w:tc>
        <w:tc>
          <w:tcPr>
            <w:tcW w:w="765" w:type="dxa"/>
            <w:vAlign w:val="center"/>
          </w:tcPr>
          <w:p>
            <w:pPr>
              <w:widowControl w:val="0"/>
              <w:jc w:val="center"/>
              <w:rPr>
                <w:rFonts w:cs="Times New Roman"/>
                <w:b/>
                <w:bCs/>
                <w:szCs w:val="21"/>
                <w:highlight w:val="none"/>
              </w:rPr>
            </w:pPr>
            <w:r>
              <w:rPr>
                <w:rFonts w:cs="Times New Roman"/>
                <w:b/>
                <w:bCs/>
                <w:szCs w:val="21"/>
                <w:highlight w:val="none"/>
              </w:rPr>
              <w:t>单位</w:t>
            </w:r>
          </w:p>
        </w:tc>
        <w:tc>
          <w:tcPr>
            <w:tcW w:w="705" w:type="dxa"/>
            <w:vAlign w:val="center"/>
          </w:tcPr>
          <w:p>
            <w:pPr>
              <w:widowControl w:val="0"/>
              <w:jc w:val="center"/>
              <w:rPr>
                <w:rFonts w:cs="Times New Roman"/>
                <w:b/>
                <w:bCs/>
                <w:szCs w:val="21"/>
                <w:highlight w:val="none"/>
              </w:rPr>
            </w:pPr>
            <w:r>
              <w:rPr>
                <w:rFonts w:cs="Times New Roman"/>
                <w:b/>
                <w:bCs/>
                <w:szCs w:val="21"/>
                <w:highlight w:val="none"/>
              </w:rPr>
              <w:t>备注</w:t>
            </w:r>
          </w:p>
        </w:tc>
        <w:tc>
          <w:tcPr>
            <w:tcW w:w="1530" w:type="dxa"/>
            <w:vAlign w:val="center"/>
          </w:tcPr>
          <w:p>
            <w:pPr>
              <w:widowControl w:val="0"/>
              <w:jc w:val="center"/>
              <w:rPr>
                <w:rFonts w:cs="Times New Roman"/>
                <w:b/>
                <w:bCs/>
                <w:szCs w:val="21"/>
                <w:highlight w:val="none"/>
              </w:rPr>
            </w:pPr>
            <w:r>
              <w:rPr>
                <w:rFonts w:cs="Times New Roman"/>
                <w:b/>
                <w:bCs/>
                <w:szCs w:val="21"/>
                <w:highlight w:val="none"/>
              </w:rPr>
              <w:t>财政预算限额(元)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73" w:type="dxa"/>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1</w:t>
            </w:r>
          </w:p>
        </w:tc>
        <w:tc>
          <w:tcPr>
            <w:tcW w:w="1132" w:type="dxa"/>
            <w:vMerge w:val="restart"/>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PLAN-2019-007059-000013</w:t>
            </w:r>
          </w:p>
        </w:tc>
        <w:tc>
          <w:tcPr>
            <w:tcW w:w="1448" w:type="dxa"/>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电脑室</w:t>
            </w:r>
          </w:p>
        </w:tc>
        <w:tc>
          <w:tcPr>
            <w:tcW w:w="2865" w:type="dxa"/>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交换机、学生电脑、耳机、教学软件、机柜</w:t>
            </w:r>
          </w:p>
        </w:tc>
        <w:tc>
          <w:tcPr>
            <w:tcW w:w="720" w:type="dxa"/>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1</w:t>
            </w:r>
          </w:p>
        </w:tc>
        <w:tc>
          <w:tcPr>
            <w:tcW w:w="765" w:type="dxa"/>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批</w:t>
            </w:r>
          </w:p>
        </w:tc>
        <w:tc>
          <w:tcPr>
            <w:tcW w:w="705" w:type="dxa"/>
            <w:vAlign w:val="center"/>
          </w:tcPr>
          <w:p>
            <w:pPr>
              <w:spacing w:line="240" w:lineRule="auto"/>
              <w:jc w:val="center"/>
              <w:rPr>
                <w:sz w:val="18"/>
                <w:szCs w:val="18"/>
                <w:highlight w:val="none"/>
              </w:rPr>
            </w:pPr>
          </w:p>
        </w:tc>
        <w:tc>
          <w:tcPr>
            <w:tcW w:w="1530" w:type="dxa"/>
            <w:vMerge w:val="restart"/>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2,450,000.00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atLeast"/>
        </w:trPr>
        <w:tc>
          <w:tcPr>
            <w:tcW w:w="473" w:type="dxa"/>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2</w:t>
            </w:r>
          </w:p>
        </w:tc>
        <w:tc>
          <w:tcPr>
            <w:tcW w:w="1132" w:type="dxa"/>
            <w:vMerge w:val="continue"/>
            <w:vAlign w:val="center"/>
          </w:tcPr>
          <w:p>
            <w:pPr>
              <w:widowControl w:val="0"/>
              <w:shd w:val="clear" w:color="auto" w:fill="auto"/>
              <w:tabs>
                <w:tab w:val="clear" w:pos="426"/>
              </w:tabs>
              <w:adjustRightInd/>
              <w:snapToGrid/>
              <w:spacing w:line="240" w:lineRule="auto"/>
              <w:jc w:val="center"/>
              <w:rPr>
                <w:rFonts w:cs="Times New Roman"/>
                <w:szCs w:val="21"/>
                <w:highlight w:val="none"/>
              </w:rPr>
            </w:pPr>
          </w:p>
        </w:tc>
        <w:tc>
          <w:tcPr>
            <w:tcW w:w="1448" w:type="dxa"/>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办公设备</w:t>
            </w:r>
          </w:p>
        </w:tc>
        <w:tc>
          <w:tcPr>
            <w:tcW w:w="2865" w:type="dxa"/>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平板电脑、移动授课系统、教师用电脑、学生用笔记本、复印机、速印机、激光打印机等</w:t>
            </w:r>
          </w:p>
        </w:tc>
        <w:tc>
          <w:tcPr>
            <w:tcW w:w="720" w:type="dxa"/>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1</w:t>
            </w:r>
          </w:p>
        </w:tc>
        <w:tc>
          <w:tcPr>
            <w:tcW w:w="765" w:type="dxa"/>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批</w:t>
            </w:r>
          </w:p>
        </w:tc>
        <w:tc>
          <w:tcPr>
            <w:tcW w:w="705" w:type="dxa"/>
            <w:vAlign w:val="center"/>
          </w:tcPr>
          <w:p>
            <w:pPr>
              <w:spacing w:line="240" w:lineRule="auto"/>
              <w:jc w:val="center"/>
              <w:rPr>
                <w:sz w:val="18"/>
                <w:szCs w:val="18"/>
                <w:highlight w:val="none"/>
              </w:rPr>
            </w:pPr>
          </w:p>
        </w:tc>
        <w:tc>
          <w:tcPr>
            <w:tcW w:w="1530" w:type="dxa"/>
            <w:vMerge w:val="continue"/>
            <w:vAlign w:val="center"/>
          </w:tcPr>
          <w:p>
            <w:pPr>
              <w:widowControl w:val="0"/>
              <w:shd w:val="clear" w:color="auto" w:fill="auto"/>
              <w:tabs>
                <w:tab w:val="clear" w:pos="426"/>
              </w:tabs>
              <w:adjustRightInd/>
              <w:snapToGrid/>
              <w:spacing w:line="240" w:lineRule="auto"/>
              <w:jc w:val="center"/>
              <w:rPr>
                <w:rFonts w:cs="Times New Roman"/>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9" w:hRule="atLeast"/>
        </w:trPr>
        <w:tc>
          <w:tcPr>
            <w:tcW w:w="473" w:type="dxa"/>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3</w:t>
            </w:r>
          </w:p>
        </w:tc>
        <w:tc>
          <w:tcPr>
            <w:tcW w:w="1132" w:type="dxa"/>
            <w:vMerge w:val="continue"/>
            <w:vAlign w:val="center"/>
          </w:tcPr>
          <w:p>
            <w:pPr>
              <w:widowControl w:val="0"/>
              <w:shd w:val="clear" w:color="auto" w:fill="auto"/>
              <w:tabs>
                <w:tab w:val="clear" w:pos="426"/>
              </w:tabs>
              <w:adjustRightInd/>
              <w:snapToGrid/>
              <w:spacing w:line="240" w:lineRule="auto"/>
              <w:jc w:val="center"/>
              <w:rPr>
                <w:rFonts w:cs="Times New Roman"/>
                <w:szCs w:val="21"/>
                <w:highlight w:val="none"/>
              </w:rPr>
            </w:pPr>
          </w:p>
        </w:tc>
        <w:tc>
          <w:tcPr>
            <w:tcW w:w="1448" w:type="dxa"/>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网络、监控、广播及消防系统迁移</w:t>
            </w:r>
          </w:p>
        </w:tc>
        <w:tc>
          <w:tcPr>
            <w:tcW w:w="2865" w:type="dxa"/>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网络迁移、监控系统迁移、广播系统迁移、消防系统迁移</w:t>
            </w:r>
          </w:p>
        </w:tc>
        <w:tc>
          <w:tcPr>
            <w:tcW w:w="720" w:type="dxa"/>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1</w:t>
            </w:r>
          </w:p>
        </w:tc>
        <w:tc>
          <w:tcPr>
            <w:tcW w:w="765" w:type="dxa"/>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批</w:t>
            </w:r>
          </w:p>
        </w:tc>
        <w:tc>
          <w:tcPr>
            <w:tcW w:w="705" w:type="dxa"/>
            <w:vAlign w:val="center"/>
          </w:tcPr>
          <w:p>
            <w:pPr>
              <w:spacing w:line="240" w:lineRule="auto"/>
              <w:jc w:val="center"/>
              <w:rPr>
                <w:sz w:val="18"/>
                <w:szCs w:val="18"/>
                <w:highlight w:val="none"/>
              </w:rPr>
            </w:pPr>
          </w:p>
        </w:tc>
        <w:tc>
          <w:tcPr>
            <w:tcW w:w="1530" w:type="dxa"/>
            <w:vMerge w:val="continue"/>
            <w:vAlign w:val="center"/>
          </w:tcPr>
          <w:p>
            <w:pPr>
              <w:widowControl w:val="0"/>
              <w:shd w:val="clear" w:color="auto" w:fill="auto"/>
              <w:tabs>
                <w:tab w:val="clear" w:pos="426"/>
              </w:tabs>
              <w:adjustRightInd/>
              <w:snapToGrid/>
              <w:spacing w:line="240" w:lineRule="auto"/>
              <w:jc w:val="center"/>
              <w:rPr>
                <w:rFonts w:cs="Times New Roman"/>
                <w:szCs w:val="21"/>
                <w:highlight w:val="none"/>
              </w:rPr>
            </w:pPr>
          </w:p>
        </w:tc>
      </w:tr>
    </w:tbl>
    <w:p>
      <w:pPr>
        <w:widowControl w:val="0"/>
        <w:numPr>
          <w:ilvl w:val="0"/>
          <w:numId w:val="28"/>
        </w:numPr>
        <w:shd w:val="clear" w:color="auto" w:fill="auto"/>
        <w:tabs>
          <w:tab w:val="clear" w:pos="426"/>
        </w:tabs>
        <w:adjustRightInd/>
        <w:snapToGrid/>
        <w:spacing w:beforeLines="50" w:line="300" w:lineRule="auto"/>
        <w:ind w:firstLine="422" w:firstLineChars="200"/>
        <w:rPr>
          <w:rFonts w:cs="Times New Roman"/>
          <w:b/>
          <w:bCs/>
          <w:kern w:val="2"/>
          <w:szCs w:val="21"/>
          <w:highlight w:val="none"/>
        </w:rPr>
      </w:pPr>
      <w:r>
        <w:rPr>
          <w:rFonts w:cs="Times New Roman"/>
          <w:b/>
          <w:bCs/>
          <w:kern w:val="2"/>
          <w:szCs w:val="21"/>
          <w:highlight w:val="none"/>
        </w:rPr>
        <w:t>货物清单</w:t>
      </w:r>
      <w:r>
        <w:rPr>
          <w:rFonts w:hint="eastAsia" w:cs="Times New Roman"/>
          <w:b/>
          <w:bCs/>
          <w:kern w:val="2"/>
          <w:szCs w:val="21"/>
          <w:highlight w:val="none"/>
        </w:rPr>
        <w:t>明细</w:t>
      </w:r>
    </w:p>
    <w:tbl>
      <w:tblPr>
        <w:tblStyle w:val="44"/>
        <w:tblpPr w:leftFromText="180" w:rightFromText="180" w:vertAnchor="text" w:tblpXSpec="center" w:tblpY="1"/>
        <w:tblOverlap w:val="never"/>
        <w:tblW w:w="9388" w:type="dxa"/>
        <w:jc w:val="center"/>
        <w:tblInd w:w="0" w:type="dxa"/>
        <w:tblLayout w:type="fixed"/>
        <w:tblCellMar>
          <w:top w:w="0" w:type="dxa"/>
          <w:left w:w="108" w:type="dxa"/>
          <w:bottom w:w="0" w:type="dxa"/>
          <w:right w:w="108" w:type="dxa"/>
        </w:tblCellMar>
      </w:tblPr>
      <w:tblGrid>
        <w:gridCol w:w="1003"/>
        <w:gridCol w:w="2454"/>
        <w:gridCol w:w="1500"/>
        <w:gridCol w:w="1485"/>
        <w:gridCol w:w="1551"/>
        <w:gridCol w:w="1395"/>
      </w:tblGrid>
      <w:tr>
        <w:tblPrEx>
          <w:tblLayout w:type="fixed"/>
          <w:tblCellMar>
            <w:top w:w="0" w:type="dxa"/>
            <w:left w:w="108" w:type="dxa"/>
            <w:bottom w:w="0" w:type="dxa"/>
            <w:right w:w="108" w:type="dxa"/>
          </w:tblCellMar>
        </w:tblPrEx>
        <w:trPr>
          <w:trHeight w:val="20" w:hRule="atLeast"/>
          <w:jc w:val="center"/>
        </w:trPr>
        <w:tc>
          <w:tcPr>
            <w:tcW w:w="1003"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b/>
                <w:bCs/>
                <w:color w:val="000000"/>
                <w:szCs w:val="21"/>
                <w:highlight w:val="none"/>
              </w:rPr>
            </w:pPr>
            <w:r>
              <w:rPr>
                <w:rFonts w:hint="eastAsia" w:asciiTheme="minorEastAsia" w:hAnsiTheme="minorEastAsia" w:eastAsiaTheme="minorEastAsia" w:cstheme="minorEastAsia"/>
                <w:b/>
                <w:bCs/>
                <w:color w:val="000000"/>
                <w:szCs w:val="21"/>
                <w:highlight w:val="none"/>
              </w:rPr>
              <w:t>序号</w:t>
            </w:r>
          </w:p>
        </w:tc>
        <w:tc>
          <w:tcPr>
            <w:tcW w:w="2454"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b/>
                <w:bCs/>
                <w:color w:val="000000"/>
                <w:szCs w:val="21"/>
                <w:highlight w:val="none"/>
              </w:rPr>
            </w:pPr>
            <w:r>
              <w:rPr>
                <w:rFonts w:hint="eastAsia" w:asciiTheme="minorEastAsia" w:hAnsiTheme="minorEastAsia" w:eastAsiaTheme="minorEastAsia" w:cstheme="minorEastAsia"/>
                <w:b/>
                <w:bCs/>
                <w:color w:val="000000"/>
                <w:szCs w:val="21"/>
                <w:highlight w:val="none"/>
              </w:rPr>
              <w:t>产品名称</w:t>
            </w:r>
          </w:p>
        </w:tc>
        <w:tc>
          <w:tcPr>
            <w:tcW w:w="1500"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b/>
                <w:bCs/>
                <w:color w:val="000000"/>
                <w:szCs w:val="21"/>
                <w:highlight w:val="none"/>
              </w:rPr>
            </w:pPr>
            <w:r>
              <w:rPr>
                <w:rFonts w:hint="eastAsia" w:asciiTheme="minorEastAsia" w:hAnsiTheme="minorEastAsia" w:eastAsiaTheme="minorEastAsia" w:cstheme="minorEastAsia"/>
                <w:b/>
                <w:bCs/>
                <w:color w:val="000000"/>
                <w:szCs w:val="21"/>
                <w:highlight w:val="none"/>
              </w:rPr>
              <w:t>数量</w:t>
            </w:r>
          </w:p>
        </w:tc>
        <w:tc>
          <w:tcPr>
            <w:tcW w:w="148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b/>
                <w:bCs/>
                <w:color w:val="000000"/>
                <w:szCs w:val="21"/>
                <w:highlight w:val="none"/>
              </w:rPr>
            </w:pPr>
            <w:r>
              <w:rPr>
                <w:rFonts w:hint="eastAsia" w:asciiTheme="minorEastAsia" w:hAnsiTheme="minorEastAsia" w:eastAsiaTheme="minorEastAsia" w:cstheme="minorEastAsia"/>
                <w:b/>
                <w:bCs/>
                <w:color w:val="000000"/>
                <w:szCs w:val="21"/>
                <w:highlight w:val="none"/>
              </w:rPr>
              <w:t>单位</w:t>
            </w:r>
          </w:p>
        </w:tc>
        <w:tc>
          <w:tcPr>
            <w:tcW w:w="1551"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b/>
                <w:bCs/>
                <w:color w:val="000000"/>
                <w:szCs w:val="21"/>
                <w:highlight w:val="none"/>
              </w:rPr>
            </w:pPr>
            <w:r>
              <w:rPr>
                <w:rFonts w:hint="eastAsia" w:asciiTheme="minorEastAsia" w:hAnsiTheme="minorEastAsia" w:eastAsiaTheme="minorEastAsia" w:cstheme="minorEastAsia"/>
                <w:b/>
                <w:bCs/>
                <w:color w:val="000000"/>
                <w:szCs w:val="21"/>
                <w:highlight w:val="none"/>
              </w:rPr>
              <w:t>是否核心产品</w:t>
            </w:r>
          </w:p>
        </w:tc>
        <w:tc>
          <w:tcPr>
            <w:tcW w:w="139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b/>
                <w:bCs/>
                <w:color w:val="000000"/>
                <w:szCs w:val="21"/>
                <w:highlight w:val="none"/>
              </w:rPr>
            </w:pPr>
            <w:r>
              <w:rPr>
                <w:rFonts w:hint="eastAsia" w:asciiTheme="minorEastAsia" w:hAnsiTheme="minorEastAsia" w:eastAsiaTheme="minorEastAsia" w:cstheme="minorEastAsia"/>
                <w:b/>
                <w:bCs/>
                <w:color w:val="000000"/>
                <w:szCs w:val="21"/>
                <w:highlight w:val="none"/>
              </w:rPr>
              <w:t>备注</w:t>
            </w:r>
          </w:p>
        </w:tc>
      </w:tr>
      <w:tr>
        <w:tblPrEx>
          <w:tblLayout w:type="fixed"/>
          <w:tblCellMar>
            <w:top w:w="0" w:type="dxa"/>
            <w:left w:w="108" w:type="dxa"/>
            <w:bottom w:w="0" w:type="dxa"/>
            <w:right w:w="108" w:type="dxa"/>
          </w:tblCellMar>
        </w:tblPrEx>
        <w:trPr>
          <w:trHeight w:val="20" w:hRule="atLeast"/>
          <w:jc w:val="center"/>
        </w:trPr>
        <w:tc>
          <w:tcPr>
            <w:tcW w:w="9388" w:type="dxa"/>
            <w:gridSpan w:val="6"/>
            <w:tcBorders>
              <w:top w:val="single" w:color="auto" w:sz="4" w:space="0"/>
              <w:left w:val="single" w:color="auto" w:sz="4" w:space="0"/>
              <w:bottom w:val="single" w:color="auto" w:sz="4" w:space="0"/>
              <w:right w:val="single" w:color="auto" w:sz="4" w:space="0"/>
            </w:tcBorders>
            <w:noWrap/>
            <w:vAlign w:val="center"/>
          </w:tcPr>
          <w:p>
            <w:pPr>
              <w:jc w:val="left"/>
              <w:rPr>
                <w:rFonts w:asciiTheme="minorEastAsia" w:hAnsiTheme="minorEastAsia" w:eastAsiaTheme="minorEastAsia" w:cstheme="minorEastAsia"/>
                <w:b/>
                <w:bCs/>
                <w:color w:val="000000"/>
                <w:szCs w:val="21"/>
                <w:highlight w:val="none"/>
              </w:rPr>
            </w:pPr>
            <w:r>
              <w:rPr>
                <w:rFonts w:hint="eastAsia" w:asciiTheme="minorEastAsia" w:hAnsiTheme="minorEastAsia" w:eastAsiaTheme="minorEastAsia" w:cstheme="minorEastAsia"/>
                <w:b/>
                <w:bCs/>
                <w:color w:val="000000"/>
                <w:szCs w:val="21"/>
                <w:highlight w:val="none"/>
              </w:rPr>
              <w:t>电脑室</w:t>
            </w:r>
          </w:p>
        </w:tc>
      </w:tr>
      <w:tr>
        <w:tblPrEx>
          <w:tblLayout w:type="fixed"/>
          <w:tblCellMar>
            <w:top w:w="0" w:type="dxa"/>
            <w:left w:w="108" w:type="dxa"/>
            <w:bottom w:w="0" w:type="dxa"/>
            <w:right w:w="108" w:type="dxa"/>
          </w:tblCellMar>
        </w:tblPrEx>
        <w:trPr>
          <w:trHeight w:val="90" w:hRule="atLeast"/>
          <w:jc w:val="center"/>
        </w:trPr>
        <w:tc>
          <w:tcPr>
            <w:tcW w:w="1003" w:type="dxa"/>
            <w:tcBorders>
              <w:top w:val="nil"/>
              <w:left w:val="single" w:color="auto" w:sz="4" w:space="0"/>
              <w:bottom w:val="single" w:color="auto" w:sz="4" w:space="0"/>
              <w:right w:val="single" w:color="auto" w:sz="4" w:space="0"/>
            </w:tcBorders>
            <w:shd w:val="clear" w:color="auto" w:fill="FFFFFF"/>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p>
        </w:tc>
        <w:tc>
          <w:tcPr>
            <w:tcW w:w="2454" w:type="dxa"/>
            <w:tcBorders>
              <w:top w:val="nil"/>
              <w:left w:val="nil"/>
              <w:bottom w:val="single" w:color="auto" w:sz="4" w:space="0"/>
              <w:right w:val="single" w:color="auto" w:sz="4" w:space="0"/>
            </w:tcBorders>
            <w:shd w:val="clear" w:color="auto" w:fill="FFFFFF"/>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学生电脑</w:t>
            </w:r>
          </w:p>
        </w:tc>
        <w:tc>
          <w:tcPr>
            <w:tcW w:w="1500"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104</w:t>
            </w:r>
          </w:p>
        </w:tc>
        <w:tc>
          <w:tcPr>
            <w:tcW w:w="1485"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szCs w:val="21"/>
                <w:highlight w:val="none"/>
              </w:rPr>
              <w:t>台</w:t>
            </w:r>
          </w:p>
        </w:tc>
        <w:tc>
          <w:tcPr>
            <w:tcW w:w="1551"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szCs w:val="21"/>
                <w:highlight w:val="none"/>
              </w:rPr>
              <w:t>是</w:t>
            </w:r>
          </w:p>
        </w:tc>
        <w:tc>
          <w:tcPr>
            <w:tcW w:w="1395"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color w:val="000000"/>
                <w:szCs w:val="21"/>
                <w:highlight w:val="none"/>
              </w:rPr>
            </w:pPr>
          </w:p>
        </w:tc>
      </w:tr>
      <w:tr>
        <w:tblPrEx>
          <w:tblLayout w:type="fixed"/>
          <w:tblCellMar>
            <w:top w:w="0" w:type="dxa"/>
            <w:left w:w="108" w:type="dxa"/>
            <w:bottom w:w="0" w:type="dxa"/>
            <w:right w:w="108" w:type="dxa"/>
          </w:tblCellMar>
        </w:tblPrEx>
        <w:trPr>
          <w:trHeight w:val="90" w:hRule="atLeast"/>
          <w:jc w:val="center"/>
        </w:trPr>
        <w:tc>
          <w:tcPr>
            <w:tcW w:w="1003" w:type="dxa"/>
            <w:tcBorders>
              <w:top w:val="nil"/>
              <w:left w:val="single" w:color="auto" w:sz="4" w:space="0"/>
              <w:bottom w:val="single" w:color="auto" w:sz="4" w:space="0"/>
              <w:right w:val="single" w:color="auto" w:sz="4" w:space="0"/>
            </w:tcBorders>
            <w:shd w:val="clear" w:color="auto" w:fill="FFFFFF"/>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w:t>
            </w:r>
          </w:p>
        </w:tc>
        <w:tc>
          <w:tcPr>
            <w:tcW w:w="2454" w:type="dxa"/>
            <w:tcBorders>
              <w:top w:val="nil"/>
              <w:left w:val="nil"/>
              <w:bottom w:val="single" w:color="auto" w:sz="4" w:space="0"/>
              <w:right w:val="single" w:color="auto" w:sz="4" w:space="0"/>
            </w:tcBorders>
            <w:shd w:val="clear" w:color="auto" w:fill="FFFFFF"/>
            <w:noWrap/>
            <w:vAlign w:val="center"/>
          </w:tcPr>
          <w:p>
            <w:pPr>
              <w:jc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szCs w:val="21"/>
                <w:highlight w:val="none"/>
              </w:rPr>
              <w:t>学生耳机</w:t>
            </w:r>
          </w:p>
        </w:tc>
        <w:tc>
          <w:tcPr>
            <w:tcW w:w="1500"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104</w:t>
            </w:r>
          </w:p>
        </w:tc>
        <w:tc>
          <w:tcPr>
            <w:tcW w:w="1485"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只</w:t>
            </w:r>
          </w:p>
        </w:tc>
        <w:tc>
          <w:tcPr>
            <w:tcW w:w="1551"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90" w:hRule="atLeast"/>
          <w:jc w:val="center"/>
        </w:trPr>
        <w:tc>
          <w:tcPr>
            <w:tcW w:w="1003" w:type="dxa"/>
            <w:tcBorders>
              <w:top w:val="nil"/>
              <w:left w:val="single" w:color="auto" w:sz="4" w:space="0"/>
              <w:bottom w:val="single" w:color="auto" w:sz="4" w:space="0"/>
              <w:right w:val="single" w:color="auto" w:sz="4" w:space="0"/>
            </w:tcBorders>
            <w:shd w:val="clear" w:color="auto" w:fill="FFFFFF"/>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w:t>
            </w:r>
          </w:p>
        </w:tc>
        <w:tc>
          <w:tcPr>
            <w:tcW w:w="2454" w:type="dxa"/>
            <w:tcBorders>
              <w:top w:val="nil"/>
              <w:left w:val="nil"/>
              <w:bottom w:val="single" w:color="auto" w:sz="4" w:space="0"/>
              <w:right w:val="single" w:color="auto" w:sz="4" w:space="0"/>
            </w:tcBorders>
            <w:shd w:val="clear" w:color="auto" w:fill="FFFFFF"/>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48口交换机</w:t>
            </w:r>
          </w:p>
        </w:tc>
        <w:tc>
          <w:tcPr>
            <w:tcW w:w="1500"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w:t>
            </w:r>
          </w:p>
        </w:tc>
        <w:tc>
          <w:tcPr>
            <w:tcW w:w="1485"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台</w:t>
            </w:r>
          </w:p>
        </w:tc>
        <w:tc>
          <w:tcPr>
            <w:tcW w:w="1551"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1003" w:type="dxa"/>
            <w:tcBorders>
              <w:top w:val="nil"/>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w:t>
            </w:r>
          </w:p>
        </w:tc>
        <w:tc>
          <w:tcPr>
            <w:tcW w:w="2454"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机柜</w:t>
            </w:r>
          </w:p>
        </w:tc>
        <w:tc>
          <w:tcPr>
            <w:tcW w:w="1500"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w:t>
            </w:r>
          </w:p>
        </w:tc>
        <w:tc>
          <w:tcPr>
            <w:tcW w:w="1485"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台</w:t>
            </w:r>
          </w:p>
        </w:tc>
        <w:tc>
          <w:tcPr>
            <w:tcW w:w="1551"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1003" w:type="dxa"/>
            <w:tcBorders>
              <w:top w:val="nil"/>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w:t>
            </w:r>
          </w:p>
        </w:tc>
        <w:tc>
          <w:tcPr>
            <w:tcW w:w="2454" w:type="dxa"/>
            <w:tcBorders>
              <w:top w:val="nil"/>
              <w:left w:val="nil"/>
              <w:bottom w:val="single" w:color="auto" w:sz="4" w:space="0"/>
              <w:right w:val="single" w:color="auto" w:sz="4" w:space="0"/>
            </w:tcBorders>
            <w:noWrap/>
            <w:vAlign w:val="center"/>
          </w:tcPr>
          <w:p>
            <w:pPr>
              <w:jc w:val="center"/>
              <w:textAlignment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szCs w:val="21"/>
                <w:highlight w:val="none"/>
              </w:rPr>
              <w:t>电子教学软件</w:t>
            </w:r>
          </w:p>
        </w:tc>
        <w:tc>
          <w:tcPr>
            <w:tcW w:w="1500"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w:t>
            </w:r>
          </w:p>
        </w:tc>
        <w:tc>
          <w:tcPr>
            <w:tcW w:w="1485"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szCs w:val="21"/>
                <w:highlight w:val="none"/>
              </w:rPr>
              <w:t>套</w:t>
            </w:r>
          </w:p>
        </w:tc>
        <w:tc>
          <w:tcPr>
            <w:tcW w:w="1551"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color w:val="000000"/>
                <w:szCs w:val="21"/>
                <w:highlight w:val="none"/>
              </w:rPr>
            </w:pPr>
          </w:p>
        </w:tc>
        <w:tc>
          <w:tcPr>
            <w:tcW w:w="1395"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color w:val="000000"/>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1003" w:type="dxa"/>
            <w:tcBorders>
              <w:top w:val="nil"/>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6</w:t>
            </w:r>
          </w:p>
        </w:tc>
        <w:tc>
          <w:tcPr>
            <w:tcW w:w="2454"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稳压电源</w:t>
            </w:r>
          </w:p>
        </w:tc>
        <w:tc>
          <w:tcPr>
            <w:tcW w:w="1500"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w:t>
            </w:r>
          </w:p>
        </w:tc>
        <w:tc>
          <w:tcPr>
            <w:tcW w:w="1485"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台</w:t>
            </w:r>
          </w:p>
        </w:tc>
        <w:tc>
          <w:tcPr>
            <w:tcW w:w="1551"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1003" w:type="dxa"/>
            <w:tcBorders>
              <w:top w:val="nil"/>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7</w:t>
            </w:r>
          </w:p>
        </w:tc>
        <w:tc>
          <w:tcPr>
            <w:tcW w:w="2454"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装修</w:t>
            </w:r>
          </w:p>
        </w:tc>
        <w:tc>
          <w:tcPr>
            <w:tcW w:w="1500"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200</w:t>
            </w:r>
          </w:p>
        </w:tc>
        <w:tc>
          <w:tcPr>
            <w:tcW w:w="1485"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w:t>
            </w:r>
          </w:p>
        </w:tc>
        <w:tc>
          <w:tcPr>
            <w:tcW w:w="1551"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1003" w:type="dxa"/>
            <w:tcBorders>
              <w:top w:val="nil"/>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8</w:t>
            </w:r>
          </w:p>
        </w:tc>
        <w:tc>
          <w:tcPr>
            <w:tcW w:w="2454"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综合布线</w:t>
            </w:r>
          </w:p>
        </w:tc>
        <w:tc>
          <w:tcPr>
            <w:tcW w:w="1500"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w:t>
            </w:r>
          </w:p>
        </w:tc>
        <w:tc>
          <w:tcPr>
            <w:tcW w:w="1485"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项</w:t>
            </w:r>
          </w:p>
        </w:tc>
        <w:tc>
          <w:tcPr>
            <w:tcW w:w="1551"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nil"/>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9388" w:type="dxa"/>
            <w:gridSpan w:val="6"/>
            <w:tcBorders>
              <w:top w:val="nil"/>
              <w:left w:val="single" w:color="auto" w:sz="4" w:space="0"/>
              <w:bottom w:val="single" w:color="auto" w:sz="4" w:space="0"/>
              <w:right w:val="single" w:color="auto" w:sz="4" w:space="0"/>
            </w:tcBorders>
            <w:noWrap/>
            <w:vAlign w:val="center"/>
          </w:tcPr>
          <w:p>
            <w:pPr>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b/>
                <w:szCs w:val="21"/>
                <w:highlight w:val="none"/>
              </w:rPr>
              <w:t>办公设备</w:t>
            </w:r>
          </w:p>
        </w:tc>
      </w:tr>
      <w:tr>
        <w:tblPrEx>
          <w:tblLayout w:type="fixed"/>
          <w:tblCellMar>
            <w:top w:w="0" w:type="dxa"/>
            <w:left w:w="108" w:type="dxa"/>
            <w:bottom w:w="0" w:type="dxa"/>
            <w:right w:w="108" w:type="dxa"/>
          </w:tblCellMar>
        </w:tblPrEx>
        <w:trPr>
          <w:trHeight w:val="20" w:hRule="atLeast"/>
          <w:jc w:val="center"/>
        </w:trPr>
        <w:tc>
          <w:tcPr>
            <w:tcW w:w="1003" w:type="dxa"/>
            <w:tcBorders>
              <w:top w:val="single" w:color="auto" w:sz="4" w:space="0"/>
              <w:left w:val="single" w:color="auto" w:sz="4" w:space="0"/>
              <w:bottom w:val="single" w:color="auto" w:sz="4" w:space="0"/>
              <w:right w:val="single" w:color="auto" w:sz="4" w:space="0"/>
            </w:tcBorders>
            <w:noWrap/>
            <w:vAlign w:val="center"/>
          </w:tcPr>
          <w:p>
            <w:pPr>
              <w:autoSpaceDN w:val="0"/>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p>
        </w:tc>
        <w:tc>
          <w:tcPr>
            <w:tcW w:w="2454"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平板电脑</w:t>
            </w:r>
          </w:p>
        </w:tc>
        <w:tc>
          <w:tcPr>
            <w:tcW w:w="1500"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111</w:t>
            </w:r>
          </w:p>
        </w:tc>
        <w:tc>
          <w:tcPr>
            <w:tcW w:w="148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台</w:t>
            </w:r>
          </w:p>
        </w:tc>
        <w:tc>
          <w:tcPr>
            <w:tcW w:w="1551"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1003"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w:t>
            </w:r>
          </w:p>
          <w:p>
            <w:pPr>
              <w:jc w:val="center"/>
              <w:rPr>
                <w:rFonts w:asciiTheme="minorEastAsia" w:hAnsiTheme="minorEastAsia" w:eastAsiaTheme="minorEastAsia" w:cstheme="minorEastAsia"/>
                <w:szCs w:val="21"/>
                <w:highlight w:val="none"/>
              </w:rPr>
            </w:pPr>
          </w:p>
        </w:tc>
        <w:tc>
          <w:tcPr>
            <w:tcW w:w="2454"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移动授课系统</w:t>
            </w:r>
          </w:p>
        </w:tc>
        <w:tc>
          <w:tcPr>
            <w:tcW w:w="1500"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50</w:t>
            </w:r>
          </w:p>
        </w:tc>
        <w:tc>
          <w:tcPr>
            <w:tcW w:w="148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套</w:t>
            </w:r>
          </w:p>
        </w:tc>
        <w:tc>
          <w:tcPr>
            <w:tcW w:w="1551"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1003" w:type="dxa"/>
            <w:tcBorders>
              <w:top w:val="single" w:color="auto" w:sz="4" w:space="0"/>
              <w:left w:val="single" w:color="auto" w:sz="4" w:space="0"/>
              <w:bottom w:val="single" w:color="auto" w:sz="4" w:space="0"/>
              <w:right w:val="single" w:color="auto" w:sz="4" w:space="0"/>
            </w:tcBorders>
            <w:noWrap/>
            <w:vAlign w:val="center"/>
          </w:tcPr>
          <w:p>
            <w:pPr>
              <w:autoSpaceDN w:val="0"/>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w:t>
            </w:r>
          </w:p>
        </w:tc>
        <w:tc>
          <w:tcPr>
            <w:tcW w:w="2454" w:type="dxa"/>
            <w:tcBorders>
              <w:top w:val="single" w:color="auto" w:sz="4" w:space="0"/>
              <w:left w:val="nil"/>
              <w:bottom w:val="single" w:color="auto" w:sz="4" w:space="0"/>
              <w:right w:val="single" w:color="auto" w:sz="4" w:space="0"/>
            </w:tcBorders>
            <w:noWrap/>
            <w:vAlign w:val="center"/>
          </w:tcPr>
          <w:p>
            <w:pPr>
              <w:autoSpaceDN w:val="0"/>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教师用电脑</w:t>
            </w:r>
          </w:p>
        </w:tc>
        <w:tc>
          <w:tcPr>
            <w:tcW w:w="1500"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111</w:t>
            </w:r>
          </w:p>
        </w:tc>
        <w:tc>
          <w:tcPr>
            <w:tcW w:w="148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台</w:t>
            </w:r>
          </w:p>
        </w:tc>
        <w:tc>
          <w:tcPr>
            <w:tcW w:w="1551"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1003"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w:t>
            </w:r>
          </w:p>
        </w:tc>
        <w:tc>
          <w:tcPr>
            <w:tcW w:w="2454"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学生用笔记本</w:t>
            </w:r>
          </w:p>
        </w:tc>
        <w:tc>
          <w:tcPr>
            <w:tcW w:w="1500"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42</w:t>
            </w:r>
          </w:p>
        </w:tc>
        <w:tc>
          <w:tcPr>
            <w:tcW w:w="148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台</w:t>
            </w:r>
          </w:p>
        </w:tc>
        <w:tc>
          <w:tcPr>
            <w:tcW w:w="1551"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1003"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w:t>
            </w:r>
          </w:p>
          <w:p>
            <w:pPr>
              <w:jc w:val="center"/>
              <w:rPr>
                <w:rFonts w:asciiTheme="minorEastAsia" w:hAnsiTheme="minorEastAsia" w:eastAsiaTheme="minorEastAsia" w:cstheme="minorEastAsia"/>
                <w:szCs w:val="21"/>
                <w:highlight w:val="none"/>
              </w:rPr>
            </w:pPr>
          </w:p>
        </w:tc>
        <w:tc>
          <w:tcPr>
            <w:tcW w:w="2454"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复印机</w:t>
            </w:r>
          </w:p>
        </w:tc>
        <w:tc>
          <w:tcPr>
            <w:tcW w:w="1500"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p>
        </w:tc>
        <w:tc>
          <w:tcPr>
            <w:tcW w:w="148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台</w:t>
            </w:r>
          </w:p>
        </w:tc>
        <w:tc>
          <w:tcPr>
            <w:tcW w:w="1551"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434" w:hRule="atLeast"/>
          <w:jc w:val="center"/>
        </w:trPr>
        <w:tc>
          <w:tcPr>
            <w:tcW w:w="1003"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6</w:t>
            </w:r>
          </w:p>
        </w:tc>
        <w:tc>
          <w:tcPr>
            <w:tcW w:w="2454"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速印机</w:t>
            </w:r>
          </w:p>
        </w:tc>
        <w:tc>
          <w:tcPr>
            <w:tcW w:w="1500"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p>
        </w:tc>
        <w:tc>
          <w:tcPr>
            <w:tcW w:w="148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台</w:t>
            </w:r>
          </w:p>
        </w:tc>
        <w:tc>
          <w:tcPr>
            <w:tcW w:w="1551"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1003"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7</w:t>
            </w:r>
          </w:p>
        </w:tc>
        <w:tc>
          <w:tcPr>
            <w:tcW w:w="2454"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单反相机</w:t>
            </w:r>
          </w:p>
        </w:tc>
        <w:tc>
          <w:tcPr>
            <w:tcW w:w="1500"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p>
        </w:tc>
        <w:tc>
          <w:tcPr>
            <w:tcW w:w="148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台</w:t>
            </w:r>
          </w:p>
        </w:tc>
        <w:tc>
          <w:tcPr>
            <w:tcW w:w="1551"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1003"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8</w:t>
            </w:r>
          </w:p>
          <w:p>
            <w:pPr>
              <w:jc w:val="center"/>
              <w:rPr>
                <w:rFonts w:asciiTheme="minorEastAsia" w:hAnsiTheme="minorEastAsia" w:eastAsiaTheme="minorEastAsia" w:cstheme="minorEastAsia"/>
                <w:szCs w:val="21"/>
                <w:highlight w:val="none"/>
              </w:rPr>
            </w:pPr>
          </w:p>
        </w:tc>
        <w:tc>
          <w:tcPr>
            <w:tcW w:w="2454"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激光黑白打印机</w:t>
            </w:r>
          </w:p>
        </w:tc>
        <w:tc>
          <w:tcPr>
            <w:tcW w:w="1500"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12</w:t>
            </w:r>
          </w:p>
        </w:tc>
        <w:tc>
          <w:tcPr>
            <w:tcW w:w="148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台</w:t>
            </w:r>
          </w:p>
        </w:tc>
        <w:tc>
          <w:tcPr>
            <w:tcW w:w="1551"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1003"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9</w:t>
            </w:r>
          </w:p>
          <w:p>
            <w:pPr>
              <w:jc w:val="center"/>
              <w:rPr>
                <w:rFonts w:asciiTheme="minorEastAsia" w:hAnsiTheme="minorEastAsia" w:eastAsiaTheme="minorEastAsia" w:cstheme="minorEastAsia"/>
                <w:szCs w:val="21"/>
                <w:highlight w:val="none"/>
              </w:rPr>
            </w:pPr>
          </w:p>
        </w:tc>
        <w:tc>
          <w:tcPr>
            <w:tcW w:w="2454"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激光彩色打印机</w:t>
            </w:r>
          </w:p>
        </w:tc>
        <w:tc>
          <w:tcPr>
            <w:tcW w:w="1500"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10</w:t>
            </w:r>
          </w:p>
        </w:tc>
        <w:tc>
          <w:tcPr>
            <w:tcW w:w="148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台</w:t>
            </w:r>
          </w:p>
        </w:tc>
        <w:tc>
          <w:tcPr>
            <w:tcW w:w="1551"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9388" w:type="dxa"/>
            <w:gridSpan w:val="6"/>
            <w:tcBorders>
              <w:top w:val="single" w:color="auto" w:sz="4" w:space="0"/>
              <w:left w:val="single" w:color="auto" w:sz="4" w:space="0"/>
              <w:bottom w:val="single" w:color="auto" w:sz="4" w:space="0"/>
              <w:right w:val="single" w:color="auto" w:sz="4" w:space="0"/>
            </w:tcBorders>
            <w:noWrap/>
            <w:vAlign w:val="center"/>
          </w:tcPr>
          <w:p>
            <w:pPr>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b/>
                <w:szCs w:val="21"/>
                <w:highlight w:val="none"/>
              </w:rPr>
              <w:t>网络、监控、广播及消防系统迁移</w:t>
            </w:r>
          </w:p>
        </w:tc>
      </w:tr>
      <w:tr>
        <w:tblPrEx>
          <w:tblLayout w:type="fixed"/>
          <w:tblCellMar>
            <w:top w:w="0" w:type="dxa"/>
            <w:left w:w="108" w:type="dxa"/>
            <w:bottom w:w="0" w:type="dxa"/>
            <w:right w:w="108" w:type="dxa"/>
          </w:tblCellMar>
        </w:tblPrEx>
        <w:trPr>
          <w:trHeight w:val="20" w:hRule="atLeast"/>
          <w:jc w:val="center"/>
        </w:trPr>
        <w:tc>
          <w:tcPr>
            <w:tcW w:w="1003"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p>
        </w:tc>
        <w:tc>
          <w:tcPr>
            <w:tcW w:w="2454"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网络迁移</w:t>
            </w:r>
          </w:p>
        </w:tc>
        <w:tc>
          <w:tcPr>
            <w:tcW w:w="1500"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p>
        </w:tc>
        <w:tc>
          <w:tcPr>
            <w:tcW w:w="148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项</w:t>
            </w:r>
          </w:p>
        </w:tc>
        <w:tc>
          <w:tcPr>
            <w:tcW w:w="1551"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1003"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w:t>
            </w:r>
          </w:p>
        </w:tc>
        <w:tc>
          <w:tcPr>
            <w:tcW w:w="2454"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监控系统迁移</w:t>
            </w:r>
          </w:p>
        </w:tc>
        <w:tc>
          <w:tcPr>
            <w:tcW w:w="1500"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p>
        </w:tc>
        <w:tc>
          <w:tcPr>
            <w:tcW w:w="148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项</w:t>
            </w:r>
          </w:p>
        </w:tc>
        <w:tc>
          <w:tcPr>
            <w:tcW w:w="1551"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1003"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w:t>
            </w:r>
          </w:p>
        </w:tc>
        <w:tc>
          <w:tcPr>
            <w:tcW w:w="2454"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广播系统迁移</w:t>
            </w:r>
          </w:p>
        </w:tc>
        <w:tc>
          <w:tcPr>
            <w:tcW w:w="1500"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p>
        </w:tc>
        <w:tc>
          <w:tcPr>
            <w:tcW w:w="148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项</w:t>
            </w:r>
          </w:p>
        </w:tc>
        <w:tc>
          <w:tcPr>
            <w:tcW w:w="1551"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r>
        <w:tblPrEx>
          <w:tblLayout w:type="fixed"/>
          <w:tblCellMar>
            <w:top w:w="0" w:type="dxa"/>
            <w:left w:w="108" w:type="dxa"/>
            <w:bottom w:w="0" w:type="dxa"/>
            <w:right w:w="108" w:type="dxa"/>
          </w:tblCellMar>
        </w:tblPrEx>
        <w:trPr>
          <w:trHeight w:val="20" w:hRule="atLeast"/>
          <w:jc w:val="center"/>
        </w:trPr>
        <w:tc>
          <w:tcPr>
            <w:tcW w:w="1003" w:type="dxa"/>
            <w:tcBorders>
              <w:top w:val="single" w:color="auto" w:sz="4" w:space="0"/>
              <w:left w:val="single" w:color="auto" w:sz="4" w:space="0"/>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w:t>
            </w:r>
          </w:p>
        </w:tc>
        <w:tc>
          <w:tcPr>
            <w:tcW w:w="2454"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消防系统迁移</w:t>
            </w:r>
          </w:p>
        </w:tc>
        <w:tc>
          <w:tcPr>
            <w:tcW w:w="1500"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p>
        </w:tc>
        <w:tc>
          <w:tcPr>
            <w:tcW w:w="148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项</w:t>
            </w:r>
          </w:p>
        </w:tc>
        <w:tc>
          <w:tcPr>
            <w:tcW w:w="1551"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c>
          <w:tcPr>
            <w:tcW w:w="1395" w:type="dxa"/>
            <w:tcBorders>
              <w:top w:val="single" w:color="auto" w:sz="4" w:space="0"/>
              <w:left w:val="nil"/>
              <w:bottom w:val="single" w:color="auto" w:sz="4" w:space="0"/>
              <w:right w:val="single" w:color="auto" w:sz="4" w:space="0"/>
            </w:tcBorders>
            <w:noWrap/>
            <w:vAlign w:val="center"/>
          </w:tcPr>
          <w:p>
            <w:pPr>
              <w:jc w:val="center"/>
              <w:rPr>
                <w:rFonts w:asciiTheme="minorEastAsia" w:hAnsiTheme="minorEastAsia" w:eastAsiaTheme="minorEastAsia" w:cstheme="minorEastAsia"/>
                <w:szCs w:val="21"/>
                <w:highlight w:val="none"/>
              </w:rPr>
            </w:pPr>
          </w:p>
        </w:tc>
      </w:tr>
    </w:tbl>
    <w:p>
      <w:pPr>
        <w:widowControl w:val="0"/>
        <w:shd w:val="clear" w:color="auto" w:fill="auto"/>
        <w:tabs>
          <w:tab w:val="clear" w:pos="426"/>
        </w:tabs>
        <w:adjustRightInd/>
        <w:snapToGrid/>
        <w:spacing w:line="240" w:lineRule="auto"/>
        <w:ind w:firstLine="420" w:firstLineChars="200"/>
        <w:rPr>
          <w:rFonts w:cs="Times New Roman"/>
          <w:bCs/>
          <w:kern w:val="2"/>
          <w:szCs w:val="21"/>
          <w:highlight w:val="none"/>
        </w:rPr>
      </w:pPr>
      <w:r>
        <w:rPr>
          <w:rFonts w:hint="eastAsia" w:cs="Times New Roman"/>
          <w:bCs/>
          <w:kern w:val="2"/>
          <w:szCs w:val="21"/>
          <w:highlight w:val="none"/>
        </w:rPr>
        <w:t>备注：</w:t>
      </w:r>
    </w:p>
    <w:p>
      <w:pPr>
        <w:widowControl w:val="0"/>
        <w:shd w:val="clear" w:color="auto" w:fill="auto"/>
        <w:tabs>
          <w:tab w:val="clear" w:pos="426"/>
        </w:tabs>
        <w:adjustRightInd/>
        <w:snapToGrid/>
        <w:spacing w:line="240" w:lineRule="auto"/>
        <w:ind w:firstLine="420" w:firstLineChars="200"/>
        <w:rPr>
          <w:rFonts w:cs="Times New Roman"/>
          <w:bCs/>
          <w:kern w:val="2"/>
          <w:szCs w:val="21"/>
          <w:highlight w:val="none"/>
        </w:rPr>
      </w:pPr>
      <w:r>
        <w:rPr>
          <w:rFonts w:hint="eastAsia" w:cs="Times New Roman"/>
          <w:bCs/>
          <w:kern w:val="2"/>
          <w:szCs w:val="21"/>
          <w:highlight w:val="none"/>
        </w:rPr>
        <w:t>1.注明“接受进口”的产品（产品名称）允许供应商选用进口产品参与投标，但不排斥国内产品。</w:t>
      </w:r>
    </w:p>
    <w:p>
      <w:pPr>
        <w:widowControl w:val="0"/>
        <w:shd w:val="clear" w:color="auto" w:fill="auto"/>
        <w:tabs>
          <w:tab w:val="clear" w:pos="426"/>
        </w:tabs>
        <w:adjustRightInd/>
        <w:snapToGrid/>
        <w:spacing w:line="240" w:lineRule="auto"/>
        <w:ind w:firstLine="420" w:firstLineChars="200"/>
        <w:rPr>
          <w:rFonts w:cs="Times New Roman"/>
          <w:bCs/>
          <w:kern w:val="2"/>
          <w:szCs w:val="21"/>
          <w:highlight w:val="none"/>
        </w:rPr>
      </w:pPr>
      <w:r>
        <w:rPr>
          <w:rFonts w:hint="eastAsia" w:cs="Times New Roman"/>
          <w:bCs/>
          <w:kern w:val="2"/>
          <w:szCs w:val="21"/>
          <w:highlight w:val="none"/>
        </w:rPr>
        <w:t>2.未注明“接受进口”的产品（产品名称）均不接受供应商选用进口产品参与投标。</w:t>
      </w:r>
    </w:p>
    <w:p>
      <w:pPr>
        <w:widowControl w:val="0"/>
        <w:shd w:val="clear" w:color="auto" w:fill="auto"/>
        <w:tabs>
          <w:tab w:val="clear" w:pos="426"/>
        </w:tabs>
        <w:adjustRightInd/>
        <w:snapToGrid/>
        <w:spacing w:line="240" w:lineRule="auto"/>
        <w:ind w:firstLine="420" w:firstLineChars="200"/>
        <w:rPr>
          <w:rFonts w:cs="Times New Roman"/>
          <w:bCs/>
          <w:kern w:val="2"/>
          <w:szCs w:val="21"/>
          <w:highlight w:val="none"/>
        </w:rPr>
      </w:pPr>
      <w:r>
        <w:rPr>
          <w:rFonts w:hint="eastAsia" w:cs="Times New Roman"/>
          <w:bCs/>
          <w:kern w:val="2"/>
          <w:szCs w:val="21"/>
          <w:highlight w:val="none"/>
        </w:rPr>
        <w:t>3.进口产品系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w:t>
      </w:r>
      <w:r>
        <w:rPr>
          <w:rFonts w:cs="Times New Roman"/>
          <w:bCs/>
          <w:kern w:val="2"/>
          <w:szCs w:val="21"/>
          <w:highlight w:val="none"/>
        </w:rPr>
        <w:t>2007〕119 号文和财办库〔2008〕248 号文的相关规定为准。</w:t>
      </w:r>
    </w:p>
    <w:p>
      <w:pPr>
        <w:widowControl w:val="0"/>
        <w:shd w:val="clear" w:color="auto" w:fill="auto"/>
        <w:tabs>
          <w:tab w:val="clear" w:pos="426"/>
        </w:tabs>
        <w:adjustRightInd/>
        <w:snapToGrid/>
        <w:spacing w:line="240" w:lineRule="auto"/>
        <w:ind w:firstLine="420" w:firstLineChars="200"/>
        <w:rPr>
          <w:rFonts w:cs="Times New Roman"/>
          <w:bCs/>
          <w:kern w:val="2"/>
          <w:szCs w:val="21"/>
          <w:highlight w:val="none"/>
        </w:rPr>
      </w:pPr>
      <w:r>
        <w:rPr>
          <w:rFonts w:hint="eastAsia" w:cs="Times New Roman"/>
          <w:bCs/>
          <w:kern w:val="2"/>
          <w:szCs w:val="21"/>
          <w:highlight w:val="none"/>
        </w:rPr>
        <w:t>4.本项目的核心产品详见货物清单一览表。当多家投标人提供的核心产品品牌相同的，按一家投标人计算。根据《政府采购货物和服务招标投标管理办法》（中华人民共和国财政部令第</w:t>
      </w:r>
      <w:r>
        <w:rPr>
          <w:rFonts w:cs="Times New Roman"/>
          <w:bCs/>
          <w:kern w:val="2"/>
          <w:szCs w:val="21"/>
          <w:highlight w:val="none"/>
        </w:rPr>
        <w:t>87号）第三十一条相关规定：非单一产品采购项目，采购人应当根据采购项目技术构成、产品价格比重等合理确定核心产品，提供核心产品为相同品牌且通过资格审查、符合性审查的不同投标人，按一家投标人计算，评审后得分最高的同品牌投标人获得中标人推荐资格；评审得分相同的，采取随机抽取方式确定中标人推荐资格。其他综合评分总分次之的不同品牌投标人顺推获得中标人推荐资</w:t>
      </w:r>
      <w:r>
        <w:rPr>
          <w:rFonts w:hint="eastAsia" w:cs="Times New Roman"/>
          <w:bCs/>
          <w:kern w:val="2"/>
          <w:szCs w:val="21"/>
          <w:highlight w:val="none"/>
        </w:rPr>
        <w:t>格。</w:t>
      </w:r>
    </w:p>
    <w:p>
      <w:pPr>
        <w:numPr>
          <w:ilvl w:val="0"/>
          <w:numId w:val="27"/>
        </w:numPr>
        <w:adjustRightInd/>
        <w:snapToGrid/>
        <w:spacing w:before="280" w:after="290" w:line="377" w:lineRule="auto"/>
        <w:jc w:val="left"/>
        <w:outlineLvl w:val="2"/>
        <w:rPr>
          <w:b/>
          <w:sz w:val="24"/>
          <w:highlight w:val="none"/>
        </w:rPr>
      </w:pPr>
      <w:r>
        <w:rPr>
          <w:rFonts w:hint="eastAsia"/>
          <w:b/>
          <w:sz w:val="24"/>
          <w:highlight w:val="none"/>
        </w:rPr>
        <w:t>实质性响应条款</w:t>
      </w:r>
    </w:p>
    <w:p>
      <w:pPr>
        <w:rPr>
          <w:b/>
          <w:szCs w:val="21"/>
          <w:highlight w:val="none"/>
        </w:rPr>
      </w:pPr>
      <w:r>
        <w:rPr>
          <w:rFonts w:hint="eastAsia"/>
          <w:b/>
          <w:szCs w:val="21"/>
          <w:highlight w:val="none"/>
        </w:rPr>
        <w:t>说明：1.</w:t>
      </w:r>
      <w:r>
        <w:rPr>
          <w:b/>
          <w:szCs w:val="21"/>
          <w:highlight w:val="none"/>
        </w:rPr>
        <w:t>本表系招标文件涉及的所有实质性条款的汇总，不需要单独列表响应。请各位投标人仔细核对：确保投标文件已按照招标文件要求，在招标文件规定的投标文件格式中的对应节点进行逐一响应，不允许有任何负偏离，否则将作投标无效处理</w:t>
      </w:r>
      <w:r>
        <w:rPr>
          <w:rFonts w:hint="eastAsia"/>
          <w:b/>
          <w:szCs w:val="21"/>
          <w:highlight w:val="none"/>
        </w:rPr>
        <w:t>。</w:t>
      </w:r>
    </w:p>
    <w:p>
      <w:pPr>
        <w:rPr>
          <w:highlight w:val="none"/>
        </w:rPr>
      </w:pPr>
      <w:r>
        <w:rPr>
          <w:rFonts w:hint="eastAsia"/>
          <w:b/>
          <w:szCs w:val="21"/>
          <w:highlight w:val="none"/>
        </w:rPr>
        <w:t>2.开标一览表中填写的“交货期”必须与本表的“交货期”一致。如不一致，以开标一览表填写的“交货期”为准。如开标一览表</w:t>
      </w:r>
      <w:r>
        <w:rPr>
          <w:rFonts w:hint="eastAsia"/>
          <w:b/>
          <w:highlight w:val="none"/>
        </w:rPr>
        <w:t>载明的交货期超过招标文件规定的期限，根据《符合性审查表》要求作无效标处理。</w:t>
      </w:r>
    </w:p>
    <w:tbl>
      <w:tblPr>
        <w:tblStyle w:val="44"/>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2239"/>
        <w:gridCol w:w="5595"/>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018" w:type="dxa"/>
            <w:vAlign w:val="center"/>
          </w:tcPr>
          <w:p>
            <w:pPr>
              <w:spacing w:line="240" w:lineRule="auto"/>
              <w:jc w:val="center"/>
              <w:rPr>
                <w:szCs w:val="21"/>
                <w:highlight w:val="none"/>
              </w:rPr>
            </w:pPr>
            <w:r>
              <w:rPr>
                <w:rFonts w:hint="eastAsia"/>
                <w:szCs w:val="21"/>
                <w:highlight w:val="none"/>
              </w:rPr>
              <w:t>序号</w:t>
            </w:r>
          </w:p>
        </w:tc>
        <w:tc>
          <w:tcPr>
            <w:tcW w:w="2239" w:type="dxa"/>
            <w:vAlign w:val="center"/>
          </w:tcPr>
          <w:p>
            <w:pPr>
              <w:spacing w:line="240" w:lineRule="auto"/>
              <w:jc w:val="center"/>
              <w:rPr>
                <w:szCs w:val="21"/>
                <w:highlight w:val="none"/>
              </w:rPr>
            </w:pPr>
            <w:r>
              <w:rPr>
                <w:rFonts w:hint="eastAsia"/>
                <w:szCs w:val="21"/>
                <w:highlight w:val="none"/>
              </w:rPr>
              <w:t>目录</w:t>
            </w:r>
          </w:p>
        </w:tc>
        <w:tc>
          <w:tcPr>
            <w:tcW w:w="5595" w:type="dxa"/>
            <w:vAlign w:val="center"/>
          </w:tcPr>
          <w:p>
            <w:pPr>
              <w:spacing w:line="240" w:lineRule="auto"/>
              <w:jc w:val="center"/>
              <w:rPr>
                <w:szCs w:val="21"/>
                <w:highlight w:val="none"/>
              </w:rPr>
            </w:pPr>
            <w:r>
              <w:rPr>
                <w:rFonts w:hint="eastAsia"/>
                <w:szCs w:val="21"/>
                <w:highlight w:val="none"/>
              </w:rPr>
              <w:t>实质性响应条款</w:t>
            </w:r>
          </w:p>
        </w:tc>
        <w:tc>
          <w:tcPr>
            <w:tcW w:w="718" w:type="dxa"/>
            <w:vAlign w:val="center"/>
          </w:tcPr>
          <w:p>
            <w:pPr>
              <w:spacing w:line="240" w:lineRule="auto"/>
              <w:jc w:val="center"/>
              <w:rPr>
                <w:szCs w:val="21"/>
                <w:highlight w:val="none"/>
              </w:rPr>
            </w:pPr>
            <w:r>
              <w:rPr>
                <w:rFonts w:hint="eastAsia"/>
                <w:szCs w:val="21"/>
                <w:highlight w:val="none"/>
              </w:rPr>
              <w:t>标记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018" w:type="dxa"/>
            <w:vAlign w:val="center"/>
          </w:tcPr>
          <w:p>
            <w:pPr>
              <w:spacing w:line="240" w:lineRule="auto"/>
              <w:jc w:val="center"/>
              <w:rPr>
                <w:szCs w:val="21"/>
                <w:highlight w:val="none"/>
              </w:rPr>
            </w:pPr>
            <w:r>
              <w:rPr>
                <w:rFonts w:hint="eastAsia"/>
                <w:szCs w:val="21"/>
                <w:highlight w:val="none"/>
              </w:rPr>
              <w:t>1</w:t>
            </w:r>
          </w:p>
        </w:tc>
        <w:tc>
          <w:tcPr>
            <w:tcW w:w="2239" w:type="dxa"/>
            <w:vAlign w:val="center"/>
          </w:tcPr>
          <w:p>
            <w:pPr>
              <w:spacing w:line="240" w:lineRule="auto"/>
              <w:rPr>
                <w:szCs w:val="21"/>
                <w:highlight w:val="none"/>
              </w:rPr>
            </w:pPr>
            <w:r>
              <w:rPr>
                <w:rFonts w:hint="eastAsia"/>
                <w:szCs w:val="21"/>
                <w:highlight w:val="none"/>
              </w:rPr>
              <w:t>关于免费保修期</w:t>
            </w:r>
          </w:p>
        </w:tc>
        <w:tc>
          <w:tcPr>
            <w:tcW w:w="5595" w:type="dxa"/>
            <w:vAlign w:val="center"/>
          </w:tcPr>
          <w:p>
            <w:pPr>
              <w:spacing w:line="240" w:lineRule="auto"/>
              <w:rPr>
                <w:b/>
                <w:szCs w:val="21"/>
                <w:highlight w:val="none"/>
              </w:rPr>
            </w:pPr>
            <w:r>
              <w:rPr>
                <w:rFonts w:hint="eastAsia"/>
                <w:bCs/>
                <w:szCs w:val="21"/>
                <w:highlight w:val="none"/>
              </w:rPr>
              <w:t>货物免费保修期</w:t>
            </w:r>
            <w:r>
              <w:rPr>
                <w:rFonts w:hint="eastAsia"/>
                <w:bCs/>
                <w:szCs w:val="21"/>
                <w:highlight w:val="none"/>
                <w:u w:val="single"/>
              </w:rPr>
              <w:t>1</w:t>
            </w:r>
            <w:r>
              <w:rPr>
                <w:rFonts w:hint="eastAsia"/>
                <w:bCs/>
                <w:szCs w:val="21"/>
                <w:highlight w:val="none"/>
              </w:rPr>
              <w:t>年，时间自最终验收合格并交付使用之日起计算。</w:t>
            </w:r>
          </w:p>
        </w:tc>
        <w:tc>
          <w:tcPr>
            <w:tcW w:w="718" w:type="dxa"/>
            <w:vAlign w:val="center"/>
          </w:tcPr>
          <w:p>
            <w:pPr>
              <w:spacing w:line="240" w:lineRule="auto"/>
              <w:rPr>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018" w:type="dxa"/>
            <w:vAlign w:val="center"/>
          </w:tcPr>
          <w:p>
            <w:pPr>
              <w:spacing w:line="240" w:lineRule="auto"/>
              <w:jc w:val="center"/>
              <w:rPr>
                <w:szCs w:val="21"/>
                <w:highlight w:val="none"/>
              </w:rPr>
            </w:pPr>
            <w:r>
              <w:rPr>
                <w:rFonts w:hint="eastAsia"/>
                <w:szCs w:val="21"/>
                <w:highlight w:val="none"/>
              </w:rPr>
              <w:t>2</w:t>
            </w:r>
          </w:p>
        </w:tc>
        <w:tc>
          <w:tcPr>
            <w:tcW w:w="2239" w:type="dxa"/>
            <w:vAlign w:val="center"/>
          </w:tcPr>
          <w:p>
            <w:pPr>
              <w:spacing w:line="240" w:lineRule="auto"/>
              <w:rPr>
                <w:szCs w:val="21"/>
                <w:highlight w:val="none"/>
              </w:rPr>
            </w:pPr>
            <w:r>
              <w:rPr>
                <w:rFonts w:hint="eastAsia"/>
                <w:szCs w:val="21"/>
                <w:highlight w:val="none"/>
              </w:rPr>
              <w:t>关于交货期</w:t>
            </w:r>
          </w:p>
        </w:tc>
        <w:tc>
          <w:tcPr>
            <w:tcW w:w="5595" w:type="dxa"/>
            <w:vAlign w:val="center"/>
          </w:tcPr>
          <w:p>
            <w:pPr>
              <w:spacing w:line="240" w:lineRule="auto"/>
              <w:rPr>
                <w:b/>
                <w:szCs w:val="21"/>
                <w:highlight w:val="none"/>
              </w:rPr>
            </w:pPr>
            <w:r>
              <w:rPr>
                <w:rFonts w:hint="eastAsia"/>
                <w:bCs/>
                <w:szCs w:val="21"/>
                <w:highlight w:val="none"/>
              </w:rPr>
              <w:t>签订合同后</w:t>
            </w:r>
            <w:r>
              <w:rPr>
                <w:rFonts w:hint="eastAsia"/>
                <w:bCs/>
                <w:szCs w:val="21"/>
                <w:highlight w:val="none"/>
                <w:u w:val="single"/>
              </w:rPr>
              <w:t>30</w:t>
            </w:r>
            <w:r>
              <w:rPr>
                <w:rFonts w:hint="eastAsia"/>
                <w:bCs/>
                <w:szCs w:val="21"/>
                <w:highlight w:val="none"/>
              </w:rPr>
              <w:t>天（日历日）内。</w:t>
            </w:r>
          </w:p>
        </w:tc>
        <w:tc>
          <w:tcPr>
            <w:tcW w:w="718" w:type="dxa"/>
            <w:vAlign w:val="center"/>
          </w:tcPr>
          <w:p>
            <w:pPr>
              <w:spacing w:line="240" w:lineRule="auto"/>
              <w:rPr>
                <w:b/>
                <w:szCs w:val="21"/>
                <w:highlight w:val="none"/>
              </w:rPr>
            </w:pPr>
          </w:p>
        </w:tc>
      </w:tr>
    </w:tbl>
    <w:p>
      <w:pPr>
        <w:widowControl w:val="0"/>
        <w:shd w:val="clear" w:color="auto" w:fill="auto"/>
        <w:tabs>
          <w:tab w:val="clear" w:pos="426"/>
        </w:tabs>
        <w:adjustRightInd/>
        <w:snapToGrid/>
        <w:spacing w:beforeLines="50" w:line="300" w:lineRule="auto"/>
        <w:ind w:firstLine="420" w:firstLineChars="200"/>
        <w:rPr>
          <w:rFonts w:cs="Times New Roman"/>
          <w:kern w:val="2"/>
          <w:szCs w:val="21"/>
          <w:highlight w:val="none"/>
        </w:rPr>
      </w:pPr>
      <w:r>
        <w:rPr>
          <w:rFonts w:hint="eastAsia" w:cs="Times New Roman"/>
          <w:kern w:val="2"/>
          <w:szCs w:val="21"/>
          <w:highlight w:val="none"/>
        </w:rPr>
        <w:t>备注：</w:t>
      </w:r>
    </w:p>
    <w:p>
      <w:pPr>
        <w:widowControl w:val="0"/>
        <w:shd w:val="clear" w:color="auto" w:fill="auto"/>
        <w:tabs>
          <w:tab w:val="clear" w:pos="426"/>
        </w:tabs>
        <w:adjustRightInd/>
        <w:snapToGrid/>
        <w:spacing w:beforeLines="50" w:line="300" w:lineRule="auto"/>
        <w:ind w:firstLine="420" w:firstLineChars="200"/>
        <w:rPr>
          <w:rFonts w:cs="Times New Roman"/>
          <w:kern w:val="2"/>
          <w:szCs w:val="21"/>
          <w:highlight w:val="none"/>
        </w:rPr>
      </w:pPr>
      <w:r>
        <w:rPr>
          <w:rFonts w:cs="Times New Roman"/>
          <w:kern w:val="2"/>
          <w:szCs w:val="21"/>
          <w:highlight w:val="none"/>
        </w:rPr>
        <w:t>1.关于</w:t>
      </w:r>
      <w:r>
        <w:rPr>
          <w:rFonts w:hint="eastAsia" w:cs="Times New Roman"/>
          <w:kern w:val="2"/>
          <w:szCs w:val="21"/>
          <w:highlight w:val="none"/>
        </w:rPr>
        <w:t>《实质性响应条款》上述所列内容均为不可负偏离条款，如投标人该部分内容出现负偏离或未对该部分内容进行响应，按照《符合性审查表》要求将导致投标无效。</w:t>
      </w:r>
    </w:p>
    <w:p>
      <w:pPr>
        <w:widowControl w:val="0"/>
        <w:shd w:val="clear" w:color="auto" w:fill="auto"/>
        <w:tabs>
          <w:tab w:val="clear" w:pos="426"/>
        </w:tabs>
        <w:adjustRightInd/>
        <w:snapToGrid/>
        <w:spacing w:beforeLines="50" w:line="300" w:lineRule="auto"/>
        <w:ind w:firstLine="420" w:firstLineChars="200"/>
        <w:rPr>
          <w:rFonts w:cs="Times New Roman"/>
          <w:kern w:val="2"/>
          <w:szCs w:val="21"/>
          <w:highlight w:val="none"/>
        </w:rPr>
      </w:pPr>
      <w:r>
        <w:rPr>
          <w:rFonts w:cs="Times New Roman"/>
          <w:kern w:val="2"/>
          <w:szCs w:val="21"/>
          <w:highlight w:val="none"/>
        </w:rPr>
        <w:t>2.开标一览表中填写的“交货期”必须与本表的“交货期”一致。如不一致，以开标一览表填写的“交货期”为准。</w:t>
      </w:r>
      <w:r>
        <w:rPr>
          <w:rFonts w:hint="eastAsia" w:cs="Times New Roman"/>
          <w:kern w:val="2"/>
          <w:szCs w:val="21"/>
          <w:highlight w:val="none"/>
        </w:rPr>
        <w:t>如开标一览表载明的交货期超过招标文件规定的期限，根据《符合性审查表》要求将导致投标无效。</w:t>
      </w:r>
    </w:p>
    <w:p>
      <w:pPr>
        <w:widowControl w:val="0"/>
        <w:shd w:val="clear" w:color="auto" w:fill="auto"/>
        <w:tabs>
          <w:tab w:val="clear" w:pos="426"/>
        </w:tabs>
        <w:adjustRightInd/>
        <w:snapToGrid/>
        <w:spacing w:beforeLines="50" w:line="300" w:lineRule="auto"/>
        <w:ind w:firstLine="420" w:firstLineChars="200"/>
        <w:rPr>
          <w:rFonts w:cs="Times New Roman"/>
          <w:kern w:val="2"/>
          <w:szCs w:val="21"/>
          <w:highlight w:val="none"/>
        </w:rPr>
      </w:pPr>
      <w:r>
        <w:rPr>
          <w:rFonts w:cs="Times New Roman"/>
          <w:kern w:val="2"/>
          <w:szCs w:val="21"/>
          <w:highlight w:val="none"/>
        </w:rPr>
        <w:t>3.</w:t>
      </w:r>
      <w:r>
        <w:rPr>
          <w:rFonts w:hint="eastAsia" w:cs="Times New Roman"/>
          <w:kern w:val="2"/>
          <w:szCs w:val="21"/>
          <w:highlight w:val="none"/>
        </w:rPr>
        <w:t>评审委员会应依据《实质性响应条款》上述所列内容判定投标文件是否实质性满足招标文件的要求，《实质性响应条款》未涉及内容，</w:t>
      </w:r>
      <w:r>
        <w:rPr>
          <w:rFonts w:hint="eastAsia"/>
          <w:highlight w:val="none"/>
        </w:rPr>
        <w:t>不得作为</w:t>
      </w:r>
      <w:r>
        <w:rPr>
          <w:rFonts w:hint="eastAsia" w:cs="Times New Roman"/>
          <w:kern w:val="2"/>
          <w:szCs w:val="21"/>
          <w:highlight w:val="none"/>
        </w:rPr>
        <w:t>投标文件是否实质性满足招标文件的</w:t>
      </w:r>
      <w:r>
        <w:rPr>
          <w:rFonts w:hint="eastAsia"/>
          <w:highlight w:val="none"/>
        </w:rPr>
        <w:t>的判定条件。</w:t>
      </w:r>
    </w:p>
    <w:p>
      <w:pPr>
        <w:widowControl w:val="0"/>
        <w:shd w:val="clear" w:color="auto" w:fill="auto"/>
        <w:tabs>
          <w:tab w:val="clear" w:pos="426"/>
        </w:tabs>
        <w:adjustRightInd/>
        <w:snapToGrid/>
        <w:spacing w:beforeLines="50" w:line="300" w:lineRule="auto"/>
        <w:ind w:firstLine="426" w:firstLineChars="202"/>
        <w:rPr>
          <w:rFonts w:cs="Times New Roman"/>
          <w:b/>
          <w:kern w:val="2"/>
          <w:szCs w:val="21"/>
          <w:highlight w:val="none"/>
        </w:rPr>
      </w:pPr>
    </w:p>
    <w:p>
      <w:pPr>
        <w:numPr>
          <w:ilvl w:val="0"/>
          <w:numId w:val="27"/>
        </w:numPr>
        <w:adjustRightInd/>
        <w:snapToGrid/>
        <w:spacing w:before="280" w:after="290" w:line="377" w:lineRule="auto"/>
        <w:jc w:val="left"/>
        <w:outlineLvl w:val="2"/>
        <w:rPr>
          <w:b/>
          <w:sz w:val="24"/>
          <w:highlight w:val="none"/>
        </w:rPr>
      </w:pPr>
      <w:r>
        <w:rPr>
          <w:rFonts w:hint="eastAsia"/>
          <w:b/>
          <w:sz w:val="24"/>
          <w:highlight w:val="none"/>
        </w:rPr>
        <w:t>具体技术要求</w:t>
      </w:r>
    </w:p>
    <w:tbl>
      <w:tblPr>
        <w:tblStyle w:val="44"/>
        <w:tblpPr w:leftFromText="180" w:rightFromText="180" w:vertAnchor="text" w:tblpXSpec="center" w:tblpY="1"/>
        <w:tblOverlap w:val="never"/>
        <w:tblW w:w="9974" w:type="dxa"/>
        <w:jc w:val="center"/>
        <w:tblInd w:w="0" w:type="dxa"/>
        <w:tblLayout w:type="fixed"/>
        <w:tblCellMar>
          <w:top w:w="0" w:type="dxa"/>
          <w:left w:w="108" w:type="dxa"/>
          <w:bottom w:w="0" w:type="dxa"/>
          <w:right w:w="108" w:type="dxa"/>
        </w:tblCellMar>
      </w:tblPr>
      <w:tblGrid>
        <w:gridCol w:w="675"/>
        <w:gridCol w:w="1418"/>
        <w:gridCol w:w="7881"/>
      </w:tblGrid>
      <w:tr>
        <w:tblPrEx>
          <w:tblLayout w:type="fixed"/>
          <w:tblCellMar>
            <w:top w:w="0" w:type="dxa"/>
            <w:left w:w="108" w:type="dxa"/>
            <w:bottom w:w="0" w:type="dxa"/>
            <w:right w:w="108" w:type="dxa"/>
          </w:tblCellMar>
        </w:tblPrEx>
        <w:trPr>
          <w:trHeight w:val="20" w:hRule="atLeast"/>
          <w:jc w:val="center"/>
        </w:trPr>
        <w:tc>
          <w:tcPr>
            <w:tcW w:w="675" w:type="dxa"/>
            <w:tcBorders>
              <w:top w:val="single" w:color="auto" w:sz="4" w:space="0"/>
              <w:left w:val="single" w:color="auto" w:sz="4" w:space="0"/>
              <w:bottom w:val="single" w:color="auto" w:sz="4" w:space="0"/>
              <w:right w:val="single" w:color="auto" w:sz="4" w:space="0"/>
            </w:tcBorders>
            <w:noWrap/>
            <w:vAlign w:val="center"/>
          </w:tcPr>
          <w:p>
            <w:pPr>
              <w:jc w:val="center"/>
              <w:rPr>
                <w:b/>
                <w:bCs/>
                <w:color w:val="000000"/>
                <w:szCs w:val="21"/>
                <w:highlight w:val="none"/>
              </w:rPr>
            </w:pPr>
            <w:r>
              <w:rPr>
                <w:rFonts w:hint="eastAsia"/>
                <w:b/>
                <w:bCs/>
                <w:color w:val="000000"/>
                <w:szCs w:val="21"/>
                <w:highlight w:val="none"/>
              </w:rPr>
              <w:t>序号</w:t>
            </w:r>
          </w:p>
        </w:tc>
        <w:tc>
          <w:tcPr>
            <w:tcW w:w="1418" w:type="dxa"/>
            <w:tcBorders>
              <w:top w:val="single" w:color="auto" w:sz="4" w:space="0"/>
              <w:left w:val="nil"/>
              <w:bottom w:val="single" w:color="auto" w:sz="4" w:space="0"/>
              <w:right w:val="single" w:color="auto" w:sz="4" w:space="0"/>
            </w:tcBorders>
            <w:noWrap/>
            <w:vAlign w:val="center"/>
          </w:tcPr>
          <w:p>
            <w:pPr>
              <w:jc w:val="center"/>
              <w:rPr>
                <w:b/>
                <w:bCs/>
                <w:color w:val="000000"/>
                <w:szCs w:val="21"/>
                <w:highlight w:val="none"/>
              </w:rPr>
            </w:pPr>
            <w:r>
              <w:rPr>
                <w:rFonts w:hint="eastAsia"/>
                <w:b/>
                <w:bCs/>
                <w:color w:val="000000"/>
                <w:szCs w:val="21"/>
                <w:highlight w:val="none"/>
              </w:rPr>
              <w:t>产品名称</w:t>
            </w:r>
          </w:p>
        </w:tc>
        <w:tc>
          <w:tcPr>
            <w:tcW w:w="7881" w:type="dxa"/>
            <w:tcBorders>
              <w:top w:val="single" w:color="auto" w:sz="4" w:space="0"/>
              <w:left w:val="nil"/>
              <w:bottom w:val="single" w:color="auto" w:sz="4" w:space="0"/>
              <w:right w:val="single" w:color="auto" w:sz="4" w:space="0"/>
            </w:tcBorders>
            <w:noWrap/>
            <w:vAlign w:val="center"/>
          </w:tcPr>
          <w:p>
            <w:pPr>
              <w:jc w:val="center"/>
              <w:rPr>
                <w:b/>
                <w:bCs/>
                <w:color w:val="000000"/>
                <w:szCs w:val="21"/>
                <w:highlight w:val="none"/>
              </w:rPr>
            </w:pPr>
            <w:r>
              <w:rPr>
                <w:rFonts w:hint="eastAsia"/>
                <w:b/>
                <w:bCs/>
                <w:color w:val="000000"/>
                <w:szCs w:val="21"/>
                <w:highlight w:val="none"/>
              </w:rPr>
              <w:t>功能特性</w:t>
            </w:r>
          </w:p>
        </w:tc>
      </w:tr>
      <w:tr>
        <w:tblPrEx>
          <w:tblLayout w:type="fixed"/>
          <w:tblCellMar>
            <w:top w:w="0" w:type="dxa"/>
            <w:left w:w="108" w:type="dxa"/>
            <w:bottom w:w="0" w:type="dxa"/>
            <w:right w:w="108" w:type="dxa"/>
          </w:tblCellMar>
        </w:tblPrEx>
        <w:trPr>
          <w:trHeight w:val="20" w:hRule="atLeast"/>
          <w:jc w:val="center"/>
        </w:trPr>
        <w:tc>
          <w:tcPr>
            <w:tcW w:w="9974" w:type="dxa"/>
            <w:gridSpan w:val="3"/>
            <w:tcBorders>
              <w:top w:val="nil"/>
              <w:left w:val="single" w:color="auto" w:sz="4" w:space="0"/>
              <w:bottom w:val="single" w:color="auto" w:sz="4" w:space="0"/>
              <w:right w:val="single" w:color="auto" w:sz="4" w:space="0"/>
            </w:tcBorders>
            <w:noWrap/>
            <w:vAlign w:val="center"/>
          </w:tcPr>
          <w:p>
            <w:pPr>
              <w:rPr>
                <w:b/>
                <w:bCs/>
                <w:color w:val="000000"/>
                <w:szCs w:val="21"/>
                <w:highlight w:val="none"/>
              </w:rPr>
            </w:pPr>
            <w:r>
              <w:rPr>
                <w:b/>
                <w:bCs/>
                <w:color w:val="000000"/>
                <w:szCs w:val="21"/>
                <w:highlight w:val="none"/>
              </w:rPr>
              <w:t>一</w:t>
            </w:r>
            <w:r>
              <w:rPr>
                <w:rFonts w:hint="eastAsia"/>
                <w:b/>
                <w:bCs/>
                <w:color w:val="000000"/>
                <w:szCs w:val="21"/>
                <w:highlight w:val="none"/>
              </w:rPr>
              <w:t>、</w:t>
            </w:r>
            <w:r>
              <w:rPr>
                <w:b/>
                <w:bCs/>
                <w:color w:val="000000"/>
                <w:szCs w:val="21"/>
                <w:highlight w:val="none"/>
              </w:rPr>
              <w:t>电脑室</w:t>
            </w:r>
          </w:p>
        </w:tc>
      </w:tr>
      <w:tr>
        <w:tblPrEx>
          <w:tblLayout w:type="fixed"/>
          <w:tblCellMar>
            <w:top w:w="0" w:type="dxa"/>
            <w:left w:w="108" w:type="dxa"/>
            <w:bottom w:w="0" w:type="dxa"/>
            <w:right w:w="108" w:type="dxa"/>
          </w:tblCellMar>
        </w:tblPrEx>
        <w:trPr>
          <w:trHeight w:val="90" w:hRule="atLeast"/>
          <w:jc w:val="center"/>
        </w:trPr>
        <w:tc>
          <w:tcPr>
            <w:tcW w:w="675" w:type="dxa"/>
            <w:tcBorders>
              <w:top w:val="nil"/>
              <w:left w:val="single" w:color="auto" w:sz="4" w:space="0"/>
              <w:bottom w:val="single" w:color="auto" w:sz="4" w:space="0"/>
              <w:right w:val="single" w:color="auto" w:sz="4" w:space="0"/>
            </w:tcBorders>
            <w:shd w:val="clear" w:color="auto" w:fill="FFFFFF"/>
            <w:noWrap/>
            <w:vAlign w:val="center"/>
          </w:tcPr>
          <w:p>
            <w:pPr>
              <w:jc w:val="center"/>
              <w:rPr>
                <w:szCs w:val="21"/>
                <w:highlight w:val="none"/>
              </w:rPr>
            </w:pPr>
            <w:r>
              <w:rPr>
                <w:rFonts w:hint="eastAsia"/>
                <w:szCs w:val="21"/>
                <w:highlight w:val="none"/>
              </w:rPr>
              <w:t>1</w:t>
            </w:r>
          </w:p>
        </w:tc>
        <w:tc>
          <w:tcPr>
            <w:tcW w:w="1418" w:type="dxa"/>
            <w:tcBorders>
              <w:top w:val="nil"/>
              <w:left w:val="nil"/>
              <w:bottom w:val="single" w:color="auto" w:sz="4" w:space="0"/>
              <w:right w:val="single" w:color="auto" w:sz="4" w:space="0"/>
            </w:tcBorders>
            <w:shd w:val="clear" w:color="auto" w:fill="FFFFFF"/>
            <w:noWrap/>
            <w:vAlign w:val="center"/>
          </w:tcPr>
          <w:p>
            <w:pPr>
              <w:rPr>
                <w:szCs w:val="21"/>
                <w:highlight w:val="none"/>
              </w:rPr>
            </w:pPr>
            <w:r>
              <w:rPr>
                <w:rFonts w:hint="eastAsia"/>
                <w:szCs w:val="21"/>
                <w:highlight w:val="none"/>
              </w:rPr>
              <w:t>学生电脑</w:t>
            </w:r>
          </w:p>
        </w:tc>
        <w:tc>
          <w:tcPr>
            <w:tcW w:w="7881" w:type="dxa"/>
            <w:tcBorders>
              <w:top w:val="nil"/>
              <w:left w:val="nil"/>
              <w:bottom w:val="single" w:color="auto" w:sz="4" w:space="0"/>
              <w:right w:val="single" w:color="auto" w:sz="4" w:space="0"/>
            </w:tcBorders>
            <w:noWrap/>
            <w:vAlign w:val="center"/>
          </w:tcPr>
          <w:p>
            <w:pPr>
              <w:rPr>
                <w:szCs w:val="21"/>
                <w:highlight w:val="none"/>
              </w:rPr>
            </w:pPr>
            <w:r>
              <w:rPr>
                <w:rFonts w:hint="eastAsia"/>
                <w:szCs w:val="21"/>
                <w:highlight w:val="none"/>
              </w:rPr>
              <w:t>具体功能要求详见 “附件1：学生电脑技术要求”</w:t>
            </w:r>
          </w:p>
        </w:tc>
      </w:tr>
      <w:tr>
        <w:tblPrEx>
          <w:tblLayout w:type="fixed"/>
          <w:tblCellMar>
            <w:top w:w="0" w:type="dxa"/>
            <w:left w:w="108" w:type="dxa"/>
            <w:bottom w:w="0" w:type="dxa"/>
            <w:right w:w="108" w:type="dxa"/>
          </w:tblCellMar>
        </w:tblPrEx>
        <w:trPr>
          <w:trHeight w:val="90" w:hRule="atLeast"/>
          <w:jc w:val="center"/>
        </w:trPr>
        <w:tc>
          <w:tcPr>
            <w:tcW w:w="675" w:type="dxa"/>
            <w:tcBorders>
              <w:top w:val="nil"/>
              <w:left w:val="single" w:color="auto" w:sz="4" w:space="0"/>
              <w:bottom w:val="single" w:color="auto" w:sz="4" w:space="0"/>
              <w:right w:val="single" w:color="auto" w:sz="4" w:space="0"/>
            </w:tcBorders>
            <w:shd w:val="clear" w:color="auto" w:fill="FFFFFF"/>
            <w:noWrap/>
            <w:vAlign w:val="center"/>
          </w:tcPr>
          <w:p>
            <w:pPr>
              <w:jc w:val="center"/>
              <w:rPr>
                <w:szCs w:val="21"/>
                <w:highlight w:val="none"/>
              </w:rPr>
            </w:pPr>
            <w:r>
              <w:rPr>
                <w:rFonts w:hint="eastAsia"/>
                <w:szCs w:val="21"/>
                <w:highlight w:val="none"/>
              </w:rPr>
              <w:t>2</w:t>
            </w:r>
          </w:p>
        </w:tc>
        <w:tc>
          <w:tcPr>
            <w:tcW w:w="1418" w:type="dxa"/>
            <w:tcBorders>
              <w:top w:val="nil"/>
              <w:left w:val="nil"/>
              <w:bottom w:val="single" w:color="auto" w:sz="4" w:space="0"/>
              <w:right w:val="single" w:color="auto" w:sz="4" w:space="0"/>
            </w:tcBorders>
            <w:shd w:val="clear" w:color="auto" w:fill="FFFFFF"/>
            <w:noWrap/>
            <w:vAlign w:val="center"/>
          </w:tcPr>
          <w:p>
            <w:pPr>
              <w:rPr>
                <w:color w:val="000000"/>
                <w:szCs w:val="21"/>
                <w:highlight w:val="none"/>
              </w:rPr>
            </w:pPr>
            <w:r>
              <w:rPr>
                <w:rFonts w:hint="eastAsia"/>
                <w:color w:val="000000"/>
                <w:szCs w:val="21"/>
                <w:highlight w:val="none"/>
              </w:rPr>
              <w:t>学生耳机</w:t>
            </w:r>
          </w:p>
        </w:tc>
        <w:tc>
          <w:tcPr>
            <w:tcW w:w="7881" w:type="dxa"/>
            <w:tcBorders>
              <w:top w:val="nil"/>
              <w:left w:val="nil"/>
              <w:bottom w:val="single" w:color="auto" w:sz="4" w:space="0"/>
              <w:right w:val="single" w:color="auto" w:sz="4" w:space="0"/>
            </w:tcBorders>
            <w:noWrap/>
            <w:vAlign w:val="center"/>
          </w:tcPr>
          <w:p>
            <w:pPr>
              <w:rPr>
                <w:szCs w:val="21"/>
                <w:highlight w:val="none"/>
              </w:rPr>
            </w:pPr>
            <w:r>
              <w:rPr>
                <w:rFonts w:hint="eastAsia"/>
                <w:szCs w:val="21"/>
                <w:highlight w:val="none"/>
              </w:rPr>
              <w:t>耳机耐用结实、带麦克风，不掉皮</w:t>
            </w:r>
          </w:p>
        </w:tc>
      </w:tr>
      <w:tr>
        <w:tblPrEx>
          <w:tblLayout w:type="fixed"/>
          <w:tblCellMar>
            <w:top w:w="0" w:type="dxa"/>
            <w:left w:w="108" w:type="dxa"/>
            <w:bottom w:w="0" w:type="dxa"/>
            <w:right w:w="108" w:type="dxa"/>
          </w:tblCellMar>
        </w:tblPrEx>
        <w:trPr>
          <w:trHeight w:val="90" w:hRule="atLeast"/>
          <w:jc w:val="center"/>
        </w:trPr>
        <w:tc>
          <w:tcPr>
            <w:tcW w:w="675" w:type="dxa"/>
            <w:tcBorders>
              <w:top w:val="nil"/>
              <w:left w:val="single" w:color="auto" w:sz="4" w:space="0"/>
              <w:bottom w:val="single" w:color="auto" w:sz="4" w:space="0"/>
              <w:right w:val="single" w:color="auto" w:sz="4" w:space="0"/>
            </w:tcBorders>
            <w:shd w:val="clear" w:color="auto" w:fill="FFFFFF"/>
            <w:noWrap/>
            <w:vAlign w:val="center"/>
          </w:tcPr>
          <w:p>
            <w:pPr>
              <w:jc w:val="center"/>
              <w:rPr>
                <w:szCs w:val="21"/>
                <w:highlight w:val="none"/>
              </w:rPr>
            </w:pPr>
            <w:r>
              <w:rPr>
                <w:rFonts w:hint="eastAsia"/>
                <w:szCs w:val="21"/>
                <w:highlight w:val="none"/>
              </w:rPr>
              <w:t>3</w:t>
            </w:r>
          </w:p>
        </w:tc>
        <w:tc>
          <w:tcPr>
            <w:tcW w:w="1418" w:type="dxa"/>
            <w:tcBorders>
              <w:top w:val="nil"/>
              <w:left w:val="nil"/>
              <w:bottom w:val="single" w:color="auto" w:sz="4" w:space="0"/>
              <w:right w:val="single" w:color="auto" w:sz="4" w:space="0"/>
            </w:tcBorders>
            <w:shd w:val="clear" w:color="auto" w:fill="FFFFFF"/>
            <w:noWrap/>
            <w:vAlign w:val="center"/>
          </w:tcPr>
          <w:p>
            <w:pPr>
              <w:rPr>
                <w:szCs w:val="21"/>
                <w:highlight w:val="none"/>
              </w:rPr>
            </w:pPr>
            <w:r>
              <w:rPr>
                <w:rFonts w:hint="eastAsia"/>
                <w:szCs w:val="21"/>
                <w:highlight w:val="none"/>
              </w:rPr>
              <w:t>48口交换机</w:t>
            </w:r>
          </w:p>
        </w:tc>
        <w:tc>
          <w:tcPr>
            <w:tcW w:w="7881" w:type="dxa"/>
            <w:tcBorders>
              <w:top w:val="nil"/>
              <w:left w:val="nil"/>
              <w:bottom w:val="single" w:color="auto" w:sz="4" w:space="0"/>
              <w:right w:val="single" w:color="auto" w:sz="4" w:space="0"/>
            </w:tcBorders>
            <w:noWrap/>
            <w:vAlign w:val="center"/>
          </w:tcPr>
          <w:p>
            <w:pPr>
              <w:rPr>
                <w:szCs w:val="21"/>
                <w:highlight w:val="none"/>
              </w:rPr>
            </w:pPr>
            <w:r>
              <w:rPr>
                <w:rFonts w:hint="eastAsia"/>
                <w:szCs w:val="21"/>
                <w:highlight w:val="none"/>
              </w:rPr>
              <w:t>48口全千兆交换机，带光纤接口</w:t>
            </w:r>
          </w:p>
        </w:tc>
      </w:tr>
      <w:tr>
        <w:tblPrEx>
          <w:tblLayout w:type="fixed"/>
          <w:tblCellMar>
            <w:top w:w="0" w:type="dxa"/>
            <w:left w:w="108" w:type="dxa"/>
            <w:bottom w:w="0" w:type="dxa"/>
            <w:right w:w="108" w:type="dxa"/>
          </w:tblCellMar>
        </w:tblPrEx>
        <w:trPr>
          <w:trHeight w:val="20" w:hRule="atLeast"/>
          <w:jc w:val="center"/>
        </w:trPr>
        <w:tc>
          <w:tcPr>
            <w:tcW w:w="675" w:type="dxa"/>
            <w:tcBorders>
              <w:top w:val="nil"/>
              <w:left w:val="single" w:color="auto" w:sz="4" w:space="0"/>
              <w:bottom w:val="single" w:color="auto" w:sz="4" w:space="0"/>
              <w:right w:val="single" w:color="auto" w:sz="4" w:space="0"/>
            </w:tcBorders>
            <w:noWrap/>
            <w:vAlign w:val="center"/>
          </w:tcPr>
          <w:p>
            <w:pPr>
              <w:jc w:val="center"/>
              <w:rPr>
                <w:szCs w:val="21"/>
                <w:highlight w:val="none"/>
              </w:rPr>
            </w:pPr>
            <w:r>
              <w:rPr>
                <w:rFonts w:hint="eastAsia"/>
                <w:szCs w:val="21"/>
                <w:highlight w:val="none"/>
              </w:rPr>
              <w:t>4</w:t>
            </w:r>
          </w:p>
        </w:tc>
        <w:tc>
          <w:tcPr>
            <w:tcW w:w="1418" w:type="dxa"/>
            <w:tcBorders>
              <w:top w:val="nil"/>
              <w:left w:val="nil"/>
              <w:bottom w:val="single" w:color="auto" w:sz="4" w:space="0"/>
              <w:right w:val="single" w:color="auto" w:sz="4" w:space="0"/>
            </w:tcBorders>
            <w:noWrap/>
            <w:vAlign w:val="center"/>
          </w:tcPr>
          <w:p>
            <w:pPr>
              <w:rPr>
                <w:szCs w:val="21"/>
                <w:highlight w:val="none"/>
              </w:rPr>
            </w:pPr>
            <w:r>
              <w:rPr>
                <w:rFonts w:hint="eastAsia"/>
                <w:szCs w:val="21"/>
                <w:highlight w:val="none"/>
              </w:rPr>
              <w:t>机柜</w:t>
            </w:r>
          </w:p>
        </w:tc>
        <w:tc>
          <w:tcPr>
            <w:tcW w:w="7881" w:type="dxa"/>
            <w:tcBorders>
              <w:top w:val="nil"/>
              <w:left w:val="nil"/>
              <w:bottom w:val="single" w:color="auto" w:sz="4" w:space="0"/>
              <w:right w:val="single" w:color="auto" w:sz="4" w:space="0"/>
            </w:tcBorders>
            <w:noWrap/>
            <w:vAlign w:val="center"/>
          </w:tcPr>
          <w:p>
            <w:pPr>
              <w:rPr>
                <w:szCs w:val="21"/>
                <w:highlight w:val="none"/>
              </w:rPr>
            </w:pPr>
            <w:r>
              <w:rPr>
                <w:rFonts w:hint="eastAsia"/>
                <w:szCs w:val="21"/>
                <w:highlight w:val="none"/>
              </w:rPr>
              <w:t>网络机柜32u 前后网门、后对开门</w:t>
            </w:r>
          </w:p>
        </w:tc>
      </w:tr>
      <w:tr>
        <w:tblPrEx>
          <w:tblLayout w:type="fixed"/>
          <w:tblCellMar>
            <w:top w:w="0" w:type="dxa"/>
            <w:left w:w="108" w:type="dxa"/>
            <w:bottom w:w="0" w:type="dxa"/>
            <w:right w:w="108" w:type="dxa"/>
          </w:tblCellMar>
        </w:tblPrEx>
        <w:trPr>
          <w:trHeight w:val="20" w:hRule="atLeast"/>
          <w:jc w:val="center"/>
        </w:trPr>
        <w:tc>
          <w:tcPr>
            <w:tcW w:w="675" w:type="dxa"/>
            <w:tcBorders>
              <w:top w:val="nil"/>
              <w:left w:val="single" w:color="auto" w:sz="4" w:space="0"/>
              <w:bottom w:val="single" w:color="auto" w:sz="4" w:space="0"/>
              <w:right w:val="single" w:color="auto" w:sz="4" w:space="0"/>
            </w:tcBorders>
            <w:noWrap/>
            <w:vAlign w:val="center"/>
          </w:tcPr>
          <w:p>
            <w:pPr>
              <w:jc w:val="center"/>
              <w:rPr>
                <w:szCs w:val="21"/>
                <w:highlight w:val="none"/>
              </w:rPr>
            </w:pPr>
            <w:r>
              <w:rPr>
                <w:rFonts w:hint="eastAsia"/>
                <w:szCs w:val="21"/>
                <w:highlight w:val="none"/>
              </w:rPr>
              <w:t>5</w:t>
            </w:r>
          </w:p>
        </w:tc>
        <w:tc>
          <w:tcPr>
            <w:tcW w:w="1418" w:type="dxa"/>
            <w:tcBorders>
              <w:top w:val="nil"/>
              <w:left w:val="nil"/>
              <w:bottom w:val="single" w:color="auto" w:sz="4" w:space="0"/>
              <w:right w:val="single" w:color="auto" w:sz="4" w:space="0"/>
            </w:tcBorders>
            <w:noWrap/>
            <w:vAlign w:val="center"/>
          </w:tcPr>
          <w:p>
            <w:pPr>
              <w:textAlignment w:val="center"/>
              <w:rPr>
                <w:color w:val="000000"/>
                <w:szCs w:val="21"/>
                <w:highlight w:val="none"/>
              </w:rPr>
            </w:pPr>
            <w:r>
              <w:rPr>
                <w:rFonts w:hint="eastAsia"/>
                <w:color w:val="000000"/>
                <w:szCs w:val="21"/>
                <w:highlight w:val="none"/>
              </w:rPr>
              <w:t>电子教学软件</w:t>
            </w:r>
          </w:p>
        </w:tc>
        <w:tc>
          <w:tcPr>
            <w:tcW w:w="7881" w:type="dxa"/>
            <w:tcBorders>
              <w:top w:val="nil"/>
              <w:left w:val="nil"/>
              <w:bottom w:val="single" w:color="auto" w:sz="4" w:space="0"/>
              <w:right w:val="single" w:color="auto" w:sz="4" w:space="0"/>
            </w:tcBorders>
            <w:noWrap/>
            <w:vAlign w:val="center"/>
          </w:tcPr>
          <w:p>
            <w:pPr>
              <w:textAlignment w:val="top"/>
              <w:rPr>
                <w:szCs w:val="21"/>
                <w:highlight w:val="none"/>
              </w:rPr>
            </w:pPr>
            <w:r>
              <w:rPr>
                <w:rFonts w:hint="eastAsia"/>
                <w:color w:val="000000"/>
                <w:szCs w:val="21"/>
                <w:highlight w:val="none"/>
              </w:rPr>
              <w:t>语音广播：能实时将教师的语音或课件的声音广播给全体、群组或单个学生。支持教师旁白，能同时将教师播放课件的声音与教师的实时语音同时广播给学生。</w:t>
            </w:r>
            <w:r>
              <w:rPr>
                <w:rFonts w:hint="eastAsia"/>
                <w:color w:val="000000"/>
                <w:szCs w:val="21"/>
                <w:highlight w:val="none"/>
              </w:rPr>
              <w:br w:type="textWrapping"/>
            </w:r>
            <w:r>
              <w:rPr>
                <w:rFonts w:hint="eastAsia"/>
                <w:color w:val="000000"/>
                <w:szCs w:val="21"/>
                <w:highlight w:val="none"/>
              </w:rPr>
              <w:t>师生对讲：教师和学生可利用话筒和耳机进行实时双向交流。即时测验：教师当时出题，学生立刻回答；并且教师立即知道测验的情况统计。</w:t>
            </w:r>
            <w:r>
              <w:rPr>
                <w:rFonts w:hint="eastAsia"/>
                <w:color w:val="000000"/>
                <w:szCs w:val="21"/>
                <w:highlight w:val="none"/>
              </w:rPr>
              <w:br w:type="textWrapping"/>
            </w:r>
            <w:r>
              <w:rPr>
                <w:rFonts w:hint="eastAsia"/>
                <w:color w:val="000000"/>
                <w:szCs w:val="21"/>
                <w:highlight w:val="none"/>
              </w:rPr>
              <w:t>下发文件：将教师端的任意格式的文件、程序和目录发送在学生机上，可以在教师机和学生机间快速、方便地传递文件和目录。</w:t>
            </w:r>
            <w:r>
              <w:rPr>
                <w:rFonts w:hint="eastAsia"/>
                <w:color w:val="000000"/>
                <w:szCs w:val="21"/>
                <w:highlight w:val="none"/>
              </w:rPr>
              <w:br w:type="textWrapping"/>
            </w:r>
            <w:r>
              <w:rPr>
                <w:rFonts w:hint="eastAsia"/>
                <w:color w:val="000000"/>
                <w:szCs w:val="21"/>
                <w:highlight w:val="none"/>
              </w:rPr>
              <w:t>收取文件：教师可以远程同时收取学生指定目录下的文件、程序、子目录，并分别存放在每个学生的目录下。</w:t>
            </w:r>
          </w:p>
        </w:tc>
      </w:tr>
      <w:tr>
        <w:tblPrEx>
          <w:tblLayout w:type="fixed"/>
          <w:tblCellMar>
            <w:top w:w="0" w:type="dxa"/>
            <w:left w:w="108" w:type="dxa"/>
            <w:bottom w:w="0" w:type="dxa"/>
            <w:right w:w="108" w:type="dxa"/>
          </w:tblCellMar>
        </w:tblPrEx>
        <w:trPr>
          <w:trHeight w:val="20" w:hRule="atLeast"/>
          <w:jc w:val="center"/>
        </w:trPr>
        <w:tc>
          <w:tcPr>
            <w:tcW w:w="675" w:type="dxa"/>
            <w:tcBorders>
              <w:top w:val="nil"/>
              <w:left w:val="single" w:color="auto" w:sz="4" w:space="0"/>
              <w:bottom w:val="single" w:color="auto" w:sz="4" w:space="0"/>
              <w:right w:val="single" w:color="auto" w:sz="4" w:space="0"/>
            </w:tcBorders>
            <w:noWrap/>
            <w:vAlign w:val="center"/>
          </w:tcPr>
          <w:p>
            <w:pPr>
              <w:jc w:val="center"/>
              <w:rPr>
                <w:szCs w:val="21"/>
                <w:highlight w:val="none"/>
              </w:rPr>
            </w:pPr>
            <w:r>
              <w:rPr>
                <w:rFonts w:hint="eastAsia"/>
                <w:szCs w:val="21"/>
                <w:highlight w:val="none"/>
              </w:rPr>
              <w:t>6</w:t>
            </w:r>
          </w:p>
        </w:tc>
        <w:tc>
          <w:tcPr>
            <w:tcW w:w="1418" w:type="dxa"/>
            <w:tcBorders>
              <w:top w:val="nil"/>
              <w:left w:val="nil"/>
              <w:bottom w:val="single" w:color="auto" w:sz="4" w:space="0"/>
              <w:right w:val="single" w:color="auto" w:sz="4" w:space="0"/>
            </w:tcBorders>
            <w:noWrap/>
            <w:vAlign w:val="center"/>
          </w:tcPr>
          <w:p>
            <w:pPr>
              <w:rPr>
                <w:szCs w:val="21"/>
                <w:highlight w:val="none"/>
              </w:rPr>
            </w:pPr>
            <w:r>
              <w:rPr>
                <w:rFonts w:hint="eastAsia"/>
                <w:szCs w:val="21"/>
                <w:highlight w:val="none"/>
              </w:rPr>
              <w:t>稳压电源</w:t>
            </w:r>
          </w:p>
        </w:tc>
        <w:tc>
          <w:tcPr>
            <w:tcW w:w="7881" w:type="dxa"/>
            <w:tcBorders>
              <w:top w:val="nil"/>
              <w:left w:val="nil"/>
              <w:bottom w:val="single" w:color="auto" w:sz="4" w:space="0"/>
              <w:right w:val="single" w:color="auto" w:sz="4" w:space="0"/>
            </w:tcBorders>
            <w:noWrap/>
            <w:vAlign w:val="center"/>
          </w:tcPr>
          <w:p>
            <w:pPr>
              <w:rPr>
                <w:szCs w:val="21"/>
                <w:highlight w:val="none"/>
              </w:rPr>
            </w:pPr>
            <w:r>
              <w:rPr>
                <w:rFonts w:hint="eastAsia"/>
                <w:szCs w:val="21"/>
                <w:highlight w:val="none"/>
              </w:rPr>
              <w:t>30KVA单相稳压电源</w:t>
            </w:r>
          </w:p>
        </w:tc>
      </w:tr>
      <w:tr>
        <w:tblPrEx>
          <w:tblLayout w:type="fixed"/>
          <w:tblCellMar>
            <w:top w:w="0" w:type="dxa"/>
            <w:left w:w="108" w:type="dxa"/>
            <w:bottom w:w="0" w:type="dxa"/>
            <w:right w:w="108" w:type="dxa"/>
          </w:tblCellMar>
        </w:tblPrEx>
        <w:trPr>
          <w:trHeight w:val="20" w:hRule="atLeast"/>
          <w:jc w:val="center"/>
        </w:trPr>
        <w:tc>
          <w:tcPr>
            <w:tcW w:w="675" w:type="dxa"/>
            <w:tcBorders>
              <w:top w:val="nil"/>
              <w:left w:val="single" w:color="auto" w:sz="4" w:space="0"/>
              <w:bottom w:val="single" w:color="auto" w:sz="4" w:space="0"/>
              <w:right w:val="single" w:color="auto" w:sz="4" w:space="0"/>
            </w:tcBorders>
            <w:noWrap/>
            <w:vAlign w:val="center"/>
          </w:tcPr>
          <w:p>
            <w:pPr>
              <w:jc w:val="center"/>
              <w:rPr>
                <w:szCs w:val="21"/>
                <w:highlight w:val="none"/>
              </w:rPr>
            </w:pPr>
            <w:r>
              <w:rPr>
                <w:rFonts w:hint="eastAsia"/>
                <w:szCs w:val="21"/>
                <w:highlight w:val="none"/>
              </w:rPr>
              <w:t>7</w:t>
            </w:r>
          </w:p>
        </w:tc>
        <w:tc>
          <w:tcPr>
            <w:tcW w:w="1418" w:type="dxa"/>
            <w:tcBorders>
              <w:top w:val="nil"/>
              <w:left w:val="nil"/>
              <w:bottom w:val="single" w:color="auto" w:sz="4" w:space="0"/>
              <w:right w:val="single" w:color="auto" w:sz="4" w:space="0"/>
            </w:tcBorders>
            <w:noWrap/>
            <w:vAlign w:val="center"/>
          </w:tcPr>
          <w:p>
            <w:pPr>
              <w:rPr>
                <w:szCs w:val="21"/>
                <w:highlight w:val="none"/>
              </w:rPr>
            </w:pPr>
            <w:r>
              <w:rPr>
                <w:rFonts w:hint="eastAsia"/>
                <w:szCs w:val="21"/>
                <w:highlight w:val="none"/>
              </w:rPr>
              <w:t>装修</w:t>
            </w:r>
          </w:p>
        </w:tc>
        <w:tc>
          <w:tcPr>
            <w:tcW w:w="7881" w:type="dxa"/>
            <w:tcBorders>
              <w:top w:val="nil"/>
              <w:left w:val="nil"/>
              <w:bottom w:val="single" w:color="auto" w:sz="4" w:space="0"/>
              <w:right w:val="single" w:color="auto" w:sz="4" w:space="0"/>
            </w:tcBorders>
            <w:noWrap/>
          </w:tcPr>
          <w:p>
            <w:pPr>
              <w:rPr>
                <w:szCs w:val="21"/>
                <w:highlight w:val="none"/>
              </w:rPr>
            </w:pPr>
            <w:r>
              <w:rPr>
                <w:rFonts w:hint="eastAsia"/>
                <w:szCs w:val="21"/>
                <w:highlight w:val="none"/>
              </w:rPr>
              <w:t>两间电脑室装修，含网络、强弱电布线施工</w:t>
            </w:r>
          </w:p>
        </w:tc>
      </w:tr>
      <w:tr>
        <w:tblPrEx>
          <w:tblLayout w:type="fixed"/>
          <w:tblCellMar>
            <w:top w:w="0" w:type="dxa"/>
            <w:left w:w="108" w:type="dxa"/>
            <w:bottom w:w="0" w:type="dxa"/>
            <w:right w:w="108" w:type="dxa"/>
          </w:tblCellMar>
        </w:tblPrEx>
        <w:trPr>
          <w:trHeight w:val="20" w:hRule="atLeast"/>
          <w:jc w:val="center"/>
        </w:trPr>
        <w:tc>
          <w:tcPr>
            <w:tcW w:w="675" w:type="dxa"/>
            <w:tcBorders>
              <w:top w:val="nil"/>
              <w:left w:val="single" w:color="auto" w:sz="4" w:space="0"/>
              <w:bottom w:val="single" w:color="auto" w:sz="4" w:space="0"/>
              <w:right w:val="single" w:color="auto" w:sz="4" w:space="0"/>
            </w:tcBorders>
            <w:noWrap/>
            <w:vAlign w:val="center"/>
          </w:tcPr>
          <w:p>
            <w:pPr>
              <w:jc w:val="center"/>
              <w:rPr>
                <w:szCs w:val="21"/>
                <w:highlight w:val="none"/>
              </w:rPr>
            </w:pPr>
            <w:r>
              <w:rPr>
                <w:rFonts w:hint="eastAsia"/>
                <w:szCs w:val="21"/>
                <w:highlight w:val="none"/>
              </w:rPr>
              <w:t>8</w:t>
            </w:r>
          </w:p>
        </w:tc>
        <w:tc>
          <w:tcPr>
            <w:tcW w:w="1418" w:type="dxa"/>
            <w:tcBorders>
              <w:top w:val="nil"/>
              <w:left w:val="nil"/>
              <w:bottom w:val="single" w:color="auto" w:sz="4" w:space="0"/>
              <w:right w:val="single" w:color="auto" w:sz="4" w:space="0"/>
            </w:tcBorders>
            <w:noWrap/>
            <w:vAlign w:val="center"/>
          </w:tcPr>
          <w:p>
            <w:pPr>
              <w:rPr>
                <w:szCs w:val="21"/>
                <w:highlight w:val="none"/>
              </w:rPr>
            </w:pPr>
            <w:r>
              <w:rPr>
                <w:rFonts w:hint="eastAsia"/>
                <w:szCs w:val="21"/>
                <w:highlight w:val="none"/>
              </w:rPr>
              <w:t>综合布线</w:t>
            </w:r>
          </w:p>
        </w:tc>
        <w:tc>
          <w:tcPr>
            <w:tcW w:w="7881" w:type="dxa"/>
            <w:tcBorders>
              <w:top w:val="nil"/>
              <w:left w:val="nil"/>
              <w:bottom w:val="single" w:color="auto" w:sz="4" w:space="0"/>
              <w:right w:val="single" w:color="auto" w:sz="4" w:space="0"/>
            </w:tcBorders>
            <w:noWrap/>
            <w:vAlign w:val="center"/>
          </w:tcPr>
          <w:p>
            <w:pPr>
              <w:rPr>
                <w:szCs w:val="21"/>
                <w:highlight w:val="none"/>
              </w:rPr>
            </w:pPr>
            <w:r>
              <w:rPr>
                <w:rFonts w:hint="eastAsia"/>
                <w:szCs w:val="21"/>
                <w:highlight w:val="none"/>
              </w:rPr>
              <w:t>交换机网络布线、光纤接入点2个（带模块）</w:t>
            </w:r>
          </w:p>
        </w:tc>
      </w:tr>
      <w:tr>
        <w:tblPrEx>
          <w:tblLayout w:type="fixed"/>
          <w:tblCellMar>
            <w:top w:w="0" w:type="dxa"/>
            <w:left w:w="108" w:type="dxa"/>
            <w:bottom w:w="0" w:type="dxa"/>
            <w:right w:w="108" w:type="dxa"/>
          </w:tblCellMar>
        </w:tblPrEx>
        <w:trPr>
          <w:trHeight w:val="20" w:hRule="atLeast"/>
          <w:jc w:val="center"/>
        </w:trPr>
        <w:tc>
          <w:tcPr>
            <w:tcW w:w="9974" w:type="dxa"/>
            <w:gridSpan w:val="3"/>
            <w:tcBorders>
              <w:top w:val="single" w:color="auto" w:sz="4" w:space="0"/>
              <w:left w:val="single" w:color="auto" w:sz="4" w:space="0"/>
              <w:bottom w:val="single" w:color="auto" w:sz="4" w:space="0"/>
              <w:right w:val="single" w:color="auto" w:sz="4" w:space="0"/>
            </w:tcBorders>
            <w:noWrap/>
            <w:vAlign w:val="center"/>
          </w:tcPr>
          <w:p>
            <w:pPr>
              <w:autoSpaceDN w:val="0"/>
              <w:jc w:val="center"/>
              <w:rPr>
                <w:b/>
                <w:szCs w:val="21"/>
                <w:highlight w:val="none"/>
              </w:rPr>
            </w:pPr>
            <w:r>
              <w:rPr>
                <w:rFonts w:hint="eastAsia"/>
                <w:b/>
                <w:szCs w:val="21"/>
                <w:highlight w:val="none"/>
              </w:rPr>
              <w:t>二、办公设备</w:t>
            </w:r>
          </w:p>
        </w:tc>
      </w:tr>
      <w:tr>
        <w:tblPrEx>
          <w:tblLayout w:type="fixed"/>
          <w:tblCellMar>
            <w:top w:w="0" w:type="dxa"/>
            <w:left w:w="108" w:type="dxa"/>
            <w:bottom w:w="0" w:type="dxa"/>
            <w:right w:w="108" w:type="dxa"/>
          </w:tblCellMar>
        </w:tblPrEx>
        <w:trPr>
          <w:trHeight w:val="20" w:hRule="atLeast"/>
          <w:jc w:val="center"/>
        </w:trPr>
        <w:tc>
          <w:tcPr>
            <w:tcW w:w="675" w:type="dxa"/>
            <w:tcBorders>
              <w:top w:val="single" w:color="auto" w:sz="4" w:space="0"/>
              <w:left w:val="single" w:color="auto" w:sz="4" w:space="0"/>
              <w:bottom w:val="single" w:color="auto" w:sz="4" w:space="0"/>
              <w:right w:val="single" w:color="auto" w:sz="4" w:space="0"/>
            </w:tcBorders>
            <w:noWrap/>
            <w:vAlign w:val="center"/>
          </w:tcPr>
          <w:p>
            <w:pPr>
              <w:autoSpaceDN w:val="0"/>
              <w:jc w:val="center"/>
              <w:rPr>
                <w:szCs w:val="21"/>
                <w:highlight w:val="none"/>
              </w:rPr>
            </w:pPr>
            <w:r>
              <w:rPr>
                <w:rFonts w:hint="eastAsia"/>
                <w:szCs w:val="21"/>
                <w:highlight w:val="none"/>
              </w:rPr>
              <w:t>1</w:t>
            </w:r>
          </w:p>
        </w:tc>
        <w:tc>
          <w:tcPr>
            <w:tcW w:w="1418" w:type="dxa"/>
            <w:tcBorders>
              <w:top w:val="single" w:color="auto" w:sz="4" w:space="0"/>
              <w:left w:val="nil"/>
              <w:bottom w:val="single" w:color="auto" w:sz="4" w:space="0"/>
              <w:right w:val="single" w:color="auto" w:sz="4" w:space="0"/>
            </w:tcBorders>
            <w:noWrap/>
            <w:vAlign w:val="center"/>
          </w:tcPr>
          <w:p>
            <w:pPr>
              <w:jc w:val="center"/>
              <w:rPr>
                <w:szCs w:val="21"/>
                <w:highlight w:val="none"/>
              </w:rPr>
            </w:pPr>
            <w:r>
              <w:rPr>
                <w:rFonts w:hint="eastAsia"/>
                <w:szCs w:val="21"/>
                <w:highlight w:val="none"/>
              </w:rPr>
              <w:t>平板电脑</w:t>
            </w:r>
          </w:p>
        </w:tc>
        <w:tc>
          <w:tcPr>
            <w:tcW w:w="7881" w:type="dxa"/>
            <w:tcBorders>
              <w:top w:val="single" w:color="auto" w:sz="4" w:space="0"/>
              <w:left w:val="nil"/>
              <w:bottom w:val="single" w:color="auto" w:sz="4" w:space="0"/>
              <w:right w:val="single" w:color="auto" w:sz="4" w:space="0"/>
            </w:tcBorders>
            <w:noWrap/>
          </w:tcPr>
          <w:p>
            <w:pPr>
              <w:rPr>
                <w:szCs w:val="21"/>
                <w:highlight w:val="none"/>
              </w:rPr>
            </w:pPr>
            <w:r>
              <w:rPr>
                <w:rFonts w:hint="eastAsia"/>
                <w:szCs w:val="21"/>
                <w:highlight w:val="none"/>
              </w:rPr>
              <w:t>材质/工艺：金属机身</w:t>
            </w:r>
            <w:r>
              <w:rPr>
                <w:rFonts w:hint="eastAsia"/>
                <w:szCs w:val="21"/>
                <w:highlight w:val="none"/>
              </w:rPr>
              <w:br w:type="textWrapping"/>
            </w:r>
            <w:r>
              <w:rPr>
                <w:rFonts w:hint="eastAsia"/>
                <w:szCs w:val="21"/>
                <w:highlight w:val="none"/>
              </w:rPr>
              <w:t>操作系统：Android 9.0</w:t>
            </w:r>
            <w:r>
              <w:rPr>
                <w:rFonts w:hint="eastAsia"/>
                <w:szCs w:val="21"/>
                <w:highlight w:val="none"/>
              </w:rPr>
              <w:br w:type="textWrapping"/>
            </w:r>
            <w:r>
              <w:rPr>
                <w:rFonts w:hint="eastAsia"/>
                <w:szCs w:val="21"/>
                <w:highlight w:val="none"/>
              </w:rPr>
              <w:t>网络连接：WiFi版</w:t>
            </w:r>
            <w:r>
              <w:rPr>
                <w:rFonts w:hint="eastAsia"/>
                <w:szCs w:val="21"/>
                <w:highlight w:val="none"/>
              </w:rPr>
              <w:br w:type="textWrapping"/>
            </w:r>
            <w:r>
              <w:rPr>
                <w:rFonts w:hint="eastAsia"/>
                <w:szCs w:val="21"/>
                <w:highlight w:val="none"/>
              </w:rPr>
              <w:t>存储容量：≥64GB</w:t>
            </w:r>
            <w:r>
              <w:rPr>
                <w:rFonts w:hint="eastAsia"/>
                <w:szCs w:val="21"/>
                <w:highlight w:val="none"/>
              </w:rPr>
              <w:br w:type="textWrapping"/>
            </w:r>
            <w:r>
              <w:rPr>
                <w:rFonts w:hint="eastAsia"/>
                <w:szCs w:val="21"/>
                <w:highlight w:val="none"/>
              </w:rPr>
              <w:t>处理器：</w:t>
            </w:r>
            <w:r>
              <w:rPr>
                <w:szCs w:val="21"/>
                <w:highlight w:val="none"/>
              </w:rPr>
              <w:t>SDM660</w:t>
            </w:r>
            <w:r>
              <w:rPr>
                <w:rFonts w:hint="eastAsia"/>
                <w:szCs w:val="21"/>
                <w:highlight w:val="none"/>
              </w:rPr>
              <w:br w:type="textWrapping"/>
            </w:r>
            <w:r>
              <w:rPr>
                <w:rFonts w:hint="eastAsia"/>
                <w:szCs w:val="21"/>
                <w:highlight w:val="none"/>
              </w:rPr>
              <w:t>核心数量：八核</w:t>
            </w:r>
            <w:r>
              <w:rPr>
                <w:rFonts w:hint="eastAsia"/>
                <w:szCs w:val="21"/>
                <w:highlight w:val="none"/>
              </w:rPr>
              <w:br w:type="textWrapping"/>
            </w:r>
            <w:r>
              <w:rPr>
                <w:rFonts w:hint="eastAsia"/>
                <w:szCs w:val="21"/>
                <w:highlight w:val="none"/>
              </w:rPr>
              <w:t>系统内存：4GB</w:t>
            </w:r>
            <w:r>
              <w:rPr>
                <w:rFonts w:hint="eastAsia"/>
                <w:szCs w:val="21"/>
                <w:highlight w:val="none"/>
              </w:rPr>
              <w:br w:type="textWrapping"/>
            </w:r>
            <w:r>
              <w:rPr>
                <w:rFonts w:hint="eastAsia"/>
                <w:szCs w:val="21"/>
                <w:highlight w:val="none"/>
              </w:rPr>
              <w:t>扩展支持：Micro SD</w:t>
            </w:r>
            <w:r>
              <w:rPr>
                <w:rFonts w:hint="eastAsia"/>
                <w:szCs w:val="21"/>
                <w:highlight w:val="none"/>
              </w:rPr>
              <w:br w:type="textWrapping"/>
            </w:r>
            <w:r>
              <w:rPr>
                <w:rFonts w:hint="eastAsia"/>
                <w:szCs w:val="21"/>
                <w:highlight w:val="none"/>
              </w:rPr>
              <w:t>可扩展容量：≥512GB</w:t>
            </w:r>
            <w:r>
              <w:rPr>
                <w:rFonts w:hint="eastAsia"/>
                <w:szCs w:val="21"/>
                <w:highlight w:val="none"/>
              </w:rPr>
              <w:br w:type="textWrapping"/>
            </w:r>
            <w:r>
              <w:rPr>
                <w:rFonts w:hint="eastAsia"/>
                <w:szCs w:val="21"/>
                <w:highlight w:val="none"/>
              </w:rPr>
              <w:t>屏幕尺寸：8英寸</w:t>
            </w:r>
            <w:r>
              <w:rPr>
                <w:rFonts w:hint="eastAsia"/>
                <w:szCs w:val="21"/>
                <w:highlight w:val="none"/>
              </w:rPr>
              <w:br w:type="textWrapping"/>
            </w:r>
            <w:r>
              <w:rPr>
                <w:rFonts w:hint="eastAsia"/>
                <w:szCs w:val="21"/>
                <w:highlight w:val="none"/>
              </w:rPr>
              <w:t>屏幕分辨率：≥1920x1200</w:t>
            </w:r>
            <w:r>
              <w:rPr>
                <w:rFonts w:hint="eastAsia"/>
                <w:szCs w:val="21"/>
                <w:highlight w:val="none"/>
              </w:rPr>
              <w:br w:type="textWrapping"/>
            </w:r>
            <w:r>
              <w:rPr>
                <w:rFonts w:hint="eastAsia"/>
                <w:szCs w:val="21"/>
                <w:highlight w:val="none"/>
              </w:rPr>
              <w:t>屏幕比例：16:10</w:t>
            </w:r>
            <w:r>
              <w:rPr>
                <w:rFonts w:hint="eastAsia"/>
                <w:szCs w:val="21"/>
                <w:highlight w:val="none"/>
              </w:rPr>
              <w:br w:type="textWrapping"/>
            </w:r>
            <w:r>
              <w:rPr>
                <w:rFonts w:hint="eastAsia"/>
                <w:szCs w:val="21"/>
                <w:highlight w:val="none"/>
              </w:rPr>
              <w:t>连接：WiFi功能  另加配：≥64G Sd卡</w:t>
            </w:r>
          </w:p>
        </w:tc>
      </w:tr>
      <w:tr>
        <w:tblPrEx>
          <w:tblLayout w:type="fixed"/>
          <w:tblCellMar>
            <w:top w:w="0" w:type="dxa"/>
            <w:left w:w="108" w:type="dxa"/>
            <w:bottom w:w="0" w:type="dxa"/>
            <w:right w:w="108" w:type="dxa"/>
          </w:tblCellMar>
        </w:tblPrEx>
        <w:trPr>
          <w:trHeight w:val="20" w:hRule="atLeast"/>
          <w:jc w:val="center"/>
        </w:trPr>
        <w:tc>
          <w:tcPr>
            <w:tcW w:w="675" w:type="dxa"/>
            <w:tcBorders>
              <w:top w:val="single" w:color="auto" w:sz="4" w:space="0"/>
              <w:left w:val="single" w:color="auto" w:sz="4" w:space="0"/>
              <w:bottom w:val="single" w:color="auto" w:sz="4" w:space="0"/>
              <w:right w:val="single" w:color="auto" w:sz="4" w:space="0"/>
            </w:tcBorders>
            <w:noWrap/>
            <w:vAlign w:val="center"/>
          </w:tcPr>
          <w:p>
            <w:pPr>
              <w:jc w:val="center"/>
              <w:rPr>
                <w:szCs w:val="21"/>
                <w:highlight w:val="none"/>
              </w:rPr>
            </w:pPr>
            <w:r>
              <w:rPr>
                <w:rFonts w:hint="eastAsia"/>
                <w:szCs w:val="21"/>
                <w:highlight w:val="none"/>
              </w:rPr>
              <w:t>2</w:t>
            </w:r>
          </w:p>
          <w:p>
            <w:pPr>
              <w:jc w:val="center"/>
              <w:rPr>
                <w:szCs w:val="21"/>
                <w:highlight w:val="none"/>
              </w:rPr>
            </w:pPr>
          </w:p>
        </w:tc>
        <w:tc>
          <w:tcPr>
            <w:tcW w:w="1418" w:type="dxa"/>
            <w:tcBorders>
              <w:top w:val="single" w:color="auto" w:sz="4" w:space="0"/>
              <w:left w:val="nil"/>
              <w:bottom w:val="single" w:color="auto" w:sz="4" w:space="0"/>
              <w:right w:val="single" w:color="auto" w:sz="4" w:space="0"/>
            </w:tcBorders>
            <w:noWrap/>
            <w:vAlign w:val="center"/>
          </w:tcPr>
          <w:p>
            <w:pPr>
              <w:rPr>
                <w:szCs w:val="21"/>
                <w:highlight w:val="none"/>
              </w:rPr>
            </w:pPr>
            <w:r>
              <w:rPr>
                <w:rFonts w:hint="eastAsia"/>
                <w:szCs w:val="21"/>
                <w:highlight w:val="none"/>
              </w:rPr>
              <w:t>移动授课系统</w:t>
            </w:r>
          </w:p>
        </w:tc>
        <w:tc>
          <w:tcPr>
            <w:tcW w:w="7881" w:type="dxa"/>
            <w:tcBorders>
              <w:top w:val="single" w:color="auto" w:sz="4" w:space="0"/>
              <w:left w:val="nil"/>
              <w:bottom w:val="single" w:color="auto" w:sz="4" w:space="0"/>
              <w:right w:val="single" w:color="auto" w:sz="4" w:space="0"/>
            </w:tcBorders>
            <w:noWrap/>
            <w:vAlign w:val="center"/>
          </w:tcPr>
          <w:p>
            <w:pPr>
              <w:rPr>
                <w:szCs w:val="21"/>
                <w:highlight w:val="none"/>
              </w:rPr>
            </w:pPr>
            <w:r>
              <w:rPr>
                <w:rFonts w:hint="eastAsia"/>
                <w:szCs w:val="21"/>
                <w:highlight w:val="none"/>
              </w:rPr>
              <w:t>具体参数要求详见 “附件2：移动授课系统参数要求”</w:t>
            </w:r>
          </w:p>
        </w:tc>
      </w:tr>
      <w:tr>
        <w:tblPrEx>
          <w:tblLayout w:type="fixed"/>
          <w:tblCellMar>
            <w:top w:w="0" w:type="dxa"/>
            <w:left w:w="108" w:type="dxa"/>
            <w:bottom w:w="0" w:type="dxa"/>
            <w:right w:w="108" w:type="dxa"/>
          </w:tblCellMar>
        </w:tblPrEx>
        <w:trPr>
          <w:trHeight w:val="20" w:hRule="atLeast"/>
          <w:jc w:val="center"/>
        </w:trPr>
        <w:tc>
          <w:tcPr>
            <w:tcW w:w="675" w:type="dxa"/>
            <w:tcBorders>
              <w:top w:val="single" w:color="auto" w:sz="4" w:space="0"/>
              <w:left w:val="single" w:color="auto" w:sz="4" w:space="0"/>
              <w:bottom w:val="single" w:color="auto" w:sz="4" w:space="0"/>
              <w:right w:val="single" w:color="auto" w:sz="4" w:space="0"/>
            </w:tcBorders>
            <w:noWrap/>
            <w:vAlign w:val="center"/>
          </w:tcPr>
          <w:p>
            <w:pPr>
              <w:autoSpaceDN w:val="0"/>
              <w:jc w:val="center"/>
              <w:rPr>
                <w:szCs w:val="21"/>
                <w:highlight w:val="none"/>
              </w:rPr>
            </w:pPr>
            <w:r>
              <w:rPr>
                <w:rFonts w:hint="eastAsia"/>
                <w:szCs w:val="21"/>
                <w:highlight w:val="none"/>
              </w:rPr>
              <w:t>3</w:t>
            </w:r>
          </w:p>
        </w:tc>
        <w:tc>
          <w:tcPr>
            <w:tcW w:w="1418" w:type="dxa"/>
            <w:tcBorders>
              <w:top w:val="single" w:color="auto" w:sz="4" w:space="0"/>
              <w:left w:val="nil"/>
              <w:bottom w:val="single" w:color="auto" w:sz="4" w:space="0"/>
              <w:right w:val="single" w:color="auto" w:sz="4" w:space="0"/>
            </w:tcBorders>
            <w:noWrap/>
            <w:vAlign w:val="center"/>
          </w:tcPr>
          <w:p>
            <w:pPr>
              <w:autoSpaceDN w:val="0"/>
              <w:rPr>
                <w:szCs w:val="21"/>
                <w:highlight w:val="none"/>
              </w:rPr>
            </w:pPr>
            <w:r>
              <w:rPr>
                <w:rFonts w:hint="eastAsia"/>
                <w:szCs w:val="21"/>
                <w:highlight w:val="none"/>
              </w:rPr>
              <w:t>教师用电脑</w:t>
            </w:r>
          </w:p>
        </w:tc>
        <w:tc>
          <w:tcPr>
            <w:tcW w:w="7881" w:type="dxa"/>
            <w:tcBorders>
              <w:top w:val="single" w:color="auto" w:sz="4" w:space="0"/>
              <w:left w:val="nil"/>
              <w:bottom w:val="single" w:color="auto" w:sz="4" w:space="0"/>
              <w:right w:val="single" w:color="auto" w:sz="4" w:space="0"/>
            </w:tcBorders>
            <w:noWrap/>
          </w:tcPr>
          <w:p>
            <w:pPr>
              <w:rPr>
                <w:szCs w:val="21"/>
                <w:highlight w:val="none"/>
              </w:rPr>
            </w:pPr>
            <w:r>
              <w:rPr>
                <w:rFonts w:hint="eastAsia"/>
                <w:szCs w:val="21"/>
                <w:highlight w:val="none"/>
              </w:rPr>
              <w:t>i5cpu/8G DDR4/128G ssd+1TB硬盘/23寸液晶显示器/刻录机/高清视频接口和连接线/全部配件原厂/原厂三年上门质保</w:t>
            </w:r>
          </w:p>
        </w:tc>
      </w:tr>
      <w:tr>
        <w:tblPrEx>
          <w:tblLayout w:type="fixed"/>
          <w:tblCellMar>
            <w:top w:w="0" w:type="dxa"/>
            <w:left w:w="108" w:type="dxa"/>
            <w:bottom w:w="0" w:type="dxa"/>
            <w:right w:w="108" w:type="dxa"/>
          </w:tblCellMar>
        </w:tblPrEx>
        <w:trPr>
          <w:trHeight w:val="20" w:hRule="atLeast"/>
          <w:jc w:val="center"/>
        </w:trPr>
        <w:tc>
          <w:tcPr>
            <w:tcW w:w="675" w:type="dxa"/>
            <w:tcBorders>
              <w:top w:val="single" w:color="auto" w:sz="4" w:space="0"/>
              <w:left w:val="single" w:color="auto" w:sz="4" w:space="0"/>
              <w:bottom w:val="single" w:color="auto" w:sz="4" w:space="0"/>
              <w:right w:val="single" w:color="auto" w:sz="4" w:space="0"/>
            </w:tcBorders>
            <w:noWrap/>
            <w:vAlign w:val="center"/>
          </w:tcPr>
          <w:p>
            <w:pPr>
              <w:jc w:val="center"/>
              <w:rPr>
                <w:szCs w:val="21"/>
                <w:highlight w:val="none"/>
              </w:rPr>
            </w:pPr>
            <w:r>
              <w:rPr>
                <w:rFonts w:hint="eastAsia"/>
                <w:szCs w:val="21"/>
                <w:highlight w:val="none"/>
              </w:rPr>
              <w:t>4</w:t>
            </w:r>
          </w:p>
        </w:tc>
        <w:tc>
          <w:tcPr>
            <w:tcW w:w="1418" w:type="dxa"/>
            <w:tcBorders>
              <w:top w:val="single" w:color="auto" w:sz="4" w:space="0"/>
              <w:left w:val="nil"/>
              <w:bottom w:val="single" w:color="auto" w:sz="4" w:space="0"/>
              <w:right w:val="single" w:color="auto" w:sz="4" w:space="0"/>
            </w:tcBorders>
            <w:noWrap/>
            <w:vAlign w:val="center"/>
          </w:tcPr>
          <w:p>
            <w:pPr>
              <w:rPr>
                <w:szCs w:val="21"/>
                <w:highlight w:val="none"/>
              </w:rPr>
            </w:pPr>
            <w:r>
              <w:rPr>
                <w:rFonts w:hint="eastAsia"/>
                <w:szCs w:val="21"/>
                <w:highlight w:val="none"/>
              </w:rPr>
              <w:t>学生用笔记本</w:t>
            </w:r>
          </w:p>
        </w:tc>
        <w:tc>
          <w:tcPr>
            <w:tcW w:w="7881" w:type="dxa"/>
            <w:tcBorders>
              <w:top w:val="single" w:color="auto" w:sz="4" w:space="0"/>
              <w:left w:val="nil"/>
              <w:bottom w:val="single" w:color="auto" w:sz="4" w:space="0"/>
              <w:right w:val="single" w:color="auto" w:sz="4" w:space="0"/>
            </w:tcBorders>
            <w:noWrap/>
          </w:tcPr>
          <w:p>
            <w:pPr>
              <w:rPr>
                <w:szCs w:val="21"/>
                <w:highlight w:val="none"/>
              </w:rPr>
            </w:pPr>
            <w:r>
              <w:rPr>
                <w:rFonts w:hint="eastAsia"/>
                <w:szCs w:val="21"/>
                <w:highlight w:val="none"/>
              </w:rPr>
              <w:t>i5cpu/8G DDR4/128G ssd/14寸液晶屏/全部配件原厂/原厂三年上门质保</w:t>
            </w:r>
          </w:p>
        </w:tc>
      </w:tr>
      <w:tr>
        <w:tblPrEx>
          <w:tblLayout w:type="fixed"/>
          <w:tblCellMar>
            <w:top w:w="0" w:type="dxa"/>
            <w:left w:w="108" w:type="dxa"/>
            <w:bottom w:w="0" w:type="dxa"/>
            <w:right w:w="108" w:type="dxa"/>
          </w:tblCellMar>
        </w:tblPrEx>
        <w:trPr>
          <w:trHeight w:val="20" w:hRule="atLeast"/>
          <w:jc w:val="center"/>
        </w:trPr>
        <w:tc>
          <w:tcPr>
            <w:tcW w:w="675" w:type="dxa"/>
            <w:tcBorders>
              <w:top w:val="single" w:color="auto" w:sz="4" w:space="0"/>
              <w:left w:val="single" w:color="auto" w:sz="4" w:space="0"/>
              <w:bottom w:val="single" w:color="auto" w:sz="4" w:space="0"/>
              <w:right w:val="single" w:color="auto" w:sz="4" w:space="0"/>
            </w:tcBorders>
            <w:noWrap/>
            <w:vAlign w:val="center"/>
          </w:tcPr>
          <w:p>
            <w:pPr>
              <w:jc w:val="center"/>
              <w:rPr>
                <w:szCs w:val="21"/>
                <w:highlight w:val="none"/>
              </w:rPr>
            </w:pPr>
            <w:r>
              <w:rPr>
                <w:rFonts w:hint="eastAsia"/>
                <w:szCs w:val="21"/>
                <w:highlight w:val="none"/>
              </w:rPr>
              <w:t>5</w:t>
            </w:r>
          </w:p>
          <w:p>
            <w:pPr>
              <w:jc w:val="center"/>
              <w:rPr>
                <w:szCs w:val="21"/>
                <w:highlight w:val="none"/>
              </w:rPr>
            </w:pPr>
          </w:p>
        </w:tc>
        <w:tc>
          <w:tcPr>
            <w:tcW w:w="1418" w:type="dxa"/>
            <w:tcBorders>
              <w:top w:val="single" w:color="auto" w:sz="4" w:space="0"/>
              <w:left w:val="nil"/>
              <w:bottom w:val="single" w:color="auto" w:sz="4" w:space="0"/>
              <w:right w:val="single" w:color="auto" w:sz="4" w:space="0"/>
            </w:tcBorders>
            <w:noWrap/>
            <w:vAlign w:val="center"/>
          </w:tcPr>
          <w:p>
            <w:pPr>
              <w:rPr>
                <w:szCs w:val="21"/>
                <w:highlight w:val="none"/>
              </w:rPr>
            </w:pPr>
            <w:r>
              <w:rPr>
                <w:rFonts w:hint="eastAsia"/>
                <w:szCs w:val="21"/>
                <w:highlight w:val="none"/>
              </w:rPr>
              <w:t>复印机</w:t>
            </w:r>
          </w:p>
        </w:tc>
        <w:tc>
          <w:tcPr>
            <w:tcW w:w="7881" w:type="dxa"/>
            <w:tcBorders>
              <w:top w:val="single" w:color="auto" w:sz="4" w:space="0"/>
              <w:left w:val="nil"/>
              <w:bottom w:val="single" w:color="auto" w:sz="4" w:space="0"/>
              <w:right w:val="single" w:color="auto" w:sz="4" w:space="0"/>
            </w:tcBorders>
            <w:noWrap/>
            <w:vAlign w:val="center"/>
          </w:tcPr>
          <w:p>
            <w:pPr>
              <w:tabs>
                <w:tab w:val="left" w:pos="1266"/>
                <w:tab w:val="clear" w:pos="426"/>
              </w:tabs>
              <w:jc w:val="left"/>
              <w:rPr>
                <w:szCs w:val="21"/>
                <w:highlight w:val="none"/>
              </w:rPr>
            </w:pPr>
            <w:r>
              <w:rPr>
                <w:rFonts w:hint="eastAsia"/>
                <w:szCs w:val="21"/>
                <w:highlight w:val="none"/>
              </w:rPr>
              <w:t>1.速度：≥100页/分钟(600dpi模式下)</w:t>
            </w:r>
          </w:p>
          <w:p>
            <w:pPr>
              <w:tabs>
                <w:tab w:val="left" w:pos="1266"/>
                <w:tab w:val="clear" w:pos="426"/>
              </w:tabs>
              <w:jc w:val="left"/>
              <w:rPr>
                <w:szCs w:val="21"/>
                <w:highlight w:val="none"/>
              </w:rPr>
            </w:pPr>
            <w:r>
              <w:rPr>
                <w:rFonts w:hint="eastAsia"/>
                <w:szCs w:val="21"/>
                <w:highlight w:val="none"/>
              </w:rPr>
              <w:t>2、功能：自动双面打印、自动双面复印、彩色网络扫描、边钉、角钉、鞍式装订</w:t>
            </w:r>
          </w:p>
          <w:p>
            <w:pPr>
              <w:tabs>
                <w:tab w:val="left" w:pos="1266"/>
                <w:tab w:val="clear" w:pos="426"/>
              </w:tabs>
              <w:jc w:val="left"/>
              <w:rPr>
                <w:szCs w:val="21"/>
                <w:highlight w:val="none"/>
              </w:rPr>
            </w:pPr>
            <w:r>
              <w:rPr>
                <w:rFonts w:hint="eastAsia"/>
                <w:szCs w:val="21"/>
                <w:highlight w:val="none"/>
              </w:rPr>
              <w:t>3、标配高速双面同时扫描输稿器，送稿器纸张容量≥150张</w:t>
            </w:r>
          </w:p>
          <w:p>
            <w:pPr>
              <w:tabs>
                <w:tab w:val="left" w:pos="1266"/>
                <w:tab w:val="clear" w:pos="426"/>
              </w:tabs>
              <w:jc w:val="left"/>
              <w:rPr>
                <w:szCs w:val="21"/>
                <w:highlight w:val="none"/>
              </w:rPr>
            </w:pPr>
            <w:r>
              <w:rPr>
                <w:rFonts w:hint="eastAsia"/>
                <w:szCs w:val="21"/>
                <w:highlight w:val="none"/>
              </w:rPr>
              <w:t>4、液晶显示屏：≥9英寸彩色触摸屏</w:t>
            </w:r>
          </w:p>
          <w:p>
            <w:pPr>
              <w:tabs>
                <w:tab w:val="left" w:pos="1266"/>
                <w:tab w:val="clear" w:pos="426"/>
              </w:tabs>
              <w:jc w:val="left"/>
              <w:rPr>
                <w:szCs w:val="21"/>
                <w:highlight w:val="none"/>
              </w:rPr>
            </w:pPr>
            <w:r>
              <w:rPr>
                <w:rFonts w:hint="eastAsia"/>
                <w:szCs w:val="21"/>
                <w:highlight w:val="none"/>
              </w:rPr>
              <w:t>5、纸盒容量：标配容量≥2350页，最大可支持5350页</w:t>
            </w:r>
          </w:p>
          <w:p>
            <w:pPr>
              <w:tabs>
                <w:tab w:val="left" w:pos="1266"/>
                <w:tab w:val="clear" w:pos="426"/>
              </w:tabs>
              <w:jc w:val="left"/>
              <w:rPr>
                <w:szCs w:val="21"/>
                <w:highlight w:val="none"/>
              </w:rPr>
            </w:pPr>
            <w:r>
              <w:rPr>
                <w:rFonts w:hint="eastAsia"/>
                <w:szCs w:val="21"/>
                <w:highlight w:val="none"/>
              </w:rPr>
              <w:t>6、标配3G内存、320GB硬盘以上</w:t>
            </w:r>
          </w:p>
          <w:p>
            <w:pPr>
              <w:tabs>
                <w:tab w:val="left" w:pos="1266"/>
                <w:tab w:val="clear" w:pos="426"/>
              </w:tabs>
              <w:jc w:val="left"/>
              <w:rPr>
                <w:szCs w:val="21"/>
                <w:highlight w:val="none"/>
              </w:rPr>
            </w:pPr>
            <w:r>
              <w:rPr>
                <w:rFonts w:hint="eastAsia"/>
                <w:szCs w:val="21"/>
                <w:highlight w:val="none"/>
              </w:rPr>
              <w:t>7、打印分辨率：600*2400dpi级以上</w:t>
            </w:r>
          </w:p>
          <w:p>
            <w:pPr>
              <w:rPr>
                <w:szCs w:val="21"/>
                <w:highlight w:val="none"/>
              </w:rPr>
            </w:pPr>
            <w:r>
              <w:rPr>
                <w:rFonts w:hint="eastAsia"/>
                <w:szCs w:val="21"/>
                <w:highlight w:val="none"/>
              </w:rPr>
              <w:t>8、接口：</w:t>
            </w:r>
            <w:r>
              <w:rPr>
                <w:szCs w:val="21"/>
                <w:highlight w:val="none"/>
              </w:rPr>
              <w:t>SuperSpeed USB 3.0</w:t>
            </w:r>
            <w:r>
              <w:rPr>
                <w:rFonts w:hint="eastAsia"/>
                <w:szCs w:val="21"/>
                <w:highlight w:val="none"/>
              </w:rPr>
              <w:t>、</w:t>
            </w:r>
            <w:r>
              <w:rPr>
                <w:szCs w:val="21"/>
                <w:highlight w:val="none"/>
              </w:rPr>
              <w:t>Wireless 6</w:t>
            </w:r>
            <w:r>
              <w:rPr>
                <w:rFonts w:hint="eastAsia"/>
                <w:szCs w:val="21"/>
                <w:highlight w:val="none"/>
              </w:rPr>
              <w:t>、</w:t>
            </w:r>
            <w:r>
              <w:rPr>
                <w:szCs w:val="21"/>
                <w:highlight w:val="none"/>
              </w:rPr>
              <w:t>Wi-Fi Direct ®6</w:t>
            </w:r>
            <w:r>
              <w:rPr>
                <w:rFonts w:hint="eastAsia"/>
                <w:szCs w:val="21"/>
                <w:highlight w:val="none"/>
              </w:rPr>
              <w:t>、</w:t>
            </w:r>
            <w:r>
              <w:rPr>
                <w:szCs w:val="21"/>
                <w:highlight w:val="none"/>
              </w:rPr>
              <w:t>Ethernet — 1000Base-T/100Base-TX/10Base-T</w:t>
            </w:r>
            <w:r>
              <w:rPr>
                <w:rFonts w:hint="eastAsia"/>
                <w:szCs w:val="21"/>
                <w:highlight w:val="none"/>
              </w:rPr>
              <w:t>、</w:t>
            </w:r>
            <w:r>
              <w:rPr>
                <w:szCs w:val="21"/>
                <w:highlight w:val="none"/>
              </w:rPr>
              <w:t>NFC 8</w:t>
            </w:r>
            <w:r>
              <w:rPr>
                <w:rFonts w:hint="eastAsia"/>
                <w:szCs w:val="21"/>
                <w:highlight w:val="none"/>
              </w:rPr>
              <w:t>5</w:t>
            </w:r>
          </w:p>
          <w:p>
            <w:pPr>
              <w:rPr>
                <w:szCs w:val="21"/>
                <w:highlight w:val="none"/>
              </w:rPr>
            </w:pPr>
            <w:r>
              <w:rPr>
                <w:rFonts w:hint="eastAsia"/>
                <w:szCs w:val="21"/>
                <w:highlight w:val="none"/>
              </w:rPr>
              <w:t>9、扫描参数：扫描至PC、E-mail、FTP服务器、USB。</w:t>
            </w:r>
          </w:p>
          <w:p>
            <w:pPr>
              <w:rPr>
                <w:szCs w:val="21"/>
                <w:highlight w:val="none"/>
              </w:rPr>
            </w:pPr>
            <w:r>
              <w:rPr>
                <w:rFonts w:hint="eastAsia"/>
                <w:szCs w:val="21"/>
                <w:highlight w:val="none"/>
              </w:rPr>
              <w:t>10、最大复印份数：9999张</w:t>
            </w:r>
          </w:p>
          <w:p>
            <w:pPr>
              <w:rPr>
                <w:szCs w:val="21"/>
                <w:highlight w:val="none"/>
              </w:rPr>
            </w:pPr>
            <w:r>
              <w:rPr>
                <w:rFonts w:hint="eastAsia"/>
                <w:szCs w:val="21"/>
                <w:highlight w:val="none"/>
              </w:rPr>
              <w:t>11.装订系统:可实现边钉、角钉、小册子装订（≥25张，80g/㎡），鞍式装订生产速度≥2000份/小时（A4-80g/㎡，10页）。</w:t>
            </w:r>
          </w:p>
          <w:p>
            <w:pPr>
              <w:rPr>
                <w:szCs w:val="21"/>
                <w:highlight w:val="none"/>
              </w:rPr>
            </w:pPr>
            <w:r>
              <w:rPr>
                <w:rFonts w:hint="eastAsia"/>
                <w:szCs w:val="21"/>
                <w:highlight w:val="none"/>
              </w:rPr>
              <w:t>12.中标供应商必须提供全保服务方案，即耗材（纸张除外）、零配件、维护费用全包，按印收费方案。</w:t>
            </w:r>
          </w:p>
        </w:tc>
      </w:tr>
      <w:tr>
        <w:tblPrEx>
          <w:tblLayout w:type="fixed"/>
          <w:tblCellMar>
            <w:top w:w="0" w:type="dxa"/>
            <w:left w:w="108" w:type="dxa"/>
            <w:bottom w:w="0" w:type="dxa"/>
            <w:right w:w="108" w:type="dxa"/>
          </w:tblCellMar>
        </w:tblPrEx>
        <w:trPr>
          <w:trHeight w:val="434" w:hRule="atLeast"/>
          <w:jc w:val="center"/>
        </w:trPr>
        <w:tc>
          <w:tcPr>
            <w:tcW w:w="675" w:type="dxa"/>
            <w:tcBorders>
              <w:top w:val="single" w:color="auto" w:sz="4" w:space="0"/>
              <w:left w:val="single" w:color="auto" w:sz="4" w:space="0"/>
              <w:bottom w:val="single" w:color="auto" w:sz="4" w:space="0"/>
              <w:right w:val="single" w:color="auto" w:sz="4" w:space="0"/>
            </w:tcBorders>
            <w:noWrap/>
            <w:vAlign w:val="center"/>
          </w:tcPr>
          <w:p>
            <w:pPr>
              <w:jc w:val="center"/>
              <w:rPr>
                <w:szCs w:val="21"/>
                <w:highlight w:val="none"/>
              </w:rPr>
            </w:pPr>
            <w:r>
              <w:rPr>
                <w:rFonts w:hint="eastAsia"/>
                <w:szCs w:val="21"/>
                <w:highlight w:val="none"/>
              </w:rPr>
              <w:t>6</w:t>
            </w:r>
          </w:p>
        </w:tc>
        <w:tc>
          <w:tcPr>
            <w:tcW w:w="1418" w:type="dxa"/>
            <w:tcBorders>
              <w:top w:val="single" w:color="auto" w:sz="4" w:space="0"/>
              <w:left w:val="nil"/>
              <w:bottom w:val="single" w:color="auto" w:sz="4" w:space="0"/>
              <w:right w:val="single" w:color="auto" w:sz="4" w:space="0"/>
            </w:tcBorders>
            <w:noWrap/>
            <w:vAlign w:val="center"/>
          </w:tcPr>
          <w:p>
            <w:pPr>
              <w:rPr>
                <w:szCs w:val="21"/>
                <w:highlight w:val="none"/>
              </w:rPr>
            </w:pPr>
            <w:r>
              <w:rPr>
                <w:rFonts w:hint="eastAsia"/>
                <w:szCs w:val="21"/>
                <w:highlight w:val="none"/>
              </w:rPr>
              <w:t>速印机</w:t>
            </w:r>
          </w:p>
        </w:tc>
        <w:tc>
          <w:tcPr>
            <w:tcW w:w="7881" w:type="dxa"/>
            <w:tcBorders>
              <w:top w:val="single" w:color="auto" w:sz="4" w:space="0"/>
              <w:left w:val="nil"/>
              <w:bottom w:val="single" w:color="auto" w:sz="4" w:space="0"/>
              <w:right w:val="single" w:color="auto" w:sz="4" w:space="0"/>
            </w:tcBorders>
            <w:noWrap/>
            <w:vAlign w:val="center"/>
          </w:tcPr>
          <w:p>
            <w:pPr>
              <w:rPr>
                <w:szCs w:val="21"/>
                <w:highlight w:val="none"/>
              </w:rPr>
            </w:pPr>
            <w:r>
              <w:rPr>
                <w:rFonts w:hint="eastAsia"/>
                <w:szCs w:val="21"/>
                <w:highlight w:val="none"/>
              </w:rPr>
              <w:t>具体技术要求详见 “附件3：速印机技术要求”</w:t>
            </w:r>
          </w:p>
        </w:tc>
      </w:tr>
      <w:tr>
        <w:tblPrEx>
          <w:tblLayout w:type="fixed"/>
          <w:tblCellMar>
            <w:top w:w="0" w:type="dxa"/>
            <w:left w:w="108" w:type="dxa"/>
            <w:bottom w:w="0" w:type="dxa"/>
            <w:right w:w="108" w:type="dxa"/>
          </w:tblCellMar>
        </w:tblPrEx>
        <w:trPr>
          <w:trHeight w:val="20" w:hRule="atLeast"/>
          <w:jc w:val="center"/>
        </w:trPr>
        <w:tc>
          <w:tcPr>
            <w:tcW w:w="675" w:type="dxa"/>
            <w:tcBorders>
              <w:top w:val="single" w:color="auto" w:sz="4" w:space="0"/>
              <w:left w:val="single" w:color="auto" w:sz="4" w:space="0"/>
              <w:bottom w:val="single" w:color="auto" w:sz="4" w:space="0"/>
              <w:right w:val="single" w:color="auto" w:sz="4" w:space="0"/>
            </w:tcBorders>
            <w:noWrap/>
            <w:vAlign w:val="center"/>
          </w:tcPr>
          <w:p>
            <w:pPr>
              <w:jc w:val="center"/>
              <w:rPr>
                <w:szCs w:val="21"/>
                <w:highlight w:val="none"/>
              </w:rPr>
            </w:pPr>
            <w:r>
              <w:rPr>
                <w:rFonts w:hint="eastAsia"/>
                <w:szCs w:val="21"/>
                <w:highlight w:val="none"/>
              </w:rPr>
              <w:t>7</w:t>
            </w:r>
          </w:p>
        </w:tc>
        <w:tc>
          <w:tcPr>
            <w:tcW w:w="1418" w:type="dxa"/>
            <w:tcBorders>
              <w:top w:val="single" w:color="auto" w:sz="4" w:space="0"/>
              <w:left w:val="nil"/>
              <w:bottom w:val="single" w:color="auto" w:sz="4" w:space="0"/>
              <w:right w:val="single" w:color="auto" w:sz="4" w:space="0"/>
            </w:tcBorders>
            <w:noWrap/>
            <w:vAlign w:val="center"/>
          </w:tcPr>
          <w:p>
            <w:pPr>
              <w:rPr>
                <w:szCs w:val="21"/>
                <w:highlight w:val="none"/>
              </w:rPr>
            </w:pPr>
            <w:r>
              <w:rPr>
                <w:rFonts w:hint="eastAsia"/>
                <w:szCs w:val="21"/>
                <w:highlight w:val="none"/>
              </w:rPr>
              <w:t>单反相机</w:t>
            </w:r>
          </w:p>
        </w:tc>
        <w:tc>
          <w:tcPr>
            <w:tcW w:w="7881" w:type="dxa"/>
            <w:tcBorders>
              <w:top w:val="single" w:color="auto" w:sz="4" w:space="0"/>
              <w:left w:val="nil"/>
              <w:bottom w:val="single" w:color="auto" w:sz="4" w:space="0"/>
              <w:right w:val="single" w:color="auto" w:sz="4" w:space="0"/>
            </w:tcBorders>
            <w:noWrap/>
            <w:vAlign w:val="center"/>
          </w:tcPr>
          <w:p>
            <w:pPr>
              <w:rPr>
                <w:szCs w:val="21"/>
                <w:highlight w:val="none"/>
              </w:rPr>
            </w:pPr>
            <w:r>
              <w:rPr>
                <w:szCs w:val="21"/>
                <w:highlight w:val="none"/>
              </w:rPr>
              <w:t>EF-S 18-135mm IS USM套机 </w:t>
            </w:r>
            <w:r>
              <w:rPr>
                <w:rFonts w:hint="eastAsia"/>
                <w:szCs w:val="21"/>
                <w:highlight w:val="none"/>
              </w:rPr>
              <w:t>≥256GSD卡+三脚架+相机包</w:t>
            </w:r>
          </w:p>
        </w:tc>
      </w:tr>
      <w:tr>
        <w:tblPrEx>
          <w:tblLayout w:type="fixed"/>
          <w:tblCellMar>
            <w:top w:w="0" w:type="dxa"/>
            <w:left w:w="108" w:type="dxa"/>
            <w:bottom w:w="0" w:type="dxa"/>
            <w:right w:w="108" w:type="dxa"/>
          </w:tblCellMar>
        </w:tblPrEx>
        <w:trPr>
          <w:trHeight w:val="20" w:hRule="atLeast"/>
          <w:jc w:val="center"/>
        </w:trPr>
        <w:tc>
          <w:tcPr>
            <w:tcW w:w="675" w:type="dxa"/>
            <w:tcBorders>
              <w:top w:val="single" w:color="auto" w:sz="4" w:space="0"/>
              <w:left w:val="single" w:color="auto" w:sz="4" w:space="0"/>
              <w:bottom w:val="single" w:color="auto" w:sz="4" w:space="0"/>
              <w:right w:val="single" w:color="auto" w:sz="4" w:space="0"/>
            </w:tcBorders>
            <w:noWrap/>
            <w:vAlign w:val="center"/>
          </w:tcPr>
          <w:p>
            <w:pPr>
              <w:jc w:val="center"/>
              <w:rPr>
                <w:szCs w:val="21"/>
                <w:highlight w:val="none"/>
              </w:rPr>
            </w:pPr>
            <w:r>
              <w:rPr>
                <w:rFonts w:hint="eastAsia"/>
                <w:szCs w:val="21"/>
                <w:highlight w:val="none"/>
              </w:rPr>
              <w:t>8</w:t>
            </w:r>
          </w:p>
          <w:p>
            <w:pPr>
              <w:jc w:val="center"/>
              <w:rPr>
                <w:szCs w:val="21"/>
                <w:highlight w:val="none"/>
              </w:rPr>
            </w:pPr>
          </w:p>
        </w:tc>
        <w:tc>
          <w:tcPr>
            <w:tcW w:w="1418" w:type="dxa"/>
            <w:tcBorders>
              <w:top w:val="single" w:color="auto" w:sz="4" w:space="0"/>
              <w:left w:val="nil"/>
              <w:bottom w:val="single" w:color="auto" w:sz="4" w:space="0"/>
              <w:right w:val="single" w:color="auto" w:sz="4" w:space="0"/>
            </w:tcBorders>
            <w:noWrap/>
            <w:vAlign w:val="center"/>
          </w:tcPr>
          <w:p>
            <w:pPr>
              <w:rPr>
                <w:szCs w:val="21"/>
                <w:highlight w:val="none"/>
              </w:rPr>
            </w:pPr>
            <w:r>
              <w:rPr>
                <w:rFonts w:hint="eastAsia"/>
                <w:szCs w:val="21"/>
                <w:highlight w:val="none"/>
              </w:rPr>
              <w:t>激光黑白打印机</w:t>
            </w:r>
          </w:p>
        </w:tc>
        <w:tc>
          <w:tcPr>
            <w:tcW w:w="7881" w:type="dxa"/>
            <w:tcBorders>
              <w:top w:val="single" w:color="auto" w:sz="4" w:space="0"/>
              <w:left w:val="nil"/>
              <w:bottom w:val="single" w:color="auto" w:sz="4" w:space="0"/>
              <w:right w:val="single" w:color="auto" w:sz="4" w:space="0"/>
            </w:tcBorders>
            <w:noWrap/>
            <w:vAlign w:val="center"/>
          </w:tcPr>
          <w:p>
            <w:pPr>
              <w:rPr>
                <w:szCs w:val="21"/>
                <w:highlight w:val="none"/>
              </w:rPr>
            </w:pPr>
            <w:r>
              <w:rPr>
                <w:rFonts w:hint="eastAsia"/>
                <w:szCs w:val="21"/>
                <w:highlight w:val="none"/>
              </w:rPr>
              <w:t>打印机类型：黑白打印机</w:t>
            </w:r>
          </w:p>
          <w:p>
            <w:pPr>
              <w:rPr>
                <w:szCs w:val="21"/>
                <w:highlight w:val="none"/>
              </w:rPr>
            </w:pPr>
            <w:r>
              <w:rPr>
                <w:rFonts w:hint="eastAsia"/>
                <w:szCs w:val="21"/>
                <w:highlight w:val="none"/>
              </w:rPr>
              <w:t>最高分辨率：黑白(最佳模式)：≥1200x1200dpi；黑白(正常模式)：≥600x600dpi、HP FastRes 1200(1200dpi品质)</w:t>
            </w:r>
          </w:p>
          <w:p>
            <w:pPr>
              <w:rPr>
                <w:szCs w:val="21"/>
                <w:highlight w:val="none"/>
              </w:rPr>
            </w:pPr>
            <w:r>
              <w:rPr>
                <w:rFonts w:hint="eastAsia"/>
                <w:szCs w:val="21"/>
                <w:highlight w:val="none"/>
              </w:rPr>
              <w:t>打印负荷：≥20,000页；推荐的每月打印量≥250到2,500页</w:t>
            </w:r>
          </w:p>
          <w:p>
            <w:pPr>
              <w:rPr>
                <w:szCs w:val="21"/>
                <w:highlight w:val="none"/>
              </w:rPr>
            </w:pPr>
            <w:r>
              <w:rPr>
                <w:rFonts w:hint="eastAsia"/>
                <w:szCs w:val="21"/>
                <w:highlight w:val="none"/>
              </w:rPr>
              <w:t>打印介质：纸张(激光打印纸、普通纸、相纸、糙纸、牛皮纸)、信封、标签、卡片、明信片</w:t>
            </w:r>
          </w:p>
          <w:p>
            <w:pPr>
              <w:rPr>
                <w:szCs w:val="21"/>
                <w:highlight w:val="none"/>
              </w:rPr>
            </w:pPr>
            <w:r>
              <w:rPr>
                <w:rFonts w:hint="eastAsia"/>
                <w:szCs w:val="21"/>
                <w:highlight w:val="none"/>
              </w:rPr>
              <w:t>内存：不低于256MB</w:t>
            </w:r>
          </w:p>
        </w:tc>
      </w:tr>
      <w:tr>
        <w:tblPrEx>
          <w:tblLayout w:type="fixed"/>
          <w:tblCellMar>
            <w:top w:w="0" w:type="dxa"/>
            <w:left w:w="108" w:type="dxa"/>
            <w:bottom w:w="0" w:type="dxa"/>
            <w:right w:w="108" w:type="dxa"/>
          </w:tblCellMar>
        </w:tblPrEx>
        <w:trPr>
          <w:trHeight w:val="20" w:hRule="atLeast"/>
          <w:jc w:val="center"/>
        </w:trPr>
        <w:tc>
          <w:tcPr>
            <w:tcW w:w="675" w:type="dxa"/>
            <w:tcBorders>
              <w:top w:val="single" w:color="auto" w:sz="4" w:space="0"/>
              <w:left w:val="single" w:color="auto" w:sz="4" w:space="0"/>
              <w:bottom w:val="single" w:color="auto" w:sz="4" w:space="0"/>
              <w:right w:val="single" w:color="auto" w:sz="4" w:space="0"/>
            </w:tcBorders>
            <w:noWrap/>
            <w:vAlign w:val="center"/>
          </w:tcPr>
          <w:p>
            <w:pPr>
              <w:jc w:val="center"/>
              <w:rPr>
                <w:szCs w:val="21"/>
                <w:highlight w:val="none"/>
              </w:rPr>
            </w:pPr>
            <w:r>
              <w:rPr>
                <w:rFonts w:hint="eastAsia"/>
                <w:szCs w:val="21"/>
                <w:highlight w:val="none"/>
              </w:rPr>
              <w:t>9</w:t>
            </w:r>
          </w:p>
          <w:p>
            <w:pPr>
              <w:jc w:val="center"/>
              <w:rPr>
                <w:szCs w:val="21"/>
                <w:highlight w:val="none"/>
              </w:rPr>
            </w:pPr>
          </w:p>
        </w:tc>
        <w:tc>
          <w:tcPr>
            <w:tcW w:w="1418" w:type="dxa"/>
            <w:tcBorders>
              <w:top w:val="single" w:color="auto" w:sz="4" w:space="0"/>
              <w:left w:val="nil"/>
              <w:bottom w:val="single" w:color="auto" w:sz="4" w:space="0"/>
              <w:right w:val="single" w:color="auto" w:sz="4" w:space="0"/>
            </w:tcBorders>
            <w:noWrap/>
            <w:vAlign w:val="center"/>
          </w:tcPr>
          <w:p>
            <w:pPr>
              <w:rPr>
                <w:szCs w:val="21"/>
                <w:highlight w:val="none"/>
              </w:rPr>
            </w:pPr>
            <w:r>
              <w:rPr>
                <w:rFonts w:hint="eastAsia"/>
                <w:szCs w:val="21"/>
                <w:highlight w:val="none"/>
              </w:rPr>
              <w:t>激光彩色打印机</w:t>
            </w:r>
          </w:p>
        </w:tc>
        <w:tc>
          <w:tcPr>
            <w:tcW w:w="7881" w:type="dxa"/>
            <w:tcBorders>
              <w:top w:val="single" w:color="auto" w:sz="4" w:space="0"/>
              <w:left w:val="nil"/>
              <w:bottom w:val="single" w:color="auto" w:sz="4" w:space="0"/>
              <w:right w:val="single" w:color="auto" w:sz="4" w:space="0"/>
            </w:tcBorders>
            <w:noWrap/>
            <w:vAlign w:val="center"/>
          </w:tcPr>
          <w:p>
            <w:pPr>
              <w:rPr>
                <w:szCs w:val="21"/>
                <w:highlight w:val="none"/>
              </w:rPr>
            </w:pPr>
            <w:r>
              <w:rPr>
                <w:rFonts w:hint="eastAsia"/>
                <w:szCs w:val="21"/>
                <w:highlight w:val="none"/>
              </w:rPr>
              <w:t>最高分辨率:≥600 x 600 dpi彩色打印机</w:t>
            </w:r>
            <w:r>
              <w:rPr>
                <w:rFonts w:hint="eastAsia"/>
                <w:szCs w:val="21"/>
                <w:highlight w:val="none"/>
              </w:rPr>
              <w:br w:type="textWrapping"/>
            </w:r>
            <w:r>
              <w:rPr>
                <w:rFonts w:hint="eastAsia"/>
                <w:szCs w:val="21"/>
                <w:highlight w:val="none"/>
              </w:rPr>
              <w:t>打印速度:黑白(A4，正常模式)：≥21页/分钟彩色(A4，正常模式)：≥21页/分钟</w:t>
            </w:r>
            <w:r>
              <w:rPr>
                <w:rFonts w:hint="eastAsia"/>
                <w:szCs w:val="21"/>
                <w:highlight w:val="none"/>
              </w:rPr>
              <w:br w:type="textWrapping"/>
            </w:r>
            <w:r>
              <w:rPr>
                <w:rFonts w:hint="eastAsia"/>
                <w:szCs w:val="21"/>
                <w:highlight w:val="none"/>
              </w:rPr>
              <w:t>月打印负荷:≥40000页</w:t>
            </w:r>
            <w:r>
              <w:rPr>
                <w:rFonts w:hint="eastAsia"/>
                <w:szCs w:val="21"/>
                <w:highlight w:val="none"/>
              </w:rPr>
              <w:br w:type="textWrapping"/>
            </w:r>
            <w:r>
              <w:rPr>
                <w:rFonts w:hint="eastAsia"/>
                <w:szCs w:val="21"/>
                <w:highlight w:val="none"/>
              </w:rPr>
              <w:t>打印介质:纸张(证券纸、小册子纸、彩色纸、光面纸、重磅纸、信笺纸、轻型普通纸、照片纸、普通纸、预印纸、打孔纸、环保纸、糙面纸)，透明胶片，标签，信封，卡片纸</w:t>
            </w:r>
            <w:r>
              <w:rPr>
                <w:rFonts w:hint="eastAsia"/>
                <w:szCs w:val="21"/>
                <w:highlight w:val="none"/>
              </w:rPr>
              <w:br w:type="textWrapping"/>
            </w:r>
            <w:r>
              <w:rPr>
                <w:rFonts w:hint="eastAsia"/>
                <w:szCs w:val="21"/>
                <w:highlight w:val="none"/>
              </w:rPr>
              <w:t>内存:不低于256 MB DDR，256 MB NAND闪存</w:t>
            </w:r>
          </w:p>
        </w:tc>
      </w:tr>
      <w:tr>
        <w:tblPrEx>
          <w:tblLayout w:type="fixed"/>
          <w:tblCellMar>
            <w:top w:w="0" w:type="dxa"/>
            <w:left w:w="108" w:type="dxa"/>
            <w:bottom w:w="0" w:type="dxa"/>
            <w:right w:w="108" w:type="dxa"/>
          </w:tblCellMar>
        </w:tblPrEx>
        <w:trPr>
          <w:trHeight w:val="20" w:hRule="atLeast"/>
          <w:jc w:val="center"/>
        </w:trPr>
        <w:tc>
          <w:tcPr>
            <w:tcW w:w="9974" w:type="dxa"/>
            <w:gridSpan w:val="3"/>
            <w:tcBorders>
              <w:top w:val="single" w:color="auto" w:sz="4" w:space="0"/>
              <w:left w:val="single" w:color="auto" w:sz="4" w:space="0"/>
              <w:bottom w:val="single" w:color="auto" w:sz="4" w:space="0"/>
              <w:right w:val="single" w:color="auto" w:sz="4" w:space="0"/>
            </w:tcBorders>
            <w:noWrap/>
            <w:vAlign w:val="center"/>
          </w:tcPr>
          <w:p>
            <w:pPr>
              <w:autoSpaceDN w:val="0"/>
              <w:rPr>
                <w:b/>
                <w:szCs w:val="21"/>
                <w:highlight w:val="none"/>
              </w:rPr>
            </w:pPr>
            <w:r>
              <w:rPr>
                <w:rFonts w:hint="eastAsia"/>
                <w:b/>
                <w:szCs w:val="21"/>
                <w:highlight w:val="none"/>
              </w:rPr>
              <w:t>三、网络、监控、广播及消防系统迁移</w:t>
            </w:r>
          </w:p>
        </w:tc>
      </w:tr>
      <w:tr>
        <w:tblPrEx>
          <w:tblLayout w:type="fixed"/>
          <w:tblCellMar>
            <w:top w:w="0" w:type="dxa"/>
            <w:left w:w="108" w:type="dxa"/>
            <w:bottom w:w="0" w:type="dxa"/>
            <w:right w:w="108" w:type="dxa"/>
          </w:tblCellMar>
        </w:tblPrEx>
        <w:trPr>
          <w:trHeight w:val="20" w:hRule="atLeast"/>
          <w:jc w:val="center"/>
        </w:trPr>
        <w:tc>
          <w:tcPr>
            <w:tcW w:w="675" w:type="dxa"/>
            <w:tcBorders>
              <w:top w:val="single" w:color="auto" w:sz="4" w:space="0"/>
              <w:left w:val="single" w:color="auto" w:sz="4" w:space="0"/>
              <w:bottom w:val="single" w:color="auto" w:sz="4" w:space="0"/>
              <w:right w:val="single" w:color="auto" w:sz="4" w:space="0"/>
            </w:tcBorders>
            <w:noWrap/>
            <w:vAlign w:val="center"/>
          </w:tcPr>
          <w:p>
            <w:pPr>
              <w:jc w:val="center"/>
              <w:rPr>
                <w:szCs w:val="21"/>
                <w:highlight w:val="none"/>
              </w:rPr>
            </w:pPr>
            <w:r>
              <w:rPr>
                <w:rFonts w:hint="eastAsia"/>
                <w:szCs w:val="21"/>
                <w:highlight w:val="none"/>
              </w:rPr>
              <w:t>1</w:t>
            </w:r>
          </w:p>
        </w:tc>
        <w:tc>
          <w:tcPr>
            <w:tcW w:w="1418" w:type="dxa"/>
            <w:tcBorders>
              <w:top w:val="single" w:color="auto" w:sz="4" w:space="0"/>
              <w:left w:val="nil"/>
              <w:bottom w:val="single" w:color="auto" w:sz="4" w:space="0"/>
              <w:right w:val="single" w:color="auto" w:sz="4" w:space="0"/>
            </w:tcBorders>
            <w:noWrap/>
            <w:vAlign w:val="center"/>
          </w:tcPr>
          <w:p>
            <w:pPr>
              <w:jc w:val="center"/>
              <w:rPr>
                <w:szCs w:val="21"/>
                <w:highlight w:val="none"/>
              </w:rPr>
            </w:pPr>
            <w:r>
              <w:rPr>
                <w:rFonts w:hint="eastAsia"/>
                <w:szCs w:val="21"/>
                <w:highlight w:val="none"/>
              </w:rPr>
              <w:t>网络迁移</w:t>
            </w:r>
          </w:p>
        </w:tc>
        <w:tc>
          <w:tcPr>
            <w:tcW w:w="7881" w:type="dxa"/>
            <w:tcBorders>
              <w:top w:val="single" w:color="auto" w:sz="4" w:space="0"/>
              <w:left w:val="nil"/>
              <w:bottom w:val="single" w:color="auto" w:sz="4" w:space="0"/>
              <w:right w:val="single" w:color="auto" w:sz="4" w:space="0"/>
            </w:tcBorders>
            <w:noWrap/>
          </w:tcPr>
          <w:p>
            <w:pPr>
              <w:rPr>
                <w:szCs w:val="21"/>
                <w:highlight w:val="none"/>
              </w:rPr>
            </w:pPr>
            <w:r>
              <w:rPr>
                <w:rFonts w:hint="eastAsia"/>
                <w:szCs w:val="21"/>
                <w:highlight w:val="none"/>
              </w:rPr>
              <w:t>搬迁二期网络机房所有设备至一期机房，铠装8芯万兆光纤连接一期机房和二期各个交换机、包括勘察、开挖、地沟、填埋、网络调试、光纤模块、后期维护1年</w:t>
            </w:r>
          </w:p>
        </w:tc>
      </w:tr>
      <w:tr>
        <w:tblPrEx>
          <w:tblLayout w:type="fixed"/>
          <w:tblCellMar>
            <w:top w:w="0" w:type="dxa"/>
            <w:left w:w="108" w:type="dxa"/>
            <w:bottom w:w="0" w:type="dxa"/>
            <w:right w:w="108" w:type="dxa"/>
          </w:tblCellMar>
        </w:tblPrEx>
        <w:trPr>
          <w:trHeight w:val="20" w:hRule="atLeast"/>
          <w:jc w:val="center"/>
        </w:trPr>
        <w:tc>
          <w:tcPr>
            <w:tcW w:w="675" w:type="dxa"/>
            <w:tcBorders>
              <w:top w:val="single" w:color="auto" w:sz="4" w:space="0"/>
              <w:left w:val="single" w:color="auto" w:sz="4" w:space="0"/>
              <w:bottom w:val="single" w:color="auto" w:sz="4" w:space="0"/>
              <w:right w:val="single" w:color="auto" w:sz="4" w:space="0"/>
            </w:tcBorders>
            <w:noWrap/>
            <w:vAlign w:val="center"/>
          </w:tcPr>
          <w:p>
            <w:pPr>
              <w:jc w:val="center"/>
              <w:rPr>
                <w:szCs w:val="21"/>
                <w:highlight w:val="none"/>
              </w:rPr>
            </w:pPr>
            <w:r>
              <w:rPr>
                <w:rFonts w:hint="eastAsia"/>
                <w:szCs w:val="21"/>
                <w:highlight w:val="none"/>
              </w:rPr>
              <w:t>2</w:t>
            </w:r>
          </w:p>
        </w:tc>
        <w:tc>
          <w:tcPr>
            <w:tcW w:w="1418" w:type="dxa"/>
            <w:tcBorders>
              <w:top w:val="single" w:color="auto" w:sz="4" w:space="0"/>
              <w:left w:val="nil"/>
              <w:bottom w:val="single" w:color="auto" w:sz="4" w:space="0"/>
              <w:right w:val="single" w:color="auto" w:sz="4" w:space="0"/>
            </w:tcBorders>
            <w:noWrap/>
            <w:vAlign w:val="center"/>
          </w:tcPr>
          <w:p>
            <w:pPr>
              <w:jc w:val="center"/>
              <w:rPr>
                <w:szCs w:val="21"/>
                <w:highlight w:val="none"/>
              </w:rPr>
            </w:pPr>
            <w:r>
              <w:rPr>
                <w:rFonts w:hint="eastAsia"/>
                <w:szCs w:val="21"/>
                <w:highlight w:val="none"/>
              </w:rPr>
              <w:t>监控系统迁移</w:t>
            </w:r>
          </w:p>
        </w:tc>
        <w:tc>
          <w:tcPr>
            <w:tcW w:w="7881" w:type="dxa"/>
            <w:tcBorders>
              <w:top w:val="single" w:color="auto" w:sz="4" w:space="0"/>
              <w:left w:val="nil"/>
              <w:bottom w:val="single" w:color="auto" w:sz="4" w:space="0"/>
              <w:right w:val="single" w:color="auto" w:sz="4" w:space="0"/>
            </w:tcBorders>
            <w:noWrap/>
          </w:tcPr>
          <w:p>
            <w:pPr>
              <w:rPr>
                <w:szCs w:val="21"/>
                <w:highlight w:val="none"/>
              </w:rPr>
            </w:pPr>
            <w:r>
              <w:rPr>
                <w:rFonts w:hint="eastAsia"/>
                <w:szCs w:val="21"/>
                <w:highlight w:val="none"/>
              </w:rPr>
              <w:t>搬迁二期监控机房所有设备至一期监控室，铠装8芯万兆光纤连接一期监控机房和二期各个楼层监控交换机、包括勘察、开挖、地沟、填埋、监控调试、光纤模块、后期维护1年</w:t>
            </w:r>
          </w:p>
        </w:tc>
      </w:tr>
      <w:tr>
        <w:tblPrEx>
          <w:tblLayout w:type="fixed"/>
          <w:tblCellMar>
            <w:top w:w="0" w:type="dxa"/>
            <w:left w:w="108" w:type="dxa"/>
            <w:bottom w:w="0" w:type="dxa"/>
            <w:right w:w="108" w:type="dxa"/>
          </w:tblCellMar>
        </w:tblPrEx>
        <w:trPr>
          <w:trHeight w:val="20" w:hRule="atLeast"/>
          <w:jc w:val="center"/>
        </w:trPr>
        <w:tc>
          <w:tcPr>
            <w:tcW w:w="675" w:type="dxa"/>
            <w:tcBorders>
              <w:top w:val="single" w:color="auto" w:sz="4" w:space="0"/>
              <w:left w:val="single" w:color="auto" w:sz="4" w:space="0"/>
              <w:bottom w:val="single" w:color="auto" w:sz="4" w:space="0"/>
              <w:right w:val="single" w:color="auto" w:sz="4" w:space="0"/>
            </w:tcBorders>
            <w:noWrap/>
            <w:vAlign w:val="center"/>
          </w:tcPr>
          <w:p>
            <w:pPr>
              <w:jc w:val="center"/>
              <w:rPr>
                <w:szCs w:val="21"/>
                <w:highlight w:val="none"/>
              </w:rPr>
            </w:pPr>
            <w:r>
              <w:rPr>
                <w:rFonts w:hint="eastAsia"/>
                <w:szCs w:val="21"/>
                <w:highlight w:val="none"/>
              </w:rPr>
              <w:t>3</w:t>
            </w:r>
          </w:p>
        </w:tc>
        <w:tc>
          <w:tcPr>
            <w:tcW w:w="1418" w:type="dxa"/>
            <w:tcBorders>
              <w:top w:val="single" w:color="auto" w:sz="4" w:space="0"/>
              <w:left w:val="nil"/>
              <w:bottom w:val="single" w:color="auto" w:sz="4" w:space="0"/>
              <w:right w:val="single" w:color="auto" w:sz="4" w:space="0"/>
            </w:tcBorders>
            <w:noWrap/>
            <w:vAlign w:val="center"/>
          </w:tcPr>
          <w:p>
            <w:pPr>
              <w:jc w:val="center"/>
              <w:rPr>
                <w:szCs w:val="21"/>
                <w:highlight w:val="none"/>
              </w:rPr>
            </w:pPr>
            <w:r>
              <w:rPr>
                <w:rFonts w:hint="eastAsia"/>
                <w:szCs w:val="21"/>
                <w:highlight w:val="none"/>
              </w:rPr>
              <w:t>广播系统迁移</w:t>
            </w:r>
          </w:p>
        </w:tc>
        <w:tc>
          <w:tcPr>
            <w:tcW w:w="7881" w:type="dxa"/>
            <w:tcBorders>
              <w:top w:val="single" w:color="auto" w:sz="4" w:space="0"/>
              <w:left w:val="nil"/>
              <w:bottom w:val="single" w:color="auto" w:sz="4" w:space="0"/>
              <w:right w:val="single" w:color="auto" w:sz="4" w:space="0"/>
            </w:tcBorders>
            <w:noWrap/>
          </w:tcPr>
          <w:p>
            <w:pPr>
              <w:rPr>
                <w:szCs w:val="21"/>
                <w:highlight w:val="none"/>
              </w:rPr>
            </w:pPr>
            <w:r>
              <w:rPr>
                <w:rFonts w:hint="eastAsia"/>
                <w:szCs w:val="21"/>
                <w:highlight w:val="none"/>
              </w:rPr>
              <w:t>搬迁二期广播机房所有设备至一期广播室，铠装8芯万兆光纤连接一期广播机房和二期各个楼层广播交换机、包括勘察、开挖、地沟、填埋、广播调试、光纤模块、后期维护1年</w:t>
            </w:r>
          </w:p>
        </w:tc>
      </w:tr>
      <w:tr>
        <w:tblPrEx>
          <w:tblLayout w:type="fixed"/>
          <w:tblCellMar>
            <w:top w:w="0" w:type="dxa"/>
            <w:left w:w="108" w:type="dxa"/>
            <w:bottom w:w="0" w:type="dxa"/>
            <w:right w:w="108" w:type="dxa"/>
          </w:tblCellMar>
        </w:tblPrEx>
        <w:trPr>
          <w:trHeight w:val="20" w:hRule="atLeast"/>
          <w:jc w:val="center"/>
        </w:trPr>
        <w:tc>
          <w:tcPr>
            <w:tcW w:w="675" w:type="dxa"/>
            <w:tcBorders>
              <w:top w:val="single" w:color="auto" w:sz="4" w:space="0"/>
              <w:left w:val="single" w:color="auto" w:sz="4" w:space="0"/>
              <w:bottom w:val="single" w:color="auto" w:sz="4" w:space="0"/>
              <w:right w:val="single" w:color="auto" w:sz="4" w:space="0"/>
            </w:tcBorders>
            <w:noWrap/>
            <w:vAlign w:val="center"/>
          </w:tcPr>
          <w:p>
            <w:pPr>
              <w:jc w:val="center"/>
              <w:rPr>
                <w:szCs w:val="21"/>
                <w:highlight w:val="none"/>
              </w:rPr>
            </w:pPr>
            <w:r>
              <w:rPr>
                <w:rFonts w:hint="eastAsia"/>
                <w:szCs w:val="21"/>
                <w:highlight w:val="none"/>
              </w:rPr>
              <w:t>4</w:t>
            </w:r>
          </w:p>
        </w:tc>
        <w:tc>
          <w:tcPr>
            <w:tcW w:w="1418" w:type="dxa"/>
            <w:tcBorders>
              <w:top w:val="single" w:color="auto" w:sz="4" w:space="0"/>
              <w:left w:val="nil"/>
              <w:bottom w:val="single" w:color="auto" w:sz="4" w:space="0"/>
              <w:right w:val="single" w:color="auto" w:sz="4" w:space="0"/>
            </w:tcBorders>
            <w:noWrap/>
            <w:vAlign w:val="center"/>
          </w:tcPr>
          <w:p>
            <w:pPr>
              <w:jc w:val="center"/>
              <w:rPr>
                <w:szCs w:val="21"/>
                <w:highlight w:val="none"/>
              </w:rPr>
            </w:pPr>
            <w:r>
              <w:rPr>
                <w:rFonts w:hint="eastAsia"/>
                <w:szCs w:val="21"/>
                <w:highlight w:val="none"/>
              </w:rPr>
              <w:t>消防系统迁移</w:t>
            </w:r>
          </w:p>
        </w:tc>
        <w:tc>
          <w:tcPr>
            <w:tcW w:w="7881" w:type="dxa"/>
            <w:tcBorders>
              <w:top w:val="single" w:color="auto" w:sz="4" w:space="0"/>
              <w:left w:val="nil"/>
              <w:bottom w:val="single" w:color="auto" w:sz="4" w:space="0"/>
              <w:right w:val="single" w:color="auto" w:sz="4" w:space="0"/>
            </w:tcBorders>
            <w:noWrap/>
          </w:tcPr>
          <w:p>
            <w:pPr>
              <w:rPr>
                <w:szCs w:val="21"/>
                <w:highlight w:val="none"/>
              </w:rPr>
            </w:pPr>
            <w:r>
              <w:rPr>
                <w:rFonts w:hint="eastAsia"/>
                <w:szCs w:val="21"/>
                <w:highlight w:val="none"/>
              </w:rPr>
              <w:t>搬迁二期消防所有设备至一期监控室，电缆连接一期监控机房和二期各个楼层烟感、报警器等设备、包括勘察、开挖、地沟、填埋、消防联动调试、光纤模块、后期维护1年</w:t>
            </w:r>
          </w:p>
        </w:tc>
      </w:tr>
    </w:tbl>
    <w:p>
      <w:pPr>
        <w:pStyle w:val="4"/>
        <w:rPr>
          <w:color w:val="FF0000"/>
          <w:highlight w:val="none"/>
        </w:rPr>
      </w:pPr>
      <w:r>
        <w:rPr>
          <w:rFonts w:hint="eastAsia"/>
          <w:highlight w:val="none"/>
        </w:rPr>
        <w:t>附件1：学生电脑技术要求</w:t>
      </w:r>
    </w:p>
    <w:tbl>
      <w:tblPr>
        <w:tblStyle w:val="44"/>
        <w:tblW w:w="8588" w:type="dxa"/>
        <w:jc w:val="center"/>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017"/>
        <w:gridCol w:w="7571"/>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1017" w:type="dxa"/>
            <w:tcBorders>
              <w:top w:val="single" w:color="auto" w:sz="18" w:space="0"/>
              <w:left w:val="single" w:color="auto" w:sz="18" w:space="0"/>
              <w:bottom w:val="single" w:color="auto" w:sz="4" w:space="0"/>
              <w:right w:val="single" w:color="auto" w:sz="4" w:space="0"/>
            </w:tcBorders>
            <w:noWrap/>
            <w:vAlign w:val="center"/>
          </w:tcPr>
          <w:p>
            <w:pPr>
              <w:spacing w:line="300" w:lineRule="exact"/>
              <w:jc w:val="center"/>
              <w:rPr>
                <w:b/>
                <w:bCs/>
                <w:sz w:val="18"/>
                <w:szCs w:val="18"/>
                <w:highlight w:val="none"/>
              </w:rPr>
            </w:pPr>
            <w:r>
              <w:rPr>
                <w:rFonts w:hint="eastAsia"/>
                <w:b/>
                <w:bCs/>
                <w:sz w:val="18"/>
                <w:szCs w:val="18"/>
                <w:highlight w:val="none"/>
              </w:rPr>
              <w:t>项 目</w:t>
            </w:r>
          </w:p>
        </w:tc>
        <w:tc>
          <w:tcPr>
            <w:tcW w:w="7571" w:type="dxa"/>
            <w:tcBorders>
              <w:top w:val="single" w:color="auto" w:sz="18" w:space="0"/>
              <w:left w:val="nil"/>
              <w:bottom w:val="single" w:color="auto" w:sz="4" w:space="0"/>
              <w:right w:val="single" w:color="auto" w:sz="18" w:space="0"/>
            </w:tcBorders>
            <w:noWrap/>
            <w:vAlign w:val="center"/>
          </w:tcPr>
          <w:p>
            <w:pPr>
              <w:spacing w:line="300" w:lineRule="exact"/>
              <w:jc w:val="center"/>
              <w:rPr>
                <w:b/>
                <w:bCs/>
                <w:sz w:val="18"/>
                <w:szCs w:val="18"/>
                <w:highlight w:val="none"/>
              </w:rPr>
            </w:pPr>
            <w:r>
              <w:rPr>
                <w:rFonts w:hint="eastAsia"/>
                <w:b/>
                <w:bCs/>
                <w:sz w:val="18"/>
                <w:szCs w:val="18"/>
                <w:highlight w:val="none"/>
              </w:rPr>
              <w:t>学生电脑技术要求</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18" w:space="0"/>
              <w:left w:val="single" w:color="auto" w:sz="18" w:space="0"/>
              <w:bottom w:val="single" w:color="auto" w:sz="4" w:space="0"/>
              <w:right w:val="single" w:color="auto" w:sz="4" w:space="0"/>
            </w:tcBorders>
            <w:noWrap/>
            <w:vAlign w:val="center"/>
          </w:tcPr>
          <w:p>
            <w:pPr>
              <w:spacing w:line="300" w:lineRule="exact"/>
              <w:rPr>
                <w:sz w:val="18"/>
                <w:szCs w:val="18"/>
                <w:highlight w:val="none"/>
              </w:rPr>
            </w:pPr>
            <w:r>
              <w:rPr>
                <w:rFonts w:hint="eastAsia"/>
                <w:sz w:val="18"/>
                <w:szCs w:val="18"/>
                <w:highlight w:val="none"/>
              </w:rPr>
              <w:t>机型</w:t>
            </w:r>
          </w:p>
        </w:tc>
        <w:tc>
          <w:tcPr>
            <w:tcW w:w="7571" w:type="dxa"/>
            <w:tcBorders>
              <w:top w:val="single" w:color="auto" w:sz="18" w:space="0"/>
              <w:left w:val="nil"/>
              <w:bottom w:val="single" w:color="auto" w:sz="4" w:space="0"/>
              <w:right w:val="single" w:color="auto" w:sz="18" w:space="0"/>
            </w:tcBorders>
            <w:noWrap/>
            <w:vAlign w:val="center"/>
          </w:tcPr>
          <w:p>
            <w:pPr>
              <w:spacing w:line="300" w:lineRule="exact"/>
              <w:jc w:val="left"/>
              <w:rPr>
                <w:sz w:val="18"/>
                <w:szCs w:val="18"/>
                <w:highlight w:val="none"/>
              </w:rPr>
            </w:pPr>
            <w:r>
              <w:rPr>
                <w:rFonts w:hint="eastAsia"/>
                <w:sz w:val="18"/>
                <w:szCs w:val="18"/>
                <w:highlight w:val="none"/>
              </w:rPr>
              <w:t>台式机</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ascii="Arial" w:hAnsi="Arial" w:cs="Arial"/>
                <w:sz w:val="18"/>
                <w:szCs w:val="18"/>
                <w:highlight w:val="none"/>
              </w:rPr>
              <w:t>处理器</w:t>
            </w:r>
          </w:p>
        </w:tc>
        <w:tc>
          <w:tcPr>
            <w:tcW w:w="7571" w:type="dxa"/>
            <w:tcBorders>
              <w:top w:val="single" w:color="auto" w:sz="4" w:space="0"/>
              <w:left w:val="nil"/>
              <w:bottom w:val="single" w:color="auto" w:sz="4" w:space="0"/>
              <w:right w:val="single" w:color="auto" w:sz="18" w:space="0"/>
            </w:tcBorders>
            <w:noWrap/>
          </w:tcPr>
          <w:p>
            <w:pPr>
              <w:spacing w:line="300" w:lineRule="exact"/>
              <w:rPr>
                <w:rFonts w:ascii="Arial" w:hAnsi="Arial" w:cs="Arial"/>
                <w:sz w:val="18"/>
                <w:szCs w:val="18"/>
                <w:highlight w:val="none"/>
              </w:rPr>
            </w:pPr>
            <w:r>
              <w:rPr>
                <w:rFonts w:hint="eastAsia" w:cs="Arial"/>
                <w:sz w:val="18"/>
                <w:szCs w:val="18"/>
                <w:highlight w:val="none"/>
              </w:rPr>
              <w:t>≥</w:t>
            </w:r>
            <w:r>
              <w:rPr>
                <w:rFonts w:ascii="Arial" w:hAnsi="Arial" w:cs="Arial"/>
                <w:sz w:val="18"/>
                <w:szCs w:val="18"/>
                <w:highlight w:val="none"/>
              </w:rPr>
              <w:t>Intel Core i3-6100 3.7G 3M 2133 2C CPU</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ascii="Arial" w:hAnsi="Arial" w:cs="Arial"/>
                <w:sz w:val="18"/>
                <w:szCs w:val="18"/>
                <w:highlight w:val="none"/>
              </w:rPr>
              <w:t>内存</w:t>
            </w:r>
          </w:p>
        </w:tc>
        <w:tc>
          <w:tcPr>
            <w:tcW w:w="7571" w:type="dxa"/>
            <w:tcBorders>
              <w:top w:val="single" w:color="auto" w:sz="4" w:space="0"/>
              <w:left w:val="nil"/>
              <w:bottom w:val="single" w:color="auto" w:sz="4" w:space="0"/>
              <w:right w:val="single" w:color="auto" w:sz="18" w:space="0"/>
            </w:tcBorders>
            <w:noWrap/>
          </w:tcPr>
          <w:p>
            <w:pPr>
              <w:autoSpaceDE w:val="0"/>
              <w:autoSpaceDN w:val="0"/>
              <w:jc w:val="left"/>
              <w:rPr>
                <w:rFonts w:ascii="Arial" w:hAnsi="Arial" w:cs="Arial"/>
                <w:sz w:val="18"/>
                <w:szCs w:val="18"/>
                <w:highlight w:val="none"/>
              </w:rPr>
            </w:pPr>
            <w:r>
              <w:rPr>
                <w:rFonts w:hint="eastAsia" w:cs="Arial"/>
                <w:sz w:val="18"/>
                <w:szCs w:val="18"/>
                <w:highlight w:val="none"/>
              </w:rPr>
              <w:t>≥</w:t>
            </w:r>
            <w:r>
              <w:rPr>
                <w:rFonts w:ascii="Arial" w:hAnsi="Arial" w:cs="Arial"/>
                <w:sz w:val="18"/>
                <w:szCs w:val="18"/>
                <w:highlight w:val="none"/>
              </w:rPr>
              <w:t>8GB DDR4-2400 DIMM (1x8GB) RAM</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341" w:hRule="atLeast"/>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ascii="Arial" w:hAnsi="Arial" w:cs="Arial"/>
                <w:sz w:val="18"/>
                <w:szCs w:val="18"/>
                <w:highlight w:val="none"/>
              </w:rPr>
              <w:t>硬盘</w:t>
            </w:r>
          </w:p>
        </w:tc>
        <w:tc>
          <w:tcPr>
            <w:tcW w:w="7571" w:type="dxa"/>
            <w:tcBorders>
              <w:top w:val="single" w:color="auto" w:sz="4" w:space="0"/>
              <w:left w:val="nil"/>
              <w:bottom w:val="single" w:color="auto" w:sz="4" w:space="0"/>
              <w:right w:val="single" w:color="auto" w:sz="18" w:space="0"/>
            </w:tcBorders>
            <w:noWrap/>
          </w:tcPr>
          <w:p>
            <w:pPr>
              <w:spacing w:line="300" w:lineRule="exact"/>
              <w:rPr>
                <w:rFonts w:ascii="Arial" w:hAnsi="Arial" w:cs="Arial"/>
                <w:sz w:val="18"/>
                <w:szCs w:val="18"/>
                <w:highlight w:val="none"/>
              </w:rPr>
            </w:pPr>
            <w:r>
              <w:rPr>
                <w:rFonts w:hint="eastAsia" w:cs="Arial"/>
                <w:sz w:val="18"/>
                <w:szCs w:val="18"/>
                <w:highlight w:val="none"/>
              </w:rPr>
              <w:t>≥</w:t>
            </w:r>
            <w:r>
              <w:rPr>
                <w:rFonts w:ascii="Arial" w:hAnsi="Arial" w:cs="Arial"/>
                <w:sz w:val="18"/>
                <w:szCs w:val="18"/>
                <w:highlight w:val="none"/>
              </w:rPr>
              <w:t>128GB SATA 2.5 Value SSD</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169" w:hRule="atLeast"/>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ascii="Arial" w:hAnsi="Arial" w:cs="Arial"/>
                <w:sz w:val="18"/>
                <w:szCs w:val="18"/>
                <w:highlight w:val="none"/>
              </w:rPr>
              <w:t>主板</w:t>
            </w:r>
          </w:p>
        </w:tc>
        <w:tc>
          <w:tcPr>
            <w:tcW w:w="7571" w:type="dxa"/>
            <w:tcBorders>
              <w:top w:val="single" w:color="auto" w:sz="4" w:space="0"/>
              <w:left w:val="nil"/>
              <w:bottom w:val="single" w:color="auto" w:sz="4" w:space="0"/>
              <w:right w:val="single" w:color="auto" w:sz="18" w:space="0"/>
            </w:tcBorders>
            <w:noWrap/>
          </w:tcPr>
          <w:p>
            <w:pPr>
              <w:spacing w:line="300" w:lineRule="exact"/>
              <w:rPr>
                <w:rFonts w:ascii="Arial" w:hAnsi="Arial" w:cs="Arial"/>
                <w:sz w:val="18"/>
                <w:szCs w:val="18"/>
                <w:highlight w:val="none"/>
              </w:rPr>
            </w:pPr>
            <w:r>
              <w:rPr>
                <w:rFonts w:hint="eastAsia" w:ascii="Arial" w:hAnsi="Arial" w:cs="Arial"/>
                <w:sz w:val="18"/>
                <w:szCs w:val="18"/>
                <w:highlight w:val="none"/>
              </w:rPr>
              <w:t>Intel H110及以上</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ascii="Arial" w:hAnsi="Arial" w:cs="Arial"/>
                <w:sz w:val="18"/>
                <w:szCs w:val="18"/>
                <w:highlight w:val="none"/>
              </w:rPr>
              <w:t>显卡</w:t>
            </w:r>
          </w:p>
        </w:tc>
        <w:tc>
          <w:tcPr>
            <w:tcW w:w="7571" w:type="dxa"/>
            <w:tcBorders>
              <w:top w:val="single" w:color="auto" w:sz="4" w:space="0"/>
              <w:left w:val="nil"/>
              <w:bottom w:val="single" w:color="auto" w:sz="4" w:space="0"/>
              <w:right w:val="single" w:color="auto" w:sz="18" w:space="0"/>
            </w:tcBorders>
            <w:noWrap/>
          </w:tcPr>
          <w:p>
            <w:pPr>
              <w:spacing w:line="300" w:lineRule="exact"/>
              <w:rPr>
                <w:rFonts w:ascii="Arial" w:hAnsi="Arial" w:cs="Arial"/>
                <w:sz w:val="18"/>
                <w:szCs w:val="18"/>
                <w:highlight w:val="none"/>
              </w:rPr>
            </w:pPr>
            <w:r>
              <w:rPr>
                <w:rFonts w:hint="eastAsia" w:ascii="Arial" w:hAnsi="Arial" w:cs="Arial"/>
                <w:sz w:val="18"/>
                <w:szCs w:val="18"/>
                <w:highlight w:val="none"/>
              </w:rPr>
              <w:t>集成</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ascii="Arial" w:hAnsi="Arial" w:cs="Arial"/>
                <w:sz w:val="18"/>
                <w:szCs w:val="18"/>
                <w:highlight w:val="none"/>
              </w:rPr>
              <w:t>网络同传</w:t>
            </w:r>
          </w:p>
        </w:tc>
        <w:tc>
          <w:tcPr>
            <w:tcW w:w="7571" w:type="dxa"/>
            <w:tcBorders>
              <w:top w:val="single" w:color="auto" w:sz="4" w:space="0"/>
              <w:left w:val="nil"/>
              <w:bottom w:val="single" w:color="auto" w:sz="4" w:space="0"/>
              <w:right w:val="single" w:color="auto" w:sz="18" w:space="0"/>
            </w:tcBorders>
            <w:noWrap/>
          </w:tcPr>
          <w:p>
            <w:pPr>
              <w:spacing w:line="300" w:lineRule="exact"/>
              <w:rPr>
                <w:rFonts w:cs="Arial"/>
                <w:sz w:val="18"/>
                <w:szCs w:val="18"/>
                <w:highlight w:val="none"/>
              </w:rPr>
            </w:pPr>
            <w:r>
              <w:rPr>
                <w:rFonts w:hint="eastAsia" w:cs="Arial"/>
                <w:sz w:val="18"/>
                <w:szCs w:val="18"/>
                <w:highlight w:val="none"/>
              </w:rPr>
              <w:t>主板BIOS集成</w:t>
            </w:r>
            <w:r>
              <w:rPr>
                <w:rFonts w:hint="eastAsia" w:cs="Arial"/>
                <w:b/>
                <w:bCs/>
                <w:sz w:val="18"/>
                <w:szCs w:val="18"/>
                <w:highlight w:val="none"/>
              </w:rPr>
              <w:t>网络同传，支持对传输数据进行加密功能</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ascii="Arial" w:hAnsi="Arial" w:cs="Arial"/>
                <w:sz w:val="18"/>
                <w:szCs w:val="18"/>
                <w:highlight w:val="none"/>
              </w:rPr>
              <w:t>扬声器</w:t>
            </w:r>
          </w:p>
        </w:tc>
        <w:tc>
          <w:tcPr>
            <w:tcW w:w="7571" w:type="dxa"/>
            <w:tcBorders>
              <w:top w:val="single" w:color="auto" w:sz="4" w:space="0"/>
              <w:left w:val="nil"/>
              <w:bottom w:val="single" w:color="auto" w:sz="4" w:space="0"/>
              <w:right w:val="single" w:color="auto" w:sz="18" w:space="0"/>
            </w:tcBorders>
            <w:noWrap/>
          </w:tcPr>
          <w:p>
            <w:pPr>
              <w:spacing w:line="300" w:lineRule="exact"/>
              <w:rPr>
                <w:rFonts w:ascii="Arial" w:hAnsi="Arial" w:cs="Arial"/>
                <w:sz w:val="18"/>
                <w:szCs w:val="18"/>
                <w:highlight w:val="none"/>
              </w:rPr>
            </w:pPr>
            <w:r>
              <w:rPr>
                <w:rFonts w:hint="eastAsia" w:ascii="Arial" w:hAnsi="Arial" w:cs="Arial"/>
                <w:sz w:val="18"/>
                <w:szCs w:val="18"/>
                <w:highlight w:val="none"/>
              </w:rPr>
              <w:t>内置扬声器</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ascii="Arial" w:hAnsi="Arial" w:cs="Arial"/>
                <w:sz w:val="18"/>
                <w:szCs w:val="18"/>
                <w:highlight w:val="none"/>
              </w:rPr>
              <w:t>网卡</w:t>
            </w:r>
          </w:p>
        </w:tc>
        <w:tc>
          <w:tcPr>
            <w:tcW w:w="7571" w:type="dxa"/>
            <w:tcBorders>
              <w:top w:val="single" w:color="auto" w:sz="4" w:space="0"/>
              <w:left w:val="nil"/>
              <w:bottom w:val="single" w:color="auto" w:sz="4" w:space="0"/>
              <w:right w:val="single" w:color="auto" w:sz="18" w:space="0"/>
            </w:tcBorders>
            <w:noWrap/>
          </w:tcPr>
          <w:p>
            <w:pPr>
              <w:spacing w:line="300" w:lineRule="exact"/>
              <w:rPr>
                <w:rFonts w:ascii="Arial" w:hAnsi="Arial" w:cs="Arial"/>
                <w:sz w:val="18"/>
                <w:szCs w:val="18"/>
                <w:highlight w:val="none"/>
              </w:rPr>
            </w:pPr>
            <w:r>
              <w:rPr>
                <w:rFonts w:hint="eastAsia" w:ascii="Arial" w:hAnsi="Arial" w:cs="Arial"/>
                <w:sz w:val="18"/>
                <w:szCs w:val="18"/>
                <w:highlight w:val="none"/>
              </w:rPr>
              <w:t>集成千兆以太网控制器</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ascii="Arial" w:hAnsi="Arial" w:cs="Arial"/>
                <w:sz w:val="18"/>
                <w:szCs w:val="18"/>
                <w:highlight w:val="none"/>
              </w:rPr>
              <w:t>扩展插槽</w:t>
            </w:r>
          </w:p>
        </w:tc>
        <w:tc>
          <w:tcPr>
            <w:tcW w:w="7571" w:type="dxa"/>
            <w:tcBorders>
              <w:top w:val="single" w:color="auto" w:sz="4" w:space="0"/>
              <w:left w:val="nil"/>
              <w:bottom w:val="single" w:color="auto" w:sz="4" w:space="0"/>
              <w:right w:val="single" w:color="auto" w:sz="18" w:space="0"/>
            </w:tcBorders>
            <w:noWrap/>
          </w:tcPr>
          <w:p>
            <w:pPr>
              <w:spacing w:line="300" w:lineRule="exact"/>
              <w:rPr>
                <w:rFonts w:cs="Arial"/>
                <w:sz w:val="18"/>
                <w:szCs w:val="18"/>
                <w:highlight w:val="none"/>
              </w:rPr>
            </w:pPr>
            <w:r>
              <w:rPr>
                <w:rFonts w:hint="eastAsia" w:cs="Arial"/>
                <w:sz w:val="18"/>
                <w:szCs w:val="18"/>
                <w:highlight w:val="none"/>
              </w:rPr>
              <w:t>≥</w:t>
            </w:r>
            <w:r>
              <w:rPr>
                <w:rFonts w:cs="Arial"/>
                <w:sz w:val="18"/>
                <w:szCs w:val="18"/>
                <w:highlight w:val="none"/>
              </w:rPr>
              <w:t>1</w:t>
            </w:r>
            <w:r>
              <w:rPr>
                <w:rFonts w:hint="eastAsia" w:cs="Arial"/>
                <w:sz w:val="18"/>
                <w:szCs w:val="18"/>
                <w:highlight w:val="none"/>
              </w:rPr>
              <w:t>个用于无线网卡的</w:t>
            </w:r>
            <w:r>
              <w:rPr>
                <w:rFonts w:cs="Arial"/>
                <w:sz w:val="18"/>
                <w:szCs w:val="18"/>
                <w:highlight w:val="none"/>
              </w:rPr>
              <w:t>M.2</w:t>
            </w:r>
            <w:r>
              <w:rPr>
                <w:rFonts w:hint="eastAsia" w:cs="Arial"/>
                <w:sz w:val="18"/>
                <w:szCs w:val="18"/>
                <w:highlight w:val="none"/>
              </w:rPr>
              <w:t>；</w:t>
            </w:r>
            <w:r>
              <w:rPr>
                <w:rFonts w:cs="Arial"/>
                <w:sz w:val="18"/>
                <w:szCs w:val="18"/>
                <w:highlight w:val="none"/>
              </w:rPr>
              <w:t>1</w:t>
            </w:r>
            <w:r>
              <w:rPr>
                <w:rFonts w:hint="eastAsia" w:cs="Arial"/>
                <w:sz w:val="18"/>
                <w:szCs w:val="18"/>
                <w:highlight w:val="none"/>
              </w:rPr>
              <w:t>个</w:t>
            </w:r>
            <w:r>
              <w:rPr>
                <w:rFonts w:cs="Arial"/>
                <w:sz w:val="18"/>
                <w:szCs w:val="18"/>
                <w:highlight w:val="none"/>
              </w:rPr>
              <w:t>PCIe(x1)</w:t>
            </w:r>
            <w:r>
              <w:rPr>
                <w:rFonts w:hint="eastAsia" w:cs="Arial"/>
                <w:sz w:val="18"/>
                <w:szCs w:val="18"/>
                <w:highlight w:val="none"/>
              </w:rPr>
              <w:t>；</w:t>
            </w:r>
            <w:r>
              <w:rPr>
                <w:rFonts w:cs="Arial"/>
                <w:sz w:val="18"/>
                <w:szCs w:val="18"/>
                <w:highlight w:val="none"/>
              </w:rPr>
              <w:t>1</w:t>
            </w:r>
            <w:r>
              <w:rPr>
                <w:rFonts w:hint="eastAsia" w:cs="Arial"/>
                <w:sz w:val="18"/>
                <w:szCs w:val="18"/>
                <w:highlight w:val="none"/>
              </w:rPr>
              <w:t>个</w:t>
            </w:r>
            <w:r>
              <w:rPr>
                <w:rFonts w:cs="Arial"/>
                <w:sz w:val="18"/>
                <w:szCs w:val="18"/>
                <w:highlight w:val="none"/>
              </w:rPr>
              <w:t>PCIe(x16)</w:t>
            </w:r>
            <w:r>
              <w:rPr>
                <w:rFonts w:hint="eastAsia" w:cs="Arial"/>
                <w:sz w:val="18"/>
                <w:szCs w:val="18"/>
                <w:highlight w:val="none"/>
              </w:rPr>
              <w:t>；</w:t>
            </w:r>
            <w:r>
              <w:rPr>
                <w:rFonts w:cs="Arial"/>
                <w:sz w:val="18"/>
                <w:szCs w:val="18"/>
                <w:highlight w:val="none"/>
              </w:rPr>
              <w:t xml:space="preserve"> 1</w:t>
            </w:r>
            <w:r>
              <w:rPr>
                <w:rFonts w:hint="eastAsia" w:cs="Arial"/>
                <w:sz w:val="18"/>
                <w:szCs w:val="18"/>
                <w:highlight w:val="none"/>
              </w:rPr>
              <w:t>个</w:t>
            </w:r>
            <w:r>
              <w:rPr>
                <w:rFonts w:cs="Arial"/>
                <w:sz w:val="18"/>
                <w:szCs w:val="18"/>
                <w:highlight w:val="none"/>
              </w:rPr>
              <w:t>PCI 2.3</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ascii="Arial" w:hAnsi="Arial" w:cs="Arial"/>
                <w:sz w:val="18"/>
                <w:szCs w:val="18"/>
                <w:highlight w:val="none"/>
              </w:rPr>
              <w:t>端口</w:t>
            </w:r>
          </w:p>
        </w:tc>
        <w:tc>
          <w:tcPr>
            <w:tcW w:w="7571" w:type="dxa"/>
            <w:tcBorders>
              <w:top w:val="single" w:color="auto" w:sz="4" w:space="0"/>
              <w:left w:val="nil"/>
              <w:bottom w:val="single" w:color="auto" w:sz="4" w:space="0"/>
              <w:right w:val="single" w:color="auto" w:sz="18" w:space="0"/>
            </w:tcBorders>
            <w:noWrap/>
          </w:tcPr>
          <w:p>
            <w:pPr>
              <w:spacing w:line="300" w:lineRule="exact"/>
              <w:rPr>
                <w:rFonts w:cs="Arial"/>
                <w:sz w:val="18"/>
                <w:szCs w:val="18"/>
                <w:highlight w:val="none"/>
              </w:rPr>
            </w:pPr>
            <w:r>
              <w:rPr>
                <w:rFonts w:hint="eastAsia" w:cs="Arial"/>
                <w:sz w:val="18"/>
                <w:szCs w:val="18"/>
                <w:highlight w:val="none"/>
              </w:rPr>
              <w:t>≥正面：</w:t>
            </w:r>
            <w:r>
              <w:rPr>
                <w:rFonts w:cs="Arial"/>
                <w:sz w:val="18"/>
                <w:szCs w:val="18"/>
                <w:highlight w:val="none"/>
              </w:rPr>
              <w:t>1</w:t>
            </w:r>
            <w:r>
              <w:rPr>
                <w:rFonts w:hint="eastAsia" w:cs="Arial"/>
                <w:sz w:val="18"/>
                <w:szCs w:val="18"/>
                <w:highlight w:val="none"/>
              </w:rPr>
              <w:t>个支持</w:t>
            </w:r>
            <w:r>
              <w:rPr>
                <w:rFonts w:cs="Arial"/>
                <w:sz w:val="18"/>
                <w:szCs w:val="18"/>
                <w:highlight w:val="none"/>
              </w:rPr>
              <w:t>CTIA</w:t>
            </w:r>
            <w:r>
              <w:rPr>
                <w:rFonts w:hint="eastAsia" w:cs="Arial"/>
                <w:sz w:val="18"/>
                <w:szCs w:val="18"/>
                <w:highlight w:val="none"/>
              </w:rPr>
              <w:t>耳麦的通用音频插孔；</w:t>
            </w:r>
            <w:r>
              <w:rPr>
                <w:rFonts w:cs="Arial"/>
                <w:sz w:val="18"/>
                <w:szCs w:val="18"/>
                <w:highlight w:val="none"/>
              </w:rPr>
              <w:t>2</w:t>
            </w:r>
            <w:r>
              <w:rPr>
                <w:rFonts w:hint="eastAsia" w:cs="Arial"/>
                <w:sz w:val="18"/>
                <w:szCs w:val="18"/>
                <w:highlight w:val="none"/>
              </w:rPr>
              <w:t>个</w:t>
            </w:r>
            <w:r>
              <w:rPr>
                <w:rFonts w:cs="Arial"/>
                <w:sz w:val="18"/>
                <w:szCs w:val="18"/>
                <w:highlight w:val="none"/>
              </w:rPr>
              <w:t>USB 3.0</w:t>
            </w:r>
          </w:p>
          <w:p>
            <w:pPr>
              <w:spacing w:line="300" w:lineRule="exact"/>
              <w:rPr>
                <w:rFonts w:cs="Arial"/>
                <w:sz w:val="18"/>
                <w:szCs w:val="18"/>
                <w:highlight w:val="none"/>
              </w:rPr>
            </w:pPr>
            <w:r>
              <w:rPr>
                <w:rFonts w:hint="eastAsia" w:cs="Arial"/>
                <w:sz w:val="18"/>
                <w:szCs w:val="18"/>
                <w:highlight w:val="none"/>
              </w:rPr>
              <w:t>背面：</w:t>
            </w:r>
            <w:r>
              <w:rPr>
                <w:rFonts w:cs="Arial"/>
                <w:sz w:val="18"/>
                <w:szCs w:val="18"/>
                <w:highlight w:val="none"/>
              </w:rPr>
              <w:t>1</w:t>
            </w:r>
            <w:r>
              <w:rPr>
                <w:rFonts w:hint="eastAsia" w:cs="Arial"/>
                <w:sz w:val="18"/>
                <w:szCs w:val="18"/>
                <w:highlight w:val="none"/>
              </w:rPr>
              <w:t>个音频输入；</w:t>
            </w:r>
            <w:r>
              <w:rPr>
                <w:rFonts w:cs="Arial"/>
                <w:sz w:val="18"/>
                <w:szCs w:val="18"/>
                <w:highlight w:val="none"/>
              </w:rPr>
              <w:t>1</w:t>
            </w:r>
            <w:r>
              <w:rPr>
                <w:rFonts w:hint="eastAsia" w:cs="Arial"/>
                <w:sz w:val="18"/>
                <w:szCs w:val="18"/>
                <w:highlight w:val="none"/>
              </w:rPr>
              <w:t>个音频输出；</w:t>
            </w:r>
            <w:r>
              <w:rPr>
                <w:rFonts w:cs="Arial"/>
                <w:sz w:val="18"/>
                <w:szCs w:val="18"/>
                <w:highlight w:val="none"/>
              </w:rPr>
              <w:t>1</w:t>
            </w:r>
            <w:r>
              <w:rPr>
                <w:rFonts w:hint="eastAsia" w:cs="Arial"/>
                <w:sz w:val="18"/>
                <w:szCs w:val="18"/>
                <w:highlight w:val="none"/>
              </w:rPr>
              <w:t>个</w:t>
            </w:r>
            <w:r>
              <w:rPr>
                <w:rFonts w:cs="Arial"/>
                <w:sz w:val="18"/>
                <w:szCs w:val="18"/>
                <w:highlight w:val="none"/>
              </w:rPr>
              <w:t>HDMI</w:t>
            </w:r>
            <w:r>
              <w:rPr>
                <w:rFonts w:hint="eastAsia" w:cs="Arial"/>
                <w:sz w:val="18"/>
                <w:szCs w:val="18"/>
                <w:highlight w:val="none"/>
              </w:rPr>
              <w:t>；</w:t>
            </w:r>
            <w:r>
              <w:rPr>
                <w:rFonts w:cs="Arial"/>
                <w:sz w:val="18"/>
                <w:szCs w:val="18"/>
                <w:highlight w:val="none"/>
              </w:rPr>
              <w:t>1</w:t>
            </w:r>
            <w:r>
              <w:rPr>
                <w:rFonts w:hint="eastAsia" w:cs="Arial"/>
                <w:sz w:val="18"/>
                <w:szCs w:val="18"/>
                <w:highlight w:val="none"/>
              </w:rPr>
              <w:t>个</w:t>
            </w:r>
            <w:r>
              <w:rPr>
                <w:rFonts w:cs="Arial"/>
                <w:sz w:val="18"/>
                <w:szCs w:val="18"/>
                <w:highlight w:val="none"/>
              </w:rPr>
              <w:t>RJ-45</w:t>
            </w:r>
            <w:r>
              <w:rPr>
                <w:rFonts w:hint="eastAsia" w:cs="Arial"/>
                <w:sz w:val="18"/>
                <w:szCs w:val="18"/>
                <w:highlight w:val="none"/>
              </w:rPr>
              <w:t>；</w:t>
            </w:r>
            <w:r>
              <w:rPr>
                <w:rFonts w:cs="Arial"/>
                <w:sz w:val="18"/>
                <w:szCs w:val="18"/>
                <w:highlight w:val="none"/>
              </w:rPr>
              <w:t>1</w:t>
            </w:r>
            <w:r>
              <w:rPr>
                <w:rFonts w:hint="eastAsia" w:cs="Arial"/>
                <w:sz w:val="18"/>
                <w:szCs w:val="18"/>
                <w:highlight w:val="none"/>
              </w:rPr>
              <w:t>个</w:t>
            </w:r>
            <w:r>
              <w:rPr>
                <w:rFonts w:cs="Arial"/>
                <w:sz w:val="18"/>
                <w:szCs w:val="18"/>
                <w:highlight w:val="none"/>
              </w:rPr>
              <w:t>VGA</w:t>
            </w:r>
            <w:r>
              <w:rPr>
                <w:rFonts w:hint="eastAsia" w:cs="Arial"/>
                <w:sz w:val="18"/>
                <w:szCs w:val="18"/>
                <w:highlight w:val="none"/>
              </w:rPr>
              <w:t>；</w:t>
            </w:r>
            <w:r>
              <w:rPr>
                <w:rFonts w:cs="Arial"/>
                <w:sz w:val="18"/>
                <w:szCs w:val="18"/>
                <w:highlight w:val="none"/>
              </w:rPr>
              <w:t>2</w:t>
            </w:r>
            <w:r>
              <w:rPr>
                <w:rFonts w:hint="eastAsia" w:cs="Arial"/>
                <w:sz w:val="18"/>
                <w:szCs w:val="18"/>
                <w:highlight w:val="none"/>
              </w:rPr>
              <w:t>个</w:t>
            </w:r>
            <w:r>
              <w:rPr>
                <w:rFonts w:cs="Arial"/>
                <w:sz w:val="18"/>
                <w:szCs w:val="18"/>
                <w:highlight w:val="none"/>
              </w:rPr>
              <w:t>USB 3.0</w:t>
            </w:r>
            <w:r>
              <w:rPr>
                <w:rFonts w:hint="eastAsia" w:cs="Arial"/>
                <w:sz w:val="18"/>
                <w:szCs w:val="18"/>
                <w:highlight w:val="none"/>
              </w:rPr>
              <w:t>；</w:t>
            </w:r>
            <w:r>
              <w:rPr>
                <w:rFonts w:cs="Arial"/>
                <w:sz w:val="18"/>
                <w:szCs w:val="18"/>
                <w:highlight w:val="none"/>
              </w:rPr>
              <w:t>4</w:t>
            </w:r>
            <w:r>
              <w:rPr>
                <w:rFonts w:hint="eastAsia" w:cs="Arial"/>
                <w:sz w:val="18"/>
                <w:szCs w:val="18"/>
                <w:highlight w:val="none"/>
              </w:rPr>
              <w:t>个</w:t>
            </w:r>
            <w:r>
              <w:rPr>
                <w:rFonts w:cs="Arial"/>
                <w:sz w:val="18"/>
                <w:szCs w:val="18"/>
                <w:highlight w:val="none"/>
              </w:rPr>
              <w:t xml:space="preserve">USB 2.0; 1 </w:t>
            </w:r>
            <w:r>
              <w:rPr>
                <w:rFonts w:hint="eastAsia" w:cs="Arial"/>
                <w:sz w:val="18"/>
                <w:szCs w:val="18"/>
                <w:highlight w:val="none"/>
              </w:rPr>
              <w:t>个串口；</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ascii="Arial" w:hAnsi="Arial" w:cs="Arial"/>
                <w:sz w:val="18"/>
                <w:szCs w:val="18"/>
                <w:highlight w:val="none"/>
              </w:rPr>
              <w:t>显示器</w:t>
            </w:r>
          </w:p>
        </w:tc>
        <w:tc>
          <w:tcPr>
            <w:tcW w:w="7571" w:type="dxa"/>
            <w:tcBorders>
              <w:top w:val="single" w:color="auto" w:sz="4" w:space="0"/>
              <w:left w:val="nil"/>
              <w:bottom w:val="single" w:color="auto" w:sz="4" w:space="0"/>
              <w:right w:val="single" w:color="auto" w:sz="18" w:space="0"/>
            </w:tcBorders>
            <w:noWrap/>
          </w:tcPr>
          <w:p>
            <w:pPr>
              <w:spacing w:line="300" w:lineRule="exact"/>
              <w:rPr>
                <w:rFonts w:cs="Arial"/>
                <w:sz w:val="18"/>
                <w:szCs w:val="18"/>
                <w:highlight w:val="none"/>
              </w:rPr>
            </w:pPr>
            <w:r>
              <w:rPr>
                <w:rFonts w:hint="eastAsia" w:cs="Arial"/>
                <w:sz w:val="18"/>
                <w:szCs w:val="18"/>
                <w:highlight w:val="none"/>
              </w:rPr>
              <w:t>≥19.5"宽屏16:9 LED背光液晶显示器,VGA,DVI-D(支持HDCP)接口,含DVI线缆,250nits,1000:1,3百万:1(动态对比度), 5ms,1600x900)</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ascii="Arial" w:hAnsi="Arial" w:cs="Arial"/>
                <w:sz w:val="18"/>
                <w:szCs w:val="18"/>
                <w:highlight w:val="none"/>
              </w:rPr>
              <w:t>操作系统</w:t>
            </w:r>
          </w:p>
        </w:tc>
        <w:tc>
          <w:tcPr>
            <w:tcW w:w="7571" w:type="dxa"/>
            <w:tcBorders>
              <w:top w:val="single" w:color="auto" w:sz="4" w:space="0"/>
              <w:left w:val="nil"/>
              <w:bottom w:val="single" w:color="auto" w:sz="4" w:space="0"/>
              <w:right w:val="single" w:color="auto" w:sz="18" w:space="0"/>
            </w:tcBorders>
            <w:noWrap/>
          </w:tcPr>
          <w:p>
            <w:pPr>
              <w:spacing w:line="300" w:lineRule="exact"/>
              <w:rPr>
                <w:rFonts w:cs="Arial"/>
                <w:sz w:val="18"/>
                <w:szCs w:val="18"/>
                <w:highlight w:val="none"/>
              </w:rPr>
            </w:pPr>
            <w:r>
              <w:rPr>
                <w:rFonts w:hint="eastAsia" w:cs="Arial"/>
                <w:sz w:val="18"/>
                <w:szCs w:val="18"/>
                <w:highlight w:val="none"/>
              </w:rPr>
              <w:t>原厂预装Win10</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ascii="Arial" w:hAnsi="Arial" w:cs="Arial"/>
                <w:sz w:val="18"/>
                <w:szCs w:val="18"/>
                <w:highlight w:val="none"/>
              </w:rPr>
              <w:t>键盘鼠标</w:t>
            </w:r>
          </w:p>
        </w:tc>
        <w:tc>
          <w:tcPr>
            <w:tcW w:w="7571" w:type="dxa"/>
            <w:tcBorders>
              <w:top w:val="single" w:color="auto" w:sz="4" w:space="0"/>
              <w:left w:val="nil"/>
              <w:bottom w:val="single" w:color="auto" w:sz="4" w:space="0"/>
              <w:right w:val="single" w:color="auto" w:sz="18" w:space="0"/>
            </w:tcBorders>
            <w:noWrap/>
          </w:tcPr>
          <w:p>
            <w:pPr>
              <w:spacing w:line="300" w:lineRule="exact"/>
              <w:rPr>
                <w:rFonts w:cs="Arial"/>
                <w:sz w:val="18"/>
                <w:szCs w:val="18"/>
                <w:highlight w:val="none"/>
              </w:rPr>
            </w:pPr>
            <w:r>
              <w:rPr>
                <w:rFonts w:cs="Arial"/>
                <w:sz w:val="18"/>
                <w:szCs w:val="18"/>
                <w:highlight w:val="none"/>
              </w:rPr>
              <w:t>USB</w:t>
            </w:r>
            <w:r>
              <w:rPr>
                <w:rFonts w:hint="eastAsia" w:cs="Arial"/>
                <w:sz w:val="18"/>
                <w:szCs w:val="18"/>
                <w:highlight w:val="none"/>
              </w:rPr>
              <w:t xml:space="preserve"> 鼠标、USB抗菌键盘</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ascii="Arial" w:hAnsi="Arial" w:cs="Arial"/>
                <w:sz w:val="18"/>
                <w:szCs w:val="18"/>
                <w:highlight w:val="none"/>
              </w:rPr>
              <w:t>电源</w:t>
            </w:r>
          </w:p>
        </w:tc>
        <w:tc>
          <w:tcPr>
            <w:tcW w:w="7571" w:type="dxa"/>
            <w:tcBorders>
              <w:top w:val="single" w:color="auto" w:sz="4" w:space="0"/>
              <w:left w:val="nil"/>
              <w:bottom w:val="single" w:color="auto" w:sz="4" w:space="0"/>
              <w:right w:val="single" w:color="auto" w:sz="18" w:space="0"/>
            </w:tcBorders>
            <w:noWrap/>
          </w:tcPr>
          <w:p>
            <w:pPr>
              <w:spacing w:line="300" w:lineRule="exact"/>
              <w:rPr>
                <w:rFonts w:cs="Arial"/>
                <w:sz w:val="18"/>
                <w:szCs w:val="18"/>
                <w:highlight w:val="none"/>
              </w:rPr>
            </w:pPr>
            <w:r>
              <w:rPr>
                <w:rFonts w:hint="eastAsia" w:cs="Arial"/>
                <w:sz w:val="18"/>
                <w:szCs w:val="18"/>
                <w:highlight w:val="none"/>
              </w:rPr>
              <w:t>≥310W</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ascii="Arial" w:hAnsi="Arial" w:cs="Arial"/>
                <w:sz w:val="18"/>
                <w:szCs w:val="18"/>
                <w:highlight w:val="none"/>
              </w:rPr>
              <w:t>机箱</w:t>
            </w:r>
          </w:p>
        </w:tc>
        <w:tc>
          <w:tcPr>
            <w:tcW w:w="7571" w:type="dxa"/>
            <w:tcBorders>
              <w:top w:val="single" w:color="auto" w:sz="4" w:space="0"/>
              <w:left w:val="nil"/>
              <w:bottom w:val="single" w:color="auto" w:sz="4" w:space="0"/>
              <w:right w:val="single" w:color="auto" w:sz="18" w:space="0"/>
            </w:tcBorders>
            <w:noWrap/>
          </w:tcPr>
          <w:p>
            <w:pPr>
              <w:spacing w:line="300" w:lineRule="exact"/>
              <w:rPr>
                <w:rFonts w:cs="Arial"/>
                <w:sz w:val="18"/>
                <w:szCs w:val="18"/>
                <w:highlight w:val="none"/>
              </w:rPr>
            </w:pPr>
            <w:r>
              <w:rPr>
                <w:rFonts w:hint="eastAsia" w:cs="Arial"/>
                <w:sz w:val="18"/>
                <w:szCs w:val="18"/>
                <w:highlight w:val="none"/>
              </w:rPr>
              <w:t>≥</w:t>
            </w:r>
            <w:r>
              <w:rPr>
                <w:rFonts w:cs="Arial"/>
                <w:sz w:val="18"/>
                <w:szCs w:val="18"/>
                <w:highlight w:val="none"/>
              </w:rPr>
              <w:t>17 x 27.4 x 33.8</w:t>
            </w:r>
            <w:r>
              <w:rPr>
                <w:rFonts w:hint="eastAsia" w:cs="Arial"/>
                <w:sz w:val="18"/>
                <w:szCs w:val="18"/>
                <w:highlight w:val="none"/>
              </w:rPr>
              <w:t>厘米</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highlight w:val="none"/>
              </w:rPr>
              <w:t>▲</w:t>
            </w:r>
            <w:r>
              <w:rPr>
                <w:rFonts w:hint="eastAsia" w:ascii="Arial" w:hAnsi="Arial" w:cs="Arial"/>
                <w:sz w:val="18"/>
                <w:szCs w:val="18"/>
                <w:highlight w:val="none"/>
              </w:rPr>
              <w:t>安全性</w:t>
            </w:r>
          </w:p>
        </w:tc>
        <w:tc>
          <w:tcPr>
            <w:tcW w:w="7571" w:type="dxa"/>
            <w:tcBorders>
              <w:top w:val="single" w:color="auto" w:sz="4" w:space="0"/>
              <w:left w:val="nil"/>
              <w:bottom w:val="single" w:color="auto" w:sz="4" w:space="0"/>
              <w:right w:val="single" w:color="auto" w:sz="18" w:space="0"/>
            </w:tcBorders>
            <w:noWrap/>
          </w:tcPr>
          <w:p>
            <w:pPr>
              <w:spacing w:line="300" w:lineRule="exact"/>
              <w:rPr>
                <w:rFonts w:ascii="Arial" w:hAnsi="Arial" w:cs="Arial"/>
                <w:sz w:val="18"/>
                <w:szCs w:val="18"/>
                <w:highlight w:val="none"/>
              </w:rPr>
            </w:pPr>
            <w:r>
              <w:rPr>
                <w:rFonts w:hint="eastAsia" w:ascii="Arial" w:hAnsi="Arial" w:cs="Arial"/>
                <w:sz w:val="18"/>
                <w:szCs w:val="18"/>
                <w:highlight w:val="none"/>
              </w:rPr>
              <w:t>设置</w:t>
            </w:r>
            <w:r>
              <w:rPr>
                <w:rFonts w:ascii="Arial" w:hAnsi="Arial" w:cs="Arial"/>
                <w:sz w:val="18"/>
                <w:szCs w:val="18"/>
                <w:highlight w:val="none"/>
              </w:rPr>
              <w:t xml:space="preserve">SATA </w:t>
            </w:r>
            <w:r>
              <w:rPr>
                <w:rFonts w:hint="eastAsia" w:ascii="Arial" w:hAnsi="Arial" w:cs="Arial"/>
                <w:sz w:val="18"/>
                <w:szCs w:val="18"/>
                <w:highlight w:val="none"/>
              </w:rPr>
              <w:t>端口禁用</w:t>
            </w:r>
            <w:r>
              <w:rPr>
                <w:rFonts w:ascii="Arial" w:hAnsi="Arial" w:cs="Arial"/>
                <w:sz w:val="18"/>
                <w:szCs w:val="18"/>
                <w:highlight w:val="none"/>
              </w:rPr>
              <w:t xml:space="preserve"> (</w:t>
            </w:r>
            <w:r>
              <w:rPr>
                <w:rFonts w:hint="eastAsia" w:ascii="Arial" w:hAnsi="Arial" w:cs="Arial"/>
                <w:sz w:val="18"/>
                <w:szCs w:val="18"/>
                <w:highlight w:val="none"/>
              </w:rPr>
              <w:t>通过</w:t>
            </w:r>
            <w:r>
              <w:rPr>
                <w:rFonts w:ascii="Arial" w:hAnsi="Arial" w:cs="Arial"/>
                <w:sz w:val="18"/>
                <w:szCs w:val="18"/>
                <w:highlight w:val="none"/>
              </w:rPr>
              <w:t xml:space="preserve"> BIOS)</w:t>
            </w:r>
            <w:r>
              <w:rPr>
                <w:rFonts w:hint="eastAsia" w:ascii="Arial" w:hAnsi="Arial" w:cs="Arial"/>
                <w:sz w:val="18"/>
                <w:szCs w:val="18"/>
                <w:highlight w:val="none"/>
              </w:rPr>
              <w:t>；串口、并口、</w:t>
            </w:r>
            <w:r>
              <w:rPr>
                <w:rFonts w:ascii="Arial" w:hAnsi="Arial" w:cs="Arial"/>
                <w:sz w:val="18"/>
                <w:szCs w:val="18"/>
                <w:highlight w:val="none"/>
              </w:rPr>
              <w:t xml:space="preserve">USB </w:t>
            </w:r>
            <w:r>
              <w:rPr>
                <w:rFonts w:hint="eastAsia" w:ascii="Arial" w:hAnsi="Arial" w:cs="Arial"/>
                <w:sz w:val="18"/>
                <w:szCs w:val="18"/>
                <w:highlight w:val="none"/>
              </w:rPr>
              <w:t>端口启用</w:t>
            </w:r>
            <w:r>
              <w:rPr>
                <w:rFonts w:ascii="Arial" w:hAnsi="Arial" w:cs="Arial"/>
                <w:sz w:val="18"/>
                <w:szCs w:val="18"/>
                <w:highlight w:val="none"/>
              </w:rPr>
              <w:t>/</w:t>
            </w:r>
            <w:r>
              <w:rPr>
                <w:rFonts w:hint="eastAsia" w:ascii="Arial" w:hAnsi="Arial" w:cs="Arial"/>
                <w:sz w:val="18"/>
                <w:szCs w:val="18"/>
                <w:highlight w:val="none"/>
              </w:rPr>
              <w:t>禁用</w:t>
            </w:r>
            <w:r>
              <w:rPr>
                <w:rFonts w:ascii="Arial" w:hAnsi="Arial" w:cs="Arial"/>
                <w:sz w:val="18"/>
                <w:szCs w:val="18"/>
                <w:highlight w:val="none"/>
              </w:rPr>
              <w:t xml:space="preserve"> (</w:t>
            </w:r>
            <w:r>
              <w:rPr>
                <w:rFonts w:hint="eastAsia" w:ascii="Arial" w:hAnsi="Arial" w:cs="Arial"/>
                <w:sz w:val="18"/>
                <w:szCs w:val="18"/>
                <w:highlight w:val="none"/>
              </w:rPr>
              <w:t>通过</w:t>
            </w:r>
            <w:r>
              <w:rPr>
                <w:rFonts w:ascii="Arial" w:hAnsi="Arial" w:cs="Arial"/>
                <w:sz w:val="18"/>
                <w:szCs w:val="18"/>
                <w:highlight w:val="none"/>
              </w:rPr>
              <w:t xml:space="preserve"> BIOS)</w:t>
            </w:r>
            <w:r>
              <w:rPr>
                <w:rFonts w:hint="eastAsia" w:ascii="Arial" w:hAnsi="Arial" w:cs="Arial"/>
                <w:sz w:val="18"/>
                <w:szCs w:val="18"/>
                <w:highlight w:val="none"/>
              </w:rPr>
              <w:t>；可选出厂禁用</w:t>
            </w:r>
            <w:r>
              <w:rPr>
                <w:rFonts w:ascii="Arial" w:hAnsi="Arial" w:cs="Arial"/>
                <w:sz w:val="18"/>
                <w:szCs w:val="18"/>
                <w:highlight w:val="none"/>
              </w:rPr>
              <w:t xml:space="preserve"> USB </w:t>
            </w:r>
            <w:r>
              <w:rPr>
                <w:rFonts w:hint="eastAsia" w:ascii="Arial" w:hAnsi="Arial" w:cs="Arial"/>
                <w:sz w:val="18"/>
                <w:szCs w:val="18"/>
                <w:highlight w:val="none"/>
              </w:rPr>
              <w:t>端口</w:t>
            </w:r>
            <w:r>
              <w:rPr>
                <w:rFonts w:ascii="Arial" w:hAnsi="Arial" w:cs="Arial"/>
                <w:sz w:val="18"/>
                <w:szCs w:val="18"/>
                <w:highlight w:val="none"/>
              </w:rPr>
              <w:t xml:space="preserve"> (</w:t>
            </w:r>
            <w:r>
              <w:rPr>
                <w:rFonts w:hint="eastAsia" w:ascii="Arial" w:hAnsi="Arial" w:cs="Arial"/>
                <w:sz w:val="18"/>
                <w:szCs w:val="18"/>
                <w:highlight w:val="none"/>
              </w:rPr>
              <w:t>用户可通过</w:t>
            </w:r>
            <w:r>
              <w:rPr>
                <w:rFonts w:ascii="Arial" w:hAnsi="Arial" w:cs="Arial"/>
                <w:sz w:val="18"/>
                <w:szCs w:val="18"/>
                <w:highlight w:val="none"/>
              </w:rPr>
              <w:t xml:space="preserve"> BIOS </w:t>
            </w:r>
            <w:r>
              <w:rPr>
                <w:rFonts w:hint="eastAsia" w:ascii="Arial" w:hAnsi="Arial" w:cs="Arial"/>
                <w:sz w:val="18"/>
                <w:szCs w:val="18"/>
                <w:highlight w:val="none"/>
              </w:rPr>
              <w:t>进行配置</w:t>
            </w:r>
            <w:r>
              <w:rPr>
                <w:rFonts w:ascii="Arial" w:hAnsi="Arial" w:cs="Arial"/>
                <w:sz w:val="18"/>
                <w:szCs w:val="18"/>
                <w:highlight w:val="none"/>
              </w:rPr>
              <w:t>)</w:t>
            </w:r>
            <w:r>
              <w:rPr>
                <w:rFonts w:hint="eastAsia" w:ascii="Arial" w:hAnsi="Arial" w:cs="Arial"/>
                <w:sz w:val="18"/>
                <w:szCs w:val="18"/>
                <w:highlight w:val="none"/>
              </w:rPr>
              <w:t>；USB端口屏蔽，只识别键盘鼠标</w:t>
            </w:r>
            <w:r>
              <w:rPr>
                <w:rFonts w:hint="eastAsia" w:ascii="Arial" w:hAnsi="Arial" w:cs="Arial"/>
                <w:b/>
                <w:bCs/>
                <w:sz w:val="18"/>
                <w:szCs w:val="18"/>
                <w:highlight w:val="none"/>
              </w:rPr>
              <w:t>打印机</w:t>
            </w:r>
          </w:p>
          <w:p>
            <w:pPr>
              <w:spacing w:line="300" w:lineRule="exact"/>
              <w:rPr>
                <w:rFonts w:ascii="Arial" w:hAnsi="Arial" w:cs="Arial"/>
                <w:sz w:val="18"/>
                <w:szCs w:val="18"/>
                <w:highlight w:val="none"/>
              </w:rPr>
            </w:pPr>
            <w:r>
              <w:rPr>
                <w:rFonts w:hint="eastAsia" w:ascii="Arial" w:hAnsi="Arial" w:cs="Arial"/>
                <w:sz w:val="18"/>
                <w:szCs w:val="18"/>
                <w:highlight w:val="none"/>
              </w:rPr>
              <w:t>可移动存储介质写入</w:t>
            </w:r>
            <w:r>
              <w:rPr>
                <w:rFonts w:ascii="Arial" w:hAnsi="Arial" w:cs="Arial"/>
                <w:sz w:val="18"/>
                <w:szCs w:val="18"/>
                <w:highlight w:val="none"/>
              </w:rPr>
              <w:t>/</w:t>
            </w:r>
            <w:r>
              <w:rPr>
                <w:rFonts w:hint="eastAsia" w:ascii="Arial" w:hAnsi="Arial" w:cs="Arial"/>
                <w:sz w:val="18"/>
                <w:szCs w:val="18"/>
                <w:highlight w:val="none"/>
              </w:rPr>
              <w:t>启动控制；开机密码</w:t>
            </w:r>
            <w:r>
              <w:rPr>
                <w:rFonts w:ascii="Arial" w:hAnsi="Arial" w:cs="Arial"/>
                <w:sz w:val="18"/>
                <w:szCs w:val="18"/>
                <w:highlight w:val="none"/>
              </w:rPr>
              <w:t xml:space="preserve"> (</w:t>
            </w:r>
            <w:r>
              <w:rPr>
                <w:rFonts w:hint="eastAsia" w:ascii="Arial" w:hAnsi="Arial" w:cs="Arial"/>
                <w:sz w:val="18"/>
                <w:szCs w:val="18"/>
                <w:highlight w:val="none"/>
              </w:rPr>
              <w:t>通过</w:t>
            </w:r>
            <w:r>
              <w:rPr>
                <w:rFonts w:ascii="Arial" w:hAnsi="Arial" w:cs="Arial"/>
                <w:sz w:val="18"/>
                <w:szCs w:val="18"/>
                <w:highlight w:val="none"/>
              </w:rPr>
              <w:t xml:space="preserve"> BIOS)</w:t>
            </w:r>
            <w:r>
              <w:rPr>
                <w:rFonts w:hint="eastAsia" w:ascii="Arial" w:hAnsi="Arial" w:cs="Arial"/>
                <w:sz w:val="18"/>
                <w:szCs w:val="18"/>
                <w:highlight w:val="none"/>
              </w:rPr>
              <w:t>；设置密码</w:t>
            </w:r>
            <w:r>
              <w:rPr>
                <w:rFonts w:ascii="Arial" w:hAnsi="Arial" w:cs="Arial"/>
                <w:sz w:val="18"/>
                <w:szCs w:val="18"/>
                <w:highlight w:val="none"/>
              </w:rPr>
              <w:t xml:space="preserve"> (</w:t>
            </w:r>
            <w:r>
              <w:rPr>
                <w:rFonts w:hint="eastAsia" w:ascii="Arial" w:hAnsi="Arial" w:cs="Arial"/>
                <w:sz w:val="18"/>
                <w:szCs w:val="18"/>
                <w:highlight w:val="none"/>
              </w:rPr>
              <w:t>通过</w:t>
            </w:r>
            <w:r>
              <w:rPr>
                <w:rFonts w:ascii="Arial" w:hAnsi="Arial" w:cs="Arial"/>
                <w:sz w:val="18"/>
                <w:szCs w:val="18"/>
                <w:highlight w:val="none"/>
              </w:rPr>
              <w:t xml:space="preserve"> BIOS)</w:t>
            </w:r>
            <w:r>
              <w:rPr>
                <w:rFonts w:hint="eastAsia" w:ascii="Arial" w:hAnsi="Arial" w:cs="Arial"/>
                <w:sz w:val="18"/>
                <w:szCs w:val="18"/>
                <w:highlight w:val="none"/>
              </w:rPr>
              <w:t>；支持机箱挂锁和线缆锁装置；</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highlight w:val="none"/>
              </w:rPr>
              <w:t>▲</w:t>
            </w:r>
            <w:r>
              <w:rPr>
                <w:rFonts w:hint="eastAsia" w:ascii="Arial" w:hAnsi="Arial" w:cs="Arial"/>
                <w:sz w:val="18"/>
                <w:szCs w:val="18"/>
                <w:highlight w:val="none"/>
              </w:rPr>
              <w:t>数据备份</w:t>
            </w:r>
          </w:p>
        </w:tc>
        <w:tc>
          <w:tcPr>
            <w:tcW w:w="7571" w:type="dxa"/>
            <w:tcBorders>
              <w:top w:val="single" w:color="auto" w:sz="4" w:space="0"/>
              <w:left w:val="nil"/>
              <w:bottom w:val="single" w:color="auto" w:sz="4" w:space="0"/>
              <w:right w:val="single" w:color="auto" w:sz="18" w:space="0"/>
            </w:tcBorders>
            <w:noWrap/>
          </w:tcPr>
          <w:p>
            <w:pPr>
              <w:spacing w:line="300" w:lineRule="exact"/>
              <w:rPr>
                <w:rFonts w:ascii="Arial" w:hAnsi="Arial" w:cs="Arial"/>
                <w:sz w:val="18"/>
                <w:szCs w:val="18"/>
                <w:highlight w:val="none"/>
              </w:rPr>
            </w:pPr>
            <w:r>
              <w:rPr>
                <w:rFonts w:hint="eastAsia" w:ascii="Arial" w:hAnsi="Arial" w:cs="Arial"/>
                <w:sz w:val="18"/>
                <w:szCs w:val="18"/>
                <w:highlight w:val="none"/>
              </w:rPr>
              <w:t>数据备份/</w:t>
            </w:r>
            <w:r>
              <w:rPr>
                <w:rFonts w:hint="eastAsia" w:cs="Arial"/>
                <w:sz w:val="18"/>
                <w:szCs w:val="18"/>
                <w:highlight w:val="none"/>
              </w:rPr>
              <w:t>恢复，智能硬盘无损分区，支持用户自主分</w:t>
            </w:r>
            <w:r>
              <w:rPr>
                <w:rFonts w:hint="eastAsia" w:ascii="Arial" w:hAnsi="Arial" w:cs="Arial"/>
                <w:sz w:val="18"/>
                <w:szCs w:val="18"/>
                <w:highlight w:val="none"/>
              </w:rPr>
              <w:t>区，支持多介质备份，</w:t>
            </w:r>
            <w:r>
              <w:rPr>
                <w:rFonts w:hint="eastAsia" w:cs="Arial"/>
                <w:sz w:val="18"/>
                <w:szCs w:val="18"/>
                <w:highlight w:val="none"/>
              </w:rPr>
              <w:t>支持备份文件导</w:t>
            </w:r>
            <w:r>
              <w:rPr>
                <w:rFonts w:hint="eastAsia" w:ascii="Arial" w:hAnsi="Arial" w:cs="Arial"/>
                <w:sz w:val="18"/>
                <w:szCs w:val="18"/>
                <w:highlight w:val="none"/>
              </w:rPr>
              <w:t xml:space="preserve">入、导出。支持计划备份，支持多版本驱动备份与恢复，快速检测并修复硬件驱动故障，支持多个系统备份，系统备份过程在Windows </w:t>
            </w:r>
            <w:r>
              <w:rPr>
                <w:rFonts w:hint="eastAsia" w:cs="Arial"/>
                <w:sz w:val="18"/>
                <w:szCs w:val="18"/>
                <w:highlight w:val="none"/>
              </w:rPr>
              <w:t>下实时进行，不影响用户的正常工作；支持多点备份；支持增量备份还原过程可以在</w:t>
            </w:r>
            <w:r>
              <w:rPr>
                <w:rFonts w:hint="eastAsia" w:ascii="Arial" w:hAnsi="Arial" w:cs="Arial"/>
                <w:sz w:val="18"/>
                <w:szCs w:val="18"/>
                <w:highlight w:val="none"/>
              </w:rPr>
              <w:t xml:space="preserve">Windows </w:t>
            </w:r>
            <w:r>
              <w:rPr>
                <w:rFonts w:hint="eastAsia" w:cs="Arial"/>
                <w:sz w:val="18"/>
                <w:szCs w:val="18"/>
                <w:highlight w:val="none"/>
              </w:rPr>
              <w:t>外进行，确保在用户系统无法启动的情况下也可以还原，系统完全崩溃仍可还原，系统完全崩溃后系统盘数据可以有效转移，还原点可以任意回溯，用户可以选择任意一个还原点进行还原，每个还原点提供了详细的内容描述，避免用户选择错误的还原点，支持</w:t>
            </w:r>
            <w:r>
              <w:rPr>
                <w:rFonts w:hint="eastAsia" w:ascii="Arial" w:hAnsi="Arial" w:cs="Arial"/>
                <w:sz w:val="18"/>
                <w:szCs w:val="18"/>
                <w:highlight w:val="none"/>
              </w:rPr>
              <w:t>NTFS</w:t>
            </w:r>
            <w:r>
              <w:rPr>
                <w:rFonts w:hint="eastAsia" w:cs="Arial"/>
                <w:sz w:val="18"/>
                <w:szCs w:val="18"/>
                <w:highlight w:val="none"/>
              </w:rPr>
              <w:t>、</w:t>
            </w:r>
            <w:r>
              <w:rPr>
                <w:rFonts w:hint="eastAsia" w:ascii="Arial" w:hAnsi="Arial" w:cs="Arial"/>
                <w:sz w:val="18"/>
                <w:szCs w:val="18"/>
                <w:highlight w:val="none"/>
              </w:rPr>
              <w:t xml:space="preserve">Fat32 </w:t>
            </w:r>
            <w:r>
              <w:rPr>
                <w:rFonts w:hint="eastAsia" w:cs="Arial"/>
                <w:sz w:val="18"/>
                <w:szCs w:val="18"/>
                <w:highlight w:val="none"/>
              </w:rPr>
              <w:t>分区系统备份</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7" w:type="dxa"/>
            <w:tcBorders>
              <w:top w:val="single" w:color="auto" w:sz="4" w:space="0"/>
              <w:left w:val="single" w:color="auto" w:sz="18" w:space="0"/>
              <w:bottom w:val="single" w:color="auto" w:sz="4" w:space="0"/>
              <w:right w:val="single" w:color="auto" w:sz="4" w:space="0"/>
            </w:tcBorders>
            <w:noWrap/>
            <w:vAlign w:val="center"/>
          </w:tcPr>
          <w:p>
            <w:pPr>
              <w:spacing w:line="300" w:lineRule="exact"/>
              <w:rPr>
                <w:rFonts w:ascii="Arial" w:hAnsi="Arial" w:cs="Arial"/>
                <w:sz w:val="18"/>
                <w:szCs w:val="18"/>
                <w:highlight w:val="none"/>
              </w:rPr>
            </w:pPr>
            <w:r>
              <w:rPr>
                <w:rFonts w:hint="eastAsia"/>
                <w:highlight w:val="none"/>
              </w:rPr>
              <w:t>▲</w:t>
            </w:r>
            <w:r>
              <w:rPr>
                <w:rFonts w:hint="eastAsia" w:ascii="Arial" w:hAnsi="Arial" w:cs="Arial"/>
                <w:sz w:val="18"/>
                <w:szCs w:val="18"/>
                <w:highlight w:val="none"/>
              </w:rPr>
              <w:t>整机认证</w:t>
            </w:r>
          </w:p>
        </w:tc>
        <w:tc>
          <w:tcPr>
            <w:tcW w:w="7571" w:type="dxa"/>
            <w:tcBorders>
              <w:top w:val="single" w:color="auto" w:sz="4" w:space="0"/>
              <w:left w:val="nil"/>
              <w:bottom w:val="single" w:color="auto" w:sz="4" w:space="0"/>
              <w:right w:val="single" w:color="auto" w:sz="18" w:space="0"/>
            </w:tcBorders>
            <w:noWrap/>
          </w:tcPr>
          <w:p>
            <w:pPr>
              <w:spacing w:line="300" w:lineRule="exact"/>
              <w:rPr>
                <w:rFonts w:ascii="Arial" w:hAnsi="Arial" w:cs="Arial"/>
                <w:sz w:val="18"/>
                <w:szCs w:val="18"/>
                <w:highlight w:val="none"/>
              </w:rPr>
            </w:pPr>
            <w:r>
              <w:rPr>
                <w:rFonts w:hint="eastAsia" w:ascii="Arial" w:hAnsi="Arial" w:cs="Arial"/>
                <w:sz w:val="18"/>
                <w:szCs w:val="18"/>
                <w:highlight w:val="none"/>
              </w:rPr>
              <w:t>提供防雷及高级防静电认证；</w:t>
            </w:r>
          </w:p>
          <w:p>
            <w:pPr>
              <w:spacing w:line="300" w:lineRule="exact"/>
              <w:rPr>
                <w:rFonts w:ascii="Arial" w:hAnsi="Arial" w:cs="Arial"/>
                <w:sz w:val="18"/>
                <w:szCs w:val="18"/>
                <w:highlight w:val="none"/>
              </w:rPr>
            </w:pPr>
            <w:r>
              <w:rPr>
                <w:rFonts w:hint="eastAsia" w:ascii="Arial" w:hAnsi="Arial" w:cs="Arial"/>
                <w:sz w:val="18"/>
                <w:szCs w:val="18"/>
                <w:highlight w:val="none"/>
              </w:rPr>
              <w:t>提供噪音20分贝以下认证；</w:t>
            </w:r>
          </w:p>
          <w:p>
            <w:pPr>
              <w:spacing w:line="300" w:lineRule="exact"/>
              <w:rPr>
                <w:rFonts w:ascii="Arial" w:hAnsi="Arial" w:cs="Arial"/>
                <w:sz w:val="18"/>
                <w:szCs w:val="18"/>
                <w:highlight w:val="none"/>
              </w:rPr>
            </w:pPr>
            <w:r>
              <w:rPr>
                <w:rFonts w:hint="eastAsia" w:ascii="Arial" w:hAnsi="Arial" w:cs="Arial"/>
                <w:sz w:val="18"/>
                <w:szCs w:val="18"/>
                <w:highlight w:val="none"/>
              </w:rPr>
              <w:t>静电、放电抗干扰度认证；</w:t>
            </w:r>
          </w:p>
          <w:p>
            <w:pPr>
              <w:spacing w:line="300" w:lineRule="exact"/>
              <w:rPr>
                <w:rFonts w:ascii="Arial" w:hAnsi="Arial" w:cs="Arial"/>
                <w:sz w:val="18"/>
                <w:szCs w:val="18"/>
                <w:highlight w:val="none"/>
              </w:rPr>
            </w:pPr>
            <w:r>
              <w:rPr>
                <w:rFonts w:hint="eastAsia" w:ascii="Arial" w:hAnsi="Arial" w:cs="Arial"/>
                <w:sz w:val="18"/>
                <w:szCs w:val="18"/>
                <w:highlight w:val="none"/>
              </w:rPr>
              <w:t>恒定湿热运行认证阻燃认证；</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1665" w:hRule="atLeast"/>
          <w:jc w:val="center"/>
        </w:trPr>
        <w:tc>
          <w:tcPr>
            <w:tcW w:w="1017" w:type="dxa"/>
            <w:tcBorders>
              <w:top w:val="single" w:color="auto" w:sz="4" w:space="0"/>
              <w:left w:val="single" w:color="auto" w:sz="18" w:space="0"/>
              <w:bottom w:val="single" w:color="auto" w:sz="18" w:space="0"/>
              <w:right w:val="single" w:color="auto" w:sz="4" w:space="0"/>
            </w:tcBorders>
            <w:noWrap/>
            <w:vAlign w:val="center"/>
          </w:tcPr>
          <w:p>
            <w:pPr>
              <w:spacing w:line="300" w:lineRule="exact"/>
              <w:rPr>
                <w:rFonts w:ascii="Arial" w:hAnsi="Arial" w:cs="Arial"/>
                <w:sz w:val="18"/>
                <w:szCs w:val="18"/>
                <w:highlight w:val="none"/>
              </w:rPr>
            </w:pPr>
            <w:r>
              <w:rPr>
                <w:rFonts w:hint="eastAsia"/>
                <w:highlight w:val="none"/>
              </w:rPr>
              <w:t>▲</w:t>
            </w:r>
            <w:r>
              <w:rPr>
                <w:rFonts w:hint="eastAsia" w:ascii="Arial" w:hAnsi="Arial" w:cs="Arial"/>
                <w:sz w:val="18"/>
                <w:szCs w:val="18"/>
                <w:highlight w:val="none"/>
              </w:rPr>
              <w:t>保修</w:t>
            </w:r>
          </w:p>
        </w:tc>
        <w:tc>
          <w:tcPr>
            <w:tcW w:w="7571" w:type="dxa"/>
            <w:tcBorders>
              <w:top w:val="single" w:color="auto" w:sz="4" w:space="0"/>
              <w:left w:val="nil"/>
              <w:bottom w:val="single" w:color="auto" w:sz="18" w:space="0"/>
              <w:right w:val="single" w:color="auto" w:sz="18" w:space="0"/>
            </w:tcBorders>
            <w:noWrap/>
          </w:tcPr>
          <w:p>
            <w:pPr>
              <w:spacing w:line="300" w:lineRule="exact"/>
              <w:rPr>
                <w:rFonts w:ascii="Arial" w:hAnsi="Arial" w:cs="Arial"/>
                <w:b/>
                <w:bCs/>
                <w:sz w:val="18"/>
                <w:szCs w:val="18"/>
                <w:highlight w:val="none"/>
              </w:rPr>
            </w:pPr>
            <w:r>
              <w:rPr>
                <w:rFonts w:hint="eastAsia" w:ascii="Arial" w:hAnsi="Arial" w:cs="Arial"/>
                <w:b/>
                <w:bCs/>
                <w:sz w:val="18"/>
                <w:szCs w:val="18"/>
                <w:highlight w:val="none"/>
              </w:rPr>
              <w:t>三年原厂免费上门保修</w:t>
            </w:r>
          </w:p>
          <w:p>
            <w:pPr>
              <w:spacing w:line="300" w:lineRule="exact"/>
              <w:rPr>
                <w:rFonts w:ascii="Arial" w:hAnsi="Arial" w:cs="Arial"/>
                <w:sz w:val="18"/>
                <w:szCs w:val="18"/>
                <w:highlight w:val="none"/>
              </w:rPr>
            </w:pPr>
            <w:r>
              <w:rPr>
                <w:rFonts w:hint="eastAsia" w:ascii="Arial" w:hAnsi="Arial" w:cs="Arial"/>
                <w:sz w:val="18"/>
                <w:szCs w:val="18"/>
                <w:highlight w:val="none"/>
              </w:rPr>
              <w:t xml:space="preserve">所有配置必须在厂商预装出厂，不得私自改装非原厂配件交货，所投机型必须在制造商官方网上直接可以查询； </w:t>
            </w:r>
          </w:p>
          <w:p>
            <w:pPr>
              <w:spacing w:line="300" w:lineRule="exact"/>
              <w:rPr>
                <w:rFonts w:ascii="Arial" w:hAnsi="Arial" w:cs="Arial"/>
                <w:sz w:val="18"/>
                <w:szCs w:val="18"/>
                <w:highlight w:val="none"/>
              </w:rPr>
            </w:pPr>
            <w:r>
              <w:rPr>
                <w:rFonts w:hint="eastAsia" w:cs="Arial"/>
                <w:sz w:val="18"/>
                <w:szCs w:val="18"/>
                <w:highlight w:val="none"/>
              </w:rPr>
              <w:t>注明：所有出厂配置在制造商官网上可根据机器序列号编码查询，保修服务期限可查询，产品需在中标后生产出厂。</w:t>
            </w:r>
            <w:r>
              <w:rPr>
                <w:rFonts w:hint="eastAsia" w:ascii="Arial" w:hAnsi="Arial" w:cs="Arial"/>
                <w:color w:val="000000"/>
                <w:sz w:val="18"/>
                <w:szCs w:val="18"/>
                <w:highlight w:val="none"/>
              </w:rPr>
              <w:t>出厂时标签带有:SN+MAC1</w:t>
            </w:r>
            <w:r>
              <w:rPr>
                <w:rFonts w:hint="eastAsia" w:cs="Arial"/>
                <w:color w:val="000000"/>
                <w:sz w:val="18"/>
                <w:szCs w:val="18"/>
                <w:highlight w:val="none"/>
              </w:rPr>
              <w:t>的信息；</w:t>
            </w:r>
          </w:p>
        </w:tc>
      </w:tr>
    </w:tbl>
    <w:p>
      <w:pPr>
        <w:rPr>
          <w:highlight w:val="none"/>
        </w:rPr>
      </w:pPr>
    </w:p>
    <w:p>
      <w:pPr>
        <w:pStyle w:val="4"/>
        <w:rPr>
          <w:highlight w:val="none"/>
        </w:rPr>
      </w:pPr>
      <w:r>
        <w:rPr>
          <w:rFonts w:hint="eastAsia"/>
          <w:highlight w:val="none"/>
        </w:rPr>
        <w:t>附件2：移动授课系统参数要求</w:t>
      </w:r>
    </w:p>
    <w:tbl>
      <w:tblPr>
        <w:tblStyle w:val="44"/>
        <w:tblpPr w:leftFromText="180" w:rightFromText="180" w:vertAnchor="text" w:horzAnchor="page" w:tblpX="1556" w:tblpY="392"/>
        <w:tblOverlap w:val="never"/>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92"/>
        <w:gridCol w:w="7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noWrap/>
          </w:tcPr>
          <w:p>
            <w:pPr>
              <w:tabs>
                <w:tab w:val="left" w:pos="1680"/>
                <w:tab w:val="clear" w:pos="426"/>
              </w:tabs>
              <w:jc w:val="center"/>
              <w:rPr>
                <w:b/>
                <w:sz w:val="18"/>
                <w:szCs w:val="18"/>
                <w:highlight w:val="none"/>
              </w:rPr>
            </w:pPr>
            <w:r>
              <w:rPr>
                <w:rFonts w:hint="eastAsia"/>
                <w:b/>
                <w:sz w:val="18"/>
                <w:szCs w:val="18"/>
                <w:highlight w:val="none"/>
              </w:rPr>
              <w:t>序号</w:t>
            </w:r>
          </w:p>
        </w:tc>
        <w:tc>
          <w:tcPr>
            <w:tcW w:w="992" w:type="dxa"/>
            <w:noWrap/>
          </w:tcPr>
          <w:p>
            <w:pPr>
              <w:tabs>
                <w:tab w:val="left" w:pos="1680"/>
                <w:tab w:val="clear" w:pos="426"/>
              </w:tabs>
              <w:jc w:val="center"/>
              <w:rPr>
                <w:sz w:val="18"/>
                <w:szCs w:val="18"/>
                <w:highlight w:val="none"/>
              </w:rPr>
            </w:pPr>
            <w:r>
              <w:rPr>
                <w:rFonts w:hint="eastAsia"/>
                <w:sz w:val="18"/>
                <w:szCs w:val="18"/>
                <w:highlight w:val="none"/>
              </w:rPr>
              <w:t>名称</w:t>
            </w:r>
          </w:p>
        </w:tc>
        <w:tc>
          <w:tcPr>
            <w:tcW w:w="7905" w:type="dxa"/>
            <w:noWrap/>
          </w:tcPr>
          <w:p>
            <w:pPr>
              <w:tabs>
                <w:tab w:val="left" w:pos="1680"/>
                <w:tab w:val="clear" w:pos="426"/>
              </w:tabs>
              <w:jc w:val="center"/>
              <w:rPr>
                <w:sz w:val="18"/>
                <w:szCs w:val="18"/>
                <w:highlight w:val="none"/>
              </w:rPr>
            </w:pPr>
            <w:r>
              <w:rPr>
                <w:rFonts w:hint="eastAsia"/>
                <w:sz w:val="18"/>
                <w:szCs w:val="18"/>
                <w:highlight w:val="none"/>
              </w:rPr>
              <w:t>规格参数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noWrap/>
            <w:vAlign w:val="center"/>
          </w:tcPr>
          <w:p>
            <w:pPr>
              <w:tabs>
                <w:tab w:val="left" w:pos="1680"/>
                <w:tab w:val="clear" w:pos="426"/>
              </w:tabs>
              <w:jc w:val="center"/>
              <w:rPr>
                <w:b/>
                <w:sz w:val="18"/>
                <w:szCs w:val="18"/>
                <w:highlight w:val="none"/>
              </w:rPr>
            </w:pPr>
            <w:r>
              <w:rPr>
                <w:rFonts w:hint="eastAsia"/>
                <w:b/>
                <w:sz w:val="18"/>
                <w:szCs w:val="18"/>
                <w:highlight w:val="none"/>
              </w:rPr>
              <w:t>1</w:t>
            </w:r>
          </w:p>
          <w:p>
            <w:pPr>
              <w:tabs>
                <w:tab w:val="left" w:pos="1680"/>
                <w:tab w:val="clear" w:pos="426"/>
              </w:tabs>
              <w:jc w:val="center"/>
              <w:rPr>
                <w:b/>
                <w:sz w:val="18"/>
                <w:szCs w:val="18"/>
                <w:highlight w:val="none"/>
              </w:rPr>
            </w:pPr>
          </w:p>
        </w:tc>
        <w:tc>
          <w:tcPr>
            <w:tcW w:w="992" w:type="dxa"/>
            <w:noWrap/>
            <w:vAlign w:val="center"/>
          </w:tcPr>
          <w:p>
            <w:pPr>
              <w:tabs>
                <w:tab w:val="left" w:pos="1680"/>
                <w:tab w:val="clear" w:pos="426"/>
              </w:tabs>
              <w:jc w:val="center"/>
              <w:rPr>
                <w:sz w:val="18"/>
                <w:szCs w:val="18"/>
                <w:highlight w:val="none"/>
              </w:rPr>
            </w:pPr>
            <w:r>
              <w:rPr>
                <w:rFonts w:hint="eastAsia"/>
                <w:b/>
                <w:sz w:val="18"/>
                <w:szCs w:val="18"/>
                <w:highlight w:val="none"/>
              </w:rPr>
              <w:t>移动授课系统</w:t>
            </w:r>
          </w:p>
        </w:tc>
        <w:tc>
          <w:tcPr>
            <w:tcW w:w="7905" w:type="dxa"/>
            <w:noWrap/>
          </w:tcPr>
          <w:p>
            <w:pPr>
              <w:spacing w:line="300" w:lineRule="exact"/>
              <w:rPr>
                <w:rFonts w:ascii="Arial" w:hAnsi="Arial" w:cs="Arial"/>
                <w:bCs/>
                <w:sz w:val="18"/>
                <w:szCs w:val="18"/>
                <w:highlight w:val="none"/>
              </w:rPr>
            </w:pPr>
            <w:r>
              <w:rPr>
                <w:rFonts w:ascii="Arial" w:hAnsi="Arial" w:cs="Arial"/>
                <w:bCs/>
                <w:sz w:val="18"/>
                <w:szCs w:val="18"/>
                <w:highlight w:val="none"/>
              </w:rPr>
              <w:t>软件使用环境要求</w:t>
            </w:r>
            <w:r>
              <w:rPr>
                <w:rFonts w:hint="eastAsia" w:ascii="Arial" w:hAnsi="Arial" w:cs="Arial"/>
                <w:bCs/>
                <w:sz w:val="18"/>
                <w:szCs w:val="18"/>
                <w:highlight w:val="none"/>
              </w:rPr>
              <w:t>必须</w:t>
            </w:r>
            <w:r>
              <w:rPr>
                <w:rFonts w:ascii="Arial" w:hAnsi="Arial" w:cs="Arial"/>
                <w:bCs/>
                <w:sz w:val="18"/>
                <w:szCs w:val="18"/>
                <w:highlight w:val="none"/>
              </w:rPr>
              <w:t>在局域网环境下，</w:t>
            </w:r>
            <w:r>
              <w:rPr>
                <w:rFonts w:hint="eastAsia" w:ascii="Arial" w:hAnsi="Arial" w:cs="Arial"/>
                <w:bCs/>
                <w:sz w:val="18"/>
                <w:szCs w:val="18"/>
                <w:highlight w:val="none"/>
              </w:rPr>
              <w:t>可</w:t>
            </w:r>
            <w:r>
              <w:rPr>
                <w:rFonts w:ascii="Arial" w:hAnsi="Arial" w:cs="Arial"/>
                <w:bCs/>
                <w:sz w:val="18"/>
                <w:szCs w:val="18"/>
                <w:highlight w:val="none"/>
              </w:rPr>
              <w:t>完全脱离英特网</w:t>
            </w:r>
            <w:r>
              <w:rPr>
                <w:rFonts w:hint="eastAsia" w:ascii="Arial" w:hAnsi="Arial" w:cs="Arial"/>
                <w:bCs/>
                <w:sz w:val="18"/>
                <w:szCs w:val="18"/>
                <w:highlight w:val="none"/>
              </w:rPr>
              <w:t>，并可用一般路由器、WiFi热点即可实现。</w:t>
            </w:r>
          </w:p>
          <w:p>
            <w:pPr>
              <w:spacing w:line="300" w:lineRule="exact"/>
              <w:rPr>
                <w:rFonts w:ascii="Arial" w:hAnsi="Arial" w:cs="Arial"/>
                <w:bCs/>
                <w:sz w:val="18"/>
                <w:szCs w:val="18"/>
                <w:highlight w:val="none"/>
              </w:rPr>
            </w:pPr>
            <w:r>
              <w:rPr>
                <w:rFonts w:hint="eastAsia"/>
                <w:highlight w:val="none"/>
              </w:rPr>
              <w:t>▲</w:t>
            </w:r>
            <w:r>
              <w:rPr>
                <w:rFonts w:hint="eastAsia" w:ascii="Arial" w:hAnsi="Arial" w:cs="Arial"/>
                <w:bCs/>
                <w:sz w:val="18"/>
                <w:szCs w:val="18"/>
                <w:highlight w:val="none"/>
              </w:rPr>
              <w:t>软件需多语言支持，方便外教教师使用，支持的语言至少为：中文、英文、中文、西班牙语、俄语、法语等。</w:t>
            </w:r>
          </w:p>
          <w:p>
            <w:pPr>
              <w:spacing w:line="300" w:lineRule="exact"/>
              <w:rPr>
                <w:rFonts w:ascii="Arial" w:hAnsi="Arial" w:cs="Arial"/>
                <w:bCs/>
                <w:sz w:val="18"/>
                <w:szCs w:val="18"/>
                <w:highlight w:val="none"/>
              </w:rPr>
            </w:pPr>
            <w:r>
              <w:rPr>
                <w:rFonts w:ascii="Arial" w:hAnsi="Arial" w:cs="Arial"/>
                <w:bCs/>
                <w:sz w:val="18"/>
                <w:szCs w:val="18"/>
                <w:highlight w:val="none"/>
              </w:rPr>
              <w:t>可通过</w:t>
            </w:r>
            <w:r>
              <w:rPr>
                <w:rFonts w:hint="eastAsia" w:ascii="Arial" w:hAnsi="Arial" w:cs="Arial"/>
                <w:bCs/>
                <w:sz w:val="18"/>
                <w:szCs w:val="18"/>
                <w:highlight w:val="none"/>
              </w:rPr>
              <w:t>移动设备</w:t>
            </w:r>
            <w:r>
              <w:rPr>
                <w:rFonts w:ascii="Arial" w:hAnsi="Arial" w:cs="Arial"/>
                <w:bCs/>
                <w:sz w:val="18"/>
                <w:szCs w:val="18"/>
                <w:highlight w:val="none"/>
              </w:rPr>
              <w:t>远程控制电子白板、一体机、电脑等，实现鼠标移动、单击、双击、左右键等功能</w:t>
            </w:r>
            <w:r>
              <w:rPr>
                <w:rFonts w:hint="eastAsia" w:ascii="Arial" w:hAnsi="Arial" w:cs="Arial"/>
                <w:bCs/>
                <w:sz w:val="18"/>
                <w:szCs w:val="18"/>
                <w:highlight w:val="none"/>
              </w:rPr>
              <w:t>；也可打开文件并远端直接编辑文件。</w:t>
            </w:r>
          </w:p>
          <w:p>
            <w:pPr>
              <w:spacing w:line="300" w:lineRule="exact"/>
              <w:rPr>
                <w:rFonts w:ascii="Arial" w:hAnsi="Arial" w:cs="Arial"/>
                <w:bCs/>
                <w:sz w:val="18"/>
                <w:szCs w:val="18"/>
                <w:highlight w:val="none"/>
              </w:rPr>
            </w:pPr>
            <w:r>
              <w:rPr>
                <w:rFonts w:hint="eastAsia"/>
                <w:highlight w:val="none"/>
              </w:rPr>
              <w:t>▲</w:t>
            </w:r>
            <w:r>
              <w:rPr>
                <w:rFonts w:hint="eastAsia" w:ascii="Arial" w:hAnsi="Arial" w:cs="Arial"/>
                <w:bCs/>
                <w:sz w:val="18"/>
                <w:szCs w:val="18"/>
                <w:highlight w:val="none"/>
              </w:rPr>
              <w:t>无需连线，无需网络的情况下，教师即可在自己的平板上直接录制微课，做到“随时、随地”录微课；</w:t>
            </w:r>
          </w:p>
          <w:p>
            <w:pPr>
              <w:spacing w:line="300" w:lineRule="exact"/>
              <w:rPr>
                <w:rFonts w:ascii="Arial" w:hAnsi="Arial" w:cs="Arial"/>
                <w:bCs/>
                <w:sz w:val="18"/>
                <w:szCs w:val="18"/>
                <w:highlight w:val="none"/>
              </w:rPr>
            </w:pPr>
            <w:r>
              <w:rPr>
                <w:rFonts w:hint="eastAsia" w:ascii="Arial" w:hAnsi="Arial" w:cs="Arial"/>
                <w:bCs/>
                <w:sz w:val="18"/>
                <w:szCs w:val="18"/>
                <w:highlight w:val="none"/>
              </w:rPr>
              <w:t>微课内容需包括课件内容、原笔迹板书、教师讲解视频、教师讲解语音。课件需支持视频、图片、pdf等数字媒体文件。</w:t>
            </w:r>
          </w:p>
          <w:p>
            <w:pPr>
              <w:spacing w:line="300" w:lineRule="exact"/>
              <w:rPr>
                <w:rFonts w:ascii="Arial" w:hAnsi="Arial" w:cs="Arial"/>
                <w:bCs/>
                <w:sz w:val="18"/>
                <w:szCs w:val="18"/>
                <w:highlight w:val="none"/>
              </w:rPr>
            </w:pPr>
            <w:r>
              <w:rPr>
                <w:rFonts w:hint="eastAsia" w:ascii="Arial" w:hAnsi="Arial" w:cs="Arial"/>
                <w:bCs/>
                <w:sz w:val="18"/>
                <w:szCs w:val="18"/>
                <w:highlight w:val="none"/>
              </w:rPr>
              <w:t>微课格式需要为标准的流媒体格式，如mp4、flv等，方便网络传输、观看。</w:t>
            </w:r>
          </w:p>
          <w:p>
            <w:pPr>
              <w:spacing w:line="300" w:lineRule="exact"/>
              <w:rPr>
                <w:rFonts w:ascii="Arial" w:hAnsi="Arial" w:cs="Arial"/>
                <w:bCs/>
                <w:sz w:val="18"/>
                <w:szCs w:val="18"/>
                <w:highlight w:val="none"/>
              </w:rPr>
            </w:pPr>
            <w:r>
              <w:rPr>
                <w:rFonts w:hint="eastAsia" w:ascii="Arial" w:hAnsi="Arial" w:cs="Arial"/>
                <w:bCs/>
                <w:sz w:val="18"/>
                <w:szCs w:val="18"/>
                <w:highlight w:val="none"/>
              </w:rPr>
              <w:t>微课录制完毕，可以一键回看，以便确认微课录制效果。</w:t>
            </w:r>
          </w:p>
          <w:p>
            <w:pPr>
              <w:spacing w:line="300" w:lineRule="exact"/>
              <w:rPr>
                <w:rFonts w:ascii="Arial" w:hAnsi="Arial" w:cs="Arial"/>
                <w:bCs/>
                <w:sz w:val="18"/>
                <w:szCs w:val="18"/>
                <w:highlight w:val="none"/>
              </w:rPr>
            </w:pPr>
            <w:r>
              <w:rPr>
                <w:rFonts w:hint="eastAsia" w:ascii="Arial" w:hAnsi="Arial" w:cs="Arial"/>
                <w:bCs/>
                <w:sz w:val="18"/>
                <w:szCs w:val="18"/>
                <w:highlight w:val="none"/>
              </w:rPr>
              <w:t>教师可以一键将课堂教学内容录制成标准的视频文件，包括黑板板书、大屏图像、课堂实况、教师语音等；方便学生课后复习及未能即时听课的学生听课使用。</w:t>
            </w:r>
          </w:p>
          <w:p>
            <w:pPr>
              <w:spacing w:line="300" w:lineRule="exact"/>
              <w:rPr>
                <w:rFonts w:ascii="Arial" w:hAnsi="Arial" w:cs="Arial"/>
                <w:bCs/>
                <w:sz w:val="18"/>
                <w:szCs w:val="18"/>
                <w:highlight w:val="none"/>
              </w:rPr>
            </w:pPr>
            <w:r>
              <w:rPr>
                <w:rFonts w:hint="eastAsia"/>
                <w:highlight w:val="none"/>
              </w:rPr>
              <w:t>▲</w:t>
            </w:r>
            <w:r>
              <w:rPr>
                <w:rFonts w:hint="eastAsia" w:ascii="Arial" w:hAnsi="Arial" w:cs="Arial"/>
                <w:bCs/>
                <w:sz w:val="18"/>
                <w:szCs w:val="18"/>
                <w:highlight w:val="none"/>
              </w:rPr>
              <w:t>教师可以在移动设备上直接批注大屏内容，需支持视频动态批注。</w:t>
            </w:r>
          </w:p>
          <w:p>
            <w:pPr>
              <w:spacing w:line="300" w:lineRule="exact"/>
              <w:rPr>
                <w:rFonts w:ascii="Arial" w:hAnsi="Arial" w:cs="Arial"/>
                <w:bCs/>
                <w:sz w:val="18"/>
                <w:szCs w:val="18"/>
                <w:highlight w:val="none"/>
              </w:rPr>
            </w:pPr>
            <w:r>
              <w:rPr>
                <w:rFonts w:hint="eastAsia"/>
                <w:highlight w:val="none"/>
              </w:rPr>
              <w:t>▲</w:t>
            </w:r>
            <w:r>
              <w:rPr>
                <w:rFonts w:hint="eastAsia" w:ascii="Arial" w:hAnsi="Arial" w:cs="Arial"/>
                <w:bCs/>
                <w:sz w:val="18"/>
                <w:szCs w:val="18"/>
                <w:highlight w:val="none"/>
              </w:rPr>
              <w:t xml:space="preserve">教师可将移动设备上PPT的文件直接在大屏上打开，无需拷贝文件至大屏电脑，并全屏播放，也可在移动设备端关闭全屏播放及关闭PPT文件。 </w:t>
            </w:r>
          </w:p>
          <w:p>
            <w:pPr>
              <w:spacing w:line="300" w:lineRule="exact"/>
              <w:rPr>
                <w:rFonts w:ascii="Arial" w:hAnsi="Arial" w:cs="Arial"/>
                <w:bCs/>
                <w:sz w:val="18"/>
                <w:szCs w:val="18"/>
                <w:highlight w:val="none"/>
              </w:rPr>
            </w:pPr>
            <w:r>
              <w:rPr>
                <w:rFonts w:hint="eastAsia" w:ascii="Arial" w:hAnsi="Arial" w:cs="Arial"/>
                <w:bCs/>
                <w:sz w:val="18"/>
                <w:szCs w:val="18"/>
                <w:highlight w:val="none"/>
              </w:rPr>
              <w:t>教师可以通过手势左右滑动控制PPT上下翻页，也可以通过按键控制PPT上下翻页；</w:t>
            </w:r>
          </w:p>
          <w:p>
            <w:pPr>
              <w:spacing w:line="300" w:lineRule="exact"/>
              <w:rPr>
                <w:rFonts w:ascii="Arial" w:hAnsi="Arial" w:cs="Arial"/>
                <w:bCs/>
                <w:sz w:val="18"/>
                <w:szCs w:val="18"/>
                <w:highlight w:val="none"/>
              </w:rPr>
            </w:pPr>
            <w:r>
              <w:rPr>
                <w:rFonts w:hint="eastAsia" w:ascii="Arial" w:hAnsi="Arial" w:cs="Arial"/>
                <w:bCs/>
                <w:sz w:val="18"/>
                <w:szCs w:val="18"/>
                <w:highlight w:val="none"/>
              </w:rPr>
              <w:t>移动设备端需有当前PPT全部页面的缩略图显示，大屏上不显示，教师可以通过选择缩略图页面快速将大屏PPT翻页至指定页面。</w:t>
            </w:r>
          </w:p>
          <w:p>
            <w:pPr>
              <w:spacing w:line="300" w:lineRule="exact"/>
              <w:rPr>
                <w:rFonts w:ascii="Arial" w:hAnsi="Arial" w:cs="Arial"/>
                <w:bCs/>
                <w:sz w:val="18"/>
                <w:szCs w:val="18"/>
                <w:highlight w:val="none"/>
              </w:rPr>
            </w:pPr>
            <w:r>
              <w:rPr>
                <w:rFonts w:hint="eastAsia" w:ascii="Arial" w:hAnsi="Arial" w:cs="Arial"/>
                <w:bCs/>
                <w:sz w:val="18"/>
                <w:szCs w:val="18"/>
                <w:highlight w:val="none"/>
              </w:rPr>
              <w:t>PPT页面可以配合画笔功能，做到随时标注讲解；</w:t>
            </w:r>
          </w:p>
          <w:p>
            <w:pPr>
              <w:spacing w:line="300" w:lineRule="exact"/>
              <w:rPr>
                <w:rFonts w:ascii="Arial" w:hAnsi="Arial" w:cs="Arial"/>
                <w:bCs/>
                <w:sz w:val="18"/>
                <w:szCs w:val="18"/>
                <w:highlight w:val="none"/>
              </w:rPr>
            </w:pPr>
            <w:r>
              <w:rPr>
                <w:rFonts w:hint="eastAsia" w:ascii="Arial" w:hAnsi="Arial" w:cs="Arial"/>
                <w:bCs/>
                <w:sz w:val="18"/>
                <w:szCs w:val="18"/>
                <w:highlight w:val="none"/>
              </w:rPr>
              <w:t>播放PPT时，无需退出PPT即穿插可播放音视频文件，方便教师讲课。</w:t>
            </w:r>
          </w:p>
          <w:p>
            <w:pPr>
              <w:spacing w:line="300" w:lineRule="exact"/>
              <w:rPr>
                <w:rFonts w:ascii="Arial" w:hAnsi="Arial" w:cs="Arial"/>
                <w:bCs/>
                <w:sz w:val="18"/>
                <w:szCs w:val="18"/>
                <w:highlight w:val="none"/>
              </w:rPr>
            </w:pPr>
            <w:r>
              <w:rPr>
                <w:rFonts w:hint="eastAsia" w:ascii="Arial" w:hAnsi="Arial" w:cs="Arial"/>
                <w:bCs/>
                <w:sz w:val="18"/>
                <w:szCs w:val="18"/>
                <w:highlight w:val="none"/>
              </w:rPr>
              <w:t>PPT页面可以通过截图方式截取重点至画板中讲解，并可保存为课堂笔记。</w:t>
            </w:r>
          </w:p>
          <w:p>
            <w:pPr>
              <w:spacing w:line="300" w:lineRule="exact"/>
              <w:rPr>
                <w:rFonts w:ascii="Arial" w:hAnsi="Arial" w:cs="Arial"/>
                <w:bCs/>
                <w:sz w:val="18"/>
                <w:szCs w:val="18"/>
                <w:highlight w:val="none"/>
              </w:rPr>
            </w:pPr>
            <w:r>
              <w:rPr>
                <w:rFonts w:hint="eastAsia" w:ascii="Arial" w:hAnsi="Arial" w:cs="Arial"/>
                <w:bCs/>
                <w:sz w:val="18"/>
                <w:szCs w:val="18"/>
                <w:highlight w:val="none"/>
              </w:rPr>
              <w:t>PPT页面如遇文字较小，可以配合放大镜功能，做到多级别放大，方便后排学生观看。</w:t>
            </w:r>
          </w:p>
          <w:p>
            <w:pPr>
              <w:spacing w:line="300" w:lineRule="exact"/>
              <w:rPr>
                <w:rFonts w:ascii="Arial" w:hAnsi="Arial" w:cs="Arial"/>
                <w:bCs/>
                <w:sz w:val="18"/>
                <w:szCs w:val="18"/>
                <w:highlight w:val="none"/>
              </w:rPr>
            </w:pPr>
            <w:r>
              <w:rPr>
                <w:rFonts w:hint="eastAsia" w:ascii="Arial" w:hAnsi="Arial" w:cs="Arial"/>
                <w:bCs/>
                <w:sz w:val="18"/>
                <w:szCs w:val="18"/>
                <w:highlight w:val="none"/>
              </w:rPr>
              <w:t>需具有移动展台功能，教师可方便将课本、试卷等实物通过移动设备拍照上传至大屏讲解，并需支持在移动端通过手势控制缩放、旋转、移动、剪切、标注、擦除等操作。</w:t>
            </w:r>
          </w:p>
          <w:p>
            <w:pPr>
              <w:spacing w:line="300" w:lineRule="exact"/>
              <w:rPr>
                <w:rFonts w:ascii="Arial" w:hAnsi="Arial" w:cs="Arial"/>
                <w:bCs/>
                <w:sz w:val="18"/>
                <w:szCs w:val="18"/>
                <w:highlight w:val="none"/>
              </w:rPr>
            </w:pPr>
            <w:r>
              <w:rPr>
                <w:rFonts w:hint="eastAsia" w:ascii="Arial" w:hAnsi="Arial" w:cs="Arial"/>
                <w:bCs/>
                <w:sz w:val="18"/>
                <w:szCs w:val="18"/>
                <w:highlight w:val="none"/>
              </w:rPr>
              <w:t>可以通过移动设备摄像头随时分享直播学生做题过程及实验情景，分享过程中，可选择是否录制。</w:t>
            </w:r>
          </w:p>
          <w:p>
            <w:pPr>
              <w:spacing w:line="300" w:lineRule="exact"/>
              <w:rPr>
                <w:rFonts w:ascii="Arial" w:hAnsi="Arial" w:cs="Arial"/>
                <w:bCs/>
                <w:sz w:val="18"/>
                <w:szCs w:val="18"/>
                <w:highlight w:val="none"/>
              </w:rPr>
            </w:pPr>
            <w:r>
              <w:rPr>
                <w:rFonts w:hint="eastAsia" w:ascii="Arial" w:hAnsi="Arial" w:cs="Arial"/>
                <w:bCs/>
                <w:sz w:val="18"/>
                <w:szCs w:val="18"/>
                <w:highlight w:val="none"/>
              </w:rPr>
              <w:t>可轻松播放移动设备上的所有教学文件，包括ppt、word、pdf、图片、音频、视频等，并可通过移动设备端控制播放，包括全屏、快进、快退、停止等。</w:t>
            </w:r>
          </w:p>
          <w:p>
            <w:pPr>
              <w:spacing w:line="300" w:lineRule="exact"/>
              <w:rPr>
                <w:rFonts w:ascii="Arial" w:hAnsi="Arial" w:cs="Arial"/>
                <w:bCs/>
                <w:sz w:val="18"/>
                <w:szCs w:val="18"/>
                <w:highlight w:val="none"/>
              </w:rPr>
            </w:pPr>
            <w:r>
              <w:rPr>
                <w:rFonts w:hint="eastAsia" w:ascii="Arial" w:hAnsi="Arial" w:cs="Arial"/>
                <w:bCs/>
                <w:sz w:val="18"/>
                <w:szCs w:val="18"/>
                <w:highlight w:val="none"/>
              </w:rPr>
              <w:t>需支持电子白板功能，具备铅笔、荧光笔、激光笔、魔法笔、排刷、图案刷等多种书写笔模式。</w:t>
            </w:r>
          </w:p>
          <w:p>
            <w:pPr>
              <w:spacing w:line="300" w:lineRule="exact"/>
              <w:rPr>
                <w:rFonts w:ascii="Arial" w:hAnsi="Arial" w:cs="Arial"/>
                <w:bCs/>
                <w:sz w:val="18"/>
                <w:szCs w:val="18"/>
                <w:highlight w:val="none"/>
              </w:rPr>
            </w:pPr>
            <w:r>
              <w:rPr>
                <w:rFonts w:hint="eastAsia" w:ascii="Arial" w:hAnsi="Arial" w:cs="Arial"/>
                <w:bCs/>
                <w:sz w:val="18"/>
                <w:szCs w:val="18"/>
                <w:highlight w:val="none"/>
              </w:rPr>
              <w:t>需提供三角形、正方形、圆形、椭圆、多边形、平行线、箭头线、虚线等图形绘图工具。</w:t>
            </w:r>
          </w:p>
          <w:p>
            <w:pPr>
              <w:spacing w:line="300" w:lineRule="exact"/>
              <w:rPr>
                <w:rFonts w:ascii="Arial" w:hAnsi="Arial" w:cs="Arial"/>
                <w:bCs/>
                <w:sz w:val="18"/>
                <w:szCs w:val="18"/>
                <w:highlight w:val="none"/>
              </w:rPr>
            </w:pPr>
            <w:r>
              <w:rPr>
                <w:rFonts w:hint="eastAsia" w:ascii="Arial" w:hAnsi="Arial" w:cs="Arial"/>
                <w:bCs/>
                <w:sz w:val="18"/>
                <w:szCs w:val="18"/>
                <w:highlight w:val="none"/>
              </w:rPr>
              <w:t>需可插入图片、PPT、word等文件进行讲解，并可直接保存为图片、pdf等文件。</w:t>
            </w:r>
          </w:p>
          <w:p>
            <w:pPr>
              <w:spacing w:line="300" w:lineRule="exact"/>
              <w:rPr>
                <w:rFonts w:ascii="Arial" w:hAnsi="Arial" w:cs="Arial"/>
                <w:bCs/>
                <w:sz w:val="18"/>
                <w:szCs w:val="18"/>
                <w:highlight w:val="none"/>
              </w:rPr>
            </w:pPr>
            <w:r>
              <w:rPr>
                <w:rFonts w:hint="eastAsia" w:ascii="Arial" w:hAnsi="Arial" w:cs="Arial"/>
                <w:bCs/>
                <w:sz w:val="18"/>
                <w:szCs w:val="18"/>
                <w:highlight w:val="none"/>
              </w:rPr>
              <w:t>支持手势漫游、手势擦除、手势缩放等功能。</w:t>
            </w:r>
          </w:p>
          <w:p>
            <w:pPr>
              <w:spacing w:line="300" w:lineRule="exact"/>
              <w:rPr>
                <w:rFonts w:ascii="Arial" w:hAnsi="Arial" w:cs="Arial"/>
                <w:bCs/>
                <w:sz w:val="18"/>
                <w:szCs w:val="18"/>
                <w:highlight w:val="none"/>
              </w:rPr>
            </w:pPr>
            <w:r>
              <w:rPr>
                <w:rFonts w:hint="eastAsia" w:ascii="Arial" w:hAnsi="Arial" w:cs="Arial"/>
                <w:bCs/>
                <w:sz w:val="18"/>
                <w:szCs w:val="18"/>
                <w:highlight w:val="none"/>
              </w:rPr>
              <w:t>可以将移动设备的界面无线投屏至大屏，移动设备所有操作都可在大屏上显示。</w:t>
            </w:r>
          </w:p>
          <w:p>
            <w:pPr>
              <w:spacing w:line="300" w:lineRule="exact"/>
              <w:rPr>
                <w:rFonts w:ascii="Arial" w:hAnsi="Arial" w:cs="Arial"/>
                <w:bCs/>
                <w:sz w:val="18"/>
                <w:szCs w:val="18"/>
                <w:highlight w:val="none"/>
              </w:rPr>
            </w:pPr>
            <w:r>
              <w:rPr>
                <w:rFonts w:hint="eastAsia" w:ascii="Arial" w:hAnsi="Arial" w:cs="Arial"/>
                <w:bCs/>
                <w:sz w:val="18"/>
                <w:szCs w:val="18"/>
                <w:highlight w:val="none"/>
              </w:rPr>
              <w:t>可将移动设备端的文件无线上传电脑端指定文件夹内，也可将电脑端文件下载至移动设备端指定文件夹。</w:t>
            </w:r>
          </w:p>
          <w:p>
            <w:pPr>
              <w:spacing w:line="300" w:lineRule="exact"/>
              <w:rPr>
                <w:rFonts w:ascii="Arial" w:hAnsi="Arial" w:cs="Arial"/>
                <w:bCs/>
                <w:sz w:val="18"/>
                <w:szCs w:val="18"/>
                <w:highlight w:val="none"/>
              </w:rPr>
            </w:pPr>
            <w:r>
              <w:rPr>
                <w:rFonts w:hint="eastAsia" w:ascii="Arial" w:hAnsi="Arial" w:cs="Arial"/>
                <w:bCs/>
                <w:sz w:val="18"/>
                <w:szCs w:val="18"/>
                <w:highlight w:val="none"/>
              </w:rPr>
              <w:t>需支持鼠标指针大小、形状可选择设置，并可自定义鼠标形状，解决后排学生经常看不清鼠标指针的问题。</w:t>
            </w:r>
          </w:p>
          <w:p>
            <w:pPr>
              <w:spacing w:line="300" w:lineRule="exact"/>
              <w:rPr>
                <w:rFonts w:ascii="Arial" w:hAnsi="Arial" w:cs="Arial"/>
                <w:bCs/>
                <w:sz w:val="18"/>
                <w:szCs w:val="18"/>
                <w:highlight w:val="none"/>
              </w:rPr>
            </w:pPr>
            <w:r>
              <w:rPr>
                <w:rFonts w:hint="eastAsia" w:ascii="Arial" w:hAnsi="Arial" w:cs="Arial"/>
                <w:bCs/>
                <w:sz w:val="18"/>
                <w:szCs w:val="18"/>
                <w:highlight w:val="none"/>
              </w:rPr>
              <w:t>具备基本辅助工具，包括荧光笔、聚光灯、放大镜等，荧光笔颜色、聚光灯大小及放大镜倍数通过移动设备端轻松可调。</w:t>
            </w:r>
          </w:p>
          <w:p>
            <w:pPr>
              <w:spacing w:line="300" w:lineRule="exact"/>
              <w:rPr>
                <w:rFonts w:ascii="Arial" w:hAnsi="Arial" w:cs="Arial"/>
                <w:bCs/>
                <w:sz w:val="18"/>
                <w:szCs w:val="18"/>
                <w:highlight w:val="none"/>
              </w:rPr>
            </w:pPr>
            <w:r>
              <w:rPr>
                <w:rFonts w:hint="eastAsia" w:ascii="Arial" w:hAnsi="Arial" w:cs="Arial"/>
                <w:bCs/>
                <w:sz w:val="18"/>
                <w:szCs w:val="18"/>
                <w:highlight w:val="none"/>
              </w:rPr>
              <w:t>移动设备端软件可扫描二维码自动下载，并自动提示新版本升级或自动检查升级至最新版。</w:t>
            </w:r>
          </w:p>
          <w:p>
            <w:pPr>
              <w:spacing w:line="300" w:lineRule="exact"/>
              <w:rPr>
                <w:rFonts w:ascii="Arial" w:hAnsi="Arial" w:cs="Arial"/>
                <w:bCs/>
                <w:sz w:val="18"/>
                <w:szCs w:val="18"/>
                <w:highlight w:val="none"/>
              </w:rPr>
            </w:pPr>
            <w:r>
              <w:rPr>
                <w:rFonts w:hint="eastAsia"/>
                <w:highlight w:val="none"/>
              </w:rPr>
              <w:t>▲</w:t>
            </w:r>
            <w:r>
              <w:rPr>
                <w:rFonts w:hint="eastAsia" w:ascii="Arial" w:hAnsi="Arial" w:cs="Arial"/>
                <w:bCs/>
                <w:sz w:val="18"/>
                <w:szCs w:val="18"/>
                <w:highlight w:val="none"/>
              </w:rPr>
              <w:t>移动设备端需支持iOS、Android、win8/10三大平台。</w:t>
            </w:r>
          </w:p>
          <w:p>
            <w:pPr>
              <w:spacing w:line="300" w:lineRule="exact"/>
              <w:rPr>
                <w:rFonts w:ascii="Arial" w:hAnsi="Arial" w:cs="Arial"/>
                <w:bCs/>
                <w:sz w:val="18"/>
                <w:szCs w:val="18"/>
                <w:highlight w:val="none"/>
              </w:rPr>
            </w:pPr>
            <w:r>
              <w:rPr>
                <w:rFonts w:hint="eastAsia" w:ascii="Arial" w:hAnsi="Arial" w:cs="Arial"/>
                <w:bCs/>
                <w:sz w:val="18"/>
                <w:szCs w:val="18"/>
                <w:highlight w:val="none"/>
              </w:rPr>
              <w:t>需提供软件著作权证书，以证明软件的合法知识产权；</w:t>
            </w:r>
          </w:p>
          <w:p>
            <w:pPr>
              <w:spacing w:line="300" w:lineRule="exact"/>
              <w:rPr>
                <w:rFonts w:ascii="Arial" w:hAnsi="Arial" w:cs="Arial"/>
                <w:bCs/>
                <w:sz w:val="18"/>
                <w:szCs w:val="18"/>
                <w:highlight w:val="none"/>
              </w:rPr>
            </w:pPr>
            <w:r>
              <w:rPr>
                <w:rFonts w:hint="eastAsia" w:ascii="Arial" w:hAnsi="Arial" w:cs="Arial"/>
                <w:bCs/>
                <w:sz w:val="18"/>
                <w:szCs w:val="18"/>
                <w:highlight w:val="none"/>
              </w:rPr>
              <w:t>需提供软件产品登记测试报告，以证明软件不含病毒、后台窃取等；</w:t>
            </w:r>
          </w:p>
          <w:p>
            <w:pPr>
              <w:spacing w:line="300" w:lineRule="exact"/>
              <w:rPr>
                <w:sz w:val="18"/>
                <w:szCs w:val="18"/>
                <w:highlight w:val="none"/>
              </w:rPr>
            </w:pPr>
            <w:r>
              <w:rPr>
                <w:rFonts w:hint="eastAsia" w:ascii="Arial" w:hAnsi="Arial" w:cs="Arial"/>
                <w:bCs/>
                <w:sz w:val="18"/>
                <w:szCs w:val="18"/>
                <w:highlight w:val="none"/>
              </w:rPr>
              <w:t>需提供生产厂家授权及售后服务承诺书。</w:t>
            </w:r>
          </w:p>
        </w:tc>
      </w:tr>
    </w:tbl>
    <w:p>
      <w:pPr>
        <w:rPr>
          <w:b/>
          <w:highlight w:val="none"/>
        </w:rPr>
      </w:pPr>
    </w:p>
    <w:p>
      <w:pPr>
        <w:rPr>
          <w:b/>
          <w:highlight w:val="none"/>
        </w:rPr>
      </w:pPr>
    </w:p>
    <w:p>
      <w:pPr>
        <w:pStyle w:val="4"/>
        <w:rPr>
          <w:rFonts w:ascii="宋体" w:hAnsi="宋体" w:cs="宋体"/>
          <w:szCs w:val="21"/>
          <w:highlight w:val="none"/>
        </w:rPr>
      </w:pPr>
      <w:r>
        <w:rPr>
          <w:rFonts w:hint="eastAsia" w:ascii="宋体" w:hAnsi="宋体" w:cs="宋体"/>
          <w:szCs w:val="21"/>
          <w:highlight w:val="none"/>
        </w:rPr>
        <w:t>附件3：速印机技术要求</w:t>
      </w:r>
    </w:p>
    <w:tbl>
      <w:tblPr>
        <w:tblStyle w:val="44"/>
        <w:tblW w:w="9321" w:type="dxa"/>
        <w:jc w:val="center"/>
        <w:tblInd w:w="0" w:type="dxa"/>
        <w:tblLayout w:type="fixed"/>
        <w:tblCellMar>
          <w:top w:w="0" w:type="dxa"/>
          <w:left w:w="0" w:type="dxa"/>
          <w:bottom w:w="0" w:type="dxa"/>
          <w:right w:w="0" w:type="dxa"/>
        </w:tblCellMar>
      </w:tblPr>
      <w:tblGrid>
        <w:gridCol w:w="792"/>
        <w:gridCol w:w="992"/>
        <w:gridCol w:w="7537"/>
      </w:tblGrid>
      <w:tr>
        <w:tblPrEx>
          <w:tblLayout w:type="fixed"/>
          <w:tblCellMar>
            <w:top w:w="0" w:type="dxa"/>
            <w:left w:w="0" w:type="dxa"/>
            <w:bottom w:w="0" w:type="dxa"/>
            <w:right w:w="0" w:type="dxa"/>
          </w:tblCellMar>
        </w:tblPrEx>
        <w:trPr>
          <w:trHeight w:val="540" w:hRule="atLeast"/>
          <w:jc w:val="center"/>
        </w:trPr>
        <w:tc>
          <w:tcPr>
            <w:tcW w:w="79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b/>
                <w:sz w:val="18"/>
                <w:szCs w:val="18"/>
                <w:highlight w:val="none"/>
              </w:rPr>
            </w:pPr>
            <w:r>
              <w:rPr>
                <w:rFonts w:hint="eastAsia"/>
                <w:b/>
                <w:sz w:val="18"/>
                <w:szCs w:val="18"/>
                <w:highlight w:val="none"/>
              </w:rPr>
              <w:t>序号</w:t>
            </w:r>
          </w:p>
        </w:tc>
        <w:tc>
          <w:tcPr>
            <w:tcW w:w="99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b/>
                <w:sz w:val="18"/>
                <w:szCs w:val="18"/>
                <w:highlight w:val="none"/>
              </w:rPr>
            </w:pPr>
            <w:r>
              <w:rPr>
                <w:rFonts w:hint="eastAsia"/>
                <w:b/>
                <w:sz w:val="18"/>
                <w:szCs w:val="18"/>
                <w:highlight w:val="none"/>
              </w:rPr>
              <w:t>设备名称</w:t>
            </w:r>
          </w:p>
        </w:tc>
        <w:tc>
          <w:tcPr>
            <w:tcW w:w="75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b/>
                <w:sz w:val="18"/>
                <w:szCs w:val="18"/>
                <w:highlight w:val="none"/>
              </w:rPr>
            </w:pPr>
            <w:r>
              <w:rPr>
                <w:rFonts w:hint="eastAsia"/>
                <w:b/>
                <w:sz w:val="18"/>
                <w:szCs w:val="18"/>
                <w:highlight w:val="none"/>
              </w:rPr>
              <w:t>技术规格</w:t>
            </w:r>
          </w:p>
        </w:tc>
      </w:tr>
      <w:tr>
        <w:tblPrEx>
          <w:tblLayout w:type="fixed"/>
          <w:tblCellMar>
            <w:top w:w="0" w:type="dxa"/>
            <w:left w:w="0" w:type="dxa"/>
            <w:bottom w:w="0" w:type="dxa"/>
            <w:right w:w="0" w:type="dxa"/>
          </w:tblCellMar>
        </w:tblPrEx>
        <w:trPr>
          <w:trHeight w:val="401" w:hRule="atLeast"/>
          <w:jc w:val="center"/>
        </w:trPr>
        <w:tc>
          <w:tcPr>
            <w:tcW w:w="79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sz w:val="18"/>
                <w:szCs w:val="18"/>
                <w:highlight w:val="none"/>
              </w:rPr>
            </w:pPr>
            <w:r>
              <w:rPr>
                <w:rFonts w:hint="eastAsia"/>
                <w:sz w:val="18"/>
                <w:szCs w:val="18"/>
                <w:highlight w:val="none"/>
              </w:rPr>
              <w:t>1</w:t>
            </w:r>
          </w:p>
        </w:tc>
        <w:tc>
          <w:tcPr>
            <w:tcW w:w="99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sz w:val="18"/>
                <w:szCs w:val="18"/>
                <w:highlight w:val="none"/>
              </w:rPr>
            </w:pPr>
            <w:r>
              <w:rPr>
                <w:rFonts w:hint="eastAsia"/>
                <w:sz w:val="18"/>
                <w:szCs w:val="18"/>
                <w:highlight w:val="none"/>
              </w:rPr>
              <w:t>速印机</w:t>
            </w:r>
          </w:p>
        </w:tc>
        <w:tc>
          <w:tcPr>
            <w:tcW w:w="75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left"/>
              <w:textAlignment w:val="center"/>
              <w:rPr>
                <w:sz w:val="18"/>
                <w:szCs w:val="18"/>
                <w:highlight w:val="none"/>
              </w:rPr>
            </w:pPr>
            <w:r>
              <w:rPr>
                <w:rFonts w:hint="eastAsia"/>
                <w:highlight w:val="none"/>
              </w:rPr>
              <w:t>▲</w:t>
            </w:r>
            <w:r>
              <w:rPr>
                <w:rFonts w:hint="eastAsia"/>
                <w:sz w:val="18"/>
                <w:szCs w:val="18"/>
                <w:highlight w:val="none"/>
              </w:rPr>
              <w:t>工作方式：高速数码制版；</w:t>
            </w:r>
          </w:p>
          <w:p>
            <w:pPr>
              <w:jc w:val="left"/>
              <w:textAlignment w:val="center"/>
              <w:rPr>
                <w:sz w:val="18"/>
                <w:szCs w:val="18"/>
                <w:highlight w:val="none"/>
              </w:rPr>
            </w:pPr>
            <w:r>
              <w:rPr>
                <w:rFonts w:hint="eastAsia"/>
                <w:sz w:val="18"/>
                <w:szCs w:val="18"/>
                <w:highlight w:val="none"/>
              </w:rPr>
              <w:t>原稿类型：书刊；</w:t>
            </w:r>
          </w:p>
          <w:p>
            <w:pPr>
              <w:jc w:val="left"/>
              <w:textAlignment w:val="center"/>
              <w:rPr>
                <w:sz w:val="18"/>
                <w:szCs w:val="18"/>
                <w:highlight w:val="none"/>
              </w:rPr>
            </w:pPr>
            <w:r>
              <w:rPr>
                <w:rFonts w:hint="eastAsia"/>
                <w:sz w:val="18"/>
                <w:szCs w:val="18"/>
                <w:highlight w:val="none"/>
              </w:rPr>
              <w:t>原稿尺寸：使用稿台玻璃：最小≤50mm×90mm，最大≥310mm×432mm；</w:t>
            </w:r>
          </w:p>
          <w:p>
            <w:pPr>
              <w:jc w:val="left"/>
              <w:textAlignment w:val="center"/>
              <w:rPr>
                <w:sz w:val="18"/>
                <w:szCs w:val="18"/>
                <w:highlight w:val="none"/>
              </w:rPr>
            </w:pPr>
            <w:r>
              <w:rPr>
                <w:rFonts w:hint="eastAsia"/>
                <w:sz w:val="18"/>
                <w:szCs w:val="18"/>
                <w:highlight w:val="none"/>
              </w:rPr>
              <w:t>原稿重量：使用稿台玻璃：≥10kg；</w:t>
            </w:r>
          </w:p>
          <w:p>
            <w:pPr>
              <w:jc w:val="left"/>
              <w:textAlignment w:val="center"/>
              <w:rPr>
                <w:sz w:val="18"/>
                <w:szCs w:val="18"/>
                <w:highlight w:val="none"/>
              </w:rPr>
            </w:pPr>
            <w:r>
              <w:rPr>
                <w:rFonts w:hint="eastAsia"/>
                <w:highlight w:val="none"/>
              </w:rPr>
              <w:t>▲</w:t>
            </w:r>
            <w:r>
              <w:rPr>
                <w:rFonts w:hint="eastAsia"/>
                <w:sz w:val="18"/>
                <w:szCs w:val="18"/>
                <w:highlight w:val="none"/>
              </w:rPr>
              <w:t>扫描面积：最大≥297mm×432mm；</w:t>
            </w:r>
          </w:p>
          <w:p>
            <w:pPr>
              <w:jc w:val="left"/>
              <w:textAlignment w:val="center"/>
              <w:rPr>
                <w:sz w:val="18"/>
                <w:szCs w:val="18"/>
                <w:highlight w:val="none"/>
              </w:rPr>
            </w:pPr>
            <w:r>
              <w:rPr>
                <w:rFonts w:hint="eastAsia"/>
                <w:sz w:val="18"/>
                <w:szCs w:val="18"/>
                <w:highlight w:val="none"/>
              </w:rPr>
              <w:t>印刷纸张尺寸：最大≥310×432mm，最小≤100mm×148mm；</w:t>
            </w:r>
          </w:p>
          <w:p>
            <w:pPr>
              <w:jc w:val="left"/>
              <w:textAlignment w:val="center"/>
              <w:rPr>
                <w:sz w:val="18"/>
                <w:szCs w:val="18"/>
                <w:highlight w:val="none"/>
              </w:rPr>
            </w:pPr>
            <w:r>
              <w:rPr>
                <w:rFonts w:hint="eastAsia"/>
                <w:highlight w:val="none"/>
              </w:rPr>
              <w:t>▲</w:t>
            </w:r>
            <w:r>
              <w:rPr>
                <w:rFonts w:hint="eastAsia"/>
                <w:sz w:val="18"/>
                <w:szCs w:val="18"/>
                <w:highlight w:val="none"/>
              </w:rPr>
              <w:t>用纸容量 ：堆叠过度≥110mm（进纸台1000张，接纸盘1000张）；</w:t>
            </w:r>
          </w:p>
          <w:p>
            <w:pPr>
              <w:jc w:val="left"/>
              <w:textAlignment w:val="center"/>
              <w:rPr>
                <w:sz w:val="18"/>
                <w:szCs w:val="18"/>
                <w:highlight w:val="none"/>
              </w:rPr>
            </w:pPr>
            <w:r>
              <w:rPr>
                <w:rFonts w:hint="eastAsia"/>
                <w:sz w:val="18"/>
                <w:szCs w:val="18"/>
                <w:highlight w:val="none"/>
              </w:rPr>
              <w:t>印刷纸张重量：最薄≤46 g/㎡，最厚≥210g/㎡；</w:t>
            </w:r>
          </w:p>
          <w:p>
            <w:pPr>
              <w:jc w:val="left"/>
              <w:textAlignment w:val="center"/>
              <w:rPr>
                <w:sz w:val="18"/>
                <w:szCs w:val="18"/>
                <w:highlight w:val="none"/>
              </w:rPr>
            </w:pPr>
            <w:r>
              <w:rPr>
                <w:rFonts w:hint="eastAsia"/>
                <w:highlight w:val="none"/>
              </w:rPr>
              <w:t>▲</w:t>
            </w:r>
            <w:r>
              <w:rPr>
                <w:rFonts w:hint="eastAsia"/>
                <w:sz w:val="18"/>
                <w:szCs w:val="18"/>
                <w:highlight w:val="none"/>
              </w:rPr>
              <w:t>原稿处理模式：≥四种方式（文字，图像，图文，铅笔模式）；</w:t>
            </w:r>
          </w:p>
          <w:p>
            <w:pPr>
              <w:jc w:val="left"/>
              <w:textAlignment w:val="center"/>
              <w:rPr>
                <w:sz w:val="18"/>
                <w:szCs w:val="18"/>
                <w:highlight w:val="none"/>
              </w:rPr>
            </w:pPr>
            <w:r>
              <w:rPr>
                <w:rFonts w:hint="eastAsia"/>
                <w:sz w:val="18"/>
                <w:szCs w:val="18"/>
                <w:highlight w:val="none"/>
              </w:rPr>
              <w:t>扫描分辨率：≥600dpi×600dpi；</w:t>
            </w:r>
          </w:p>
          <w:p>
            <w:pPr>
              <w:jc w:val="left"/>
              <w:textAlignment w:val="center"/>
              <w:rPr>
                <w:sz w:val="18"/>
                <w:szCs w:val="18"/>
                <w:highlight w:val="none"/>
              </w:rPr>
            </w:pPr>
            <w:r>
              <w:rPr>
                <w:rFonts w:hint="eastAsia"/>
                <w:highlight w:val="none"/>
              </w:rPr>
              <w:t>▲</w:t>
            </w:r>
            <w:r>
              <w:rPr>
                <w:rFonts w:hint="eastAsia"/>
                <w:sz w:val="18"/>
                <w:szCs w:val="18"/>
                <w:highlight w:val="none"/>
              </w:rPr>
              <w:t>制版时间：最快≤16秒（开机）；快速制版时间≤14秒（开机）；</w:t>
            </w:r>
          </w:p>
          <w:p>
            <w:pPr>
              <w:jc w:val="left"/>
              <w:textAlignment w:val="center"/>
              <w:rPr>
                <w:sz w:val="18"/>
                <w:szCs w:val="18"/>
                <w:highlight w:val="none"/>
              </w:rPr>
            </w:pPr>
            <w:r>
              <w:rPr>
                <w:rFonts w:hint="eastAsia"/>
                <w:sz w:val="18"/>
                <w:szCs w:val="18"/>
                <w:highlight w:val="none"/>
              </w:rPr>
              <w:t>印刷面积：最大≥251mm×354mm；</w:t>
            </w:r>
          </w:p>
          <w:p>
            <w:pPr>
              <w:jc w:val="left"/>
              <w:textAlignment w:val="center"/>
              <w:rPr>
                <w:sz w:val="18"/>
                <w:szCs w:val="18"/>
                <w:highlight w:val="none"/>
              </w:rPr>
            </w:pPr>
            <w:r>
              <w:rPr>
                <w:rFonts w:hint="eastAsia"/>
                <w:sz w:val="18"/>
                <w:szCs w:val="18"/>
                <w:highlight w:val="none"/>
              </w:rPr>
              <w:t>印刷缩放比例：无级缩放：50%-200% ；放大：141%，122%，116%； 缩小：94%，87%，82%，71%；</w:t>
            </w:r>
          </w:p>
          <w:p>
            <w:pPr>
              <w:jc w:val="left"/>
              <w:textAlignment w:val="center"/>
              <w:rPr>
                <w:sz w:val="18"/>
                <w:szCs w:val="18"/>
                <w:highlight w:val="none"/>
              </w:rPr>
            </w:pPr>
            <w:r>
              <w:rPr>
                <w:rFonts w:hint="eastAsia"/>
                <w:highlight w:val="none"/>
              </w:rPr>
              <w:t>▲</w:t>
            </w:r>
            <w:r>
              <w:rPr>
                <w:rFonts w:hint="eastAsia"/>
                <w:sz w:val="18"/>
                <w:szCs w:val="18"/>
                <w:highlight w:val="none"/>
              </w:rPr>
              <w:t>印刷速度：A3幅面印刷最快≥130张，≥5档调速；</w:t>
            </w:r>
          </w:p>
          <w:p>
            <w:pPr>
              <w:jc w:val="left"/>
              <w:textAlignment w:val="center"/>
              <w:rPr>
                <w:sz w:val="18"/>
                <w:szCs w:val="18"/>
                <w:highlight w:val="none"/>
              </w:rPr>
            </w:pPr>
            <w:r>
              <w:rPr>
                <w:rFonts w:hint="eastAsia"/>
                <w:sz w:val="18"/>
                <w:szCs w:val="18"/>
                <w:highlight w:val="none"/>
              </w:rPr>
              <w:t>印刷位置调整：水平：≥±15mm 垂直：≥±10mm；</w:t>
            </w:r>
          </w:p>
          <w:p>
            <w:pPr>
              <w:jc w:val="left"/>
              <w:textAlignment w:val="center"/>
              <w:rPr>
                <w:sz w:val="18"/>
                <w:szCs w:val="18"/>
                <w:highlight w:val="none"/>
              </w:rPr>
            </w:pPr>
            <w:r>
              <w:rPr>
                <w:rFonts w:hint="eastAsia"/>
                <w:sz w:val="18"/>
                <w:szCs w:val="18"/>
                <w:highlight w:val="none"/>
              </w:rPr>
              <w:t>废版容量：≥100张；</w:t>
            </w:r>
          </w:p>
          <w:p>
            <w:pPr>
              <w:jc w:val="left"/>
              <w:textAlignment w:val="center"/>
              <w:rPr>
                <w:sz w:val="18"/>
                <w:szCs w:val="18"/>
                <w:highlight w:val="none"/>
              </w:rPr>
            </w:pPr>
            <w:r>
              <w:rPr>
                <w:rFonts w:hint="eastAsia"/>
                <w:highlight w:val="none"/>
              </w:rPr>
              <w:t>▲</w:t>
            </w:r>
            <w:r>
              <w:rPr>
                <w:rFonts w:hint="eastAsia"/>
                <w:sz w:val="18"/>
                <w:szCs w:val="18"/>
                <w:highlight w:val="none"/>
              </w:rPr>
              <w:t>主要功能：自动进程、铅笔模式、网点模式、二合一功能、消除中缝、自动/手动均墨、节能模式（关机或休眠）、省墨模式、扫描浓度调整、印刷浓度调整、程序A/B、计数器报表输出、保密模式、编程印刷、耗材剩余量提示、自动休眠设定、自动关机设定、 IQ系统、多米诺出纸系统、USB flash-via-printing打印、标配工作台、分班功能；</w:t>
            </w:r>
          </w:p>
          <w:p>
            <w:pPr>
              <w:jc w:val="left"/>
              <w:textAlignment w:val="center"/>
              <w:rPr>
                <w:sz w:val="18"/>
                <w:szCs w:val="18"/>
                <w:highlight w:val="none"/>
              </w:rPr>
            </w:pPr>
            <w:r>
              <w:rPr>
                <w:rFonts w:hint="eastAsia"/>
                <w:highlight w:val="none"/>
              </w:rPr>
              <w:t>▲</w:t>
            </w:r>
            <w:r>
              <w:rPr>
                <w:rFonts w:hint="eastAsia"/>
                <w:sz w:val="18"/>
                <w:szCs w:val="18"/>
                <w:highlight w:val="none"/>
              </w:rPr>
              <w:t>油墨供应：全自动（每瓶容量≥1000ml）；</w:t>
            </w:r>
          </w:p>
          <w:p>
            <w:pPr>
              <w:pStyle w:val="7"/>
              <w:ind w:firstLine="0"/>
              <w:rPr>
                <w:sz w:val="18"/>
                <w:szCs w:val="18"/>
                <w:highlight w:val="none"/>
              </w:rPr>
            </w:pPr>
            <w:r>
              <w:rPr>
                <w:rFonts w:hint="eastAsia" w:ascii="宋体" w:hAnsi="宋体" w:cs="宋体"/>
                <w:sz w:val="18"/>
                <w:szCs w:val="18"/>
                <w:highlight w:val="none"/>
              </w:rPr>
              <w:t xml:space="preserve">  原厂2年保修。</w:t>
            </w:r>
          </w:p>
        </w:tc>
      </w:tr>
    </w:tbl>
    <w:p>
      <w:pPr>
        <w:widowControl w:val="0"/>
        <w:shd w:val="clear" w:color="auto" w:fill="auto"/>
        <w:tabs>
          <w:tab w:val="clear" w:pos="426"/>
        </w:tabs>
        <w:adjustRightInd/>
        <w:snapToGrid/>
        <w:spacing w:beforeLines="50" w:line="300" w:lineRule="auto"/>
        <w:ind w:firstLine="420" w:firstLineChars="200"/>
        <w:rPr>
          <w:rFonts w:cs="Times New Roman"/>
          <w:kern w:val="2"/>
          <w:szCs w:val="21"/>
          <w:highlight w:val="none"/>
        </w:rPr>
      </w:pPr>
      <w:r>
        <w:rPr>
          <w:rFonts w:hint="eastAsia" w:cs="Times New Roman"/>
          <w:kern w:val="2"/>
          <w:szCs w:val="21"/>
          <w:highlight w:val="none"/>
        </w:rPr>
        <w:t>备注：</w:t>
      </w:r>
    </w:p>
    <w:p>
      <w:pPr>
        <w:widowControl w:val="0"/>
        <w:shd w:val="clear" w:color="auto" w:fill="auto"/>
        <w:tabs>
          <w:tab w:val="clear" w:pos="426"/>
        </w:tabs>
        <w:adjustRightInd/>
        <w:snapToGrid/>
        <w:spacing w:beforeLines="50" w:line="300" w:lineRule="auto"/>
        <w:ind w:firstLine="420" w:firstLineChars="200"/>
        <w:rPr>
          <w:rFonts w:cs="Times New Roman"/>
          <w:kern w:val="2"/>
          <w:szCs w:val="21"/>
          <w:highlight w:val="none"/>
        </w:rPr>
      </w:pPr>
      <w:r>
        <w:rPr>
          <w:rFonts w:hint="eastAsia" w:cs="Times New Roman"/>
          <w:kern w:val="2"/>
          <w:szCs w:val="21"/>
          <w:highlight w:val="none"/>
        </w:rPr>
        <w:t>1</w:t>
      </w:r>
      <w:r>
        <w:rPr>
          <w:rFonts w:cs="Times New Roman"/>
          <w:kern w:val="2"/>
          <w:szCs w:val="21"/>
          <w:highlight w:val="none"/>
        </w:rPr>
        <w:t>.技术要求分为一般技术要求</w:t>
      </w:r>
      <w:r>
        <w:rPr>
          <w:rFonts w:hint="eastAsia" w:cs="Times New Roman"/>
          <w:kern w:val="2"/>
          <w:szCs w:val="21"/>
          <w:highlight w:val="none"/>
        </w:rPr>
        <w:t>、</w:t>
      </w:r>
      <w:r>
        <w:rPr>
          <w:rFonts w:cs="Times New Roman"/>
          <w:kern w:val="2"/>
          <w:szCs w:val="21"/>
          <w:highlight w:val="none"/>
        </w:rPr>
        <w:t>重要技术要求</w:t>
      </w:r>
      <w:r>
        <w:rPr>
          <w:rFonts w:hint="eastAsia" w:cs="Times New Roman"/>
          <w:kern w:val="2"/>
          <w:szCs w:val="21"/>
          <w:highlight w:val="none"/>
        </w:rPr>
        <w:t>（以“▲”标注）</w:t>
      </w:r>
      <w:r>
        <w:rPr>
          <w:rFonts w:cs="Times New Roman"/>
          <w:kern w:val="2"/>
          <w:szCs w:val="21"/>
          <w:highlight w:val="none"/>
        </w:rPr>
        <w:t>和实质性技术要求</w:t>
      </w:r>
      <w:r>
        <w:rPr>
          <w:rFonts w:hint="eastAsia" w:cs="Times New Roman"/>
          <w:kern w:val="2"/>
          <w:szCs w:val="21"/>
          <w:highlight w:val="none"/>
        </w:rPr>
        <w:t>（以</w:t>
      </w:r>
      <w:r>
        <w:rPr>
          <w:rFonts w:cs="Times New Roman"/>
          <w:kern w:val="2"/>
          <w:szCs w:val="21"/>
          <w:highlight w:val="none"/>
        </w:rPr>
        <w:t>”</w:t>
      </w:r>
      <w:r>
        <w:rPr>
          <w:rFonts w:hint="eastAsia" w:cs="Times New Roman"/>
          <w:kern w:val="2"/>
          <w:szCs w:val="21"/>
          <w:highlight w:val="none"/>
        </w:rPr>
        <w:t>★</w:t>
      </w:r>
      <w:r>
        <w:rPr>
          <w:rFonts w:cs="Times New Roman"/>
          <w:kern w:val="2"/>
          <w:szCs w:val="21"/>
          <w:highlight w:val="none"/>
        </w:rPr>
        <w:t>”</w:t>
      </w:r>
      <w:r>
        <w:rPr>
          <w:rFonts w:hint="eastAsia" w:cs="Times New Roman"/>
          <w:kern w:val="2"/>
          <w:szCs w:val="21"/>
          <w:highlight w:val="none"/>
        </w:rPr>
        <w:t>标注）。一般技术要求和重要技术要求若出现不响应或负偏离，其综合评分的相关分数将予以扣减，但不作为投标无效条款。实质性技术要求（以</w:t>
      </w:r>
      <w:r>
        <w:rPr>
          <w:rFonts w:cs="Times New Roman"/>
          <w:kern w:val="2"/>
          <w:szCs w:val="21"/>
          <w:highlight w:val="none"/>
        </w:rPr>
        <w:t>”</w:t>
      </w:r>
      <w:r>
        <w:rPr>
          <w:rFonts w:hint="eastAsia" w:cs="Times New Roman"/>
          <w:kern w:val="2"/>
          <w:szCs w:val="21"/>
          <w:highlight w:val="none"/>
        </w:rPr>
        <w:t>★</w:t>
      </w:r>
      <w:r>
        <w:rPr>
          <w:rFonts w:cs="Times New Roman"/>
          <w:kern w:val="2"/>
          <w:szCs w:val="21"/>
          <w:highlight w:val="none"/>
        </w:rPr>
        <w:t>”</w:t>
      </w:r>
      <w:r>
        <w:rPr>
          <w:rFonts w:hint="eastAsia" w:cs="Times New Roman"/>
          <w:kern w:val="2"/>
          <w:szCs w:val="21"/>
          <w:highlight w:val="none"/>
        </w:rPr>
        <w:t>标注）若出现不响应或任何一项负偏离，将导致投标无效。</w:t>
      </w:r>
    </w:p>
    <w:p>
      <w:pPr>
        <w:widowControl w:val="0"/>
        <w:shd w:val="clear" w:color="auto" w:fill="auto"/>
        <w:tabs>
          <w:tab w:val="clear" w:pos="426"/>
        </w:tabs>
        <w:adjustRightInd/>
        <w:snapToGrid/>
        <w:spacing w:beforeLines="50" w:line="300" w:lineRule="auto"/>
        <w:ind w:firstLine="420" w:firstLineChars="200"/>
        <w:rPr>
          <w:rFonts w:cs="Times New Roman"/>
          <w:kern w:val="2"/>
          <w:szCs w:val="21"/>
          <w:highlight w:val="none"/>
        </w:rPr>
      </w:pPr>
      <w:r>
        <w:rPr>
          <w:rFonts w:cs="Times New Roman"/>
          <w:kern w:val="2"/>
          <w:szCs w:val="21"/>
          <w:highlight w:val="none"/>
        </w:rPr>
        <w:t>2.若“招标技术要求”要求对投标产品的技术参数提供相应的证明资料，以证明投标人响应的真实性，投标人应按照招标文件的要求提供证明资料</w:t>
      </w:r>
      <w:r>
        <w:rPr>
          <w:rFonts w:hint="eastAsia" w:cs="Times New Roman"/>
          <w:kern w:val="2"/>
          <w:szCs w:val="21"/>
          <w:highlight w:val="none"/>
        </w:rPr>
        <w:t>（例如：</w:t>
      </w:r>
      <w:r>
        <w:rPr>
          <w:rFonts w:cs="Times New Roman"/>
          <w:kern w:val="2"/>
          <w:szCs w:val="21"/>
          <w:highlight w:val="none"/>
        </w:rPr>
        <w:t>制造商公布的产品说明书、或产品彩页、或我国政府机构出具的产品检验和核准证件等</w:t>
      </w:r>
      <w:r>
        <w:rPr>
          <w:rFonts w:hint="eastAsia" w:cs="Times New Roman"/>
          <w:kern w:val="2"/>
          <w:szCs w:val="21"/>
          <w:highlight w:val="none"/>
        </w:rPr>
        <w:t>）</w:t>
      </w:r>
      <w:r>
        <w:rPr>
          <w:rFonts w:cs="Times New Roman"/>
          <w:kern w:val="2"/>
          <w:szCs w:val="21"/>
          <w:highlight w:val="none"/>
        </w:rPr>
        <w:t>。投标人应在</w:t>
      </w:r>
      <w:r>
        <w:rPr>
          <w:rFonts w:hint="eastAsia" w:cs="Times New Roman"/>
          <w:kern w:val="2"/>
          <w:szCs w:val="21"/>
          <w:highlight w:val="none"/>
        </w:rPr>
        <w:t>《技术规格偏离表》</w:t>
      </w:r>
      <w:r>
        <w:rPr>
          <w:rFonts w:cs="Times New Roman"/>
          <w:kern w:val="2"/>
          <w:szCs w:val="21"/>
          <w:highlight w:val="none"/>
        </w:rPr>
        <w:t>"说明"一栏中列出技术参数的证明资料名称，并指明该证明资料在投标文件中的具体位置。</w:t>
      </w:r>
    </w:p>
    <w:p>
      <w:pPr>
        <w:widowControl w:val="0"/>
        <w:shd w:val="clear" w:color="auto" w:fill="auto"/>
        <w:tabs>
          <w:tab w:val="clear" w:pos="426"/>
        </w:tabs>
        <w:adjustRightInd/>
        <w:snapToGrid/>
        <w:spacing w:beforeLines="50" w:line="300" w:lineRule="auto"/>
        <w:ind w:firstLine="420" w:firstLineChars="200"/>
        <w:rPr>
          <w:rFonts w:cs="Times New Roman"/>
          <w:kern w:val="2"/>
          <w:szCs w:val="21"/>
          <w:highlight w:val="none"/>
        </w:rPr>
      </w:pPr>
      <w:r>
        <w:rPr>
          <w:rFonts w:hint="eastAsia" w:cs="Times New Roman"/>
          <w:kern w:val="2"/>
          <w:szCs w:val="21"/>
          <w:highlight w:val="none"/>
        </w:rPr>
        <w:t>若“招标技术要求”没有要求对投标产品的技术参数提供相应的证明资料，投标人所提供的《技术规格偏离表》即为对招标技术要求作出投标技术响应的书面承诺，投标人在中标后应严格按照承诺内容供货和履约，否则采购人有权将相关情况报政府采购主管部门并依据相关法律法规追究投标人的责任。</w:t>
      </w:r>
    </w:p>
    <w:p>
      <w:pPr>
        <w:widowControl w:val="0"/>
        <w:shd w:val="clear" w:color="auto" w:fill="auto"/>
        <w:tabs>
          <w:tab w:val="clear" w:pos="426"/>
        </w:tabs>
        <w:adjustRightInd/>
        <w:snapToGrid/>
        <w:spacing w:beforeLines="50" w:line="300" w:lineRule="auto"/>
        <w:ind w:firstLine="420" w:firstLineChars="200"/>
        <w:rPr>
          <w:rFonts w:cs="Times New Roman"/>
          <w:kern w:val="2"/>
          <w:szCs w:val="21"/>
          <w:highlight w:val="none"/>
        </w:rPr>
      </w:pPr>
      <w:r>
        <w:rPr>
          <w:rFonts w:cs="Times New Roman"/>
          <w:kern w:val="2"/>
          <w:szCs w:val="21"/>
          <w:highlight w:val="none"/>
        </w:rPr>
        <w:t>未达到以上提供要求的，评标委员会有权认定为不合格响应，其相关分数予以扣减。</w:t>
      </w:r>
    </w:p>
    <w:p>
      <w:pPr>
        <w:numPr>
          <w:ilvl w:val="0"/>
          <w:numId w:val="27"/>
        </w:numPr>
        <w:adjustRightInd/>
        <w:snapToGrid/>
        <w:spacing w:before="280" w:after="290" w:line="377" w:lineRule="auto"/>
        <w:jc w:val="left"/>
        <w:outlineLvl w:val="2"/>
        <w:rPr>
          <w:b/>
          <w:sz w:val="24"/>
          <w:highlight w:val="none"/>
        </w:rPr>
      </w:pPr>
      <w:r>
        <w:rPr>
          <w:rFonts w:hint="eastAsia"/>
          <w:b/>
          <w:sz w:val="24"/>
          <w:highlight w:val="none"/>
        </w:rPr>
        <w:t>商务需求</w:t>
      </w:r>
    </w:p>
    <w:tbl>
      <w:tblPr>
        <w:tblStyle w:val="44"/>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171"/>
        <w:gridCol w:w="5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09" w:type="dxa"/>
            <w:vAlign w:val="center"/>
          </w:tcPr>
          <w:p>
            <w:pPr>
              <w:spacing w:line="240" w:lineRule="auto"/>
              <w:jc w:val="center"/>
              <w:rPr>
                <w:b/>
                <w:highlight w:val="none"/>
              </w:rPr>
            </w:pPr>
            <w:r>
              <w:rPr>
                <w:rFonts w:hint="eastAsia"/>
                <w:b/>
                <w:highlight w:val="none"/>
              </w:rPr>
              <w:t>序号</w:t>
            </w:r>
          </w:p>
        </w:tc>
        <w:tc>
          <w:tcPr>
            <w:tcW w:w="2171" w:type="dxa"/>
            <w:vAlign w:val="center"/>
          </w:tcPr>
          <w:p>
            <w:pPr>
              <w:spacing w:line="240" w:lineRule="auto"/>
              <w:jc w:val="center"/>
              <w:rPr>
                <w:b/>
                <w:highlight w:val="none"/>
              </w:rPr>
            </w:pPr>
            <w:r>
              <w:rPr>
                <w:rFonts w:hint="eastAsia"/>
                <w:b/>
                <w:highlight w:val="none"/>
              </w:rPr>
              <w:t>目录</w:t>
            </w:r>
          </w:p>
        </w:tc>
        <w:tc>
          <w:tcPr>
            <w:tcW w:w="5940" w:type="dxa"/>
            <w:vAlign w:val="center"/>
          </w:tcPr>
          <w:p>
            <w:pPr>
              <w:spacing w:line="240" w:lineRule="auto"/>
              <w:jc w:val="center"/>
              <w:rPr>
                <w:b/>
                <w:highlight w:val="none"/>
              </w:rPr>
            </w:pPr>
            <w:r>
              <w:rPr>
                <w:rFonts w:hint="eastAsia"/>
                <w:b/>
                <w:highlight w:val="none"/>
              </w:rPr>
              <w:t>招标商务需求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820" w:type="dxa"/>
            <w:gridSpan w:val="3"/>
            <w:vAlign w:val="center"/>
          </w:tcPr>
          <w:p>
            <w:pPr>
              <w:spacing w:line="240" w:lineRule="auto"/>
              <w:rPr>
                <w:b/>
                <w:highlight w:val="none"/>
              </w:rPr>
            </w:pPr>
            <w:r>
              <w:rPr>
                <w:rFonts w:hint="eastAsia"/>
                <w:b/>
                <w:highlight w:val="none"/>
              </w:rPr>
              <w:t>（一）免费保修期内售后服务要求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09" w:type="dxa"/>
            <w:vAlign w:val="center"/>
          </w:tcPr>
          <w:p>
            <w:pPr>
              <w:spacing w:line="240" w:lineRule="auto"/>
              <w:jc w:val="center"/>
              <w:rPr>
                <w:b/>
                <w:highlight w:val="none"/>
              </w:rPr>
            </w:pPr>
            <w:r>
              <w:rPr>
                <w:rFonts w:hint="eastAsia"/>
                <w:b/>
                <w:highlight w:val="none"/>
              </w:rPr>
              <w:t>1</w:t>
            </w:r>
          </w:p>
        </w:tc>
        <w:tc>
          <w:tcPr>
            <w:tcW w:w="2171" w:type="dxa"/>
            <w:vAlign w:val="center"/>
          </w:tcPr>
          <w:p>
            <w:pPr>
              <w:spacing w:line="240" w:lineRule="auto"/>
              <w:rPr>
                <w:highlight w:val="none"/>
              </w:rPr>
            </w:pPr>
            <w:r>
              <w:rPr>
                <w:rFonts w:hint="eastAsia"/>
                <w:highlight w:val="none"/>
              </w:rPr>
              <w:t>维修响应及故障解决时间</w:t>
            </w:r>
          </w:p>
        </w:tc>
        <w:tc>
          <w:tcPr>
            <w:tcW w:w="5940" w:type="dxa"/>
            <w:vAlign w:val="center"/>
          </w:tcPr>
          <w:p>
            <w:pPr>
              <w:spacing w:line="240" w:lineRule="auto"/>
              <w:rPr>
                <w:b/>
                <w:highlight w:val="none"/>
              </w:rPr>
            </w:pPr>
            <w:r>
              <w:rPr>
                <w:rFonts w:hint="eastAsia"/>
                <w:highlight w:val="none"/>
              </w:rPr>
              <w:t>免费保修期</w:t>
            </w:r>
            <w:r>
              <w:rPr>
                <w:rFonts w:hint="eastAsia"/>
                <w:b/>
                <w:bCs/>
                <w:highlight w:val="none"/>
                <w:u w:val="single"/>
              </w:rPr>
              <w:t>1</w:t>
            </w:r>
            <w:r>
              <w:rPr>
                <w:rFonts w:hint="eastAsia"/>
                <w:highlight w:val="none"/>
              </w:rPr>
              <w:t>年，时间自最终验收合格并交付使用之日起计算。在保修期内，一旦发生质量问题，投标人保证在接到通知24小时内赶到现场进行修理或更换。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09" w:type="dxa"/>
            <w:vAlign w:val="center"/>
          </w:tcPr>
          <w:p>
            <w:pPr>
              <w:spacing w:line="240" w:lineRule="auto"/>
              <w:jc w:val="center"/>
              <w:rPr>
                <w:b/>
                <w:highlight w:val="none"/>
              </w:rPr>
            </w:pPr>
            <w:r>
              <w:rPr>
                <w:rFonts w:hint="eastAsia"/>
                <w:b/>
                <w:highlight w:val="none"/>
              </w:rPr>
              <w:t>2</w:t>
            </w:r>
          </w:p>
        </w:tc>
        <w:tc>
          <w:tcPr>
            <w:tcW w:w="2171" w:type="dxa"/>
            <w:vAlign w:val="center"/>
          </w:tcPr>
          <w:p>
            <w:pPr>
              <w:spacing w:line="240" w:lineRule="auto"/>
              <w:rPr>
                <w:b/>
                <w:highlight w:val="none"/>
              </w:rPr>
            </w:pPr>
            <w:r>
              <w:rPr>
                <w:rFonts w:hint="eastAsia"/>
                <w:highlight w:val="none"/>
              </w:rPr>
              <w:t>其他</w:t>
            </w:r>
          </w:p>
        </w:tc>
        <w:tc>
          <w:tcPr>
            <w:tcW w:w="5940" w:type="dxa"/>
            <w:vAlign w:val="center"/>
          </w:tcPr>
          <w:p>
            <w:pPr>
              <w:spacing w:line="240" w:lineRule="auto"/>
              <w:rPr>
                <w:b/>
                <w:highlight w:val="none"/>
              </w:rPr>
            </w:pPr>
            <w:r>
              <w:rPr>
                <w:rFonts w:hint="eastAsia"/>
                <w:bCs/>
                <w:szCs w:val="21"/>
                <w:highlight w:val="none"/>
              </w:rPr>
              <w:t>投标人应按其投标文件中的承诺，进行其他售后服务工作。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820" w:type="dxa"/>
            <w:gridSpan w:val="3"/>
            <w:vAlign w:val="center"/>
          </w:tcPr>
          <w:p>
            <w:pPr>
              <w:spacing w:line="240" w:lineRule="auto"/>
              <w:rPr>
                <w:b/>
                <w:highlight w:val="none"/>
              </w:rPr>
            </w:pPr>
            <w:r>
              <w:rPr>
                <w:rFonts w:hint="eastAsia"/>
                <w:b/>
                <w:highlight w:val="none"/>
              </w:rPr>
              <w:t>（二）其他商务要求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09" w:type="dxa"/>
            <w:vMerge w:val="restart"/>
            <w:vAlign w:val="center"/>
          </w:tcPr>
          <w:p>
            <w:pPr>
              <w:spacing w:line="240" w:lineRule="auto"/>
              <w:jc w:val="center"/>
              <w:rPr>
                <w:b/>
                <w:highlight w:val="none"/>
              </w:rPr>
            </w:pPr>
            <w:r>
              <w:rPr>
                <w:rFonts w:hint="eastAsia"/>
                <w:b/>
                <w:highlight w:val="none"/>
              </w:rPr>
              <w:t>1</w:t>
            </w:r>
          </w:p>
        </w:tc>
        <w:tc>
          <w:tcPr>
            <w:tcW w:w="2171" w:type="dxa"/>
            <w:vMerge w:val="restart"/>
            <w:vAlign w:val="center"/>
          </w:tcPr>
          <w:p>
            <w:pPr>
              <w:spacing w:line="240" w:lineRule="auto"/>
              <w:jc w:val="center"/>
              <w:rPr>
                <w:highlight w:val="none"/>
              </w:rPr>
            </w:pPr>
            <w:r>
              <w:rPr>
                <w:rFonts w:hint="eastAsia"/>
                <w:highlight w:val="none"/>
              </w:rPr>
              <w:t>关于交货</w:t>
            </w:r>
          </w:p>
        </w:tc>
        <w:tc>
          <w:tcPr>
            <w:tcW w:w="5940" w:type="dxa"/>
            <w:vAlign w:val="center"/>
          </w:tcPr>
          <w:p>
            <w:pPr>
              <w:spacing w:line="240" w:lineRule="auto"/>
              <w:jc w:val="left"/>
              <w:rPr>
                <w:highlight w:val="none"/>
              </w:rPr>
            </w:pPr>
            <w:r>
              <w:rPr>
                <w:rFonts w:hint="eastAsia"/>
                <w:highlight w:val="none"/>
              </w:rPr>
              <w:t>1.1交货期的要求：签订合同后 30 个日历日内。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09" w:type="dxa"/>
            <w:vMerge w:val="continue"/>
            <w:vAlign w:val="center"/>
          </w:tcPr>
          <w:p>
            <w:pPr>
              <w:spacing w:line="240" w:lineRule="auto"/>
              <w:jc w:val="center"/>
              <w:rPr>
                <w:b/>
                <w:highlight w:val="none"/>
              </w:rPr>
            </w:pPr>
          </w:p>
        </w:tc>
        <w:tc>
          <w:tcPr>
            <w:tcW w:w="2171" w:type="dxa"/>
            <w:vMerge w:val="continue"/>
            <w:vAlign w:val="center"/>
          </w:tcPr>
          <w:p>
            <w:pPr>
              <w:spacing w:line="240" w:lineRule="auto"/>
              <w:jc w:val="center"/>
              <w:rPr>
                <w:highlight w:val="none"/>
              </w:rPr>
            </w:pPr>
          </w:p>
        </w:tc>
        <w:tc>
          <w:tcPr>
            <w:tcW w:w="5940" w:type="dxa"/>
            <w:vAlign w:val="center"/>
          </w:tcPr>
          <w:p>
            <w:pPr>
              <w:spacing w:line="240" w:lineRule="auto"/>
              <w:jc w:val="left"/>
              <w:rPr>
                <w:highlight w:val="none"/>
              </w:rPr>
            </w:pPr>
            <w:r>
              <w:rPr>
                <w:rFonts w:hint="eastAsia"/>
                <w:highlight w:val="none"/>
              </w:rPr>
              <w:t>1.2投标人必须承担的设备运输、安装调试、验收检测和提供设备操作说明书、图纸等其他类似的义务。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09" w:type="dxa"/>
            <w:vMerge w:val="restart"/>
            <w:vAlign w:val="center"/>
          </w:tcPr>
          <w:p>
            <w:pPr>
              <w:spacing w:line="240" w:lineRule="auto"/>
              <w:jc w:val="center"/>
              <w:rPr>
                <w:b/>
                <w:highlight w:val="none"/>
              </w:rPr>
            </w:pPr>
            <w:r>
              <w:rPr>
                <w:rFonts w:hint="eastAsia"/>
                <w:b/>
                <w:highlight w:val="none"/>
              </w:rPr>
              <w:t>2</w:t>
            </w:r>
          </w:p>
        </w:tc>
        <w:tc>
          <w:tcPr>
            <w:tcW w:w="2171" w:type="dxa"/>
            <w:vMerge w:val="restart"/>
            <w:vAlign w:val="center"/>
          </w:tcPr>
          <w:p>
            <w:pPr>
              <w:spacing w:line="240" w:lineRule="auto"/>
              <w:jc w:val="center"/>
              <w:rPr>
                <w:highlight w:val="none"/>
              </w:rPr>
            </w:pPr>
            <w:r>
              <w:rPr>
                <w:rFonts w:hint="eastAsia"/>
                <w:highlight w:val="none"/>
              </w:rPr>
              <w:t>关于验收</w:t>
            </w:r>
          </w:p>
        </w:tc>
        <w:tc>
          <w:tcPr>
            <w:tcW w:w="5940" w:type="dxa"/>
            <w:vAlign w:val="center"/>
          </w:tcPr>
          <w:p>
            <w:pPr>
              <w:spacing w:line="240" w:lineRule="auto"/>
              <w:jc w:val="left"/>
              <w:rPr>
                <w:highlight w:val="none"/>
              </w:rPr>
            </w:pPr>
            <w:r>
              <w:rPr>
                <w:rFonts w:hint="eastAsia"/>
                <w:highlight w:val="none"/>
              </w:rPr>
              <w:t>2.1投标人货物经过双方检验认可后，签署验收报告，产品保修期自验收合格之日起算，由投标人提供产品保修文件。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1" w:hRule="atLeast"/>
        </w:trPr>
        <w:tc>
          <w:tcPr>
            <w:tcW w:w="709" w:type="dxa"/>
            <w:vMerge w:val="continue"/>
            <w:vAlign w:val="center"/>
          </w:tcPr>
          <w:p>
            <w:pPr>
              <w:spacing w:line="240" w:lineRule="auto"/>
              <w:jc w:val="center"/>
              <w:rPr>
                <w:b/>
                <w:highlight w:val="none"/>
              </w:rPr>
            </w:pPr>
          </w:p>
        </w:tc>
        <w:tc>
          <w:tcPr>
            <w:tcW w:w="2171" w:type="dxa"/>
            <w:vMerge w:val="continue"/>
            <w:vAlign w:val="center"/>
          </w:tcPr>
          <w:p>
            <w:pPr>
              <w:spacing w:line="240" w:lineRule="auto"/>
              <w:jc w:val="center"/>
              <w:rPr>
                <w:highlight w:val="none"/>
              </w:rPr>
            </w:pPr>
          </w:p>
        </w:tc>
        <w:tc>
          <w:tcPr>
            <w:tcW w:w="5940" w:type="dxa"/>
            <w:vAlign w:val="center"/>
          </w:tcPr>
          <w:p>
            <w:pPr>
              <w:spacing w:line="240" w:lineRule="auto"/>
              <w:jc w:val="left"/>
              <w:rPr>
                <w:highlight w:val="none"/>
              </w:rPr>
            </w:pPr>
            <w:r>
              <w:rPr>
                <w:rFonts w:hint="eastAsia"/>
                <w:highlight w:val="none"/>
              </w:rPr>
              <w:t>2.2当满足以下条件时，采购人才向中标人签发货物验收报告：</w:t>
            </w:r>
          </w:p>
          <w:p>
            <w:pPr>
              <w:spacing w:line="240" w:lineRule="auto"/>
              <w:jc w:val="left"/>
              <w:rPr>
                <w:highlight w:val="none"/>
              </w:rPr>
            </w:pPr>
            <w:r>
              <w:rPr>
                <w:rFonts w:hint="eastAsia"/>
                <w:highlight w:val="none"/>
              </w:rPr>
              <w:t>a、中标人已按照合同规定提供了全部产品及完整的技术资料。</w:t>
            </w:r>
          </w:p>
          <w:p>
            <w:pPr>
              <w:spacing w:line="240" w:lineRule="auto"/>
              <w:jc w:val="left"/>
              <w:rPr>
                <w:highlight w:val="none"/>
              </w:rPr>
            </w:pPr>
            <w:r>
              <w:rPr>
                <w:rFonts w:hint="eastAsia"/>
                <w:highlight w:val="none"/>
              </w:rPr>
              <w:t>b、货物符合招标文件技术规格书的要求，性能满足要求。</w:t>
            </w:r>
          </w:p>
          <w:p>
            <w:pPr>
              <w:spacing w:line="240" w:lineRule="auto"/>
              <w:jc w:val="left"/>
              <w:rPr>
                <w:highlight w:val="none"/>
              </w:rPr>
            </w:pPr>
            <w:r>
              <w:rPr>
                <w:rFonts w:hint="eastAsia"/>
                <w:highlight w:val="none"/>
              </w:rPr>
              <w:t>c、货物具备产品合格证。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28" w:hRule="atLeast"/>
        </w:trPr>
        <w:tc>
          <w:tcPr>
            <w:tcW w:w="709" w:type="dxa"/>
            <w:vAlign w:val="center"/>
          </w:tcPr>
          <w:p>
            <w:pPr>
              <w:spacing w:line="240" w:lineRule="auto"/>
              <w:jc w:val="center"/>
              <w:rPr>
                <w:highlight w:val="none"/>
              </w:rPr>
            </w:pPr>
            <w:r>
              <w:rPr>
                <w:rFonts w:hint="eastAsia"/>
                <w:b/>
                <w:highlight w:val="none"/>
              </w:rPr>
              <w:t>3</w:t>
            </w:r>
          </w:p>
        </w:tc>
        <w:tc>
          <w:tcPr>
            <w:tcW w:w="2171" w:type="dxa"/>
            <w:vAlign w:val="center"/>
          </w:tcPr>
          <w:p>
            <w:pPr>
              <w:spacing w:line="240" w:lineRule="auto"/>
              <w:jc w:val="center"/>
              <w:rPr>
                <w:highlight w:val="none"/>
              </w:rPr>
            </w:pPr>
            <w:r>
              <w:rPr>
                <w:rFonts w:hint="eastAsia"/>
                <w:highlight w:val="none"/>
              </w:rPr>
              <w:t>付款方式</w:t>
            </w:r>
          </w:p>
        </w:tc>
        <w:tc>
          <w:tcPr>
            <w:tcW w:w="5940" w:type="dxa"/>
            <w:vAlign w:val="center"/>
          </w:tcPr>
          <w:p>
            <w:pPr>
              <w:spacing w:line="240" w:lineRule="auto"/>
              <w:jc w:val="left"/>
              <w:rPr>
                <w:highlight w:val="none"/>
              </w:rPr>
            </w:pPr>
            <w:r>
              <w:rPr>
                <w:rFonts w:hint="eastAsia"/>
                <w:highlight w:val="none"/>
              </w:rPr>
              <w:t>第一期：合同签订且甲方收到乙方开具发票后的10个工作日内，甲方付给乙方合同金额30%款项；</w:t>
            </w:r>
          </w:p>
          <w:p>
            <w:pPr>
              <w:spacing w:line="240" w:lineRule="auto"/>
              <w:jc w:val="left"/>
              <w:rPr>
                <w:highlight w:val="none"/>
              </w:rPr>
            </w:pPr>
            <w:r>
              <w:rPr>
                <w:rFonts w:hint="eastAsia"/>
                <w:highlight w:val="none"/>
              </w:rPr>
              <w:t>第二期：供货数量达到合同总数量60%且甲方收到乙方开具发票后的后10个工作日内，甲方付给乙方合同金额 30% 款项；</w:t>
            </w:r>
          </w:p>
          <w:p>
            <w:pPr>
              <w:spacing w:line="240" w:lineRule="auto"/>
              <w:jc w:val="left"/>
              <w:rPr>
                <w:highlight w:val="none"/>
              </w:rPr>
            </w:pPr>
            <w:r>
              <w:rPr>
                <w:rFonts w:hint="eastAsia"/>
                <w:highlight w:val="none"/>
              </w:rPr>
              <w:t>第三期：验收合格且甲方收到乙方开具发票后的10个工作日内，甲方付给乙方合同金额 35% 款项；（第二期、第三期付款条件同时满足时可合并付款）；</w:t>
            </w:r>
          </w:p>
          <w:p>
            <w:pPr>
              <w:spacing w:line="240" w:lineRule="auto"/>
              <w:jc w:val="left"/>
              <w:rPr>
                <w:highlight w:val="none"/>
              </w:rPr>
            </w:pPr>
            <w:r>
              <w:rPr>
                <w:rFonts w:hint="eastAsia"/>
                <w:highlight w:val="none"/>
              </w:rPr>
              <w:t>第四期：验收合格满一年后且甲方收到乙方开具发票后的10个工作日内，甲方付给乙方合同金额 5% 尾款（即履约、质量保证金）</w:t>
            </w:r>
          </w:p>
        </w:tc>
      </w:tr>
    </w:tbl>
    <w:p>
      <w:pPr>
        <w:numPr>
          <w:ilvl w:val="0"/>
          <w:numId w:val="27"/>
        </w:numPr>
        <w:adjustRightInd/>
        <w:snapToGrid/>
        <w:spacing w:before="280" w:after="290" w:line="377" w:lineRule="auto"/>
        <w:jc w:val="left"/>
        <w:outlineLvl w:val="2"/>
        <w:rPr>
          <w:b/>
          <w:sz w:val="24"/>
          <w:highlight w:val="none"/>
        </w:rPr>
      </w:pPr>
      <w:r>
        <w:rPr>
          <w:rFonts w:hint="eastAsia"/>
          <w:b/>
          <w:sz w:val="24"/>
          <w:highlight w:val="none"/>
        </w:rPr>
        <w:t>政策导向</w:t>
      </w:r>
    </w:p>
    <w:p>
      <w:pPr>
        <w:widowControl w:val="0"/>
        <w:shd w:val="clear" w:color="auto" w:fill="auto"/>
        <w:tabs>
          <w:tab w:val="clear" w:pos="426"/>
        </w:tabs>
        <w:adjustRightInd/>
        <w:snapToGrid/>
        <w:spacing w:beforeLines="50" w:line="300" w:lineRule="auto"/>
        <w:ind w:firstLine="420" w:firstLineChars="200"/>
        <w:rPr>
          <w:kern w:val="2"/>
          <w:highlight w:val="none"/>
        </w:rPr>
      </w:pPr>
      <w:r>
        <w:rPr>
          <w:kern w:val="2"/>
          <w:highlight w:val="none"/>
        </w:rPr>
        <w:t>1</w:t>
      </w:r>
      <w:r>
        <w:rPr>
          <w:rFonts w:hint="eastAsia"/>
          <w:kern w:val="2"/>
          <w:highlight w:val="none"/>
        </w:rPr>
        <w:t>.</w:t>
      </w:r>
      <w:r>
        <w:rPr>
          <w:kern w:val="2"/>
          <w:highlight w:val="none"/>
        </w:rPr>
        <w:t>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pPr>
        <w:widowControl w:val="0"/>
        <w:shd w:val="clear" w:color="auto" w:fill="auto"/>
        <w:tabs>
          <w:tab w:val="clear" w:pos="426"/>
        </w:tabs>
        <w:adjustRightInd/>
        <w:snapToGrid/>
        <w:spacing w:beforeLines="50" w:line="300" w:lineRule="auto"/>
        <w:ind w:firstLine="420" w:firstLineChars="200"/>
        <w:rPr>
          <w:kern w:val="2"/>
          <w:highlight w:val="none"/>
        </w:rPr>
      </w:pPr>
      <w:r>
        <w:rPr>
          <w:kern w:val="2"/>
          <w:highlight w:val="none"/>
        </w:rPr>
        <w:t>2</w:t>
      </w:r>
      <w:r>
        <w:rPr>
          <w:rFonts w:hint="eastAsia"/>
          <w:kern w:val="2"/>
          <w:highlight w:val="none"/>
        </w:rPr>
        <w:t>.根据《深圳市人民政府关于印发深圳市贯彻落实守信联合激励和失信联合惩戒制度实施方案的通知》（深府〔</w:t>
      </w:r>
      <w:r>
        <w:rPr>
          <w:kern w:val="2"/>
          <w:highlight w:val="none"/>
        </w:rPr>
        <w:t>2017〕57号）、《深圳市政府采购供应商诚信管理暂行办法》（深财规〔2017〕8号）以及《深圳市财政委员会关于印发&lt;深圳市政府采购供应商诚信管理暂行办法操作细则&gt;的通知》的要求，对列入失信“黑名单”的供应商限制参与政府采购。</w:t>
      </w:r>
    </w:p>
    <w:p>
      <w:pPr>
        <w:widowControl w:val="0"/>
        <w:shd w:val="clear" w:color="auto" w:fill="auto"/>
        <w:tabs>
          <w:tab w:val="clear" w:pos="426"/>
        </w:tabs>
        <w:adjustRightInd/>
        <w:snapToGrid/>
        <w:spacing w:beforeLines="50" w:line="300" w:lineRule="auto"/>
        <w:ind w:firstLine="420" w:firstLineChars="200"/>
        <w:rPr>
          <w:kern w:val="2"/>
          <w:highlight w:val="none"/>
        </w:rPr>
      </w:pPr>
    </w:p>
    <w:p>
      <w:pPr>
        <w:widowControl w:val="0"/>
        <w:shd w:val="clear" w:color="auto" w:fill="auto"/>
        <w:tabs>
          <w:tab w:val="clear" w:pos="426"/>
        </w:tabs>
        <w:adjustRightInd/>
        <w:snapToGrid/>
        <w:spacing w:beforeLines="50" w:line="300" w:lineRule="auto"/>
        <w:ind w:firstLine="420" w:firstLineChars="200"/>
        <w:rPr>
          <w:kern w:val="2"/>
          <w:highlight w:val="none"/>
        </w:rPr>
      </w:pPr>
    </w:p>
    <w:p>
      <w:pPr>
        <w:widowControl w:val="0"/>
        <w:shd w:val="clear" w:color="auto" w:fill="auto"/>
        <w:tabs>
          <w:tab w:val="clear" w:pos="426"/>
        </w:tabs>
        <w:adjustRightInd/>
        <w:snapToGrid/>
        <w:spacing w:beforeLines="50" w:line="300" w:lineRule="auto"/>
        <w:ind w:firstLine="420" w:firstLineChars="200"/>
        <w:rPr>
          <w:kern w:val="2"/>
          <w:highlight w:val="none"/>
        </w:rPr>
      </w:pPr>
    </w:p>
    <w:p>
      <w:pPr>
        <w:pStyle w:val="33"/>
        <w:tabs>
          <w:tab w:val="clear" w:pos="426"/>
        </w:tabs>
        <w:rPr>
          <w:highlight w:val="none"/>
        </w:rPr>
      </w:pPr>
      <w:r>
        <w:rPr>
          <w:highlight w:val="none"/>
        </w:rPr>
        <w:br w:type="page"/>
      </w:r>
      <w:bookmarkStart w:id="41" w:name="_Toc5875391"/>
      <w:r>
        <w:rPr>
          <w:rFonts w:hint="eastAsia"/>
          <w:highlight w:val="none"/>
        </w:rPr>
        <w:t>第四章</w:t>
      </w:r>
      <w:bookmarkEnd w:id="39"/>
      <w:bookmarkEnd w:id="40"/>
      <w:r>
        <w:rPr>
          <w:rFonts w:hint="eastAsia"/>
          <w:highlight w:val="none"/>
        </w:rPr>
        <w:t xml:space="preserve"> 政府采购合同的签订、履约及验收</w:t>
      </w:r>
      <w:bookmarkEnd w:id="41"/>
    </w:p>
    <w:p>
      <w:pPr>
        <w:tabs>
          <w:tab w:val="clear" w:pos="426"/>
        </w:tabs>
        <w:jc w:val="center"/>
        <w:rPr>
          <w:b/>
          <w:sz w:val="24"/>
          <w:highlight w:val="none"/>
        </w:rPr>
      </w:pPr>
      <w:bookmarkStart w:id="42" w:name="_Toc432592818"/>
      <w:bookmarkStart w:id="43" w:name="_Toc398220526"/>
      <w:r>
        <w:rPr>
          <w:rFonts w:hint="eastAsia"/>
          <w:b/>
          <w:sz w:val="24"/>
          <w:highlight w:val="none"/>
        </w:rPr>
        <w:t>一、重要提示</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（一）</w:t>
      </w:r>
      <w:r>
        <w:rPr>
          <w:rFonts w:cs="Times New Roman"/>
          <w:kern w:val="2"/>
          <w:szCs w:val="21"/>
          <w:highlight w:val="none"/>
        </w:rPr>
        <w:t xml:space="preserve"> 中标人将于中标通知书发出之日起十个工作日内，按照招标文件和投标文件内容与采购单位签订书面合同，合同书应采用本招标文件规定的合同样本；</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（二）</w:t>
      </w:r>
      <w:r>
        <w:rPr>
          <w:rFonts w:cs="Times New Roman"/>
          <w:kern w:val="2"/>
          <w:szCs w:val="21"/>
          <w:highlight w:val="none"/>
        </w:rPr>
        <w:t xml:space="preserve"> 中标人应当按照合同约定履行义务，完成中标项目，不得将中标项目转让（转包）给他人；</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（三）</w:t>
      </w:r>
      <w:r>
        <w:rPr>
          <w:rFonts w:cs="Times New Roman"/>
          <w:kern w:val="2"/>
          <w:szCs w:val="21"/>
          <w:highlight w:val="none"/>
        </w:rPr>
        <w:t xml:space="preserve"> 采购人与中标人签订的合同必须遵守本招标文件的合同条件，并且不得更改合同条件。</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（四）</w:t>
      </w:r>
      <w:r>
        <w:rPr>
          <w:rFonts w:cs="Times New Roman"/>
          <w:kern w:val="2"/>
          <w:szCs w:val="21"/>
          <w:highlight w:val="none"/>
        </w:rPr>
        <w:t xml:space="preserve"> 采购人与中标人应于合同签订之日起10日内，由采购人或委托中标人将采购合同副本抄送政府集中采购机构备案。</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（五）</w:t>
      </w:r>
      <w:r>
        <w:rPr>
          <w:rFonts w:cs="Times New Roman"/>
          <w:kern w:val="2"/>
          <w:szCs w:val="21"/>
          <w:highlight w:val="none"/>
        </w:rPr>
        <w:t xml:space="preserve"> 《深圳经济特区政府采购条例》第五十七条规定：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1.在采购活动中应当回避而未回避的；</w:t>
      </w:r>
    </w:p>
    <w:p>
      <w:pPr>
        <w:widowControl w:val="0"/>
        <w:shd w:val="clear" w:color="auto" w:fill="auto"/>
        <w:tabs>
          <w:tab w:val="clear" w:pos="426"/>
        </w:tabs>
        <w:adjustRightInd/>
        <w:snapToGrid/>
        <w:spacing w:line="240" w:lineRule="auto"/>
        <w:ind w:firstLine="422" w:firstLineChars="200"/>
        <w:rPr>
          <w:rFonts w:cs="Times New Roman"/>
          <w:b/>
          <w:kern w:val="2"/>
          <w:szCs w:val="21"/>
          <w:highlight w:val="none"/>
        </w:rPr>
      </w:pPr>
      <w:r>
        <w:rPr>
          <w:rFonts w:cs="Times New Roman"/>
          <w:b/>
          <w:kern w:val="2"/>
          <w:szCs w:val="21"/>
          <w:highlight w:val="none"/>
        </w:rPr>
        <w:t>2.未按本条例规定签订、履行采购合同，造成严重后果的；</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3.隐瞒真实情况，提供虚假资料的；</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4.以非法手段排斥其他供应商参与竞争的；</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5.与其他采购参加人串通投标的；</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6.恶意投诉的；</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7.向采购项目相关人行贿或者提供其他不当利益的；</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8.阻碍、抗拒主管部门监督检查的；</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9.其他违反本条例规定的行为。</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（六）</w:t>
      </w:r>
      <w:r>
        <w:rPr>
          <w:rFonts w:cs="Times New Roman"/>
          <w:kern w:val="2"/>
          <w:szCs w:val="21"/>
          <w:highlight w:val="none"/>
        </w:rPr>
        <w:t xml:space="preserve"> 供应商必须诚信投标，对项目需求进行实质性响应。采购单位（或深圳市政府采购中心）将组织聘请第三方专业机构（必要时，邀请参加本项目投标的供应商）实施项目履约验收，如未按合同履约，将按上述第（五）条规定进行处理。</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shd w:val="clear" w:color="auto" w:fill="auto"/>
        <w:tabs>
          <w:tab w:val="clear" w:pos="426"/>
        </w:tabs>
        <w:adjustRightInd/>
        <w:snapToGrid/>
        <w:spacing w:line="240" w:lineRule="auto"/>
        <w:jc w:val="left"/>
        <w:rPr>
          <w:b/>
          <w:sz w:val="24"/>
          <w:highlight w:val="none"/>
        </w:rPr>
      </w:pPr>
      <w:r>
        <w:rPr>
          <w:b/>
          <w:sz w:val="24"/>
          <w:highlight w:val="none"/>
        </w:rPr>
        <w:br w:type="page"/>
      </w:r>
    </w:p>
    <w:p>
      <w:pPr>
        <w:tabs>
          <w:tab w:val="clear" w:pos="426"/>
        </w:tabs>
        <w:jc w:val="center"/>
        <w:rPr>
          <w:b/>
          <w:sz w:val="24"/>
          <w:highlight w:val="none"/>
        </w:rPr>
      </w:pPr>
    </w:p>
    <w:p>
      <w:pPr>
        <w:tabs>
          <w:tab w:val="clear" w:pos="426"/>
        </w:tabs>
        <w:jc w:val="center"/>
        <w:rPr>
          <w:b/>
          <w:sz w:val="24"/>
          <w:highlight w:val="none"/>
        </w:rPr>
      </w:pPr>
      <w:r>
        <w:rPr>
          <w:rFonts w:hint="eastAsia"/>
          <w:b/>
          <w:sz w:val="24"/>
          <w:highlight w:val="none"/>
        </w:rPr>
        <w:t>二、合同条款及格式</w:t>
      </w:r>
    </w:p>
    <w:p>
      <w:pPr>
        <w:tabs>
          <w:tab w:val="clear" w:pos="426"/>
        </w:tabs>
        <w:jc w:val="center"/>
        <w:rPr>
          <w:b/>
          <w:sz w:val="24"/>
          <w:highlight w:val="none"/>
        </w:rPr>
      </w:pPr>
      <w:r>
        <w:rPr>
          <w:rFonts w:hint="eastAsia"/>
          <w:b/>
          <w:sz w:val="24"/>
          <w:highlight w:val="none"/>
        </w:rPr>
        <w:t>有专业类别的格式合同范本请选择相应的合同</w:t>
      </w:r>
    </w:p>
    <w:p>
      <w:pPr>
        <w:tabs>
          <w:tab w:val="clear" w:pos="426"/>
        </w:tabs>
        <w:jc w:val="center"/>
        <w:rPr>
          <w:b/>
          <w:sz w:val="24"/>
          <w:highlight w:val="none"/>
        </w:rPr>
      </w:pPr>
      <w:r>
        <w:rPr>
          <w:rFonts w:hint="eastAsia"/>
          <w:b/>
          <w:sz w:val="24"/>
          <w:highlight w:val="none"/>
        </w:rPr>
        <w:t>（仅供参考）</w:t>
      </w:r>
    </w:p>
    <w:p>
      <w:pPr>
        <w:tabs>
          <w:tab w:val="clear" w:pos="426"/>
        </w:tabs>
        <w:rPr>
          <w:highlight w:val="none"/>
        </w:rPr>
      </w:pPr>
      <w:r>
        <w:rPr>
          <w:rFonts w:hint="eastAsia"/>
          <w:highlight w:val="none"/>
        </w:rPr>
        <w:t>甲方：</w:t>
      </w:r>
    </w:p>
    <w:p>
      <w:pPr>
        <w:tabs>
          <w:tab w:val="clear" w:pos="426"/>
        </w:tabs>
        <w:rPr>
          <w:highlight w:val="none"/>
        </w:rPr>
      </w:pPr>
      <w:r>
        <w:rPr>
          <w:rFonts w:hint="eastAsia"/>
          <w:highlight w:val="none"/>
        </w:rPr>
        <w:t>乙方：</w:t>
      </w:r>
    </w:p>
    <w:p>
      <w:pPr>
        <w:tabs>
          <w:tab w:val="clear" w:pos="426"/>
        </w:tabs>
        <w:rPr>
          <w:sz w:val="24"/>
          <w:highlight w:val="none"/>
        </w:rPr>
      </w:pPr>
    </w:p>
    <w:p>
      <w:pPr>
        <w:tabs>
          <w:tab w:val="clear" w:pos="426"/>
        </w:tabs>
        <w:ind w:firstLine="560"/>
        <w:rPr>
          <w:highlight w:val="none"/>
        </w:rPr>
      </w:pPr>
      <w:r>
        <w:rPr>
          <w:rFonts w:hint="eastAsia"/>
          <w:highlight w:val="none"/>
        </w:rPr>
        <w:t>根据号招标项目的投标结果，由单位为中标方。按照《中华人民共和国合同法》和《深圳经济特区政府采购条例》，经深圳市（以下简称甲方）和单位（以下简称乙方）协商，达成以下合同条款：</w:t>
      </w:r>
    </w:p>
    <w:p>
      <w:pPr>
        <w:tabs>
          <w:tab w:val="clear" w:pos="426"/>
        </w:tabs>
        <w:ind w:firstLine="560"/>
        <w:rPr>
          <w:b/>
          <w:highlight w:val="none"/>
        </w:rPr>
      </w:pPr>
      <w:r>
        <w:rPr>
          <w:rFonts w:hint="eastAsia"/>
          <w:b/>
          <w:highlight w:val="none"/>
        </w:rPr>
        <w:t>第一条  合同标的</w:t>
      </w:r>
    </w:p>
    <w:p>
      <w:pPr>
        <w:tabs>
          <w:tab w:val="clear" w:pos="426"/>
        </w:tabs>
        <w:ind w:firstLine="560"/>
        <w:rPr>
          <w:highlight w:val="none"/>
        </w:rPr>
      </w:pPr>
      <w:r>
        <w:rPr>
          <w:rFonts w:hint="eastAsia"/>
          <w:highlight w:val="none"/>
        </w:rPr>
        <w:t>乙方根据甲方需求提供下列货物：</w:t>
      </w:r>
    </w:p>
    <w:p>
      <w:pPr>
        <w:tabs>
          <w:tab w:val="clear" w:pos="426"/>
        </w:tabs>
        <w:ind w:firstLine="560"/>
        <w:rPr>
          <w:highlight w:val="none"/>
        </w:rPr>
      </w:pPr>
      <w:r>
        <w:rPr>
          <w:rFonts w:hint="eastAsia"/>
          <w:highlight w:val="none"/>
        </w:rPr>
        <w:t>货物名称、规格及数量详见。</w:t>
      </w:r>
    </w:p>
    <w:p>
      <w:pPr>
        <w:tabs>
          <w:tab w:val="clear" w:pos="426"/>
        </w:tabs>
        <w:ind w:firstLine="560"/>
        <w:rPr>
          <w:b/>
          <w:highlight w:val="none"/>
        </w:rPr>
      </w:pPr>
      <w:r>
        <w:rPr>
          <w:rFonts w:hint="eastAsia"/>
          <w:b/>
          <w:highlight w:val="none"/>
        </w:rPr>
        <w:t>第二条  合同价款</w:t>
      </w:r>
    </w:p>
    <w:p>
      <w:pPr>
        <w:tabs>
          <w:tab w:val="clear" w:pos="426"/>
        </w:tabs>
        <w:ind w:firstLine="560"/>
        <w:rPr>
          <w:highlight w:val="none"/>
        </w:rPr>
      </w:pPr>
      <w:r>
        <w:rPr>
          <w:rFonts w:hint="eastAsia"/>
          <w:highlight w:val="none"/>
        </w:rPr>
        <w:t>本合同项下总价款为（大写）人民币，分项价款详见。本合同总价款已包括乙方为履行本合同义务所发生的一切费用，系固定不变价格，且不随通货膨胀的影响而波动。</w:t>
      </w:r>
    </w:p>
    <w:p>
      <w:pPr>
        <w:tabs>
          <w:tab w:val="clear" w:pos="426"/>
        </w:tabs>
        <w:ind w:firstLine="560"/>
        <w:rPr>
          <w:b/>
          <w:highlight w:val="none"/>
        </w:rPr>
      </w:pPr>
      <w:r>
        <w:rPr>
          <w:rFonts w:hint="eastAsia"/>
          <w:b/>
          <w:highlight w:val="none"/>
        </w:rPr>
        <w:t>第三条  权利保证</w:t>
      </w:r>
    </w:p>
    <w:p>
      <w:pPr>
        <w:tabs>
          <w:tab w:val="clear" w:pos="426"/>
        </w:tabs>
        <w:ind w:firstLine="560"/>
        <w:rPr>
          <w:highlight w:val="none"/>
        </w:rPr>
      </w:pPr>
      <w:r>
        <w:rPr>
          <w:rFonts w:hint="eastAsia"/>
          <w:highlight w:val="none"/>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pPr>
        <w:tabs>
          <w:tab w:val="clear" w:pos="426"/>
        </w:tabs>
        <w:ind w:firstLine="560"/>
        <w:rPr>
          <w:b/>
          <w:highlight w:val="none"/>
        </w:rPr>
      </w:pPr>
      <w:r>
        <w:rPr>
          <w:rFonts w:hint="eastAsia"/>
          <w:b/>
          <w:highlight w:val="none"/>
        </w:rPr>
        <w:t>第四条  质量保证</w:t>
      </w:r>
    </w:p>
    <w:p>
      <w:pPr>
        <w:tabs>
          <w:tab w:val="clear" w:pos="426"/>
        </w:tabs>
        <w:ind w:firstLine="560"/>
        <w:rPr>
          <w:highlight w:val="none"/>
        </w:rPr>
      </w:pPr>
      <w:r>
        <w:rPr>
          <w:rFonts w:hint="eastAsia"/>
          <w:highlight w:val="none"/>
        </w:rPr>
        <w:t>1.乙方所提供的货物的技术规格符合招标文件规定的技术规格，货物符合中华人民共和国的设计和制造生产标准或行业标准。</w:t>
      </w:r>
    </w:p>
    <w:p>
      <w:pPr>
        <w:tabs>
          <w:tab w:val="clear" w:pos="426"/>
        </w:tabs>
        <w:ind w:firstLine="560"/>
        <w:rPr>
          <w:highlight w:val="none"/>
        </w:rPr>
      </w:pPr>
      <w:r>
        <w:rPr>
          <w:rFonts w:hint="eastAsia"/>
          <w:highlight w:val="none"/>
        </w:rPr>
        <w:t>2.乙方保证货物是全新、未使用过的原装合格正品（包括零部件），并完全符合甲方要求的质量、规格和性能的要求。如货物安装或配置了软件的，乙方保证相关软件均为正版软件。</w:t>
      </w:r>
    </w:p>
    <w:p>
      <w:pPr>
        <w:tabs>
          <w:tab w:val="clear" w:pos="426"/>
        </w:tabs>
        <w:ind w:firstLine="560"/>
        <w:rPr>
          <w:highlight w:val="none"/>
        </w:rPr>
      </w:pPr>
      <w:r>
        <w:rPr>
          <w:rFonts w:hint="eastAsia"/>
          <w:highlight w:val="none"/>
        </w:rPr>
        <w:t>3.乙方保证交货时一并提供货物的质量合格凭证或文件。</w:t>
      </w:r>
    </w:p>
    <w:p>
      <w:pPr>
        <w:tabs>
          <w:tab w:val="clear" w:pos="426"/>
        </w:tabs>
        <w:ind w:firstLine="560"/>
        <w:rPr>
          <w:b/>
          <w:highlight w:val="none"/>
        </w:rPr>
      </w:pPr>
      <w:r>
        <w:rPr>
          <w:rFonts w:hint="eastAsia"/>
          <w:b/>
          <w:highlight w:val="none"/>
        </w:rPr>
        <w:t>第五条  交货和验收</w:t>
      </w:r>
    </w:p>
    <w:p>
      <w:pPr>
        <w:tabs>
          <w:tab w:val="clear" w:pos="426"/>
        </w:tabs>
        <w:ind w:firstLine="560"/>
        <w:rPr>
          <w:highlight w:val="none"/>
        </w:rPr>
      </w:pPr>
      <w:r>
        <w:rPr>
          <w:rFonts w:hint="eastAsia"/>
          <w:highlight w:val="none"/>
        </w:rPr>
        <w:t>1.乙方应按照本合同或招投标文件规定的时间和方式向甲方交付货物，交货地点由甲方指定。因交货产生的费用由乙方自行承担。但乙方在规定时间和地点送达货物后，甲方擅自变更时间或地点，导致增加的费用由甲方承担。</w:t>
      </w:r>
    </w:p>
    <w:p>
      <w:pPr>
        <w:tabs>
          <w:tab w:val="clear" w:pos="426"/>
        </w:tabs>
        <w:ind w:firstLine="560"/>
        <w:rPr>
          <w:highlight w:val="none"/>
        </w:rPr>
      </w:pPr>
      <w:r>
        <w:rPr>
          <w:rFonts w:hint="eastAsia"/>
          <w:highlight w:val="none"/>
        </w:rPr>
        <w:t>2.乙方交付的货物应当完全符合招投标文件所规定的货物、数量、质量和规格要求。乙方提供的货物不符合招投标文件和合同规定的，甲方有权拒收货物，由此引起的风险，由乙方承担。</w:t>
      </w:r>
    </w:p>
    <w:p>
      <w:pPr>
        <w:tabs>
          <w:tab w:val="clear" w:pos="426"/>
        </w:tabs>
        <w:ind w:firstLine="560"/>
        <w:rPr>
          <w:highlight w:val="none"/>
        </w:rPr>
      </w:pPr>
      <w:r>
        <w:rPr>
          <w:rFonts w:hint="eastAsia"/>
          <w:highlight w:val="none"/>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pPr>
        <w:tabs>
          <w:tab w:val="clear" w:pos="426"/>
        </w:tabs>
        <w:ind w:firstLine="560"/>
        <w:rPr>
          <w:highlight w:val="none"/>
        </w:rPr>
      </w:pPr>
      <w:r>
        <w:rPr>
          <w:rFonts w:hint="eastAsia"/>
          <w:highlight w:val="none"/>
        </w:rPr>
        <w:t>4.甲方应当在到货后的个工作日内对货物进行验收；需要乙方对货物或系统进行安装调试的，甲方应在货物安装调试完毕后的个工作日内进行质量验收。</w:t>
      </w:r>
    </w:p>
    <w:p>
      <w:pPr>
        <w:tabs>
          <w:tab w:val="clear" w:pos="426"/>
        </w:tabs>
        <w:ind w:firstLine="560"/>
        <w:rPr>
          <w:b/>
          <w:highlight w:val="none"/>
        </w:rPr>
      </w:pPr>
      <w:r>
        <w:rPr>
          <w:rFonts w:hint="eastAsia"/>
          <w:b/>
          <w:highlight w:val="none"/>
        </w:rPr>
        <w:t>第六条  保修及其他服务</w:t>
      </w:r>
    </w:p>
    <w:p>
      <w:pPr>
        <w:tabs>
          <w:tab w:val="clear" w:pos="426"/>
        </w:tabs>
        <w:ind w:firstLine="560"/>
        <w:rPr>
          <w:highlight w:val="none"/>
        </w:rPr>
      </w:pPr>
      <w:r>
        <w:rPr>
          <w:rFonts w:hint="eastAsia"/>
          <w:highlight w:val="none"/>
        </w:rPr>
        <w:t>1.乙方应按照国家有关法律法规规章和“三包”规定和招标文件的要求及乙方在投标文件的相关承诺提供保修及其他服务。</w:t>
      </w:r>
    </w:p>
    <w:p>
      <w:pPr>
        <w:tabs>
          <w:tab w:val="clear" w:pos="426"/>
        </w:tabs>
        <w:ind w:firstLine="560"/>
        <w:rPr>
          <w:highlight w:val="none"/>
        </w:rPr>
      </w:pPr>
      <w:r>
        <w:rPr>
          <w:rFonts w:hint="eastAsia"/>
          <w:highlight w:val="none"/>
        </w:rPr>
        <w:t>2.</w:t>
      </w:r>
      <w:r>
        <w:rPr>
          <w:highlight w:val="none"/>
        </w:rPr>
        <w:t>保修期内，乙方负责对其提供的货物进行维修和系统维护，不再收取任何费用。</w:t>
      </w:r>
      <w:r>
        <w:rPr>
          <w:rFonts w:hint="eastAsia"/>
          <w:highlight w:val="none"/>
        </w:rPr>
        <w:t>所有货物保修服务方式均为乙方上门保修，即由乙方派员到货物使用现场维修，由此产生的一切费用均由乙方承担。保修期后的货物维护另行协商。</w:t>
      </w:r>
    </w:p>
    <w:p>
      <w:pPr>
        <w:tabs>
          <w:tab w:val="clear" w:pos="426"/>
        </w:tabs>
        <w:ind w:firstLine="560"/>
        <w:rPr>
          <w:b/>
          <w:highlight w:val="none"/>
        </w:rPr>
      </w:pPr>
      <w:r>
        <w:rPr>
          <w:rFonts w:hint="eastAsia"/>
          <w:b/>
          <w:highlight w:val="none"/>
        </w:rPr>
        <w:t>第七条  履约保证金</w:t>
      </w:r>
    </w:p>
    <w:p>
      <w:pPr>
        <w:tabs>
          <w:tab w:val="clear" w:pos="426"/>
        </w:tabs>
        <w:ind w:firstLine="560"/>
        <w:rPr>
          <w:highlight w:val="none"/>
        </w:rPr>
      </w:pPr>
      <w:r>
        <w:rPr>
          <w:rFonts w:hint="eastAsia"/>
          <w:highlight w:val="none"/>
        </w:rPr>
        <w:t>1.乙方应在签订本合同之日，向甲方或甲方指定的机构提交履约保证金_________元。</w:t>
      </w:r>
    </w:p>
    <w:p>
      <w:pPr>
        <w:tabs>
          <w:tab w:val="clear" w:pos="426"/>
        </w:tabs>
        <w:ind w:firstLine="560"/>
        <w:rPr>
          <w:highlight w:val="none"/>
        </w:rPr>
      </w:pPr>
      <w:r>
        <w:rPr>
          <w:rFonts w:hint="eastAsia"/>
          <w:highlight w:val="none"/>
        </w:rPr>
        <w:t>2.如乙方未能履行合同规定的义务，甲方有权从履约保证金中取得补偿。</w:t>
      </w:r>
    </w:p>
    <w:p>
      <w:pPr>
        <w:tabs>
          <w:tab w:val="clear" w:pos="426"/>
        </w:tabs>
        <w:ind w:firstLine="560"/>
        <w:rPr>
          <w:highlight w:val="none"/>
        </w:rPr>
      </w:pPr>
      <w:r>
        <w:rPr>
          <w:rFonts w:hint="eastAsia"/>
          <w:highlight w:val="none"/>
        </w:rPr>
        <w:t>3.甲方在乙方履行完毕本合同项下全部义务后______天内无息退还乙方。</w:t>
      </w:r>
    </w:p>
    <w:p>
      <w:pPr>
        <w:tabs>
          <w:tab w:val="clear" w:pos="426"/>
        </w:tabs>
        <w:ind w:firstLine="560"/>
        <w:rPr>
          <w:b/>
          <w:highlight w:val="none"/>
        </w:rPr>
      </w:pPr>
      <w:r>
        <w:rPr>
          <w:rFonts w:hint="eastAsia"/>
          <w:b/>
          <w:highlight w:val="none"/>
        </w:rPr>
        <w:t>第八条   货款支付</w:t>
      </w:r>
    </w:p>
    <w:p>
      <w:pPr>
        <w:tabs>
          <w:tab w:val="clear" w:pos="426"/>
        </w:tabs>
        <w:ind w:firstLine="560"/>
        <w:rPr>
          <w:b/>
          <w:highlight w:val="none"/>
        </w:rPr>
      </w:pPr>
      <w:r>
        <w:rPr>
          <w:rFonts w:hint="eastAsia"/>
          <w:b/>
          <w:highlight w:val="none"/>
        </w:rPr>
        <w:t>第九条    违约责任</w:t>
      </w:r>
    </w:p>
    <w:p>
      <w:pPr>
        <w:tabs>
          <w:tab w:val="clear" w:pos="426"/>
        </w:tabs>
        <w:ind w:firstLine="560"/>
        <w:rPr>
          <w:highlight w:val="none"/>
        </w:rPr>
      </w:pPr>
      <w:r>
        <w:rPr>
          <w:rFonts w:hint="eastAsia"/>
          <w:highlight w:val="none"/>
        </w:rPr>
        <w:t>1.甲方无正当理由拒收货物、拒付货物款的，由甲方向乙方偿付合同总价的%违约金。</w:t>
      </w:r>
    </w:p>
    <w:p>
      <w:pPr>
        <w:tabs>
          <w:tab w:val="clear" w:pos="426"/>
        </w:tabs>
        <w:ind w:firstLine="560"/>
        <w:rPr>
          <w:highlight w:val="none"/>
        </w:rPr>
      </w:pPr>
      <w:r>
        <w:rPr>
          <w:rFonts w:hint="eastAsia"/>
          <w:highlight w:val="none"/>
        </w:rPr>
        <w:t>2.甲方未按合同规定的期限向乙方支付货款的，每逾期1天甲方向乙方偿付欠款总额的     ‰滞纳金，但累计滞纳金总额不超过欠款总额的% 。</w:t>
      </w:r>
    </w:p>
    <w:p>
      <w:pPr>
        <w:tabs>
          <w:tab w:val="clear" w:pos="426"/>
        </w:tabs>
        <w:ind w:firstLine="560"/>
        <w:rPr>
          <w:highlight w:val="none"/>
        </w:rPr>
      </w:pPr>
      <w:r>
        <w:rPr>
          <w:rFonts w:hint="eastAsia"/>
          <w:highlight w:val="none"/>
        </w:rPr>
        <w:t>3.</w:t>
      </w:r>
      <w:r>
        <w:rPr>
          <w:highlight w:val="none"/>
        </w:rPr>
        <w:t>乙方逾期交付货物的，每逾期1天，乙方向甲方偿付逾期交货部分货款总额的‰的滞纳金</w:t>
      </w:r>
      <w:r>
        <w:rPr>
          <w:rFonts w:hint="eastAsia"/>
          <w:highlight w:val="none"/>
        </w:rPr>
        <w:t>。如乙方逾期交货达天，甲方有权解除合同，履约保证金不予退回，同时乙方应向甲方支付合同总价％的违约金。</w:t>
      </w:r>
    </w:p>
    <w:p>
      <w:pPr>
        <w:tabs>
          <w:tab w:val="clear" w:pos="426"/>
        </w:tabs>
        <w:ind w:firstLine="560"/>
        <w:rPr>
          <w:highlight w:val="none"/>
        </w:rPr>
      </w:pPr>
      <w:r>
        <w:rPr>
          <w:rFonts w:hint="eastAsia"/>
          <w:highlight w:val="none"/>
        </w:rPr>
        <w:t>4.乙方所交付的货物品种、型号、规格不符合合同规定的，甲方有权拒收。甲方拒收的，乙方应向甲方支付货款总额%的违约金。</w:t>
      </w:r>
    </w:p>
    <w:p>
      <w:pPr>
        <w:tabs>
          <w:tab w:val="clear" w:pos="426"/>
        </w:tabs>
        <w:ind w:firstLine="560"/>
        <w:rPr>
          <w:highlight w:val="none"/>
        </w:rPr>
      </w:pPr>
      <w:r>
        <w:rPr>
          <w:rFonts w:hint="eastAsia"/>
          <w:highlight w:val="none"/>
        </w:rPr>
        <w:t>5.在乙方承诺的或国家规定的质量保证期内（取两者中最长的期限），</w:t>
      </w:r>
      <w:r>
        <w:rPr>
          <w:highlight w:val="none"/>
        </w:rPr>
        <w:t>如经乙方两次维修</w:t>
      </w:r>
      <w:r>
        <w:rPr>
          <w:rFonts w:hint="eastAsia"/>
          <w:highlight w:val="none"/>
        </w:rPr>
        <w:t>或更换</w:t>
      </w:r>
      <w:r>
        <w:rPr>
          <w:highlight w:val="none"/>
        </w:rPr>
        <w:t>，货物仍不能达到合同约定</w:t>
      </w:r>
      <w:r>
        <w:rPr>
          <w:rFonts w:hint="eastAsia"/>
          <w:highlight w:val="none"/>
        </w:rPr>
        <w:t>的</w:t>
      </w:r>
      <w:r>
        <w:rPr>
          <w:highlight w:val="none"/>
        </w:rPr>
        <w:t>质量标准，甲方有权退货，乙方</w:t>
      </w:r>
      <w:r>
        <w:rPr>
          <w:rFonts w:hint="eastAsia"/>
          <w:highlight w:val="none"/>
        </w:rPr>
        <w:t>应</w:t>
      </w:r>
      <w:r>
        <w:rPr>
          <w:highlight w:val="none"/>
        </w:rPr>
        <w:t>退回全部货款</w:t>
      </w:r>
      <w:r>
        <w:rPr>
          <w:rFonts w:hint="eastAsia"/>
          <w:highlight w:val="none"/>
        </w:rPr>
        <w:t>并</w:t>
      </w:r>
      <w:r>
        <w:rPr>
          <w:highlight w:val="none"/>
        </w:rPr>
        <w:t>赔偿甲方因此遭受的损失。</w:t>
      </w:r>
    </w:p>
    <w:p>
      <w:pPr>
        <w:tabs>
          <w:tab w:val="clear" w:pos="426"/>
        </w:tabs>
        <w:ind w:firstLine="560"/>
        <w:rPr>
          <w:highlight w:val="none"/>
        </w:rPr>
      </w:pPr>
      <w:r>
        <w:rPr>
          <w:rFonts w:hint="eastAsia"/>
          <w:highlight w:val="none"/>
        </w:rPr>
        <w:t>6.乙方未履行本合同项下的其他义务或违反其在投标文件中的相关承诺的，应按合同总价款的%向甲方承担违约责任。</w:t>
      </w:r>
    </w:p>
    <w:p>
      <w:pPr>
        <w:tabs>
          <w:tab w:val="clear" w:pos="426"/>
        </w:tabs>
        <w:ind w:firstLine="560"/>
        <w:rPr>
          <w:highlight w:val="none"/>
        </w:rPr>
      </w:pPr>
      <w:r>
        <w:rPr>
          <w:rFonts w:hint="eastAsia"/>
          <w:highlight w:val="none"/>
        </w:rPr>
        <w:t>7.乙方在承担上述一项或多项违约责任后，仍应继续履行合同规定的义务（甲方解除合同的除外）。甲方未能及时追究乙方的任何一项违约责任并不表明甲方放弃追究乙方该项或其他违约责任。</w:t>
      </w:r>
    </w:p>
    <w:p>
      <w:pPr>
        <w:tabs>
          <w:tab w:val="clear" w:pos="426"/>
        </w:tabs>
        <w:ind w:firstLine="560"/>
        <w:rPr>
          <w:b/>
          <w:highlight w:val="none"/>
        </w:rPr>
      </w:pPr>
      <w:r>
        <w:rPr>
          <w:rFonts w:hint="eastAsia"/>
          <w:b/>
          <w:highlight w:val="none"/>
        </w:rPr>
        <w:t>第十条    合同的变更和终止</w:t>
      </w:r>
    </w:p>
    <w:p>
      <w:pPr>
        <w:tabs>
          <w:tab w:val="clear" w:pos="426"/>
        </w:tabs>
        <w:ind w:firstLine="560"/>
        <w:rPr>
          <w:highlight w:val="none"/>
        </w:rPr>
      </w:pPr>
      <w:r>
        <w:rPr>
          <w:rFonts w:hint="eastAsia"/>
          <w:highlight w:val="none"/>
        </w:rPr>
        <w:t>除《中华人民共和国政府采购法》第４９条、第５０条第二款规定的情形外，本合同一经签订，甲乙双方不得擅自变更、中止或终止合同。</w:t>
      </w:r>
    </w:p>
    <w:p>
      <w:pPr>
        <w:tabs>
          <w:tab w:val="clear" w:pos="426"/>
        </w:tabs>
        <w:ind w:firstLine="560"/>
        <w:rPr>
          <w:b/>
          <w:highlight w:val="none"/>
        </w:rPr>
      </w:pPr>
      <w:r>
        <w:rPr>
          <w:rFonts w:hint="eastAsia"/>
          <w:b/>
          <w:highlight w:val="none"/>
        </w:rPr>
        <w:t>第十一条   争议的解决</w:t>
      </w:r>
    </w:p>
    <w:p>
      <w:pPr>
        <w:tabs>
          <w:tab w:val="clear" w:pos="426"/>
        </w:tabs>
        <w:ind w:firstLine="560"/>
        <w:rPr>
          <w:highlight w:val="none"/>
        </w:rPr>
      </w:pPr>
      <w:r>
        <w:rPr>
          <w:rFonts w:hint="eastAsia"/>
          <w:highlight w:val="none"/>
        </w:rPr>
        <w:t>1.因货物的质量问题发生争议的，应当邀请国家认可的质量检测机构对货物质量进行鉴定。货物符合标准的，鉴定费由甲方承担；货物不符合质量标准的，鉴定费由乙方承担。</w:t>
      </w:r>
    </w:p>
    <w:p>
      <w:pPr>
        <w:tabs>
          <w:tab w:val="clear" w:pos="426"/>
        </w:tabs>
        <w:ind w:firstLine="560"/>
        <w:rPr>
          <w:highlight w:val="none"/>
        </w:rPr>
      </w:pPr>
      <w:r>
        <w:rPr>
          <w:rFonts w:hint="eastAsia"/>
          <w:highlight w:val="none"/>
        </w:rPr>
        <w:t>2.因履行本合同引起的或与本合同有关的争议，甲、乙双方应首先通过友好协商解决，如果协商不能解决争议，则向甲方所在地有管辖权的人民法院提起诉讼；</w:t>
      </w:r>
    </w:p>
    <w:p>
      <w:pPr>
        <w:tabs>
          <w:tab w:val="clear" w:pos="426"/>
        </w:tabs>
        <w:ind w:firstLine="560"/>
        <w:rPr>
          <w:b/>
          <w:highlight w:val="none"/>
        </w:rPr>
      </w:pPr>
      <w:r>
        <w:rPr>
          <w:rFonts w:hint="eastAsia"/>
          <w:b/>
          <w:highlight w:val="none"/>
        </w:rPr>
        <w:t>第十二条   合同生效及其他</w:t>
      </w:r>
    </w:p>
    <w:p>
      <w:pPr>
        <w:tabs>
          <w:tab w:val="clear" w:pos="426"/>
        </w:tabs>
        <w:ind w:firstLine="560"/>
        <w:rPr>
          <w:highlight w:val="none"/>
        </w:rPr>
      </w:pPr>
      <w:r>
        <w:rPr>
          <w:rFonts w:hint="eastAsia"/>
          <w:highlight w:val="none"/>
        </w:rPr>
        <w:t>1.下列文件均为本合同的组成部分：</w:t>
      </w:r>
    </w:p>
    <w:p>
      <w:pPr>
        <w:tabs>
          <w:tab w:val="clear" w:pos="426"/>
        </w:tabs>
        <w:ind w:firstLine="560"/>
        <w:rPr>
          <w:highlight w:val="none"/>
        </w:rPr>
      </w:pPr>
      <w:r>
        <w:rPr>
          <w:rFonts w:hint="eastAsia"/>
          <w:highlight w:val="none"/>
        </w:rPr>
        <w:t>（1）号招标文件、答疑及补充通知；</w:t>
      </w:r>
    </w:p>
    <w:p>
      <w:pPr>
        <w:tabs>
          <w:tab w:val="clear" w:pos="426"/>
        </w:tabs>
        <w:ind w:firstLine="560"/>
        <w:rPr>
          <w:highlight w:val="none"/>
        </w:rPr>
      </w:pPr>
      <w:r>
        <w:rPr>
          <w:rFonts w:hint="eastAsia"/>
          <w:highlight w:val="none"/>
        </w:rPr>
        <w:t>（2）乙方的投标文件；</w:t>
      </w:r>
    </w:p>
    <w:p>
      <w:pPr>
        <w:tabs>
          <w:tab w:val="clear" w:pos="426"/>
        </w:tabs>
        <w:ind w:firstLine="560"/>
        <w:rPr>
          <w:highlight w:val="none"/>
        </w:rPr>
      </w:pPr>
      <w:r>
        <w:rPr>
          <w:rFonts w:hint="eastAsia"/>
          <w:highlight w:val="none"/>
        </w:rPr>
        <w:t>（3）本合同执行中甲乙双方共同签署的补充与修正文件。</w:t>
      </w:r>
    </w:p>
    <w:p>
      <w:pPr>
        <w:tabs>
          <w:tab w:val="clear" w:pos="426"/>
        </w:tabs>
        <w:ind w:firstLine="560"/>
        <w:rPr>
          <w:highlight w:val="none"/>
        </w:rPr>
      </w:pPr>
      <w:r>
        <w:rPr>
          <w:rFonts w:hint="eastAsia"/>
          <w:highlight w:val="none"/>
        </w:rPr>
        <w:t>2.本合同一式份，甲、乙方双方各执份，具有同等法律效力。本合同自双方法定代表人（或授权代表）签字并盖章之日起生效。</w:t>
      </w:r>
    </w:p>
    <w:p>
      <w:pPr>
        <w:tabs>
          <w:tab w:val="clear" w:pos="426"/>
        </w:tabs>
        <w:ind w:firstLine="560"/>
        <w:rPr>
          <w:highlight w:val="none"/>
        </w:rPr>
      </w:pPr>
    </w:p>
    <w:p>
      <w:pPr>
        <w:tabs>
          <w:tab w:val="clear" w:pos="426"/>
        </w:tabs>
        <w:ind w:firstLine="560"/>
        <w:rPr>
          <w:highlight w:val="none"/>
        </w:rPr>
      </w:pPr>
    </w:p>
    <w:p>
      <w:pPr>
        <w:tabs>
          <w:tab w:val="clear" w:pos="426"/>
        </w:tabs>
        <w:ind w:firstLine="560"/>
        <w:rPr>
          <w:highlight w:val="none"/>
        </w:rPr>
      </w:pPr>
      <w:r>
        <w:rPr>
          <w:rFonts w:hint="eastAsia"/>
          <w:highlight w:val="none"/>
        </w:rPr>
        <w:t>甲方（采购人）：</w:t>
      </w:r>
      <w:r>
        <w:rPr>
          <w:rFonts w:hint="eastAsia"/>
          <w:highlight w:val="none"/>
          <w:u w:val="single"/>
        </w:rPr>
        <w:t xml:space="preserve">      （盖章）       </w:t>
      </w:r>
      <w:r>
        <w:rPr>
          <w:rFonts w:hint="eastAsia"/>
          <w:highlight w:val="none"/>
        </w:rPr>
        <w:t xml:space="preserve">    乙方（供应商）：</w:t>
      </w:r>
      <w:r>
        <w:rPr>
          <w:rFonts w:hint="eastAsia"/>
          <w:highlight w:val="none"/>
          <w:u w:val="single"/>
        </w:rPr>
        <w:t xml:space="preserve">       （盖章）        </w:t>
      </w:r>
    </w:p>
    <w:p>
      <w:pPr>
        <w:tabs>
          <w:tab w:val="clear" w:pos="426"/>
        </w:tabs>
        <w:ind w:firstLine="560"/>
        <w:rPr>
          <w:highlight w:val="none"/>
        </w:rPr>
      </w:pPr>
      <w:r>
        <w:rPr>
          <w:rFonts w:hint="eastAsia"/>
          <w:highlight w:val="none"/>
        </w:rPr>
        <w:t>法定代表人：    法定代表人：</w:t>
      </w:r>
    </w:p>
    <w:p>
      <w:pPr>
        <w:tabs>
          <w:tab w:val="clear" w:pos="426"/>
        </w:tabs>
        <w:ind w:firstLine="560"/>
        <w:rPr>
          <w:highlight w:val="none"/>
          <w:u w:val="single"/>
        </w:rPr>
      </w:pPr>
      <w:r>
        <w:rPr>
          <w:rFonts w:hint="eastAsia"/>
          <w:highlight w:val="none"/>
        </w:rPr>
        <w:t>委托代理人：    委托代理人：</w:t>
      </w:r>
    </w:p>
    <w:p>
      <w:pPr>
        <w:tabs>
          <w:tab w:val="clear" w:pos="426"/>
        </w:tabs>
        <w:ind w:firstLine="525" w:firstLineChars="250"/>
        <w:rPr>
          <w:b/>
          <w:highlight w:val="none"/>
        </w:rPr>
      </w:pPr>
      <w:r>
        <w:rPr>
          <w:rFonts w:hint="eastAsia"/>
          <w:highlight w:val="none"/>
        </w:rPr>
        <w:t>日期：</w:t>
      </w:r>
      <w:r>
        <w:rPr>
          <w:rFonts w:hint="eastAsia"/>
          <w:highlight w:val="none"/>
          <w:u w:val="single"/>
        </w:rPr>
        <w:t xml:space="preserve">                年     月    日</w:t>
      </w:r>
      <w:r>
        <w:rPr>
          <w:rFonts w:hint="eastAsia"/>
          <w:highlight w:val="none"/>
        </w:rPr>
        <w:t xml:space="preserve">     日期：</w:t>
      </w:r>
      <w:r>
        <w:rPr>
          <w:rFonts w:hint="eastAsia"/>
          <w:highlight w:val="none"/>
          <w:u w:val="single"/>
        </w:rPr>
        <w:t xml:space="preserve">                 年     月    日</w:t>
      </w:r>
    </w:p>
    <w:p>
      <w:pPr>
        <w:shd w:val="clear" w:color="auto" w:fill="auto"/>
        <w:tabs>
          <w:tab w:val="clear" w:pos="426"/>
        </w:tabs>
        <w:adjustRightInd/>
        <w:snapToGrid/>
        <w:spacing w:line="240" w:lineRule="auto"/>
        <w:jc w:val="left"/>
        <w:rPr>
          <w:color w:val="000000"/>
          <w:sz w:val="24"/>
          <w:highlight w:val="none"/>
        </w:rPr>
      </w:pPr>
    </w:p>
    <w:p>
      <w:pPr>
        <w:shd w:val="clear" w:color="auto" w:fill="auto"/>
        <w:tabs>
          <w:tab w:val="clear" w:pos="426"/>
        </w:tabs>
        <w:adjustRightInd/>
        <w:snapToGrid/>
        <w:spacing w:line="240" w:lineRule="auto"/>
        <w:jc w:val="left"/>
        <w:rPr>
          <w:color w:val="000000"/>
          <w:sz w:val="24"/>
          <w:highlight w:val="none"/>
        </w:rPr>
      </w:pPr>
    </w:p>
    <w:p>
      <w:pPr>
        <w:shd w:val="clear" w:color="auto" w:fill="auto"/>
        <w:tabs>
          <w:tab w:val="clear" w:pos="426"/>
        </w:tabs>
        <w:adjustRightInd/>
        <w:snapToGrid/>
        <w:spacing w:line="240" w:lineRule="auto"/>
        <w:jc w:val="left"/>
        <w:rPr>
          <w:color w:val="000000"/>
          <w:sz w:val="24"/>
          <w:highlight w:val="none"/>
        </w:rPr>
      </w:pPr>
    </w:p>
    <w:p>
      <w:pPr>
        <w:shd w:val="clear" w:color="auto" w:fill="auto"/>
        <w:tabs>
          <w:tab w:val="clear" w:pos="426"/>
        </w:tabs>
        <w:adjustRightInd/>
        <w:snapToGrid/>
        <w:spacing w:line="240" w:lineRule="auto"/>
        <w:jc w:val="left"/>
        <w:rPr>
          <w:color w:val="000000"/>
          <w:sz w:val="24"/>
          <w:highlight w:val="none"/>
        </w:rPr>
      </w:pPr>
      <w:r>
        <w:rPr>
          <w:color w:val="000000"/>
          <w:sz w:val="24"/>
          <w:highlight w:val="none"/>
        </w:rPr>
        <w:br w:type="page"/>
      </w:r>
    </w:p>
    <w:p>
      <w:pPr>
        <w:tabs>
          <w:tab w:val="clear" w:pos="426"/>
        </w:tabs>
        <w:jc w:val="center"/>
        <w:rPr>
          <w:b/>
          <w:sz w:val="24"/>
          <w:highlight w:val="none"/>
        </w:rPr>
      </w:pPr>
    </w:p>
    <w:p>
      <w:pPr>
        <w:tabs>
          <w:tab w:val="clear" w:pos="426"/>
        </w:tabs>
        <w:jc w:val="center"/>
        <w:rPr>
          <w:b/>
          <w:sz w:val="24"/>
          <w:highlight w:val="none"/>
        </w:rPr>
      </w:pPr>
      <w:r>
        <w:rPr>
          <w:rFonts w:hint="eastAsia"/>
          <w:b/>
          <w:sz w:val="24"/>
          <w:highlight w:val="none"/>
        </w:rPr>
        <w:t>三、履约担保</w:t>
      </w:r>
    </w:p>
    <w:p>
      <w:pPr>
        <w:tabs>
          <w:tab w:val="clear" w:pos="426"/>
        </w:tabs>
        <w:ind w:left="6094" w:leftChars="2902"/>
        <w:rPr>
          <w:sz w:val="22"/>
          <w:szCs w:val="22"/>
          <w:highlight w:val="none"/>
        </w:rPr>
      </w:pPr>
    </w:p>
    <w:p>
      <w:pPr>
        <w:tabs>
          <w:tab w:val="clear" w:pos="426"/>
        </w:tabs>
        <w:ind w:left="6094" w:leftChars="2902"/>
        <w:rPr>
          <w:highlight w:val="none"/>
          <w:u w:val="single"/>
        </w:rPr>
      </w:pPr>
      <w:r>
        <w:rPr>
          <w:rFonts w:hint="eastAsia"/>
          <w:sz w:val="22"/>
          <w:szCs w:val="22"/>
          <w:highlight w:val="none"/>
        </w:rPr>
        <w:t>保函编号：</w:t>
      </w:r>
    </w:p>
    <w:p>
      <w:pPr>
        <w:tabs>
          <w:tab w:val="clear" w:pos="426"/>
        </w:tabs>
        <w:rPr>
          <w:sz w:val="22"/>
          <w:szCs w:val="22"/>
          <w:highlight w:val="none"/>
        </w:rPr>
      </w:pPr>
      <w:r>
        <w:rPr>
          <w:rFonts w:hint="eastAsia"/>
          <w:sz w:val="22"/>
          <w:szCs w:val="22"/>
          <w:highlight w:val="none"/>
        </w:rPr>
        <w:t xml:space="preserve">致：: </w:t>
      </w:r>
    </w:p>
    <w:p>
      <w:pPr>
        <w:tabs>
          <w:tab w:val="clear" w:pos="426"/>
        </w:tabs>
        <w:rPr>
          <w:highlight w:val="none"/>
        </w:rPr>
      </w:pPr>
      <w:r>
        <w:rPr>
          <w:rFonts w:hint="eastAsia"/>
          <w:highlight w:val="none"/>
        </w:rPr>
        <w:t xml:space="preserve">鉴于 </w:t>
      </w:r>
      <w:r>
        <w:rPr>
          <w:rFonts w:hint="eastAsia"/>
          <w:highlight w:val="none"/>
          <w:u w:val="single"/>
        </w:rPr>
        <w:t xml:space="preserve">     （被保护人)       </w:t>
      </w:r>
      <w:r>
        <w:rPr>
          <w:rFonts w:hint="eastAsia"/>
          <w:highlight w:val="none"/>
        </w:rPr>
        <w:t>已于贵方签订了</w:t>
      </w:r>
      <w:r>
        <w:rPr>
          <w:rFonts w:hint="eastAsia"/>
          <w:highlight w:val="none"/>
          <w:u w:val="single"/>
        </w:rPr>
        <w:t xml:space="preserve">  （项目名称）（招标项目编号：      ）  </w:t>
      </w:r>
      <w:r>
        <w:rPr>
          <w:rFonts w:hint="eastAsia"/>
          <w:highlight w:val="none"/>
        </w:rPr>
        <w:t>的</w:t>
      </w:r>
      <w:r>
        <w:rPr>
          <w:rFonts w:hint="eastAsia"/>
          <w:highlight w:val="none"/>
          <w:u w:val="single"/>
        </w:rPr>
        <w:t xml:space="preserve">  （采购合同名称）  </w:t>
      </w:r>
      <w:r>
        <w:rPr>
          <w:rFonts w:hint="eastAsia"/>
          <w:highlight w:val="none"/>
        </w:rPr>
        <w:t>采购合同（下称合同)，工期自</w:t>
      </w:r>
      <w:r>
        <w:rPr>
          <w:rFonts w:hint="eastAsia"/>
          <w:highlight w:val="none"/>
          <w:u w:val="single"/>
        </w:rPr>
        <w:t xml:space="preserve">       年   月   日</w:t>
      </w:r>
      <w:r>
        <w:rPr>
          <w:rFonts w:hint="eastAsia"/>
          <w:highlight w:val="none"/>
        </w:rPr>
        <w:t>至</w:t>
      </w:r>
      <w:r>
        <w:rPr>
          <w:rFonts w:hint="eastAsia"/>
          <w:highlight w:val="none"/>
          <w:u w:val="single"/>
        </w:rPr>
        <w:t xml:space="preserve">       年   月   日</w:t>
      </w:r>
      <w:r>
        <w:rPr>
          <w:rFonts w:hint="eastAsia"/>
          <w:highlight w:val="none"/>
        </w:rPr>
        <w:t>。我方接受被保证人的委托，在此向受益人提供不可撤销的履约保函：</w:t>
      </w:r>
    </w:p>
    <w:p>
      <w:pPr>
        <w:tabs>
          <w:tab w:val="clear" w:pos="426"/>
        </w:tabs>
        <w:rPr>
          <w:highlight w:val="none"/>
        </w:rPr>
      </w:pPr>
      <w:r>
        <w:rPr>
          <w:rFonts w:hint="eastAsia"/>
          <w:highlight w:val="none"/>
        </w:rPr>
        <w:t>1．本保证担保的最高担保金额为人民币</w:t>
      </w:r>
      <w:r>
        <w:rPr>
          <w:rFonts w:hint="eastAsia"/>
          <w:highlight w:val="none"/>
          <w:u w:val="single"/>
        </w:rPr>
        <w:t xml:space="preserve">   （小写)    </w:t>
      </w:r>
      <w:r>
        <w:rPr>
          <w:rFonts w:hint="eastAsia"/>
          <w:highlight w:val="none"/>
        </w:rPr>
        <w:t>元（</w:t>
      </w:r>
      <w:r>
        <w:rPr>
          <w:rFonts w:hint="eastAsia"/>
          <w:highlight w:val="none"/>
          <w:u w:val="single"/>
        </w:rPr>
        <w:t xml:space="preserve">   （大写)     </w:t>
      </w:r>
      <w:r>
        <w:rPr>
          <w:rFonts w:hint="eastAsia"/>
          <w:highlight w:val="none"/>
        </w:rPr>
        <w:t>元）。</w:t>
      </w:r>
    </w:p>
    <w:p>
      <w:pPr>
        <w:tabs>
          <w:tab w:val="clear" w:pos="426"/>
        </w:tabs>
        <w:rPr>
          <w:highlight w:val="none"/>
        </w:rPr>
      </w:pPr>
      <w:r>
        <w:rPr>
          <w:rFonts w:hint="eastAsia"/>
          <w:highlight w:val="none"/>
        </w:rPr>
        <w:t>2．本保证担保的保证期间自</w:t>
      </w:r>
      <w:r>
        <w:rPr>
          <w:rFonts w:hint="eastAsia"/>
          <w:highlight w:val="none"/>
          <w:u w:val="single"/>
        </w:rPr>
        <w:t xml:space="preserve">        年    月   日</w:t>
      </w:r>
      <w:r>
        <w:rPr>
          <w:rFonts w:hint="eastAsia"/>
          <w:highlight w:val="none"/>
        </w:rPr>
        <w:t>至</w:t>
      </w:r>
      <w:r>
        <w:rPr>
          <w:rFonts w:hint="eastAsia"/>
          <w:highlight w:val="none"/>
          <w:u w:val="single"/>
        </w:rPr>
        <w:t xml:space="preserve">        年   月   日</w:t>
      </w:r>
      <w:r>
        <w:rPr>
          <w:rFonts w:hint="eastAsia"/>
          <w:highlight w:val="none"/>
        </w:rPr>
        <w:t>。</w:t>
      </w:r>
    </w:p>
    <w:p>
      <w:pPr>
        <w:tabs>
          <w:tab w:val="clear" w:pos="426"/>
        </w:tabs>
        <w:rPr>
          <w:highlight w:val="none"/>
        </w:rPr>
      </w:pPr>
      <w:r>
        <w:rPr>
          <w:rFonts w:hint="eastAsia"/>
          <w:highlight w:val="none"/>
        </w:rPr>
        <w:t>3．在本保证担保的保证期间内，我方将在收到</w:t>
      </w:r>
      <w:r>
        <w:rPr>
          <w:rFonts w:hint="eastAsia"/>
          <w:highlight w:val="none"/>
          <w:u w:val="single"/>
        </w:rPr>
        <w:t xml:space="preserve">      （受益人）     </w:t>
      </w:r>
      <w:r>
        <w:rPr>
          <w:rFonts w:hint="eastAsia"/>
          <w:highlight w:val="none"/>
        </w:rPr>
        <w:t>法定代表人或其授权委托代理人签字确认并加盖公章的书面索赔通知后个工作日内，不争辩、不挑剔、不可撤销地向受益人支付索赔款，直至本保证的最高担保金额。</w:t>
      </w:r>
    </w:p>
    <w:p>
      <w:pPr>
        <w:tabs>
          <w:tab w:val="clear" w:pos="426"/>
        </w:tabs>
        <w:rPr>
          <w:highlight w:val="none"/>
        </w:rPr>
      </w:pPr>
      <w:r>
        <w:rPr>
          <w:rFonts w:hint="eastAsia"/>
          <w:highlight w:val="none"/>
        </w:rPr>
        <w:t>4．索赔通知应当说明索赔理由、索赔款额的计算方法，并必须在本保证担保的保证期间内送达我方。</w:t>
      </w:r>
    </w:p>
    <w:p>
      <w:pPr>
        <w:tabs>
          <w:tab w:val="clear" w:pos="426"/>
        </w:tabs>
        <w:rPr>
          <w:highlight w:val="none"/>
        </w:rPr>
      </w:pPr>
      <w:r>
        <w:rPr>
          <w:rFonts w:hint="eastAsia"/>
          <w:highlight w:val="none"/>
        </w:rPr>
        <w:t>5．本保证担保项下的权利不得转让。</w:t>
      </w:r>
    </w:p>
    <w:p>
      <w:pPr>
        <w:tabs>
          <w:tab w:val="clear" w:pos="426"/>
        </w:tabs>
        <w:rPr>
          <w:highlight w:val="none"/>
        </w:rPr>
      </w:pPr>
      <w:r>
        <w:rPr>
          <w:rFonts w:hint="eastAsia"/>
          <w:highlight w:val="none"/>
        </w:rPr>
        <w:t>6．我方提供本保证担保后，受益人与被保证人对合同进行修订的，应当将修订后的合同原件送我方备案。</w:t>
      </w:r>
    </w:p>
    <w:p>
      <w:pPr>
        <w:tabs>
          <w:tab w:val="clear" w:pos="426"/>
        </w:tabs>
        <w:rPr>
          <w:highlight w:val="none"/>
        </w:rPr>
      </w:pPr>
      <w:r>
        <w:rPr>
          <w:rFonts w:hint="eastAsia"/>
          <w:highlight w:val="none"/>
        </w:rPr>
        <w:t>7．本保证担保的保证期间届满，或我方向受益人支付的索赔款已达本保证担保的最高担保金额，我方的保证责任免除。</w:t>
      </w:r>
    </w:p>
    <w:p>
      <w:pPr>
        <w:tabs>
          <w:tab w:val="clear" w:pos="426"/>
        </w:tabs>
        <w:rPr>
          <w:highlight w:val="none"/>
        </w:rPr>
      </w:pPr>
      <w:r>
        <w:rPr>
          <w:rFonts w:hint="eastAsia"/>
          <w:highlight w:val="none"/>
        </w:rPr>
        <w:t>8．本保证担保适用中华人民共和国法律。</w:t>
      </w:r>
    </w:p>
    <w:p>
      <w:pPr>
        <w:tabs>
          <w:tab w:val="clear" w:pos="426"/>
        </w:tabs>
        <w:rPr>
          <w:highlight w:val="none"/>
        </w:rPr>
      </w:pPr>
      <w:r>
        <w:rPr>
          <w:rFonts w:hint="eastAsia"/>
          <w:highlight w:val="none"/>
        </w:rPr>
        <w:t>9．本保证担保以中文文本为准，涂改无效。</w:t>
      </w:r>
    </w:p>
    <w:p>
      <w:pPr>
        <w:tabs>
          <w:tab w:val="clear" w:pos="426"/>
        </w:tabs>
        <w:rPr>
          <w:highlight w:val="none"/>
        </w:rPr>
      </w:pPr>
    </w:p>
    <w:p>
      <w:pPr>
        <w:tabs>
          <w:tab w:val="clear" w:pos="426"/>
        </w:tabs>
        <w:rPr>
          <w:highlight w:val="none"/>
        </w:rPr>
      </w:pPr>
      <w:r>
        <w:rPr>
          <w:rFonts w:hint="eastAsia"/>
          <w:highlight w:val="none"/>
        </w:rPr>
        <w:t>（本保函失效后，请将原件退回我方注销)</w:t>
      </w:r>
    </w:p>
    <w:p>
      <w:pPr>
        <w:tabs>
          <w:tab w:val="clear" w:pos="426"/>
        </w:tabs>
        <w:rPr>
          <w:highlight w:val="none"/>
        </w:rPr>
      </w:pPr>
    </w:p>
    <w:p>
      <w:pPr>
        <w:tabs>
          <w:tab w:val="clear" w:pos="426"/>
        </w:tabs>
        <w:rPr>
          <w:highlight w:val="none"/>
        </w:rPr>
      </w:pPr>
      <w:r>
        <w:rPr>
          <w:rFonts w:hint="eastAsia"/>
          <w:highlight w:val="none"/>
        </w:rPr>
        <w:t>保证人名称（公章)：</w:t>
      </w:r>
    </w:p>
    <w:p>
      <w:pPr>
        <w:tabs>
          <w:tab w:val="clear" w:pos="426"/>
        </w:tabs>
        <w:rPr>
          <w:highlight w:val="none"/>
        </w:rPr>
      </w:pPr>
      <w:r>
        <w:rPr>
          <w:rFonts w:hint="eastAsia"/>
          <w:highlight w:val="none"/>
        </w:rPr>
        <w:t>法定代表人或委托代理人（签字)：</w:t>
      </w:r>
    </w:p>
    <w:p>
      <w:pPr>
        <w:tabs>
          <w:tab w:val="clear" w:pos="426"/>
        </w:tabs>
        <w:rPr>
          <w:highlight w:val="none"/>
        </w:rPr>
      </w:pPr>
      <w:r>
        <w:rPr>
          <w:rFonts w:hint="eastAsia"/>
          <w:highlight w:val="none"/>
        </w:rPr>
        <w:t>单位地址：</w:t>
      </w:r>
    </w:p>
    <w:p>
      <w:pPr>
        <w:tabs>
          <w:tab w:val="clear" w:pos="426"/>
        </w:tabs>
        <w:rPr>
          <w:highlight w:val="none"/>
        </w:rPr>
      </w:pPr>
      <w:r>
        <w:rPr>
          <w:rFonts w:hint="eastAsia"/>
          <w:highlight w:val="none"/>
        </w:rPr>
        <w:t>电话：传真：</w:t>
      </w:r>
    </w:p>
    <w:p>
      <w:pPr>
        <w:tabs>
          <w:tab w:val="clear" w:pos="426"/>
        </w:tabs>
        <w:rPr>
          <w:highlight w:val="none"/>
        </w:rPr>
      </w:pPr>
      <w:r>
        <w:rPr>
          <w:rFonts w:hint="eastAsia"/>
          <w:highlight w:val="none"/>
        </w:rPr>
        <w:t>日期：</w:t>
      </w:r>
    </w:p>
    <w:p>
      <w:pPr>
        <w:tabs>
          <w:tab w:val="clear" w:pos="426"/>
        </w:tabs>
        <w:rPr>
          <w:highlight w:val="none"/>
        </w:rPr>
      </w:pPr>
    </w:p>
    <w:p>
      <w:pPr>
        <w:tabs>
          <w:tab w:val="clear" w:pos="426"/>
        </w:tabs>
        <w:rPr>
          <w:highlight w:val="none"/>
        </w:rPr>
      </w:pPr>
      <w:r>
        <w:rPr>
          <w:rFonts w:hint="eastAsia"/>
          <w:highlight w:val="none"/>
        </w:rPr>
        <w:t>说明：《履约担保》为中标后提交履约保函时所用，投标文件中无需提供《履约担保》。</w:t>
      </w:r>
    </w:p>
    <w:p>
      <w:pPr>
        <w:shd w:val="clear" w:color="auto" w:fill="auto"/>
        <w:tabs>
          <w:tab w:val="clear" w:pos="426"/>
        </w:tabs>
        <w:adjustRightInd/>
        <w:snapToGrid/>
        <w:spacing w:line="240" w:lineRule="auto"/>
        <w:jc w:val="left"/>
        <w:rPr>
          <w:highlight w:val="none"/>
        </w:rPr>
      </w:pPr>
      <w:r>
        <w:rPr>
          <w:highlight w:val="none"/>
        </w:rPr>
        <w:br w:type="page"/>
      </w:r>
    </w:p>
    <w:p>
      <w:pPr>
        <w:tabs>
          <w:tab w:val="clear" w:pos="426"/>
        </w:tabs>
        <w:rPr>
          <w:highlight w:val="none"/>
        </w:rPr>
      </w:pPr>
    </w:p>
    <w:p>
      <w:pPr>
        <w:tabs>
          <w:tab w:val="clear" w:pos="426"/>
        </w:tabs>
        <w:jc w:val="center"/>
        <w:rPr>
          <w:b/>
          <w:sz w:val="24"/>
          <w:highlight w:val="none"/>
        </w:rPr>
      </w:pPr>
      <w:r>
        <w:rPr>
          <w:rFonts w:hint="eastAsia"/>
          <w:b/>
          <w:sz w:val="24"/>
          <w:highlight w:val="none"/>
        </w:rPr>
        <w:t>四、政府采购履约情况反馈表</w:t>
      </w:r>
    </w:p>
    <w:p>
      <w:pPr>
        <w:tabs>
          <w:tab w:val="clear" w:pos="426"/>
        </w:tabs>
        <w:jc w:val="center"/>
        <w:rPr>
          <w:b/>
          <w:sz w:val="24"/>
          <w:highlight w:val="none"/>
        </w:rPr>
      </w:pPr>
    </w:p>
    <w:p>
      <w:pPr>
        <w:tabs>
          <w:tab w:val="clear" w:pos="426"/>
        </w:tabs>
        <w:rPr>
          <w:highlight w:val="none"/>
          <w:u w:val="single"/>
        </w:rPr>
      </w:pPr>
      <w:r>
        <w:rPr>
          <w:rFonts w:hint="eastAsia"/>
          <w:highlight w:val="none"/>
        </w:rPr>
        <w:t>采购单位名称：联系人及电话：</w:t>
      </w:r>
    </w:p>
    <w:tbl>
      <w:tblPr>
        <w:tblStyle w:val="44"/>
        <w:tblW w:w="9570"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4"/>
        <w:gridCol w:w="773"/>
        <w:gridCol w:w="773"/>
        <w:gridCol w:w="2704"/>
        <w:gridCol w:w="2125"/>
        <w:gridCol w:w="229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2450" w:type="dxa"/>
            <w:gridSpan w:val="3"/>
            <w:vAlign w:val="center"/>
          </w:tcPr>
          <w:p>
            <w:pPr>
              <w:tabs>
                <w:tab w:val="clear" w:pos="426"/>
              </w:tabs>
              <w:spacing w:line="240" w:lineRule="auto"/>
              <w:rPr>
                <w:highlight w:val="none"/>
              </w:rPr>
            </w:pPr>
            <w:r>
              <w:rPr>
                <w:rFonts w:hint="eastAsia"/>
                <w:highlight w:val="none"/>
              </w:rPr>
              <w:t>采购项目名称</w:t>
            </w:r>
          </w:p>
        </w:tc>
        <w:tc>
          <w:tcPr>
            <w:tcW w:w="2704" w:type="dxa"/>
            <w:vAlign w:val="center"/>
          </w:tcPr>
          <w:p>
            <w:pPr>
              <w:tabs>
                <w:tab w:val="clear" w:pos="426"/>
              </w:tabs>
              <w:spacing w:line="240" w:lineRule="auto"/>
              <w:rPr>
                <w:highlight w:val="none"/>
              </w:rPr>
            </w:pPr>
          </w:p>
        </w:tc>
        <w:tc>
          <w:tcPr>
            <w:tcW w:w="2125" w:type="dxa"/>
            <w:vAlign w:val="center"/>
          </w:tcPr>
          <w:p>
            <w:pPr>
              <w:tabs>
                <w:tab w:val="clear" w:pos="426"/>
              </w:tabs>
              <w:spacing w:line="240" w:lineRule="auto"/>
              <w:rPr>
                <w:highlight w:val="none"/>
              </w:rPr>
            </w:pPr>
            <w:r>
              <w:rPr>
                <w:rFonts w:hint="eastAsia"/>
                <w:highlight w:val="none"/>
              </w:rPr>
              <w:t>项目编号</w:t>
            </w:r>
          </w:p>
        </w:tc>
        <w:tc>
          <w:tcPr>
            <w:tcW w:w="2291" w:type="dxa"/>
            <w:vAlign w:val="center"/>
          </w:tcPr>
          <w:p>
            <w:pPr>
              <w:pStyle w:val="6"/>
              <w:tabs>
                <w:tab w:val="clear" w:pos="426"/>
              </w:tabs>
              <w:spacing w:line="240" w:lineRule="auto"/>
              <w:jc w:val="both"/>
              <w:rPr>
                <w:rFonts w:ascii="宋体" w:hAnsi="宋体" w:cs="宋体"/>
                <w:kern w:val="0"/>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61" w:hRule="atLeast"/>
          <w:jc w:val="center"/>
        </w:trPr>
        <w:tc>
          <w:tcPr>
            <w:tcW w:w="2450" w:type="dxa"/>
            <w:gridSpan w:val="3"/>
            <w:vAlign w:val="center"/>
          </w:tcPr>
          <w:p>
            <w:pPr>
              <w:tabs>
                <w:tab w:val="clear" w:pos="426"/>
              </w:tabs>
              <w:spacing w:line="240" w:lineRule="auto"/>
              <w:rPr>
                <w:highlight w:val="none"/>
              </w:rPr>
            </w:pPr>
            <w:r>
              <w:rPr>
                <w:rFonts w:hint="eastAsia"/>
                <w:highlight w:val="none"/>
              </w:rPr>
              <w:t>中标人名称</w:t>
            </w:r>
          </w:p>
        </w:tc>
        <w:tc>
          <w:tcPr>
            <w:tcW w:w="2704" w:type="dxa"/>
            <w:vAlign w:val="center"/>
          </w:tcPr>
          <w:p>
            <w:pPr>
              <w:tabs>
                <w:tab w:val="clear" w:pos="426"/>
              </w:tabs>
              <w:spacing w:line="240" w:lineRule="auto"/>
              <w:rPr>
                <w:highlight w:val="none"/>
              </w:rPr>
            </w:pPr>
          </w:p>
        </w:tc>
        <w:tc>
          <w:tcPr>
            <w:tcW w:w="2125" w:type="dxa"/>
            <w:vAlign w:val="center"/>
          </w:tcPr>
          <w:p>
            <w:pPr>
              <w:tabs>
                <w:tab w:val="clear" w:pos="426"/>
              </w:tabs>
              <w:spacing w:line="240" w:lineRule="auto"/>
              <w:rPr>
                <w:highlight w:val="none"/>
              </w:rPr>
            </w:pPr>
            <w:r>
              <w:rPr>
                <w:rFonts w:hint="eastAsia"/>
                <w:highlight w:val="none"/>
              </w:rPr>
              <w:t>供应商</w:t>
            </w:r>
          </w:p>
          <w:p>
            <w:pPr>
              <w:tabs>
                <w:tab w:val="clear" w:pos="426"/>
              </w:tabs>
              <w:spacing w:line="240" w:lineRule="auto"/>
              <w:rPr>
                <w:highlight w:val="none"/>
              </w:rPr>
            </w:pPr>
            <w:r>
              <w:rPr>
                <w:rFonts w:hint="eastAsia"/>
                <w:highlight w:val="none"/>
              </w:rPr>
              <w:t>联系人及电话</w:t>
            </w:r>
          </w:p>
        </w:tc>
        <w:tc>
          <w:tcPr>
            <w:tcW w:w="2291" w:type="dxa"/>
            <w:vAlign w:val="center"/>
          </w:tcPr>
          <w:p>
            <w:pPr>
              <w:tabs>
                <w:tab w:val="clear" w:pos="426"/>
              </w:tabs>
              <w:spacing w:line="240" w:lineRule="auto"/>
              <w:rPr>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38" w:hRule="atLeast"/>
          <w:jc w:val="center"/>
        </w:trPr>
        <w:tc>
          <w:tcPr>
            <w:tcW w:w="2450" w:type="dxa"/>
            <w:gridSpan w:val="3"/>
            <w:vAlign w:val="center"/>
          </w:tcPr>
          <w:p>
            <w:pPr>
              <w:tabs>
                <w:tab w:val="clear" w:pos="426"/>
              </w:tabs>
              <w:spacing w:line="240" w:lineRule="auto"/>
              <w:rPr>
                <w:highlight w:val="none"/>
              </w:rPr>
            </w:pPr>
            <w:r>
              <w:rPr>
                <w:rFonts w:hint="eastAsia"/>
                <w:highlight w:val="none"/>
              </w:rPr>
              <w:t>中标金额</w:t>
            </w:r>
          </w:p>
        </w:tc>
        <w:tc>
          <w:tcPr>
            <w:tcW w:w="2704" w:type="dxa"/>
            <w:vAlign w:val="center"/>
          </w:tcPr>
          <w:p>
            <w:pPr>
              <w:tabs>
                <w:tab w:val="clear" w:pos="426"/>
              </w:tabs>
              <w:spacing w:line="240" w:lineRule="auto"/>
              <w:rPr>
                <w:highlight w:val="none"/>
              </w:rPr>
            </w:pPr>
          </w:p>
        </w:tc>
        <w:tc>
          <w:tcPr>
            <w:tcW w:w="2125" w:type="dxa"/>
            <w:vAlign w:val="center"/>
          </w:tcPr>
          <w:p>
            <w:pPr>
              <w:tabs>
                <w:tab w:val="clear" w:pos="426"/>
              </w:tabs>
              <w:spacing w:line="240" w:lineRule="auto"/>
              <w:rPr>
                <w:highlight w:val="none"/>
              </w:rPr>
            </w:pPr>
            <w:r>
              <w:rPr>
                <w:rFonts w:hint="eastAsia"/>
                <w:highlight w:val="none"/>
              </w:rPr>
              <w:t>合同履约时间</w:t>
            </w:r>
          </w:p>
        </w:tc>
        <w:tc>
          <w:tcPr>
            <w:tcW w:w="2291" w:type="dxa"/>
            <w:vAlign w:val="center"/>
          </w:tcPr>
          <w:p>
            <w:pPr>
              <w:tabs>
                <w:tab w:val="clear" w:pos="426"/>
              </w:tabs>
              <w:spacing w:line="240" w:lineRule="auto"/>
              <w:rPr>
                <w:highlight w:val="none"/>
              </w:rPr>
            </w:pPr>
            <w:r>
              <w:rPr>
                <w:rFonts w:hint="eastAsia"/>
                <w:highlight w:val="none"/>
              </w:rPr>
              <w:t>自       至</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restart"/>
            <w:vAlign w:val="center"/>
          </w:tcPr>
          <w:p>
            <w:pPr>
              <w:tabs>
                <w:tab w:val="clear" w:pos="426"/>
              </w:tabs>
              <w:spacing w:line="240" w:lineRule="auto"/>
              <w:jc w:val="center"/>
              <w:rPr>
                <w:highlight w:val="none"/>
              </w:rPr>
            </w:pPr>
            <w:r>
              <w:rPr>
                <w:rFonts w:hint="eastAsia"/>
                <w:highlight w:val="none"/>
              </w:rPr>
              <w:t>履约情况评价</w:t>
            </w:r>
          </w:p>
        </w:tc>
        <w:tc>
          <w:tcPr>
            <w:tcW w:w="1546" w:type="dxa"/>
            <w:gridSpan w:val="2"/>
            <w:tcBorders>
              <w:right w:val="single" w:color="auto" w:sz="4" w:space="0"/>
            </w:tcBorders>
            <w:vAlign w:val="center"/>
          </w:tcPr>
          <w:p>
            <w:pPr>
              <w:tabs>
                <w:tab w:val="clear" w:pos="426"/>
              </w:tabs>
              <w:spacing w:line="240" w:lineRule="auto"/>
              <w:jc w:val="center"/>
              <w:rPr>
                <w:highlight w:val="none"/>
              </w:rPr>
            </w:pPr>
            <w:r>
              <w:rPr>
                <w:rFonts w:hint="eastAsia"/>
                <w:highlight w:val="none"/>
              </w:rPr>
              <w:t>总体评价</w:t>
            </w:r>
          </w:p>
        </w:tc>
        <w:tc>
          <w:tcPr>
            <w:tcW w:w="7120" w:type="dxa"/>
            <w:gridSpan w:val="3"/>
            <w:tcBorders>
              <w:left w:val="single" w:color="auto" w:sz="4" w:space="0"/>
            </w:tcBorders>
            <w:vAlign w:val="center"/>
          </w:tcPr>
          <w:p>
            <w:pPr>
              <w:tabs>
                <w:tab w:val="clear" w:pos="426"/>
              </w:tabs>
              <w:spacing w:line="240" w:lineRule="auto"/>
              <w:rPr>
                <w:highlight w:val="none"/>
              </w:rPr>
            </w:pPr>
            <w:r>
              <w:rPr>
                <w:rFonts w:hint="eastAsia"/>
                <w:highlight w:val="none"/>
              </w:rPr>
              <w:t>□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jc w:val="center"/>
              <w:rPr>
                <w:highlight w:val="none"/>
              </w:rPr>
            </w:pPr>
          </w:p>
        </w:tc>
        <w:tc>
          <w:tcPr>
            <w:tcW w:w="773" w:type="dxa"/>
            <w:vMerge w:val="restart"/>
            <w:tcBorders>
              <w:right w:val="single" w:color="auto" w:sz="4" w:space="0"/>
            </w:tcBorders>
            <w:vAlign w:val="center"/>
          </w:tcPr>
          <w:p>
            <w:pPr>
              <w:tabs>
                <w:tab w:val="clear" w:pos="426"/>
              </w:tabs>
              <w:spacing w:line="240" w:lineRule="auto"/>
              <w:jc w:val="center"/>
              <w:rPr>
                <w:highlight w:val="none"/>
              </w:rPr>
            </w:pPr>
            <w:r>
              <w:rPr>
                <w:rFonts w:hint="eastAsia"/>
                <w:highlight w:val="none"/>
              </w:rPr>
              <w:t>分项评价</w:t>
            </w:r>
          </w:p>
        </w:tc>
        <w:tc>
          <w:tcPr>
            <w:tcW w:w="773" w:type="dxa"/>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质量方面</w:t>
            </w:r>
          </w:p>
        </w:tc>
        <w:tc>
          <w:tcPr>
            <w:tcW w:w="7120" w:type="dxa"/>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rPr>
                <w:highlight w:val="none"/>
              </w:rPr>
            </w:pPr>
          </w:p>
        </w:tc>
        <w:tc>
          <w:tcPr>
            <w:tcW w:w="773" w:type="dxa"/>
            <w:vMerge w:val="continue"/>
            <w:tcBorders>
              <w:right w:val="single" w:color="auto" w:sz="4" w:space="0"/>
            </w:tcBorders>
            <w:vAlign w:val="center"/>
          </w:tcPr>
          <w:p>
            <w:pPr>
              <w:tabs>
                <w:tab w:val="clear" w:pos="426"/>
              </w:tabs>
              <w:spacing w:line="240" w:lineRule="auto"/>
              <w:rPr>
                <w:highlight w:val="none"/>
              </w:rPr>
            </w:pPr>
          </w:p>
        </w:tc>
        <w:tc>
          <w:tcPr>
            <w:tcW w:w="773" w:type="dxa"/>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价格方面</w:t>
            </w:r>
          </w:p>
        </w:tc>
        <w:tc>
          <w:tcPr>
            <w:tcW w:w="7120" w:type="dxa"/>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rPr>
                <w:highlight w:val="none"/>
              </w:rPr>
            </w:pPr>
          </w:p>
        </w:tc>
        <w:tc>
          <w:tcPr>
            <w:tcW w:w="773" w:type="dxa"/>
            <w:vMerge w:val="continue"/>
            <w:tcBorders>
              <w:right w:val="single" w:color="auto" w:sz="4" w:space="0"/>
            </w:tcBorders>
            <w:vAlign w:val="center"/>
          </w:tcPr>
          <w:p>
            <w:pPr>
              <w:tabs>
                <w:tab w:val="clear" w:pos="426"/>
              </w:tabs>
              <w:spacing w:line="240" w:lineRule="auto"/>
              <w:rPr>
                <w:highlight w:val="none"/>
              </w:rPr>
            </w:pPr>
          </w:p>
        </w:tc>
        <w:tc>
          <w:tcPr>
            <w:tcW w:w="773" w:type="dxa"/>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服务方面</w:t>
            </w:r>
          </w:p>
        </w:tc>
        <w:tc>
          <w:tcPr>
            <w:tcW w:w="7120" w:type="dxa"/>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rPr>
                <w:highlight w:val="none"/>
              </w:rPr>
            </w:pPr>
          </w:p>
        </w:tc>
        <w:tc>
          <w:tcPr>
            <w:tcW w:w="773" w:type="dxa"/>
            <w:vMerge w:val="continue"/>
            <w:tcBorders>
              <w:right w:val="single" w:color="auto" w:sz="4" w:space="0"/>
            </w:tcBorders>
            <w:vAlign w:val="center"/>
          </w:tcPr>
          <w:p>
            <w:pPr>
              <w:tabs>
                <w:tab w:val="clear" w:pos="426"/>
              </w:tabs>
              <w:spacing w:line="240" w:lineRule="auto"/>
              <w:rPr>
                <w:highlight w:val="none"/>
              </w:rPr>
            </w:pPr>
          </w:p>
        </w:tc>
        <w:tc>
          <w:tcPr>
            <w:tcW w:w="773" w:type="dxa"/>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时间方面</w:t>
            </w:r>
          </w:p>
        </w:tc>
        <w:tc>
          <w:tcPr>
            <w:tcW w:w="7120" w:type="dxa"/>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rPr>
                <w:highlight w:val="none"/>
              </w:rPr>
            </w:pPr>
          </w:p>
        </w:tc>
        <w:tc>
          <w:tcPr>
            <w:tcW w:w="773" w:type="dxa"/>
            <w:vMerge w:val="continue"/>
            <w:tcBorders>
              <w:right w:val="single" w:color="auto" w:sz="4" w:space="0"/>
            </w:tcBorders>
            <w:vAlign w:val="center"/>
          </w:tcPr>
          <w:p>
            <w:pPr>
              <w:tabs>
                <w:tab w:val="clear" w:pos="426"/>
              </w:tabs>
              <w:spacing w:line="240" w:lineRule="auto"/>
              <w:rPr>
                <w:highlight w:val="none"/>
              </w:rPr>
            </w:pPr>
          </w:p>
        </w:tc>
        <w:tc>
          <w:tcPr>
            <w:tcW w:w="773" w:type="dxa"/>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环境保护</w:t>
            </w:r>
          </w:p>
        </w:tc>
        <w:tc>
          <w:tcPr>
            <w:tcW w:w="7120" w:type="dxa"/>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rPr>
                <w:highlight w:val="none"/>
              </w:rPr>
            </w:pPr>
          </w:p>
        </w:tc>
        <w:tc>
          <w:tcPr>
            <w:tcW w:w="773" w:type="dxa"/>
            <w:vMerge w:val="continue"/>
            <w:tcBorders>
              <w:right w:val="single" w:color="auto" w:sz="4" w:space="0"/>
            </w:tcBorders>
            <w:vAlign w:val="center"/>
          </w:tcPr>
          <w:p>
            <w:pPr>
              <w:tabs>
                <w:tab w:val="clear" w:pos="426"/>
              </w:tabs>
              <w:spacing w:line="240" w:lineRule="auto"/>
              <w:rPr>
                <w:highlight w:val="none"/>
              </w:rPr>
            </w:pPr>
          </w:p>
        </w:tc>
        <w:tc>
          <w:tcPr>
            <w:tcW w:w="773" w:type="dxa"/>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其他</w:t>
            </w:r>
          </w:p>
        </w:tc>
        <w:tc>
          <w:tcPr>
            <w:tcW w:w="7120" w:type="dxa"/>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评价内容为：                    </w:t>
            </w:r>
          </w:p>
          <w:p>
            <w:pPr>
              <w:tabs>
                <w:tab w:val="clear" w:pos="426"/>
              </w:tabs>
              <w:spacing w:line="240" w:lineRule="auto"/>
              <w:rPr>
                <w:highlight w:val="none"/>
              </w:rPr>
            </w:pPr>
            <w:r>
              <w:rPr>
                <w:rFonts w:hint="eastAsia"/>
                <w:highlight w:val="none"/>
              </w:rPr>
              <w:t>评价等级为：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994" w:hRule="atLeast"/>
          <w:jc w:val="center"/>
        </w:trPr>
        <w:tc>
          <w:tcPr>
            <w:tcW w:w="1677" w:type="dxa"/>
            <w:gridSpan w:val="2"/>
            <w:vAlign w:val="center"/>
          </w:tcPr>
          <w:p>
            <w:pPr>
              <w:tabs>
                <w:tab w:val="clear" w:pos="426"/>
              </w:tabs>
              <w:spacing w:line="240" w:lineRule="auto"/>
              <w:rPr>
                <w:highlight w:val="none"/>
              </w:rPr>
            </w:pPr>
            <w:r>
              <w:rPr>
                <w:rFonts w:hint="eastAsia"/>
                <w:highlight w:val="none"/>
              </w:rPr>
              <w:t>具体情况说明</w:t>
            </w:r>
          </w:p>
        </w:tc>
        <w:tc>
          <w:tcPr>
            <w:tcW w:w="7893" w:type="dxa"/>
            <w:gridSpan w:val="4"/>
          </w:tcPr>
          <w:p>
            <w:pPr>
              <w:tabs>
                <w:tab w:val="clear" w:pos="426"/>
              </w:tabs>
              <w:spacing w:line="240" w:lineRule="auto"/>
              <w:rPr>
                <w:highlight w:val="none"/>
              </w:rPr>
            </w:pPr>
          </w:p>
          <w:p>
            <w:pPr>
              <w:tabs>
                <w:tab w:val="clear" w:pos="426"/>
              </w:tabs>
              <w:spacing w:line="240" w:lineRule="auto"/>
              <w:rPr>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1141" w:hRule="atLeast"/>
          <w:jc w:val="center"/>
        </w:trPr>
        <w:tc>
          <w:tcPr>
            <w:tcW w:w="1677" w:type="dxa"/>
            <w:gridSpan w:val="2"/>
            <w:vAlign w:val="center"/>
          </w:tcPr>
          <w:p>
            <w:pPr>
              <w:tabs>
                <w:tab w:val="clear" w:pos="426"/>
              </w:tabs>
              <w:spacing w:line="240" w:lineRule="auto"/>
              <w:rPr>
                <w:highlight w:val="none"/>
              </w:rPr>
            </w:pPr>
            <w:r>
              <w:rPr>
                <w:rFonts w:hint="eastAsia"/>
                <w:highlight w:val="none"/>
              </w:rPr>
              <w:t>采购单位意见</w:t>
            </w:r>
          </w:p>
          <w:p>
            <w:pPr>
              <w:tabs>
                <w:tab w:val="clear" w:pos="426"/>
              </w:tabs>
              <w:spacing w:line="240" w:lineRule="auto"/>
              <w:rPr>
                <w:highlight w:val="none"/>
              </w:rPr>
            </w:pPr>
            <w:r>
              <w:rPr>
                <w:rFonts w:hint="eastAsia"/>
                <w:highlight w:val="none"/>
              </w:rPr>
              <w:t>（公章）</w:t>
            </w:r>
          </w:p>
        </w:tc>
        <w:tc>
          <w:tcPr>
            <w:tcW w:w="7893" w:type="dxa"/>
            <w:gridSpan w:val="4"/>
            <w:vAlign w:val="center"/>
          </w:tcPr>
          <w:p>
            <w:pPr>
              <w:tabs>
                <w:tab w:val="clear" w:pos="426"/>
              </w:tabs>
              <w:spacing w:line="240" w:lineRule="auto"/>
              <w:rPr>
                <w:highlight w:val="none"/>
              </w:rPr>
            </w:pPr>
          </w:p>
          <w:p>
            <w:pPr>
              <w:tabs>
                <w:tab w:val="clear" w:pos="426"/>
              </w:tabs>
              <w:spacing w:line="240" w:lineRule="auto"/>
              <w:rPr>
                <w:highlight w:val="none"/>
              </w:rPr>
            </w:pPr>
          </w:p>
          <w:p>
            <w:pPr>
              <w:tabs>
                <w:tab w:val="clear" w:pos="426"/>
              </w:tabs>
              <w:spacing w:line="240" w:lineRule="auto"/>
              <w:rPr>
                <w:highlight w:val="none"/>
              </w:rPr>
            </w:pPr>
          </w:p>
          <w:p>
            <w:pPr>
              <w:tabs>
                <w:tab w:val="clear" w:pos="426"/>
              </w:tabs>
              <w:spacing w:line="240" w:lineRule="auto"/>
              <w:rPr>
                <w:highlight w:val="none"/>
              </w:rPr>
            </w:pPr>
            <w:r>
              <w:rPr>
                <w:rFonts w:hint="eastAsia"/>
                <w:highlight w:val="none"/>
              </w:rPr>
              <w:t>日期：   年   月   日</w:t>
            </w:r>
          </w:p>
        </w:tc>
      </w:tr>
    </w:tbl>
    <w:p>
      <w:pPr>
        <w:tabs>
          <w:tab w:val="clear" w:pos="426"/>
        </w:tabs>
        <w:rPr>
          <w:highlight w:val="none"/>
        </w:rPr>
      </w:pPr>
      <w:r>
        <w:rPr>
          <w:rFonts w:hint="eastAsia"/>
          <w:highlight w:val="none"/>
        </w:rPr>
        <w:t>说明：</w:t>
      </w:r>
    </w:p>
    <w:p>
      <w:pPr>
        <w:tabs>
          <w:tab w:val="clear" w:pos="426"/>
        </w:tabs>
        <w:ind w:firstLine="424" w:firstLineChars="202"/>
        <w:rPr>
          <w:highlight w:val="none"/>
        </w:rPr>
      </w:pPr>
      <w:r>
        <w:rPr>
          <w:rFonts w:hint="eastAsia"/>
          <w:highlight w:val="none"/>
        </w:rPr>
        <w:t>1、本表为采购单位向深圳市政府采购中心反映政府采购项目履约情况时所用；</w:t>
      </w:r>
    </w:p>
    <w:p>
      <w:pPr>
        <w:tabs>
          <w:tab w:val="clear" w:pos="426"/>
        </w:tabs>
        <w:ind w:firstLine="424" w:firstLineChars="202"/>
        <w:rPr>
          <w:highlight w:val="none"/>
        </w:rPr>
      </w:pPr>
      <w:r>
        <w:rPr>
          <w:rFonts w:hint="eastAsia"/>
          <w:highlight w:val="none"/>
        </w:rPr>
        <w:t>2、履约情况评价分为优、良、中、差四个等级，请在对应的框前打“√”，然后在“具体情况说明”一栏详细说明有关情况。</w:t>
      </w:r>
    </w:p>
    <w:p>
      <w:pPr>
        <w:pStyle w:val="33"/>
        <w:tabs>
          <w:tab w:val="clear" w:pos="426"/>
        </w:tabs>
        <w:rPr>
          <w:highlight w:val="none"/>
        </w:rPr>
      </w:pPr>
      <w:r>
        <w:rPr>
          <w:highlight w:val="none"/>
        </w:rPr>
        <w:br w:type="page"/>
      </w:r>
      <w:bookmarkStart w:id="44" w:name="_Toc5875392"/>
      <w:r>
        <w:rPr>
          <w:rFonts w:hint="eastAsia"/>
          <w:highlight w:val="none"/>
        </w:rPr>
        <w:t>第五章 投标文件格式、附件</w:t>
      </w:r>
      <w:bookmarkEnd w:id="42"/>
      <w:bookmarkEnd w:id="43"/>
      <w:bookmarkEnd w:id="44"/>
    </w:p>
    <w:p>
      <w:pPr>
        <w:tabs>
          <w:tab w:val="clear" w:pos="426"/>
        </w:tabs>
        <w:rPr>
          <w:highlight w:val="none"/>
        </w:rPr>
      </w:pPr>
      <w:r>
        <w:rPr>
          <w:rStyle w:val="59"/>
          <w:rFonts w:hint="eastAsia" w:ascii="宋体" w:eastAsia="宋体"/>
          <w:sz w:val="24"/>
          <w:highlight w:val="none"/>
        </w:rPr>
        <w:t>特别提醒：</w:t>
      </w:r>
      <w:r>
        <w:rPr>
          <w:rFonts w:hint="eastAsia"/>
          <w:highlight w:val="none"/>
        </w:rPr>
        <w:t>投标人在编辑投标文件时，应严格按照招标文件提供的格式进行编写，因未按要求编写导致投标文件不予受理、无效标或废标的，一切后果由供应商自行承担。</w:t>
      </w:r>
    </w:p>
    <w:p>
      <w:pPr>
        <w:tabs>
          <w:tab w:val="clear" w:pos="426"/>
        </w:tabs>
        <w:rPr>
          <w:highlight w:val="none"/>
        </w:rPr>
      </w:pPr>
    </w:p>
    <w:p>
      <w:pPr>
        <w:tabs>
          <w:tab w:val="clear" w:pos="426"/>
        </w:tabs>
        <w:rPr>
          <w:highlight w:val="none"/>
        </w:rPr>
      </w:pPr>
    </w:p>
    <w:p>
      <w:pPr>
        <w:tabs>
          <w:tab w:val="clear" w:pos="426"/>
        </w:tabs>
        <w:rPr>
          <w:highlight w:val="none"/>
        </w:rPr>
      </w:pPr>
      <w:r>
        <w:rPr>
          <w:rFonts w:hint="eastAsia"/>
          <w:highlight w:val="none"/>
        </w:rPr>
        <w:t>投标文件组成：</w:t>
      </w:r>
    </w:p>
    <w:p>
      <w:pPr>
        <w:tabs>
          <w:tab w:val="clear" w:pos="426"/>
        </w:tabs>
        <w:rPr>
          <w:highlight w:val="none"/>
        </w:rPr>
      </w:pPr>
    </w:p>
    <w:p>
      <w:pPr>
        <w:tabs>
          <w:tab w:val="clear" w:pos="426"/>
        </w:tabs>
        <w:spacing w:line="240" w:lineRule="auto"/>
        <w:rPr>
          <w:highlight w:val="none"/>
        </w:rPr>
      </w:pPr>
      <w:r>
        <w:rPr>
          <w:rFonts w:hint="eastAsia"/>
          <w:highlight w:val="none"/>
        </w:rPr>
        <w:t>密封袋封条格式</w:t>
      </w:r>
    </w:p>
    <w:p>
      <w:pPr>
        <w:tabs>
          <w:tab w:val="clear" w:pos="426"/>
        </w:tabs>
        <w:spacing w:line="240" w:lineRule="auto"/>
        <w:rPr>
          <w:highlight w:val="none"/>
        </w:rPr>
      </w:pPr>
      <w:r>
        <w:rPr>
          <w:rFonts w:hint="eastAsia"/>
          <w:highlight w:val="none"/>
        </w:rPr>
        <w:t>投标文件封面格式</w:t>
      </w:r>
    </w:p>
    <w:p>
      <w:pPr>
        <w:tabs>
          <w:tab w:val="clear" w:pos="426"/>
        </w:tabs>
        <w:spacing w:line="240" w:lineRule="auto"/>
        <w:rPr>
          <w:highlight w:val="none"/>
        </w:rPr>
      </w:pPr>
      <w:r>
        <w:rPr>
          <w:rFonts w:hint="eastAsia"/>
          <w:highlight w:val="none"/>
        </w:rPr>
        <w:t>目录（目录格式自定）</w:t>
      </w:r>
    </w:p>
    <w:p>
      <w:pPr>
        <w:tabs>
          <w:tab w:val="clear" w:pos="426"/>
        </w:tabs>
        <w:spacing w:line="240" w:lineRule="auto"/>
        <w:rPr>
          <w:highlight w:val="none"/>
        </w:rPr>
      </w:pPr>
      <w:r>
        <w:rPr>
          <w:rFonts w:hint="eastAsia"/>
          <w:highlight w:val="none"/>
        </w:rPr>
        <w:t>评标指引表</w:t>
      </w:r>
    </w:p>
    <w:p>
      <w:pPr>
        <w:pStyle w:val="280"/>
        <w:numPr>
          <w:ilvl w:val="0"/>
          <w:numId w:val="29"/>
        </w:numPr>
        <w:spacing w:line="240" w:lineRule="auto"/>
        <w:ind w:left="567" w:leftChars="270" w:firstLineChars="0"/>
        <w:rPr>
          <w:highlight w:val="none"/>
        </w:rPr>
      </w:pPr>
      <w:r>
        <w:rPr>
          <w:rFonts w:hint="eastAsia"/>
          <w:highlight w:val="none"/>
        </w:rPr>
        <w:t>投标函</w:t>
      </w:r>
    </w:p>
    <w:p>
      <w:pPr>
        <w:pStyle w:val="280"/>
        <w:numPr>
          <w:ilvl w:val="0"/>
          <w:numId w:val="29"/>
        </w:numPr>
        <w:spacing w:line="240" w:lineRule="auto"/>
        <w:ind w:left="567" w:leftChars="270" w:firstLineChars="0"/>
        <w:rPr>
          <w:highlight w:val="none"/>
        </w:rPr>
      </w:pPr>
      <w:r>
        <w:rPr>
          <w:rFonts w:hint="eastAsia"/>
          <w:highlight w:val="none"/>
        </w:rPr>
        <w:t>投标保证金缴纳承诺函</w:t>
      </w:r>
    </w:p>
    <w:p>
      <w:pPr>
        <w:pStyle w:val="280"/>
        <w:numPr>
          <w:ilvl w:val="0"/>
          <w:numId w:val="29"/>
        </w:numPr>
        <w:spacing w:line="240" w:lineRule="auto"/>
        <w:ind w:left="567" w:leftChars="270" w:firstLineChars="0"/>
        <w:rPr>
          <w:highlight w:val="none"/>
        </w:rPr>
      </w:pPr>
      <w:r>
        <w:rPr>
          <w:rFonts w:hint="eastAsia"/>
          <w:highlight w:val="none"/>
        </w:rPr>
        <w:t>政府采购投标及履约承诺函</w:t>
      </w:r>
    </w:p>
    <w:p>
      <w:pPr>
        <w:pStyle w:val="280"/>
        <w:numPr>
          <w:ilvl w:val="0"/>
          <w:numId w:val="29"/>
        </w:numPr>
        <w:spacing w:line="240" w:lineRule="auto"/>
        <w:ind w:left="567" w:leftChars="270" w:firstLineChars="0"/>
        <w:rPr>
          <w:highlight w:val="none"/>
        </w:rPr>
      </w:pPr>
      <w:r>
        <w:rPr>
          <w:rFonts w:hint="eastAsia"/>
          <w:highlight w:val="none"/>
        </w:rPr>
        <w:t>法定代表人授权委托书、法定代表人证明书</w:t>
      </w:r>
    </w:p>
    <w:p>
      <w:pPr>
        <w:pStyle w:val="280"/>
        <w:numPr>
          <w:ilvl w:val="0"/>
          <w:numId w:val="29"/>
        </w:numPr>
        <w:spacing w:line="240" w:lineRule="auto"/>
        <w:ind w:left="567" w:leftChars="270" w:firstLineChars="0"/>
        <w:rPr>
          <w:highlight w:val="none"/>
        </w:rPr>
      </w:pPr>
      <w:r>
        <w:rPr>
          <w:rFonts w:hint="eastAsia"/>
          <w:highlight w:val="none"/>
        </w:rPr>
        <w:t>投标人基本情况表</w:t>
      </w:r>
    </w:p>
    <w:p>
      <w:pPr>
        <w:pStyle w:val="280"/>
        <w:numPr>
          <w:ilvl w:val="0"/>
          <w:numId w:val="29"/>
        </w:numPr>
        <w:spacing w:line="240" w:lineRule="auto"/>
        <w:ind w:left="567" w:leftChars="270" w:firstLineChars="0"/>
        <w:rPr>
          <w:highlight w:val="none"/>
        </w:rPr>
      </w:pPr>
      <w:r>
        <w:rPr>
          <w:rFonts w:hint="eastAsia"/>
          <w:highlight w:val="none"/>
        </w:rPr>
        <w:t>开标一览表（报价表）</w:t>
      </w:r>
    </w:p>
    <w:p>
      <w:pPr>
        <w:pStyle w:val="280"/>
        <w:numPr>
          <w:ilvl w:val="0"/>
          <w:numId w:val="29"/>
        </w:numPr>
        <w:spacing w:line="240" w:lineRule="auto"/>
        <w:ind w:left="567" w:leftChars="270" w:firstLineChars="0"/>
        <w:rPr>
          <w:highlight w:val="none"/>
        </w:rPr>
      </w:pPr>
      <w:r>
        <w:rPr>
          <w:rFonts w:hint="eastAsia"/>
          <w:highlight w:val="none"/>
        </w:rPr>
        <w:t>投标分项报价表</w:t>
      </w:r>
    </w:p>
    <w:p>
      <w:pPr>
        <w:pStyle w:val="280"/>
        <w:numPr>
          <w:ilvl w:val="0"/>
          <w:numId w:val="29"/>
        </w:numPr>
        <w:spacing w:line="240" w:lineRule="auto"/>
        <w:ind w:left="567" w:leftChars="270" w:firstLineChars="0"/>
        <w:rPr>
          <w:highlight w:val="none"/>
        </w:rPr>
      </w:pPr>
      <w:r>
        <w:rPr>
          <w:rFonts w:hint="eastAsia"/>
          <w:highlight w:val="none"/>
        </w:rPr>
        <w:t>技术保障措施</w:t>
      </w:r>
    </w:p>
    <w:p>
      <w:pPr>
        <w:pStyle w:val="280"/>
        <w:numPr>
          <w:ilvl w:val="0"/>
          <w:numId w:val="29"/>
        </w:numPr>
        <w:spacing w:line="240" w:lineRule="auto"/>
        <w:ind w:left="567" w:leftChars="270" w:firstLineChars="0"/>
        <w:rPr>
          <w:highlight w:val="none"/>
        </w:rPr>
      </w:pPr>
      <w:r>
        <w:rPr>
          <w:rFonts w:hint="eastAsia"/>
          <w:highlight w:val="none"/>
        </w:rPr>
        <w:t>货物说明一览表</w:t>
      </w:r>
    </w:p>
    <w:p>
      <w:pPr>
        <w:pStyle w:val="280"/>
        <w:numPr>
          <w:ilvl w:val="0"/>
          <w:numId w:val="29"/>
        </w:numPr>
        <w:spacing w:line="240" w:lineRule="auto"/>
        <w:ind w:left="567" w:leftChars="270" w:firstLineChars="0"/>
        <w:rPr>
          <w:highlight w:val="none"/>
        </w:rPr>
      </w:pPr>
      <w:r>
        <w:rPr>
          <w:rFonts w:hint="eastAsia"/>
          <w:highlight w:val="none"/>
        </w:rPr>
        <w:t>技术规格偏离表</w:t>
      </w:r>
    </w:p>
    <w:p>
      <w:pPr>
        <w:pStyle w:val="280"/>
        <w:numPr>
          <w:ilvl w:val="0"/>
          <w:numId w:val="29"/>
        </w:numPr>
        <w:spacing w:line="240" w:lineRule="auto"/>
        <w:ind w:left="567" w:leftChars="270" w:firstLineChars="0"/>
        <w:rPr>
          <w:highlight w:val="none"/>
        </w:rPr>
      </w:pPr>
      <w:r>
        <w:rPr>
          <w:rFonts w:hint="eastAsia"/>
          <w:highlight w:val="none"/>
        </w:rPr>
        <w:t>施工安全保障措施</w:t>
      </w:r>
    </w:p>
    <w:p>
      <w:pPr>
        <w:pStyle w:val="280"/>
        <w:numPr>
          <w:ilvl w:val="0"/>
          <w:numId w:val="29"/>
        </w:numPr>
        <w:spacing w:line="240" w:lineRule="auto"/>
        <w:ind w:left="567" w:leftChars="270" w:firstLineChars="0"/>
        <w:rPr>
          <w:highlight w:val="none"/>
        </w:rPr>
      </w:pPr>
      <w:r>
        <w:rPr>
          <w:rFonts w:hint="eastAsia"/>
          <w:highlight w:val="none"/>
        </w:rPr>
        <w:t>检测报告</w:t>
      </w:r>
    </w:p>
    <w:p>
      <w:pPr>
        <w:pStyle w:val="280"/>
        <w:numPr>
          <w:ilvl w:val="0"/>
          <w:numId w:val="29"/>
        </w:numPr>
        <w:spacing w:line="240" w:lineRule="auto"/>
        <w:ind w:left="567" w:leftChars="270" w:firstLineChars="0"/>
        <w:rPr>
          <w:highlight w:val="none"/>
        </w:rPr>
      </w:pPr>
      <w:r>
        <w:rPr>
          <w:rFonts w:hint="eastAsia"/>
          <w:highlight w:val="none"/>
        </w:rPr>
        <w:t>样品</w:t>
      </w:r>
      <w:r>
        <w:rPr>
          <w:highlight w:val="none"/>
        </w:rPr>
        <w:t>/演示</w:t>
      </w:r>
    </w:p>
    <w:p>
      <w:pPr>
        <w:pStyle w:val="280"/>
        <w:numPr>
          <w:ilvl w:val="0"/>
          <w:numId w:val="29"/>
        </w:numPr>
        <w:spacing w:line="240" w:lineRule="auto"/>
        <w:ind w:left="567" w:leftChars="270" w:firstLineChars="0"/>
        <w:rPr>
          <w:highlight w:val="none"/>
        </w:rPr>
      </w:pPr>
      <w:r>
        <w:rPr>
          <w:rFonts w:hint="eastAsia"/>
          <w:highlight w:val="none"/>
        </w:rPr>
        <w:t>商务需求偏离表</w:t>
      </w:r>
    </w:p>
    <w:p>
      <w:pPr>
        <w:pStyle w:val="280"/>
        <w:numPr>
          <w:ilvl w:val="0"/>
          <w:numId w:val="29"/>
        </w:numPr>
        <w:spacing w:line="240" w:lineRule="auto"/>
        <w:ind w:left="567" w:leftChars="270" w:firstLineChars="0"/>
        <w:rPr>
          <w:highlight w:val="none"/>
        </w:rPr>
      </w:pPr>
      <w:r>
        <w:rPr>
          <w:rFonts w:hint="eastAsia"/>
          <w:highlight w:val="none"/>
        </w:rPr>
        <w:t>同类业绩情况一览表</w:t>
      </w:r>
    </w:p>
    <w:p>
      <w:pPr>
        <w:pStyle w:val="280"/>
        <w:numPr>
          <w:ilvl w:val="0"/>
          <w:numId w:val="29"/>
        </w:numPr>
        <w:spacing w:line="240" w:lineRule="auto"/>
        <w:ind w:left="567" w:leftChars="270" w:firstLineChars="0"/>
        <w:rPr>
          <w:highlight w:val="none"/>
        </w:rPr>
      </w:pPr>
      <w:r>
        <w:rPr>
          <w:rFonts w:hint="eastAsia"/>
          <w:highlight w:val="none"/>
        </w:rPr>
        <w:t>中小企业声明函及残疾人福利性单位声明函（或省级以上监狱管理局、戒毒管理局（含新疆生产建设兵团）出具的属于监狱企业的证明文件）（可选）</w:t>
      </w:r>
    </w:p>
    <w:p>
      <w:pPr>
        <w:pStyle w:val="280"/>
        <w:numPr>
          <w:ilvl w:val="0"/>
          <w:numId w:val="29"/>
        </w:numPr>
        <w:spacing w:line="240" w:lineRule="auto"/>
        <w:ind w:left="567" w:leftChars="270" w:firstLineChars="0"/>
        <w:rPr>
          <w:highlight w:val="none"/>
        </w:rPr>
      </w:pPr>
      <w:r>
        <w:rPr>
          <w:rFonts w:hint="eastAsia"/>
          <w:highlight w:val="none"/>
        </w:rPr>
        <w:t>招标代理服务费承诺书</w:t>
      </w:r>
    </w:p>
    <w:p>
      <w:pPr>
        <w:pStyle w:val="280"/>
        <w:numPr>
          <w:ilvl w:val="0"/>
          <w:numId w:val="29"/>
        </w:numPr>
        <w:spacing w:line="240" w:lineRule="auto"/>
        <w:ind w:left="567" w:leftChars="270" w:firstLineChars="0"/>
        <w:rPr>
          <w:highlight w:val="none"/>
        </w:rPr>
      </w:pPr>
      <w:r>
        <w:rPr>
          <w:rFonts w:hint="eastAsia"/>
          <w:highlight w:val="none"/>
        </w:rPr>
        <w:t>项目实施方案</w:t>
      </w:r>
    </w:p>
    <w:p>
      <w:pPr>
        <w:pStyle w:val="280"/>
        <w:numPr>
          <w:ilvl w:val="0"/>
          <w:numId w:val="29"/>
        </w:numPr>
        <w:spacing w:line="240" w:lineRule="auto"/>
        <w:ind w:left="567" w:leftChars="270" w:firstLineChars="0"/>
        <w:rPr>
          <w:highlight w:val="none"/>
        </w:rPr>
      </w:pPr>
      <w:r>
        <w:rPr>
          <w:rFonts w:hint="eastAsia"/>
          <w:highlight w:val="none"/>
        </w:rPr>
        <w:t>售后服务方案</w:t>
      </w:r>
    </w:p>
    <w:p>
      <w:pPr>
        <w:pStyle w:val="280"/>
        <w:numPr>
          <w:ilvl w:val="0"/>
          <w:numId w:val="29"/>
        </w:numPr>
        <w:spacing w:line="240" w:lineRule="auto"/>
        <w:ind w:left="567" w:leftChars="270" w:firstLineChars="0"/>
        <w:rPr>
          <w:bCs/>
          <w:highlight w:val="none"/>
        </w:rPr>
      </w:pPr>
      <w:r>
        <w:rPr>
          <w:rFonts w:hint="eastAsia"/>
          <w:bCs/>
          <w:highlight w:val="none"/>
        </w:rPr>
        <w:t>招标文件要求的其他内容及投标人认为需要加以说明的其他内容</w:t>
      </w:r>
    </w:p>
    <w:p>
      <w:pPr>
        <w:adjustRightInd/>
        <w:snapToGrid/>
        <w:spacing w:before="280" w:after="290" w:line="377" w:lineRule="auto"/>
        <w:jc w:val="center"/>
        <w:outlineLvl w:val="2"/>
        <w:rPr>
          <w:b/>
          <w:sz w:val="24"/>
          <w:highlight w:val="none"/>
        </w:rPr>
      </w:pPr>
      <w:r>
        <w:rPr>
          <w:highlight w:val="none"/>
        </w:rPr>
        <w:br w:type="page"/>
      </w:r>
      <w:r>
        <w:rPr>
          <w:rFonts w:hint="eastAsia"/>
          <w:b/>
          <w:sz w:val="24"/>
          <w:highlight w:val="none"/>
        </w:rPr>
        <w:t>密封袋封条格式</w:t>
      </w:r>
    </w:p>
    <w:p>
      <w:pPr>
        <w:tabs>
          <w:tab w:val="clear" w:pos="426"/>
        </w:tabs>
        <w:jc w:val="center"/>
        <w:rPr>
          <w:sz w:val="44"/>
          <w:szCs w:val="44"/>
          <w:highlight w:val="none"/>
          <w:u w:val="single"/>
        </w:rPr>
      </w:pPr>
    </w:p>
    <w:p>
      <w:pPr>
        <w:tabs>
          <w:tab w:val="clear" w:pos="426"/>
        </w:tabs>
        <w:jc w:val="center"/>
        <w:rPr>
          <w:sz w:val="44"/>
          <w:szCs w:val="44"/>
          <w:highlight w:val="none"/>
        </w:rPr>
      </w:pPr>
      <w:r>
        <w:rPr>
          <w:rFonts w:hint="eastAsia"/>
          <w:sz w:val="44"/>
          <w:szCs w:val="44"/>
          <w:highlight w:val="none"/>
          <w:u w:val="single"/>
        </w:rPr>
        <w:t>同心外国语学校二期电脑室、办公设备、网络监控消防广播系统迁移采购</w:t>
      </w:r>
      <w:r>
        <w:rPr>
          <w:rFonts w:hint="eastAsia"/>
          <w:sz w:val="44"/>
          <w:szCs w:val="44"/>
          <w:highlight w:val="none"/>
        </w:rPr>
        <w:t>项目</w:t>
      </w:r>
    </w:p>
    <w:p>
      <w:pPr>
        <w:tabs>
          <w:tab w:val="clear" w:pos="426"/>
        </w:tabs>
        <w:jc w:val="center"/>
        <w:rPr>
          <w:highlight w:val="none"/>
        </w:rPr>
      </w:pPr>
    </w:p>
    <w:p>
      <w:pPr>
        <w:tabs>
          <w:tab w:val="clear" w:pos="426"/>
        </w:tabs>
        <w:jc w:val="center"/>
        <w:rPr>
          <w:highlight w:val="none"/>
        </w:rPr>
      </w:pPr>
    </w:p>
    <w:p>
      <w:pPr>
        <w:tabs>
          <w:tab w:val="clear" w:pos="426"/>
        </w:tabs>
        <w:jc w:val="center"/>
        <w:rPr>
          <w:sz w:val="52"/>
          <w:szCs w:val="52"/>
          <w:highlight w:val="none"/>
        </w:rPr>
      </w:pPr>
      <w:r>
        <w:rPr>
          <w:rFonts w:hint="eastAsia"/>
          <w:sz w:val="52"/>
          <w:szCs w:val="52"/>
          <w:highlight w:val="none"/>
        </w:rPr>
        <w:t>□投标文件</w:t>
      </w:r>
    </w:p>
    <w:p>
      <w:pPr>
        <w:tabs>
          <w:tab w:val="clear" w:pos="426"/>
        </w:tabs>
        <w:jc w:val="center"/>
        <w:rPr>
          <w:sz w:val="52"/>
          <w:szCs w:val="52"/>
          <w:highlight w:val="none"/>
        </w:rPr>
      </w:pPr>
      <w:r>
        <w:rPr>
          <w:rFonts w:hint="eastAsia"/>
          <w:sz w:val="52"/>
          <w:szCs w:val="52"/>
          <w:highlight w:val="none"/>
        </w:rPr>
        <w:t>□开标信封</w:t>
      </w: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ind w:left="708" w:leftChars="337" w:right="706" w:rightChars="336"/>
        <w:rPr>
          <w:sz w:val="28"/>
          <w:szCs w:val="28"/>
          <w:highlight w:val="none"/>
        </w:rPr>
      </w:pPr>
      <w:r>
        <w:rPr>
          <w:rFonts w:hint="eastAsia"/>
          <w:sz w:val="28"/>
          <w:szCs w:val="28"/>
          <w:highlight w:val="none"/>
        </w:rPr>
        <w:t>招标项目编号：</w:t>
      </w:r>
    </w:p>
    <w:p>
      <w:pPr>
        <w:tabs>
          <w:tab w:val="clear" w:pos="426"/>
        </w:tabs>
        <w:ind w:left="708" w:leftChars="337"/>
        <w:rPr>
          <w:sz w:val="28"/>
          <w:szCs w:val="28"/>
          <w:highlight w:val="none"/>
        </w:rPr>
      </w:pPr>
      <w:r>
        <w:rPr>
          <w:rFonts w:hint="eastAsia"/>
          <w:sz w:val="28"/>
          <w:szCs w:val="28"/>
          <w:highlight w:val="none"/>
        </w:rPr>
        <w:t>投标人名称（公章)：</w:t>
      </w:r>
    </w:p>
    <w:p>
      <w:pPr>
        <w:tabs>
          <w:tab w:val="clear" w:pos="426"/>
        </w:tabs>
        <w:ind w:left="708" w:leftChars="337"/>
        <w:rPr>
          <w:sz w:val="28"/>
          <w:szCs w:val="28"/>
          <w:highlight w:val="none"/>
        </w:rPr>
      </w:pPr>
      <w:r>
        <w:rPr>
          <w:rFonts w:hint="eastAsia"/>
          <w:sz w:val="28"/>
          <w:szCs w:val="28"/>
          <w:highlight w:val="none"/>
        </w:rPr>
        <w:t>投标人代表（签名）：</w:t>
      </w:r>
    </w:p>
    <w:p>
      <w:pPr>
        <w:tabs>
          <w:tab w:val="clear" w:pos="426"/>
        </w:tabs>
        <w:ind w:left="708" w:leftChars="337"/>
        <w:rPr>
          <w:sz w:val="28"/>
          <w:szCs w:val="28"/>
          <w:highlight w:val="none"/>
        </w:rPr>
      </w:pPr>
      <w:r>
        <w:rPr>
          <w:rFonts w:hint="eastAsia"/>
          <w:sz w:val="28"/>
          <w:szCs w:val="28"/>
          <w:highlight w:val="none"/>
        </w:rPr>
        <w:t>投标截止日期：</w:t>
      </w:r>
      <w:r>
        <w:rPr>
          <w:rFonts w:hint="eastAsia"/>
          <w:sz w:val="28"/>
          <w:szCs w:val="28"/>
          <w:highlight w:val="none"/>
          <w:u w:val="single"/>
        </w:rPr>
        <w:t xml:space="preserve">      年   月   日</w:t>
      </w:r>
      <w:r>
        <w:rPr>
          <w:sz w:val="28"/>
          <w:szCs w:val="28"/>
          <w:highlight w:val="none"/>
          <w:u w:val="single"/>
        </w:rPr>
        <w:t xml:space="preserve"> 时  分</w:t>
      </w:r>
      <w:r>
        <w:rPr>
          <w:rFonts w:hint="eastAsia"/>
          <w:sz w:val="28"/>
          <w:szCs w:val="28"/>
          <w:highlight w:val="none"/>
          <w:u w:val="single"/>
        </w:rPr>
        <w:t>（</w:t>
      </w:r>
      <w:r>
        <w:rPr>
          <w:sz w:val="28"/>
          <w:szCs w:val="28"/>
          <w:highlight w:val="none"/>
          <w:u w:val="single"/>
        </w:rPr>
        <w:t>前不得开封</w:t>
      </w:r>
      <w:r>
        <w:rPr>
          <w:rFonts w:hint="eastAsia"/>
          <w:sz w:val="28"/>
          <w:szCs w:val="28"/>
          <w:highlight w:val="none"/>
          <w:u w:val="single"/>
        </w:rPr>
        <w:t>）</w:t>
      </w:r>
    </w:p>
    <w:p>
      <w:pPr>
        <w:adjustRightInd/>
        <w:snapToGrid/>
        <w:spacing w:before="280" w:after="290" w:line="377" w:lineRule="auto"/>
        <w:jc w:val="center"/>
        <w:outlineLvl w:val="2"/>
        <w:rPr>
          <w:b/>
          <w:sz w:val="24"/>
          <w:highlight w:val="none"/>
        </w:rPr>
      </w:pPr>
      <w:r>
        <w:rPr>
          <w:highlight w:val="none"/>
        </w:rPr>
        <w:br w:type="page"/>
      </w:r>
      <w:r>
        <w:rPr>
          <w:rFonts w:hint="eastAsia"/>
          <w:b/>
          <w:sz w:val="24"/>
          <w:highlight w:val="none"/>
        </w:rPr>
        <w:t>投标文件封面格式</w:t>
      </w:r>
    </w:p>
    <w:p>
      <w:pPr>
        <w:tabs>
          <w:tab w:val="clear" w:pos="426"/>
        </w:tabs>
        <w:jc w:val="right"/>
        <w:rPr>
          <w:sz w:val="44"/>
          <w:szCs w:val="44"/>
          <w:highlight w:val="none"/>
          <w:u w:val="single"/>
        </w:rPr>
      </w:pPr>
      <w:r>
        <w:rPr>
          <w:rFonts w:hint="eastAsia"/>
          <w:sz w:val="44"/>
          <w:szCs w:val="44"/>
          <w:highlight w:val="none"/>
          <w:u w:val="single"/>
        </w:rPr>
        <w:t>正/副本</w:t>
      </w:r>
    </w:p>
    <w:p>
      <w:pPr>
        <w:tabs>
          <w:tab w:val="clear" w:pos="426"/>
        </w:tabs>
        <w:jc w:val="center"/>
        <w:rPr>
          <w:sz w:val="44"/>
          <w:szCs w:val="44"/>
          <w:highlight w:val="none"/>
          <w:u w:val="single"/>
        </w:rPr>
      </w:pPr>
    </w:p>
    <w:p>
      <w:pPr>
        <w:tabs>
          <w:tab w:val="clear" w:pos="426"/>
        </w:tabs>
        <w:jc w:val="center"/>
        <w:rPr>
          <w:sz w:val="44"/>
          <w:szCs w:val="44"/>
          <w:highlight w:val="none"/>
        </w:rPr>
      </w:pPr>
      <w:r>
        <w:rPr>
          <w:rFonts w:hint="eastAsia"/>
          <w:sz w:val="44"/>
          <w:szCs w:val="44"/>
          <w:highlight w:val="none"/>
          <w:u w:val="single"/>
        </w:rPr>
        <w:t>同心外国语学校二期电脑室、办公设备、网络监控消防广播系统迁移采购</w:t>
      </w:r>
      <w:r>
        <w:rPr>
          <w:rFonts w:hint="eastAsia"/>
          <w:sz w:val="44"/>
          <w:szCs w:val="44"/>
          <w:highlight w:val="none"/>
        </w:rPr>
        <w:t>项目</w:t>
      </w:r>
    </w:p>
    <w:p>
      <w:pPr>
        <w:tabs>
          <w:tab w:val="clear" w:pos="426"/>
        </w:tabs>
        <w:jc w:val="center"/>
        <w:rPr>
          <w:highlight w:val="none"/>
        </w:rPr>
      </w:pPr>
    </w:p>
    <w:p>
      <w:pPr>
        <w:tabs>
          <w:tab w:val="clear" w:pos="426"/>
        </w:tabs>
        <w:jc w:val="center"/>
        <w:rPr>
          <w:highlight w:val="none"/>
        </w:rPr>
      </w:pPr>
    </w:p>
    <w:p>
      <w:pPr>
        <w:tabs>
          <w:tab w:val="clear" w:pos="426"/>
        </w:tabs>
        <w:jc w:val="center"/>
        <w:rPr>
          <w:sz w:val="52"/>
          <w:szCs w:val="52"/>
          <w:highlight w:val="none"/>
        </w:rPr>
      </w:pPr>
      <w:r>
        <w:rPr>
          <w:rFonts w:hint="eastAsia"/>
          <w:sz w:val="52"/>
          <w:szCs w:val="52"/>
          <w:highlight w:val="none"/>
        </w:rPr>
        <w:t>投标文件</w:t>
      </w:r>
    </w:p>
    <w:p>
      <w:pPr>
        <w:tabs>
          <w:tab w:val="clear" w:pos="426"/>
        </w:tabs>
        <w:rPr>
          <w:sz w:val="52"/>
          <w:szCs w:val="52"/>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ind w:left="1275" w:leftChars="607"/>
        <w:rPr>
          <w:sz w:val="28"/>
          <w:szCs w:val="28"/>
          <w:highlight w:val="none"/>
        </w:rPr>
      </w:pPr>
      <w:r>
        <w:rPr>
          <w:rFonts w:hint="eastAsia"/>
          <w:sz w:val="28"/>
          <w:szCs w:val="28"/>
          <w:highlight w:val="none"/>
        </w:rPr>
        <w:t>招标项目编号：</w:t>
      </w:r>
    </w:p>
    <w:p>
      <w:pPr>
        <w:tabs>
          <w:tab w:val="clear" w:pos="426"/>
        </w:tabs>
        <w:ind w:left="1275" w:leftChars="607"/>
        <w:rPr>
          <w:sz w:val="28"/>
          <w:szCs w:val="28"/>
          <w:highlight w:val="none"/>
        </w:rPr>
      </w:pPr>
      <w:r>
        <w:rPr>
          <w:rFonts w:hint="eastAsia"/>
          <w:sz w:val="28"/>
          <w:szCs w:val="28"/>
          <w:highlight w:val="none"/>
        </w:rPr>
        <w:t>投标人名称（公章)：</w:t>
      </w:r>
    </w:p>
    <w:p>
      <w:pPr>
        <w:tabs>
          <w:tab w:val="clear" w:pos="426"/>
        </w:tabs>
        <w:ind w:left="1275" w:leftChars="607"/>
        <w:rPr>
          <w:sz w:val="28"/>
          <w:szCs w:val="28"/>
          <w:highlight w:val="none"/>
        </w:rPr>
      </w:pPr>
      <w:r>
        <w:rPr>
          <w:rFonts w:hint="eastAsia"/>
          <w:sz w:val="28"/>
          <w:szCs w:val="28"/>
          <w:highlight w:val="none"/>
        </w:rPr>
        <w:t>投标人代表（签名）：</w:t>
      </w:r>
    </w:p>
    <w:p>
      <w:pPr>
        <w:tabs>
          <w:tab w:val="clear" w:pos="426"/>
        </w:tabs>
        <w:ind w:left="1275" w:leftChars="607"/>
        <w:rPr>
          <w:sz w:val="28"/>
          <w:szCs w:val="28"/>
          <w:highlight w:val="none"/>
        </w:rPr>
      </w:pPr>
      <w:r>
        <w:rPr>
          <w:rFonts w:hint="eastAsia"/>
          <w:sz w:val="28"/>
          <w:szCs w:val="28"/>
          <w:highlight w:val="none"/>
        </w:rPr>
        <w:t>投标日期：</w:t>
      </w:r>
      <w:r>
        <w:rPr>
          <w:rFonts w:hint="eastAsia"/>
          <w:sz w:val="28"/>
          <w:szCs w:val="28"/>
          <w:highlight w:val="none"/>
          <w:u w:val="single"/>
        </w:rPr>
        <w:t xml:space="preserve">                  年     月      日</w:t>
      </w:r>
    </w:p>
    <w:p>
      <w:pPr>
        <w:tabs>
          <w:tab w:val="clear" w:pos="426"/>
        </w:tabs>
        <w:rPr>
          <w:highlight w:val="none"/>
        </w:rPr>
      </w:pPr>
    </w:p>
    <w:p>
      <w:pPr>
        <w:adjustRightInd/>
        <w:snapToGrid/>
        <w:spacing w:before="280" w:after="290" w:line="377" w:lineRule="auto"/>
        <w:jc w:val="center"/>
        <w:outlineLvl w:val="2"/>
        <w:rPr>
          <w:b/>
          <w:sz w:val="24"/>
          <w:highlight w:val="none"/>
        </w:rPr>
      </w:pPr>
      <w:r>
        <w:rPr>
          <w:highlight w:val="none"/>
        </w:rPr>
        <w:br w:type="page"/>
      </w:r>
      <w:r>
        <w:rPr>
          <w:rFonts w:hint="eastAsia"/>
          <w:b/>
          <w:sz w:val="24"/>
          <w:highlight w:val="none"/>
        </w:rPr>
        <w:t>投标文件目录（目录格式自定）</w:t>
      </w:r>
    </w:p>
    <w:p>
      <w:pPr>
        <w:tabs>
          <w:tab w:val="clear" w:pos="426"/>
        </w:tabs>
        <w:rPr>
          <w:highlight w:val="none"/>
        </w:rPr>
      </w:pPr>
      <w:r>
        <w:rPr>
          <w:rFonts w:hint="eastAsia"/>
          <w:highlight w:val="none"/>
        </w:rPr>
        <w:t>按照招标文件的要求编制投标文件相应内容，请标明各部分内容的页码。</w:t>
      </w:r>
    </w:p>
    <w:p>
      <w:pPr>
        <w:tabs>
          <w:tab w:val="clear" w:pos="426"/>
        </w:tabs>
        <w:rPr>
          <w:highlight w:val="none"/>
        </w:rPr>
      </w:pPr>
    </w:p>
    <w:p>
      <w:pPr>
        <w:tabs>
          <w:tab w:val="clear" w:pos="426"/>
        </w:tabs>
        <w:rPr>
          <w:highlight w:val="none"/>
        </w:rPr>
      </w:pPr>
    </w:p>
    <w:p>
      <w:pPr>
        <w:tabs>
          <w:tab w:val="clear" w:pos="426"/>
        </w:tabs>
        <w:adjustRightInd/>
        <w:snapToGrid/>
        <w:spacing w:before="280" w:after="290" w:line="377" w:lineRule="auto"/>
        <w:jc w:val="center"/>
        <w:outlineLvl w:val="2"/>
        <w:rPr>
          <w:b/>
          <w:sz w:val="24"/>
          <w:highlight w:val="none"/>
        </w:rPr>
      </w:pPr>
      <w:r>
        <w:rPr>
          <w:highlight w:val="none"/>
        </w:rPr>
        <w:br w:type="page"/>
      </w:r>
      <w:r>
        <w:rPr>
          <w:rFonts w:hint="eastAsia"/>
          <w:b/>
          <w:sz w:val="24"/>
          <w:highlight w:val="none"/>
        </w:rPr>
        <w:t>评标指引表</w:t>
      </w:r>
    </w:p>
    <w:p>
      <w:pPr>
        <w:tabs>
          <w:tab w:val="clear" w:pos="426"/>
        </w:tabs>
        <w:jc w:val="center"/>
        <w:rPr>
          <w:b/>
          <w:highlight w:val="none"/>
        </w:rPr>
      </w:pPr>
      <w:r>
        <w:rPr>
          <w:rFonts w:hint="eastAsia"/>
          <w:b/>
          <w:highlight w:val="none"/>
        </w:rPr>
        <w:t>（置于投标文件的首页）</w:t>
      </w:r>
    </w:p>
    <w:p>
      <w:pPr>
        <w:tabs>
          <w:tab w:val="clear" w:pos="426"/>
        </w:tabs>
        <w:ind w:firstLine="420" w:firstLineChars="200"/>
        <w:rPr>
          <w:highlight w:val="none"/>
        </w:rPr>
      </w:pPr>
      <w:r>
        <w:rPr>
          <w:rFonts w:hint="eastAsia"/>
          <w:szCs w:val="21"/>
          <w:highlight w:val="none"/>
        </w:rPr>
        <w:t>为方便参与该项目的评委专家的评标，快速找到评标事项与该项目投标文件所对应的位置，请投标人参照下表格式，编制本项目评标指引表。</w:t>
      </w:r>
    </w:p>
    <w:p>
      <w:pPr>
        <w:pStyle w:val="7"/>
        <w:tabs>
          <w:tab w:val="clear" w:pos="426"/>
        </w:tabs>
        <w:ind w:firstLine="0"/>
        <w:rPr>
          <w:highlight w:val="none"/>
        </w:rPr>
      </w:pPr>
      <w:r>
        <w:rPr>
          <w:rFonts w:hint="eastAsia"/>
          <w:highlight w:val="none"/>
        </w:rPr>
        <w:t>项目名称：</w:t>
      </w:r>
    </w:p>
    <w:p>
      <w:pPr>
        <w:pStyle w:val="7"/>
        <w:tabs>
          <w:tab w:val="clear" w:pos="426"/>
        </w:tabs>
        <w:ind w:firstLine="0"/>
        <w:rPr>
          <w:highlight w:val="none"/>
        </w:rPr>
      </w:pPr>
      <w:r>
        <w:rPr>
          <w:rFonts w:hint="eastAsia"/>
          <w:highlight w:val="none"/>
        </w:rPr>
        <w:t>招标项目编号：</w:t>
      </w:r>
    </w:p>
    <w:p>
      <w:pPr>
        <w:tabs>
          <w:tab w:val="clear" w:pos="426"/>
        </w:tabs>
        <w:jc w:val="center"/>
        <w:rPr>
          <w:b/>
          <w:highlight w:val="none"/>
        </w:rPr>
      </w:pPr>
      <w:r>
        <w:rPr>
          <w:rFonts w:hint="eastAsia"/>
          <w:b/>
          <w:highlight w:val="none"/>
        </w:rPr>
        <w:t>项目评标指引表</w:t>
      </w:r>
    </w:p>
    <w:tbl>
      <w:tblPr>
        <w:tblStyle w:val="44"/>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346"/>
        <w:gridCol w:w="3857"/>
        <w:gridCol w:w="1642"/>
        <w:gridCol w:w="98"/>
        <w:gridCol w:w="1365"/>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highlight w:val="none"/>
              </w:rPr>
            </w:pPr>
            <w:r>
              <w:rPr>
                <w:rFonts w:hint="eastAsia"/>
                <w:b/>
                <w:highlight w:val="none"/>
              </w:rPr>
              <w:t>一、资格性审查指引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highlight w:val="none"/>
              </w:rPr>
            </w:pPr>
            <w:r>
              <w:rPr>
                <w:rFonts w:hint="eastAsia"/>
                <w:b/>
                <w:highlight w:val="none"/>
              </w:rPr>
              <w:t>序号</w:t>
            </w:r>
          </w:p>
        </w:tc>
        <w:tc>
          <w:tcPr>
            <w:tcW w:w="4203" w:type="dxa"/>
            <w:gridSpan w:val="2"/>
            <w:vAlign w:val="center"/>
          </w:tcPr>
          <w:p>
            <w:pPr>
              <w:tabs>
                <w:tab w:val="clear" w:pos="426"/>
              </w:tabs>
              <w:adjustRightInd/>
              <w:snapToGrid/>
              <w:spacing w:line="240" w:lineRule="auto"/>
              <w:jc w:val="center"/>
              <w:rPr>
                <w:b/>
                <w:highlight w:val="none"/>
              </w:rPr>
            </w:pPr>
            <w:r>
              <w:rPr>
                <w:rFonts w:hint="eastAsia"/>
                <w:b/>
                <w:highlight w:val="none"/>
              </w:rPr>
              <w:t>资格性审查项目</w:t>
            </w:r>
          </w:p>
        </w:tc>
        <w:tc>
          <w:tcPr>
            <w:tcW w:w="3105" w:type="dxa"/>
            <w:gridSpan w:val="3"/>
            <w:vAlign w:val="center"/>
          </w:tcPr>
          <w:p>
            <w:pPr>
              <w:tabs>
                <w:tab w:val="clear" w:pos="426"/>
              </w:tabs>
              <w:adjustRightInd/>
              <w:snapToGrid/>
              <w:spacing w:line="240" w:lineRule="auto"/>
              <w:jc w:val="center"/>
              <w:rPr>
                <w:b/>
                <w:highlight w:val="none"/>
              </w:rPr>
            </w:pPr>
            <w:r>
              <w:rPr>
                <w:rFonts w:hint="eastAsia"/>
                <w:b/>
                <w:highlight w:val="none"/>
              </w:rPr>
              <w:t>证明文件</w:t>
            </w: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起止页码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restart"/>
            <w:vAlign w:val="center"/>
          </w:tcPr>
          <w:p>
            <w:pPr>
              <w:tabs>
                <w:tab w:val="clear" w:pos="426"/>
              </w:tabs>
              <w:adjustRightInd/>
              <w:snapToGrid/>
              <w:spacing w:line="240" w:lineRule="auto"/>
              <w:jc w:val="center"/>
              <w:rPr>
                <w:b/>
                <w:highlight w:val="none"/>
              </w:rPr>
            </w:pPr>
            <w:r>
              <w:rPr>
                <w:rFonts w:hint="eastAsia"/>
                <w:b/>
                <w:highlight w:val="none"/>
              </w:rPr>
              <w:t>1</w:t>
            </w:r>
          </w:p>
        </w:tc>
        <w:tc>
          <w:tcPr>
            <w:tcW w:w="4203" w:type="dxa"/>
            <w:gridSpan w:val="2"/>
            <w:vMerge w:val="restart"/>
            <w:vAlign w:val="center"/>
          </w:tcPr>
          <w:p>
            <w:pPr>
              <w:tabs>
                <w:tab w:val="clear" w:pos="426"/>
              </w:tabs>
              <w:adjustRightInd/>
              <w:snapToGrid/>
              <w:spacing w:line="240" w:lineRule="auto"/>
              <w:jc w:val="center"/>
              <w:rPr>
                <w:b/>
                <w:highlight w:val="none"/>
              </w:rPr>
            </w:pPr>
            <w:r>
              <w:rPr>
                <w:rFonts w:hint="eastAsia"/>
                <w:color w:val="000000"/>
                <w:highlight w:val="none"/>
              </w:rPr>
              <w:t>投标人资质要求</w:t>
            </w:r>
          </w:p>
        </w:tc>
        <w:tc>
          <w:tcPr>
            <w:tcW w:w="3105" w:type="dxa"/>
            <w:gridSpan w:val="3"/>
            <w:vAlign w:val="center"/>
          </w:tcPr>
          <w:p>
            <w:pPr>
              <w:tabs>
                <w:tab w:val="clear" w:pos="426"/>
              </w:tabs>
              <w:adjustRightInd/>
              <w:snapToGrid/>
              <w:spacing w:line="240" w:lineRule="auto"/>
              <w:jc w:val="center"/>
              <w:rPr>
                <w:highlight w:val="none"/>
              </w:rPr>
            </w:pPr>
            <w:r>
              <w:rPr>
                <w:rFonts w:hint="eastAsia"/>
                <w:highlight w:val="none"/>
              </w:rPr>
              <w:t>营业执照</w:t>
            </w:r>
          </w:p>
        </w:tc>
        <w:tc>
          <w:tcPr>
            <w:tcW w:w="1397" w:type="dxa"/>
            <w:shd w:val="clear" w:color="auto" w:fill="auto"/>
            <w:vAlign w:val="center"/>
          </w:tcPr>
          <w:p>
            <w:pPr>
              <w:tabs>
                <w:tab w:val="clear" w:pos="426"/>
              </w:tabs>
              <w:adjustRightInd/>
              <w:snapToGrid/>
              <w:spacing w:line="240" w:lineRule="auto"/>
              <w:jc w:val="center"/>
              <w:rPr>
                <w:b/>
                <w:highlight w:val="none"/>
              </w:rPr>
            </w:pPr>
            <w:r>
              <w:rPr>
                <w:rFonts w:hint="eastAsia"/>
                <w:b/>
                <w:highlight w:val="none"/>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highlight w:val="none"/>
              </w:rPr>
            </w:pPr>
          </w:p>
        </w:tc>
        <w:tc>
          <w:tcPr>
            <w:tcW w:w="4203" w:type="dxa"/>
            <w:gridSpan w:val="2"/>
            <w:vMerge w:val="continue"/>
            <w:vAlign w:val="center"/>
          </w:tcPr>
          <w:p>
            <w:pPr>
              <w:tabs>
                <w:tab w:val="clear" w:pos="426"/>
              </w:tabs>
              <w:adjustRightInd/>
              <w:snapToGrid/>
              <w:spacing w:line="240" w:lineRule="auto"/>
              <w:jc w:val="center"/>
              <w:rPr>
                <w:color w:val="000000"/>
                <w:highlight w:val="none"/>
              </w:rPr>
            </w:pPr>
          </w:p>
        </w:tc>
        <w:tc>
          <w:tcPr>
            <w:tcW w:w="3105" w:type="dxa"/>
            <w:gridSpan w:val="3"/>
            <w:vAlign w:val="center"/>
          </w:tcPr>
          <w:p>
            <w:pPr>
              <w:tabs>
                <w:tab w:val="clear" w:pos="426"/>
              </w:tabs>
              <w:adjustRightInd/>
              <w:snapToGrid/>
              <w:spacing w:line="240" w:lineRule="auto"/>
              <w:jc w:val="center"/>
              <w:rPr>
                <w:highlight w:val="none"/>
              </w:rPr>
            </w:pPr>
            <w:r>
              <w:rPr>
                <w:rFonts w:hint="eastAsia"/>
                <w:highlight w:val="none"/>
              </w:rPr>
              <w:t>……</w:t>
            </w:r>
          </w:p>
        </w:tc>
        <w:tc>
          <w:tcPr>
            <w:tcW w:w="1397" w:type="dxa"/>
            <w:shd w:val="clear" w:color="auto" w:fill="auto"/>
            <w:vAlign w:val="center"/>
          </w:tcPr>
          <w:p>
            <w:pPr>
              <w:tabs>
                <w:tab w:val="clear" w:pos="426"/>
              </w:tabs>
              <w:adjustRightInd/>
              <w:snapToGrid/>
              <w:spacing w:line="240" w:lineRule="auto"/>
              <w:jc w:val="center"/>
              <w:rPr>
                <w:b/>
                <w:highlight w:val="none"/>
              </w:rPr>
            </w:pPr>
            <w:r>
              <w:rPr>
                <w:rFonts w:hint="eastAsia"/>
                <w:b/>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highlight w:val="none"/>
              </w:rPr>
            </w:pPr>
          </w:p>
        </w:tc>
        <w:tc>
          <w:tcPr>
            <w:tcW w:w="4203" w:type="dxa"/>
            <w:gridSpan w:val="2"/>
            <w:vMerge w:val="continue"/>
            <w:vAlign w:val="center"/>
          </w:tcPr>
          <w:p>
            <w:pPr>
              <w:tabs>
                <w:tab w:val="clear" w:pos="426"/>
              </w:tabs>
              <w:adjustRightInd/>
              <w:snapToGrid/>
              <w:spacing w:line="240" w:lineRule="auto"/>
              <w:jc w:val="center"/>
              <w:rPr>
                <w:color w:val="000000"/>
                <w:highlight w:val="none"/>
              </w:rPr>
            </w:pPr>
          </w:p>
        </w:tc>
        <w:tc>
          <w:tcPr>
            <w:tcW w:w="3105" w:type="dxa"/>
            <w:gridSpan w:val="3"/>
            <w:vAlign w:val="center"/>
          </w:tcPr>
          <w:p>
            <w:pPr>
              <w:tabs>
                <w:tab w:val="clear" w:pos="426"/>
              </w:tabs>
              <w:adjustRightInd/>
              <w:snapToGrid/>
              <w:spacing w:line="240" w:lineRule="auto"/>
              <w:jc w:val="center"/>
              <w:rPr>
                <w:highlight w:val="none"/>
              </w:rPr>
            </w:pPr>
            <w:r>
              <w:rPr>
                <w:rFonts w:hint="eastAsia"/>
                <w:highlight w:val="none"/>
              </w:rPr>
              <w:t>……</w:t>
            </w: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highlight w:val="none"/>
              </w:rPr>
            </w:pPr>
          </w:p>
        </w:tc>
        <w:tc>
          <w:tcPr>
            <w:tcW w:w="4203" w:type="dxa"/>
            <w:gridSpan w:val="2"/>
            <w:vMerge w:val="continue"/>
            <w:vAlign w:val="center"/>
          </w:tcPr>
          <w:p>
            <w:pPr>
              <w:tabs>
                <w:tab w:val="clear" w:pos="426"/>
              </w:tabs>
              <w:adjustRightInd/>
              <w:snapToGrid/>
              <w:spacing w:line="240" w:lineRule="auto"/>
              <w:jc w:val="center"/>
              <w:rPr>
                <w:color w:val="000000"/>
                <w:highlight w:val="none"/>
              </w:rPr>
            </w:pPr>
          </w:p>
        </w:tc>
        <w:tc>
          <w:tcPr>
            <w:tcW w:w="3105" w:type="dxa"/>
            <w:gridSpan w:val="3"/>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highlight w:val="none"/>
              </w:rPr>
            </w:pPr>
          </w:p>
        </w:tc>
        <w:tc>
          <w:tcPr>
            <w:tcW w:w="4203" w:type="dxa"/>
            <w:gridSpan w:val="2"/>
            <w:vMerge w:val="continue"/>
            <w:vAlign w:val="center"/>
          </w:tcPr>
          <w:p>
            <w:pPr>
              <w:tabs>
                <w:tab w:val="clear" w:pos="426"/>
              </w:tabs>
              <w:adjustRightInd/>
              <w:snapToGrid/>
              <w:spacing w:line="240" w:lineRule="auto"/>
              <w:jc w:val="center"/>
              <w:rPr>
                <w:color w:val="000000"/>
                <w:highlight w:val="none"/>
              </w:rPr>
            </w:pPr>
          </w:p>
        </w:tc>
        <w:tc>
          <w:tcPr>
            <w:tcW w:w="3105" w:type="dxa"/>
            <w:gridSpan w:val="3"/>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highlight w:val="none"/>
              </w:rPr>
            </w:pPr>
          </w:p>
        </w:tc>
        <w:tc>
          <w:tcPr>
            <w:tcW w:w="4203" w:type="dxa"/>
            <w:gridSpan w:val="2"/>
            <w:vMerge w:val="continue"/>
            <w:vAlign w:val="center"/>
          </w:tcPr>
          <w:p>
            <w:pPr>
              <w:tabs>
                <w:tab w:val="clear" w:pos="426"/>
              </w:tabs>
              <w:adjustRightInd/>
              <w:snapToGrid/>
              <w:spacing w:line="240" w:lineRule="auto"/>
              <w:jc w:val="center"/>
              <w:rPr>
                <w:color w:val="000000"/>
                <w:highlight w:val="none"/>
              </w:rPr>
            </w:pPr>
          </w:p>
        </w:tc>
        <w:tc>
          <w:tcPr>
            <w:tcW w:w="3105" w:type="dxa"/>
            <w:gridSpan w:val="3"/>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highlight w:val="none"/>
              </w:rPr>
            </w:pPr>
            <w:r>
              <w:rPr>
                <w:rFonts w:hint="eastAsia"/>
                <w:b/>
                <w:highlight w:val="none"/>
              </w:rPr>
              <w:t>2</w:t>
            </w:r>
          </w:p>
        </w:tc>
        <w:tc>
          <w:tcPr>
            <w:tcW w:w="4203" w:type="dxa"/>
            <w:gridSpan w:val="2"/>
            <w:vAlign w:val="center"/>
          </w:tcPr>
          <w:p>
            <w:pPr>
              <w:tabs>
                <w:tab w:val="clear" w:pos="426"/>
              </w:tabs>
              <w:adjustRightInd/>
              <w:snapToGrid/>
              <w:spacing w:line="240" w:lineRule="auto"/>
              <w:jc w:val="center"/>
              <w:rPr>
                <w:b/>
                <w:highlight w:val="none"/>
              </w:rPr>
            </w:pPr>
            <w:r>
              <w:rPr>
                <w:rFonts w:hint="eastAsia"/>
                <w:color w:val="000000"/>
                <w:highlight w:val="none"/>
              </w:rPr>
              <w:t>投标截止时间前投标保证金缴纳情况</w:t>
            </w:r>
          </w:p>
        </w:tc>
        <w:tc>
          <w:tcPr>
            <w:tcW w:w="3105" w:type="dxa"/>
            <w:gridSpan w:val="3"/>
            <w:vAlign w:val="center"/>
          </w:tcPr>
          <w:p>
            <w:pPr>
              <w:tabs>
                <w:tab w:val="clear" w:pos="426"/>
              </w:tabs>
              <w:adjustRightInd/>
              <w:snapToGrid/>
              <w:spacing w:line="240" w:lineRule="auto"/>
              <w:jc w:val="center"/>
              <w:rPr>
                <w:highlight w:val="none"/>
              </w:rPr>
            </w:pPr>
            <w:bookmarkStart w:id="45" w:name="_Hlk4694058"/>
            <w:r>
              <w:rPr>
                <w:rFonts w:hint="eastAsia"/>
                <w:highlight w:val="none"/>
              </w:rPr>
              <w:t>投标保证金缴纳承诺函</w:t>
            </w:r>
            <w:bookmarkEnd w:id="45"/>
          </w:p>
        </w:tc>
        <w:tc>
          <w:tcPr>
            <w:tcW w:w="1397" w:type="dxa"/>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highlight w:val="none"/>
              </w:rPr>
            </w:pPr>
            <w:r>
              <w:rPr>
                <w:rFonts w:hint="eastAsia"/>
                <w:b/>
                <w:highlight w:val="none"/>
              </w:rPr>
              <w:t>二、符合性审查指引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highlight w:val="none"/>
              </w:rPr>
            </w:pPr>
            <w:r>
              <w:rPr>
                <w:rFonts w:hint="eastAsia"/>
                <w:b/>
                <w:highlight w:val="none"/>
              </w:rPr>
              <w:t>序号</w:t>
            </w:r>
          </w:p>
        </w:tc>
        <w:tc>
          <w:tcPr>
            <w:tcW w:w="5943" w:type="dxa"/>
            <w:gridSpan w:val="4"/>
            <w:vAlign w:val="center"/>
          </w:tcPr>
          <w:p>
            <w:pPr>
              <w:tabs>
                <w:tab w:val="clear" w:pos="426"/>
              </w:tabs>
              <w:adjustRightInd/>
              <w:snapToGrid/>
              <w:spacing w:line="240" w:lineRule="auto"/>
              <w:jc w:val="center"/>
              <w:rPr>
                <w:b/>
                <w:highlight w:val="none"/>
              </w:rPr>
            </w:pPr>
            <w:r>
              <w:rPr>
                <w:rFonts w:hint="eastAsia"/>
                <w:b/>
                <w:highlight w:val="none"/>
              </w:rPr>
              <w:t>符合性审查项目</w:t>
            </w:r>
          </w:p>
        </w:tc>
        <w:tc>
          <w:tcPr>
            <w:tcW w:w="2762" w:type="dxa"/>
            <w:gridSpan w:val="2"/>
            <w:vAlign w:val="center"/>
          </w:tcPr>
          <w:p>
            <w:pPr>
              <w:tabs>
                <w:tab w:val="clear" w:pos="426"/>
              </w:tabs>
              <w:adjustRightInd/>
              <w:snapToGrid/>
              <w:spacing w:line="240" w:lineRule="auto"/>
              <w:jc w:val="center"/>
              <w:rPr>
                <w:b/>
                <w:highlight w:val="none"/>
              </w:rPr>
            </w:pPr>
            <w:r>
              <w:rPr>
                <w:rFonts w:hint="eastAsia"/>
                <w:b/>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1</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未出现将一个包中的内容拆开投标；</w:t>
            </w:r>
          </w:p>
        </w:tc>
        <w:tc>
          <w:tcPr>
            <w:tcW w:w="2762" w:type="dxa"/>
            <w:gridSpan w:val="2"/>
            <w:vAlign w:val="center"/>
          </w:tcPr>
          <w:p>
            <w:pPr>
              <w:tabs>
                <w:tab w:val="clear" w:pos="426"/>
              </w:tabs>
              <w:adjustRightInd/>
              <w:snapToGrid/>
              <w:spacing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2</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投标文件及开标一览表按规定密封、签字、盖章</w:t>
            </w:r>
          </w:p>
        </w:tc>
        <w:tc>
          <w:tcPr>
            <w:tcW w:w="2762" w:type="dxa"/>
            <w:gridSpan w:val="2"/>
            <w:vAlign w:val="center"/>
          </w:tcPr>
          <w:p>
            <w:pPr>
              <w:tabs>
                <w:tab w:val="clear" w:pos="426"/>
              </w:tabs>
              <w:adjustRightInd/>
              <w:snapToGrid/>
              <w:spacing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3</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除招标文件规定允许有替代方案外，对同一项目投标时，未提供两套或两套以上的投标方案；</w:t>
            </w:r>
          </w:p>
        </w:tc>
        <w:tc>
          <w:tcPr>
            <w:tcW w:w="2762" w:type="dxa"/>
            <w:gridSpan w:val="2"/>
            <w:vAlign w:val="center"/>
          </w:tcPr>
          <w:p>
            <w:pPr>
              <w:tabs>
                <w:tab w:val="clear" w:pos="426"/>
              </w:tabs>
              <w:adjustRightInd/>
              <w:snapToGrid/>
              <w:spacing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4</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按招标文件所提供的样式填写</w:t>
            </w:r>
            <w:r>
              <w:rPr>
                <w:highlight w:val="none"/>
              </w:rPr>
              <w:t>《</w:t>
            </w:r>
            <w:r>
              <w:rPr>
                <w:rFonts w:hint="eastAsia"/>
                <w:highlight w:val="none"/>
              </w:rPr>
              <w:t>投标函》；按招标文件所提供的《政府采购投标及履约承诺函》进行承诺；</w:t>
            </w:r>
          </w:p>
        </w:tc>
        <w:tc>
          <w:tcPr>
            <w:tcW w:w="2762" w:type="dxa"/>
            <w:gridSpan w:val="2"/>
            <w:vAlign w:val="center"/>
          </w:tcPr>
          <w:p>
            <w:pPr>
              <w:tabs>
                <w:tab w:val="clear" w:pos="426"/>
              </w:tabs>
              <w:adjustRightInd/>
              <w:snapToGrid/>
              <w:spacing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5</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按照招标文件规定要求签署、盖章；投标文件有法定代表人签字，签字人有法定代表人有效授权书；</w:t>
            </w:r>
          </w:p>
        </w:tc>
        <w:tc>
          <w:tcPr>
            <w:tcW w:w="2762" w:type="dxa"/>
            <w:gridSpan w:val="2"/>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6</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投标总价或分项报价不高于财政预算限额（最高投标限价）；</w:t>
            </w:r>
          </w:p>
        </w:tc>
        <w:tc>
          <w:tcPr>
            <w:tcW w:w="2762" w:type="dxa"/>
            <w:gridSpan w:val="2"/>
            <w:vAlign w:val="center"/>
          </w:tcPr>
          <w:p>
            <w:pPr>
              <w:tabs>
                <w:tab w:val="clear" w:pos="426"/>
              </w:tabs>
              <w:adjustRightInd/>
              <w:snapToGrid/>
              <w:spacing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7</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不存在以下情形：</w:t>
            </w:r>
            <w:r>
              <w:rPr>
                <w:szCs w:val="21"/>
                <w:highlight w:val="none"/>
              </w:rPr>
              <w:t>同一项目出现两个及以上报价，且按规定无法确定哪个是有效报价；</w:t>
            </w:r>
          </w:p>
        </w:tc>
        <w:tc>
          <w:tcPr>
            <w:tcW w:w="2762" w:type="dxa"/>
            <w:gridSpan w:val="2"/>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8</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不存在以下情形：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c>
          <w:tcPr>
            <w:tcW w:w="2762" w:type="dxa"/>
            <w:gridSpan w:val="2"/>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9</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投标文件载明的交货期未超过招标文件规定的期限；</w:t>
            </w:r>
          </w:p>
        </w:tc>
        <w:tc>
          <w:tcPr>
            <w:tcW w:w="2762" w:type="dxa"/>
            <w:gridSpan w:val="2"/>
            <w:vAlign w:val="center"/>
          </w:tcPr>
          <w:p>
            <w:pPr>
              <w:tabs>
                <w:tab w:val="clear" w:pos="426"/>
              </w:tabs>
              <w:adjustRightInd/>
              <w:snapToGrid/>
              <w:spacing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10</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投标文件载明的免费保修期未低于招标文件规定的期限；</w:t>
            </w:r>
          </w:p>
        </w:tc>
        <w:tc>
          <w:tcPr>
            <w:tcW w:w="2762" w:type="dxa"/>
            <w:gridSpan w:val="2"/>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11</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所投产品、工程、服务在质量、技术、方案等方面实质性满足招标文件要求；</w:t>
            </w:r>
          </w:p>
        </w:tc>
        <w:tc>
          <w:tcPr>
            <w:tcW w:w="2762" w:type="dxa"/>
            <w:gridSpan w:val="2"/>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12</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未出现《技术规格偏离表》或《商务需求偏离表》填写不全、不明或不实；</w:t>
            </w:r>
          </w:p>
        </w:tc>
        <w:tc>
          <w:tcPr>
            <w:tcW w:w="2762" w:type="dxa"/>
            <w:gridSpan w:val="2"/>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13</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投标文件不存在招标文件中规定的其它投标无效条款的；</w:t>
            </w:r>
          </w:p>
        </w:tc>
        <w:tc>
          <w:tcPr>
            <w:tcW w:w="2762" w:type="dxa"/>
            <w:gridSpan w:val="2"/>
            <w:vAlign w:val="center"/>
          </w:tcPr>
          <w:p>
            <w:pPr>
              <w:tabs>
                <w:tab w:val="clear" w:pos="426"/>
              </w:tabs>
              <w:adjustRightInd/>
              <w:snapToGrid/>
              <w:spacing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14</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不属于法律、法规规定的投标无效的其他情形。</w:t>
            </w:r>
          </w:p>
        </w:tc>
        <w:tc>
          <w:tcPr>
            <w:tcW w:w="2762" w:type="dxa"/>
            <w:gridSpan w:val="2"/>
            <w:vAlign w:val="center"/>
          </w:tcPr>
          <w:p>
            <w:pPr>
              <w:tabs>
                <w:tab w:val="clear" w:pos="426"/>
              </w:tabs>
              <w:adjustRightInd/>
              <w:snapToGrid/>
              <w:spacing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highlight w:val="none"/>
              </w:rPr>
            </w:pPr>
            <w:r>
              <w:rPr>
                <w:rFonts w:hint="eastAsia"/>
                <w:b/>
                <w:highlight w:val="none"/>
              </w:rPr>
              <w:t>三、综合评分指引（请根据项目评分表内容调整）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highlight w:val="none"/>
              </w:rPr>
            </w:pPr>
            <w:r>
              <w:rPr>
                <w:rFonts w:hint="eastAsia"/>
                <w:b/>
                <w:highlight w:val="none"/>
              </w:rPr>
              <w:t>评分类别</w:t>
            </w:r>
          </w:p>
        </w:tc>
        <w:tc>
          <w:tcPr>
            <w:tcW w:w="5499" w:type="dxa"/>
            <w:gridSpan w:val="2"/>
            <w:vAlign w:val="center"/>
          </w:tcPr>
          <w:p>
            <w:pPr>
              <w:tabs>
                <w:tab w:val="clear" w:pos="426"/>
              </w:tabs>
              <w:adjustRightInd/>
              <w:snapToGrid/>
              <w:spacing w:line="240" w:lineRule="auto"/>
              <w:jc w:val="center"/>
              <w:rPr>
                <w:b/>
                <w:highlight w:val="none"/>
              </w:rPr>
            </w:pPr>
            <w:r>
              <w:rPr>
                <w:rFonts w:hint="eastAsia"/>
                <w:b/>
                <w:highlight w:val="none"/>
              </w:rPr>
              <w:t>评分项目</w:t>
            </w:r>
          </w:p>
        </w:tc>
        <w:tc>
          <w:tcPr>
            <w:tcW w:w="1463" w:type="dxa"/>
            <w:gridSpan w:val="2"/>
            <w:vAlign w:val="center"/>
          </w:tcPr>
          <w:p>
            <w:pPr>
              <w:tabs>
                <w:tab w:val="clear" w:pos="426"/>
              </w:tabs>
              <w:adjustRightInd/>
              <w:snapToGrid/>
              <w:spacing w:line="240" w:lineRule="auto"/>
              <w:jc w:val="center"/>
              <w:rPr>
                <w:b/>
                <w:highlight w:val="none"/>
              </w:rPr>
            </w:pPr>
            <w:r>
              <w:rPr>
                <w:rFonts w:hint="eastAsia"/>
                <w:b/>
                <w:highlight w:val="none"/>
              </w:rPr>
              <w:t>对应章节</w:t>
            </w: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起止页码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highlight w:val="none"/>
              </w:rPr>
            </w:pPr>
            <w:r>
              <w:rPr>
                <w:rFonts w:hint="eastAsia"/>
                <w:b/>
                <w:highlight w:val="none"/>
              </w:rPr>
              <w:t>价格部分</w:t>
            </w:r>
          </w:p>
        </w:tc>
        <w:tc>
          <w:tcPr>
            <w:tcW w:w="5499" w:type="dxa"/>
            <w:gridSpan w:val="2"/>
            <w:vAlign w:val="center"/>
          </w:tcPr>
          <w:p>
            <w:pPr>
              <w:tabs>
                <w:tab w:val="clear" w:pos="426"/>
              </w:tabs>
              <w:adjustRightInd/>
              <w:snapToGrid/>
              <w:spacing w:line="240" w:lineRule="auto"/>
              <w:jc w:val="center"/>
              <w:rPr>
                <w:b/>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P  -P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restart"/>
            <w:vAlign w:val="center"/>
          </w:tcPr>
          <w:p>
            <w:pPr>
              <w:tabs>
                <w:tab w:val="clear" w:pos="426"/>
              </w:tabs>
              <w:adjustRightInd/>
              <w:snapToGrid/>
              <w:spacing w:line="240" w:lineRule="auto"/>
              <w:jc w:val="center"/>
              <w:rPr>
                <w:b/>
                <w:highlight w:val="none"/>
              </w:rPr>
            </w:pPr>
            <w:r>
              <w:rPr>
                <w:rFonts w:hint="eastAsia"/>
                <w:b/>
                <w:highlight w:val="none"/>
              </w:rPr>
              <w:t>技术部分</w:t>
            </w:r>
          </w:p>
        </w:tc>
        <w:tc>
          <w:tcPr>
            <w:tcW w:w="5499" w:type="dxa"/>
            <w:gridSpan w:val="2"/>
            <w:shd w:val="clear" w:color="auto" w:fill="auto"/>
            <w:vAlign w:val="center"/>
          </w:tcPr>
          <w:p>
            <w:pPr>
              <w:tabs>
                <w:tab w:val="clear" w:pos="426"/>
              </w:tabs>
              <w:adjustRightInd/>
              <w:snapToGrid/>
              <w:spacing w:line="240" w:lineRule="auto"/>
              <w:jc w:val="center"/>
              <w:rPr>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highlight w:val="none"/>
              </w:rPr>
            </w:pPr>
          </w:p>
        </w:tc>
        <w:tc>
          <w:tcPr>
            <w:tcW w:w="5499" w:type="dxa"/>
            <w:gridSpan w:val="2"/>
            <w:shd w:val="clear" w:color="auto" w:fill="auto"/>
            <w:vAlign w:val="center"/>
          </w:tcPr>
          <w:p>
            <w:pPr>
              <w:tabs>
                <w:tab w:val="clear" w:pos="426"/>
              </w:tabs>
              <w:adjustRightInd/>
              <w:snapToGrid/>
              <w:spacing w:line="240" w:lineRule="auto"/>
              <w:jc w:val="center"/>
              <w:rPr>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highlight w:val="none"/>
              </w:rPr>
            </w:pPr>
          </w:p>
        </w:tc>
        <w:tc>
          <w:tcPr>
            <w:tcW w:w="5499" w:type="dxa"/>
            <w:gridSpan w:val="2"/>
            <w:shd w:val="clear" w:color="auto" w:fill="auto"/>
            <w:vAlign w:val="center"/>
          </w:tcPr>
          <w:p>
            <w:pPr>
              <w:tabs>
                <w:tab w:val="clear" w:pos="426"/>
              </w:tabs>
              <w:adjustRightInd/>
              <w:snapToGrid/>
              <w:spacing w:line="240" w:lineRule="auto"/>
              <w:jc w:val="center"/>
              <w:rPr>
                <w:b/>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restart"/>
            <w:vAlign w:val="center"/>
          </w:tcPr>
          <w:p>
            <w:pPr>
              <w:tabs>
                <w:tab w:val="clear" w:pos="426"/>
              </w:tabs>
              <w:adjustRightInd/>
              <w:snapToGrid/>
              <w:spacing w:line="240" w:lineRule="auto"/>
              <w:jc w:val="center"/>
              <w:rPr>
                <w:b/>
                <w:highlight w:val="none"/>
              </w:rPr>
            </w:pPr>
            <w:r>
              <w:rPr>
                <w:rFonts w:hint="eastAsia"/>
                <w:b/>
                <w:highlight w:val="none"/>
              </w:rPr>
              <w:t>商务部分</w:t>
            </w:r>
          </w:p>
        </w:tc>
        <w:tc>
          <w:tcPr>
            <w:tcW w:w="5499" w:type="dxa"/>
            <w:gridSpan w:val="2"/>
            <w:shd w:val="clear" w:color="auto" w:fill="auto"/>
            <w:vAlign w:val="center"/>
          </w:tcPr>
          <w:p>
            <w:pPr>
              <w:tabs>
                <w:tab w:val="clear" w:pos="426"/>
              </w:tabs>
              <w:adjustRightInd/>
              <w:snapToGrid/>
              <w:spacing w:line="240" w:lineRule="auto"/>
              <w:jc w:val="center"/>
              <w:rPr>
                <w:b/>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highlight w:val="none"/>
              </w:rPr>
            </w:pPr>
          </w:p>
        </w:tc>
        <w:tc>
          <w:tcPr>
            <w:tcW w:w="5499" w:type="dxa"/>
            <w:gridSpan w:val="2"/>
            <w:shd w:val="clear" w:color="auto" w:fill="auto"/>
            <w:vAlign w:val="center"/>
          </w:tcPr>
          <w:p>
            <w:pPr>
              <w:tabs>
                <w:tab w:val="clear" w:pos="426"/>
              </w:tabs>
              <w:adjustRightInd/>
              <w:snapToGrid/>
              <w:spacing w:line="240" w:lineRule="auto"/>
              <w:jc w:val="center"/>
              <w:rPr>
                <w:b/>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highlight w:val="none"/>
              </w:rPr>
            </w:pPr>
          </w:p>
        </w:tc>
        <w:tc>
          <w:tcPr>
            <w:tcW w:w="5499" w:type="dxa"/>
            <w:gridSpan w:val="2"/>
            <w:shd w:val="clear" w:color="auto" w:fill="auto"/>
            <w:vAlign w:val="center"/>
          </w:tcPr>
          <w:p>
            <w:pPr>
              <w:tabs>
                <w:tab w:val="clear" w:pos="426"/>
              </w:tabs>
              <w:adjustRightInd/>
              <w:snapToGrid/>
              <w:spacing w:line="240" w:lineRule="auto"/>
              <w:jc w:val="center"/>
              <w:rPr>
                <w:b/>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highlight w:val="none"/>
              </w:rPr>
            </w:pPr>
            <w:r>
              <w:rPr>
                <w:rFonts w:hint="eastAsia"/>
                <w:b/>
                <w:highlight w:val="none"/>
              </w:rPr>
              <w:t>……</w:t>
            </w:r>
          </w:p>
        </w:tc>
        <w:tc>
          <w:tcPr>
            <w:tcW w:w="5499" w:type="dxa"/>
            <w:gridSpan w:val="2"/>
            <w:shd w:val="clear" w:color="auto" w:fill="auto"/>
            <w:vAlign w:val="center"/>
          </w:tcPr>
          <w:p>
            <w:pPr>
              <w:tabs>
                <w:tab w:val="clear" w:pos="426"/>
              </w:tabs>
              <w:adjustRightInd/>
              <w:snapToGrid/>
              <w:spacing w:line="240" w:lineRule="auto"/>
              <w:jc w:val="center"/>
              <w:rPr>
                <w:b/>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highlight w:val="none"/>
              </w:rPr>
            </w:pPr>
            <w:r>
              <w:rPr>
                <w:rFonts w:hint="eastAsia"/>
                <w:b/>
                <w:highlight w:val="none"/>
              </w:rPr>
              <w:t>……</w:t>
            </w:r>
          </w:p>
        </w:tc>
        <w:tc>
          <w:tcPr>
            <w:tcW w:w="5499" w:type="dxa"/>
            <w:gridSpan w:val="2"/>
            <w:shd w:val="clear" w:color="auto" w:fill="auto"/>
            <w:vAlign w:val="center"/>
          </w:tcPr>
          <w:p>
            <w:pPr>
              <w:tabs>
                <w:tab w:val="clear" w:pos="426"/>
              </w:tabs>
              <w:adjustRightInd/>
              <w:snapToGrid/>
              <w:spacing w:line="240" w:lineRule="auto"/>
              <w:jc w:val="center"/>
              <w:rPr>
                <w:b/>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 xml:space="preserve">P  -P  </w:t>
            </w:r>
          </w:p>
        </w:tc>
      </w:tr>
    </w:tbl>
    <w:p>
      <w:pPr>
        <w:tabs>
          <w:tab w:val="clear" w:pos="426"/>
        </w:tabs>
        <w:rPr>
          <w:highlight w:val="none"/>
        </w:rPr>
      </w:pPr>
      <w:r>
        <w:rPr>
          <w:rFonts w:hint="eastAsia"/>
          <w:szCs w:val="21"/>
          <w:highlight w:val="none"/>
        </w:rPr>
        <w:t>备注：对于“</w:t>
      </w:r>
      <w:r>
        <w:rPr>
          <w:rFonts w:hint="eastAsia"/>
          <w:b/>
          <w:highlight w:val="none"/>
        </w:rPr>
        <w:t>综合评分指引”</w:t>
      </w:r>
      <w:r>
        <w:rPr>
          <w:rFonts w:hint="eastAsia"/>
          <w:szCs w:val="21"/>
          <w:highlight w:val="none"/>
        </w:rPr>
        <w:t>请投标人按照</w:t>
      </w:r>
      <w:r>
        <w:rPr>
          <w:rFonts w:hint="eastAsia"/>
          <w:b/>
          <w:szCs w:val="21"/>
          <w:highlight w:val="none"/>
        </w:rPr>
        <w:t>评分细则表</w:t>
      </w:r>
      <w:r>
        <w:rPr>
          <w:rFonts w:hint="eastAsia"/>
          <w:szCs w:val="21"/>
          <w:highlight w:val="none"/>
        </w:rPr>
        <w:t>的评分要求，根据各评分项目以</w:t>
      </w:r>
      <w:r>
        <w:rPr>
          <w:rFonts w:hint="eastAsia"/>
          <w:b/>
          <w:szCs w:val="21"/>
          <w:highlight w:val="none"/>
        </w:rPr>
        <w:t>自上而下</w:t>
      </w:r>
      <w:r>
        <w:rPr>
          <w:rFonts w:hint="eastAsia"/>
          <w:szCs w:val="21"/>
          <w:highlight w:val="none"/>
        </w:rPr>
        <w:t>的顺序编制</w:t>
      </w:r>
      <w:r>
        <w:rPr>
          <w:rFonts w:hint="eastAsia"/>
          <w:highlight w:val="none"/>
        </w:rPr>
        <w:t>。因项目次序混乱而影响评标效率及评标结果者，投标人自负其责。</w:t>
      </w:r>
    </w:p>
    <w:p>
      <w:pPr>
        <w:tabs>
          <w:tab w:val="clear" w:pos="426"/>
        </w:tabs>
        <w:rPr>
          <w:highlight w:val="none"/>
        </w:rPr>
      </w:pPr>
    </w:p>
    <w:p>
      <w:pPr>
        <w:tabs>
          <w:tab w:val="clear" w:pos="426"/>
        </w:tabs>
        <w:rPr>
          <w:highlight w:val="none"/>
        </w:rPr>
      </w:pPr>
    </w:p>
    <w:p>
      <w:pPr>
        <w:spacing w:line="240" w:lineRule="exact"/>
        <w:rPr>
          <w:b/>
          <w:highlight w:val="none"/>
        </w:rPr>
      </w:pPr>
    </w:p>
    <w:p>
      <w:pPr>
        <w:tabs>
          <w:tab w:val="clear" w:pos="426"/>
        </w:tabs>
        <w:ind w:firstLine="424" w:firstLineChars="201"/>
        <w:rPr>
          <w:b/>
          <w:highlight w:val="none"/>
        </w:rPr>
      </w:pPr>
    </w:p>
    <w:p>
      <w:pPr>
        <w:tabs>
          <w:tab w:val="clear" w:pos="426"/>
        </w:tabs>
        <w:ind w:firstLine="424" w:firstLineChars="201"/>
        <w:rPr>
          <w:b/>
          <w:color w:val="000000"/>
          <w:szCs w:val="21"/>
          <w:highlight w:val="none"/>
        </w:rPr>
      </w:pPr>
    </w:p>
    <w:p>
      <w:pPr>
        <w:tabs>
          <w:tab w:val="clear" w:pos="426"/>
        </w:tabs>
        <w:ind w:firstLine="424" w:firstLineChars="201"/>
        <w:rPr>
          <w:b/>
          <w:szCs w:val="21"/>
          <w:highlight w:val="none"/>
        </w:rPr>
      </w:pPr>
    </w:p>
    <w:p>
      <w:pPr>
        <w:numPr>
          <w:ilvl w:val="0"/>
          <w:numId w:val="30"/>
        </w:numPr>
        <w:adjustRightInd/>
        <w:snapToGrid/>
        <w:spacing w:before="280" w:after="290" w:line="377" w:lineRule="auto"/>
        <w:outlineLvl w:val="2"/>
        <w:rPr>
          <w:b/>
          <w:sz w:val="24"/>
          <w:highlight w:val="none"/>
        </w:rPr>
      </w:pPr>
      <w:r>
        <w:rPr>
          <w:rFonts w:ascii="黑体" w:eastAsia="黑体"/>
          <w:bCs/>
          <w:sz w:val="28"/>
          <w:highlight w:val="none"/>
        </w:rPr>
        <w:br w:type="page"/>
      </w:r>
      <w:r>
        <w:rPr>
          <w:rFonts w:hint="eastAsia"/>
          <w:b/>
          <w:sz w:val="24"/>
          <w:highlight w:val="none"/>
        </w:rPr>
        <w:t>投标函</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bookmarkStart w:id="46" w:name="_Toc201997950"/>
      <w:bookmarkStart w:id="47" w:name="_Toc201719122"/>
      <w:bookmarkStart w:id="48" w:name="_Toc201742865"/>
      <w:bookmarkStart w:id="49" w:name="_Toc201743120"/>
      <w:r>
        <w:rPr>
          <w:rFonts w:hint="eastAsia" w:cs="Times New Roman"/>
          <w:bCs/>
          <w:kern w:val="2"/>
          <w:sz w:val="32"/>
          <w:szCs w:val="32"/>
          <w:highlight w:val="none"/>
        </w:rPr>
        <w:t>投标函</w:t>
      </w:r>
      <w:bookmarkEnd w:id="46"/>
      <w:bookmarkEnd w:id="47"/>
      <w:bookmarkEnd w:id="48"/>
      <w:bookmarkEnd w:id="49"/>
    </w:p>
    <w:p>
      <w:pPr>
        <w:tabs>
          <w:tab w:val="clear" w:pos="426"/>
        </w:tabs>
        <w:spacing w:line="300" w:lineRule="auto"/>
        <w:rPr>
          <w:szCs w:val="21"/>
          <w:highlight w:val="none"/>
        </w:rPr>
      </w:pPr>
    </w:p>
    <w:p>
      <w:pPr>
        <w:tabs>
          <w:tab w:val="clear" w:pos="426"/>
        </w:tabs>
        <w:spacing w:line="300" w:lineRule="auto"/>
        <w:rPr>
          <w:szCs w:val="21"/>
          <w:highlight w:val="none"/>
        </w:rPr>
      </w:pPr>
      <w:r>
        <w:rPr>
          <w:rFonts w:hint="eastAsia"/>
          <w:szCs w:val="21"/>
          <w:highlight w:val="none"/>
        </w:rPr>
        <w:t>致：</w:t>
      </w:r>
      <w:r>
        <w:rPr>
          <w:rFonts w:hint="eastAsia"/>
          <w:szCs w:val="21"/>
          <w:highlight w:val="none"/>
          <w:u w:val="single"/>
        </w:rPr>
        <w:t xml:space="preserve">       （采购人名称)          </w:t>
      </w:r>
    </w:p>
    <w:p>
      <w:pPr>
        <w:spacing w:afterLines="50"/>
        <w:ind w:firstLine="420" w:firstLineChars="200"/>
        <w:rPr>
          <w:szCs w:val="21"/>
          <w:highlight w:val="none"/>
        </w:rPr>
      </w:pPr>
      <w:r>
        <w:rPr>
          <w:rFonts w:hint="eastAsia"/>
          <w:szCs w:val="21"/>
          <w:highlight w:val="none"/>
        </w:rPr>
        <w:t>1.根据已收到贵方的招标编号为的项目的招标文件，遵照《深圳经济特区政府采购条例》等有关规定，我单位经研究上述招标文件的专用条款及通用条款后，我方愿以投标书《开标一览表》中填写的投标报价并按招标文件要求承包上述项目并修补其任何缺陷。</w:t>
      </w:r>
    </w:p>
    <w:p>
      <w:pPr>
        <w:spacing w:afterLines="50"/>
        <w:ind w:firstLine="420" w:firstLineChars="200"/>
        <w:rPr>
          <w:szCs w:val="21"/>
          <w:highlight w:val="none"/>
        </w:rPr>
      </w:pPr>
      <w:r>
        <w:rPr>
          <w:szCs w:val="21"/>
          <w:highlight w:val="none"/>
        </w:rPr>
        <w:t>2</w:t>
      </w:r>
      <w:r>
        <w:rPr>
          <w:rFonts w:hint="eastAsia"/>
          <w:szCs w:val="21"/>
          <w:highlight w:val="none"/>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pPr>
        <w:spacing w:afterLines="50"/>
        <w:ind w:firstLine="420" w:firstLineChars="200"/>
        <w:rPr>
          <w:szCs w:val="21"/>
          <w:highlight w:val="none"/>
        </w:rPr>
      </w:pPr>
      <w:r>
        <w:rPr>
          <w:rFonts w:hint="eastAsia"/>
          <w:szCs w:val="21"/>
          <w:highlight w:val="none"/>
        </w:rPr>
        <w:t>3.如果我方中标，我方将按照规定提交上述总价</w:t>
      </w:r>
      <w:r>
        <w:rPr>
          <w:szCs w:val="21"/>
          <w:highlight w:val="none"/>
          <w:u w:val="single"/>
        </w:rPr>
        <w:t>/</w:t>
      </w:r>
      <w:r>
        <w:rPr>
          <w:rFonts w:hint="eastAsia"/>
          <w:szCs w:val="21"/>
          <w:highlight w:val="none"/>
        </w:rPr>
        <w:t>％（或</w:t>
      </w:r>
      <w:r>
        <w:rPr>
          <w:szCs w:val="21"/>
          <w:highlight w:val="none"/>
          <w:u w:val="single"/>
        </w:rPr>
        <w:t>/</w:t>
      </w:r>
      <w:r>
        <w:rPr>
          <w:rFonts w:hint="eastAsia"/>
          <w:szCs w:val="21"/>
          <w:highlight w:val="none"/>
        </w:rPr>
        <w:t>万元）作为履约担保（可提供保函或现金）。</w:t>
      </w:r>
    </w:p>
    <w:p>
      <w:pPr>
        <w:spacing w:afterLines="50"/>
        <w:ind w:firstLine="411" w:firstLineChars="196"/>
        <w:rPr>
          <w:szCs w:val="21"/>
          <w:highlight w:val="none"/>
        </w:rPr>
      </w:pPr>
      <w:r>
        <w:rPr>
          <w:rFonts w:hint="eastAsia"/>
          <w:szCs w:val="21"/>
          <w:highlight w:val="none"/>
        </w:rPr>
        <w:t>4.我方同意所递交的投标文件在“对通用条款的补充内容”中的投标有效期内有效，在此期间内我方的投标有可能中标，我方将受此约束。如果在投标有效期内撤回其投标，其投标保证金将全部被没收。</w:t>
      </w:r>
    </w:p>
    <w:p>
      <w:pPr>
        <w:spacing w:afterLines="50"/>
        <w:ind w:firstLine="411" w:firstLineChars="196"/>
        <w:rPr>
          <w:szCs w:val="21"/>
          <w:highlight w:val="none"/>
        </w:rPr>
      </w:pPr>
      <w:r>
        <w:rPr>
          <w:rFonts w:hint="eastAsia"/>
          <w:szCs w:val="21"/>
          <w:highlight w:val="none"/>
        </w:rPr>
        <w:t>5.除非另外达成协议并生效，贵方的中标通知书和本投标文件将构成约束我们双方的合同。</w:t>
      </w:r>
    </w:p>
    <w:p>
      <w:pPr>
        <w:spacing w:afterLines="50"/>
        <w:ind w:firstLine="411" w:firstLineChars="196"/>
        <w:rPr>
          <w:szCs w:val="21"/>
          <w:highlight w:val="none"/>
        </w:rPr>
      </w:pPr>
      <w:r>
        <w:rPr>
          <w:szCs w:val="21"/>
          <w:highlight w:val="none"/>
        </w:rPr>
        <w:t>6</w:t>
      </w:r>
      <w:r>
        <w:rPr>
          <w:rFonts w:hint="eastAsia"/>
          <w:szCs w:val="21"/>
          <w:highlight w:val="none"/>
        </w:rPr>
        <w:t>.我方理解贵方将不受必须接受你们所收到的最低标价或其它任何投标文件的约束。</w:t>
      </w:r>
    </w:p>
    <w:p>
      <w:pPr>
        <w:tabs>
          <w:tab w:val="clear" w:pos="426"/>
        </w:tabs>
        <w:spacing w:line="300" w:lineRule="auto"/>
        <w:rPr>
          <w:szCs w:val="21"/>
          <w:highlight w:val="none"/>
        </w:rPr>
      </w:pPr>
    </w:p>
    <w:p>
      <w:pPr>
        <w:tabs>
          <w:tab w:val="clear" w:pos="426"/>
        </w:tabs>
        <w:spacing w:line="300" w:lineRule="auto"/>
        <w:rPr>
          <w:szCs w:val="21"/>
          <w:highlight w:val="none"/>
        </w:rPr>
      </w:pPr>
    </w:p>
    <w:p>
      <w:pPr>
        <w:tabs>
          <w:tab w:val="clear" w:pos="426"/>
        </w:tabs>
        <w:spacing w:line="300" w:lineRule="auto"/>
        <w:ind w:firstLine="420" w:firstLineChars="200"/>
        <w:rPr>
          <w:highlight w:val="none"/>
          <w:u w:val="single"/>
        </w:rPr>
      </w:pPr>
      <w:r>
        <w:rPr>
          <w:rFonts w:hint="eastAsia"/>
          <w:highlight w:val="none"/>
        </w:rPr>
        <w:t>投标人名称(盖公章):</w:t>
      </w:r>
    </w:p>
    <w:p>
      <w:pPr>
        <w:tabs>
          <w:tab w:val="clear" w:pos="426"/>
        </w:tabs>
        <w:spacing w:line="300" w:lineRule="auto"/>
        <w:ind w:firstLine="420" w:firstLineChars="200"/>
        <w:rPr>
          <w:highlight w:val="none"/>
        </w:rPr>
      </w:pPr>
      <w:r>
        <w:rPr>
          <w:rFonts w:hint="eastAsia"/>
          <w:highlight w:val="none"/>
        </w:rPr>
        <w:t>投标人地址:</w:t>
      </w:r>
    </w:p>
    <w:p>
      <w:pPr>
        <w:tabs>
          <w:tab w:val="clear" w:pos="426"/>
        </w:tabs>
        <w:spacing w:line="300" w:lineRule="auto"/>
        <w:ind w:firstLine="420" w:firstLineChars="200"/>
        <w:rPr>
          <w:highlight w:val="none"/>
        </w:rPr>
      </w:pPr>
      <w:r>
        <w:rPr>
          <w:rFonts w:hint="eastAsia"/>
          <w:highlight w:val="none"/>
        </w:rPr>
        <w:t>电话:</w:t>
      </w:r>
    </w:p>
    <w:p>
      <w:pPr>
        <w:tabs>
          <w:tab w:val="clear" w:pos="426"/>
        </w:tabs>
        <w:spacing w:line="300" w:lineRule="auto"/>
        <w:ind w:firstLine="420" w:firstLineChars="200"/>
        <w:rPr>
          <w:highlight w:val="none"/>
          <w:u w:val="single"/>
        </w:rPr>
      </w:pPr>
      <w:r>
        <w:rPr>
          <w:rFonts w:hint="eastAsia"/>
          <w:highlight w:val="none"/>
        </w:rPr>
        <w:t>法定代表人或投标人授权代表（签名或盖章）：</w:t>
      </w:r>
    </w:p>
    <w:p>
      <w:pPr>
        <w:tabs>
          <w:tab w:val="clear" w:pos="426"/>
        </w:tabs>
        <w:spacing w:line="300" w:lineRule="auto"/>
        <w:ind w:firstLine="420" w:firstLineChars="200"/>
        <w:rPr>
          <w:highlight w:val="none"/>
          <w:u w:val="single"/>
        </w:rPr>
      </w:pPr>
      <w:r>
        <w:rPr>
          <w:rFonts w:hint="eastAsia"/>
          <w:szCs w:val="21"/>
          <w:highlight w:val="none"/>
        </w:rPr>
        <w:t>日期：</w:t>
      </w:r>
    </w:p>
    <w:p>
      <w:pPr>
        <w:tabs>
          <w:tab w:val="clear" w:pos="426"/>
        </w:tabs>
        <w:spacing w:line="300" w:lineRule="auto"/>
        <w:rPr>
          <w:szCs w:val="21"/>
          <w:highlight w:val="none"/>
          <w:u w:val="single"/>
        </w:rPr>
      </w:pPr>
    </w:p>
    <w:p>
      <w:pPr>
        <w:tabs>
          <w:tab w:val="clear" w:pos="426"/>
        </w:tabs>
        <w:spacing w:line="300" w:lineRule="auto"/>
        <w:rPr>
          <w:highlight w:val="none"/>
        </w:rPr>
      </w:pPr>
    </w:p>
    <w:p>
      <w:pPr>
        <w:tabs>
          <w:tab w:val="clear" w:pos="426"/>
        </w:tabs>
        <w:spacing w:line="300" w:lineRule="auto"/>
        <w:rPr>
          <w:highlight w:val="none"/>
        </w:rPr>
      </w:pPr>
    </w:p>
    <w:p>
      <w:pPr>
        <w:numPr>
          <w:ilvl w:val="0"/>
          <w:numId w:val="30"/>
        </w:numPr>
        <w:adjustRightInd/>
        <w:snapToGrid/>
        <w:spacing w:before="280" w:after="290" w:line="377" w:lineRule="auto"/>
        <w:outlineLvl w:val="2"/>
        <w:rPr>
          <w:b/>
          <w:sz w:val="24"/>
          <w:highlight w:val="none"/>
        </w:rPr>
      </w:pPr>
      <w:r>
        <w:rPr>
          <w:highlight w:val="none"/>
        </w:rPr>
        <w:br w:type="page"/>
      </w:r>
      <w:r>
        <w:rPr>
          <w:rFonts w:hint="eastAsia"/>
          <w:b/>
          <w:sz w:val="24"/>
          <w:highlight w:val="none"/>
        </w:rPr>
        <w:t>投标保证金缴纳承诺函</w:t>
      </w:r>
    </w:p>
    <w:p>
      <w:pPr>
        <w:tabs>
          <w:tab w:val="clear" w:pos="426"/>
        </w:tabs>
        <w:spacing w:line="300" w:lineRule="auto"/>
        <w:jc w:val="center"/>
        <w:rPr>
          <w:highlight w:val="none"/>
        </w:rPr>
      </w:pPr>
      <w:r>
        <w:rPr>
          <w:rFonts w:hint="eastAsia" w:cs="Times New Roman"/>
          <w:bCs/>
          <w:kern w:val="2"/>
          <w:sz w:val="32"/>
          <w:szCs w:val="32"/>
          <w:highlight w:val="none"/>
        </w:rPr>
        <w:t>投标保证金缴纳承诺函</w:t>
      </w:r>
    </w:p>
    <w:p>
      <w:pPr>
        <w:tabs>
          <w:tab w:val="clear" w:pos="426"/>
        </w:tabs>
        <w:spacing w:line="300" w:lineRule="auto"/>
        <w:rPr>
          <w:highlight w:val="none"/>
        </w:rPr>
      </w:pPr>
    </w:p>
    <w:p>
      <w:pPr>
        <w:tabs>
          <w:tab w:val="clear" w:pos="426"/>
        </w:tabs>
        <w:spacing w:line="300" w:lineRule="auto"/>
        <w:rPr>
          <w:b/>
          <w:highlight w:val="none"/>
        </w:rPr>
      </w:pPr>
      <w:r>
        <w:rPr>
          <w:rFonts w:hint="eastAsia"/>
          <w:highlight w:val="none"/>
        </w:rPr>
        <w:t>深圳市深水水务咨询有限公司：</w:t>
      </w:r>
    </w:p>
    <w:p>
      <w:pPr>
        <w:tabs>
          <w:tab w:val="clear" w:pos="426"/>
        </w:tabs>
        <w:spacing w:line="300" w:lineRule="auto"/>
        <w:ind w:firstLine="420" w:firstLineChars="200"/>
        <w:rPr>
          <w:highlight w:val="none"/>
        </w:rPr>
      </w:pPr>
      <w:r>
        <w:rPr>
          <w:rFonts w:hint="eastAsia"/>
          <w:highlight w:val="none"/>
        </w:rPr>
        <w:t>本公司</w:t>
      </w:r>
      <w:r>
        <w:rPr>
          <w:rFonts w:hint="eastAsia"/>
          <w:highlight w:val="none"/>
          <w:u w:val="single"/>
        </w:rPr>
        <w:t xml:space="preserve">       (投标人名称)      </w:t>
      </w:r>
      <w:r>
        <w:rPr>
          <w:rFonts w:hint="eastAsia"/>
          <w:highlight w:val="none"/>
        </w:rPr>
        <w:t>报名参加</w:t>
      </w:r>
      <w:r>
        <w:rPr>
          <w:rFonts w:hint="eastAsia"/>
          <w:highlight w:val="none"/>
          <w:u w:val="single"/>
        </w:rPr>
        <w:t xml:space="preserve"> （项目名称）</w:t>
      </w:r>
      <w:r>
        <w:rPr>
          <w:rFonts w:hint="eastAsia"/>
          <w:highlight w:val="none"/>
        </w:rPr>
        <w:t>(招标项目编号：</w:t>
      </w:r>
      <w:r>
        <w:rPr>
          <w:rFonts w:hint="eastAsia"/>
          <w:highlight w:val="none"/>
          <w:u w:val="single"/>
        </w:rPr>
        <w:t>（项目编号）</w:t>
      </w:r>
      <w:r>
        <w:rPr>
          <w:rFonts w:hint="eastAsia"/>
          <w:highlight w:val="none"/>
        </w:rPr>
        <w:t>)的招标，我公司承诺我方已在市政府采购中心缴纳投标保证金，所缴纳的投标保证金作为本次政府采购活动的保证金。</w:t>
      </w:r>
    </w:p>
    <w:p>
      <w:pPr>
        <w:tabs>
          <w:tab w:val="clear" w:pos="426"/>
        </w:tabs>
        <w:spacing w:line="300" w:lineRule="auto"/>
        <w:ind w:firstLine="420" w:firstLineChars="200"/>
        <w:rPr>
          <w:highlight w:val="none"/>
        </w:rPr>
      </w:pPr>
      <w:r>
        <w:rPr>
          <w:rFonts w:hint="eastAsia"/>
          <w:highlight w:val="none"/>
        </w:rPr>
        <w:t>如我公司违反上款承诺，我方愿承担由此引起的一切法律责任。</w:t>
      </w:r>
    </w:p>
    <w:p>
      <w:pPr>
        <w:tabs>
          <w:tab w:val="clear" w:pos="426"/>
        </w:tabs>
        <w:spacing w:line="300" w:lineRule="auto"/>
        <w:ind w:firstLine="420" w:firstLineChars="200"/>
        <w:rPr>
          <w:highlight w:val="none"/>
        </w:rPr>
      </w:pPr>
      <w:r>
        <w:rPr>
          <w:rFonts w:hint="eastAsia"/>
          <w:highlight w:val="none"/>
        </w:rPr>
        <w:t>特此承诺!</w:t>
      </w:r>
    </w:p>
    <w:p>
      <w:pPr>
        <w:tabs>
          <w:tab w:val="clear" w:pos="426"/>
        </w:tabs>
        <w:spacing w:line="300" w:lineRule="auto"/>
        <w:ind w:firstLine="420" w:firstLineChars="200"/>
        <w:rPr>
          <w:highlight w:val="none"/>
        </w:rPr>
      </w:pPr>
    </w:p>
    <w:p>
      <w:pPr>
        <w:tabs>
          <w:tab w:val="clear" w:pos="426"/>
        </w:tabs>
        <w:spacing w:line="300" w:lineRule="auto"/>
        <w:ind w:firstLine="420" w:firstLineChars="200"/>
        <w:rPr>
          <w:highlight w:val="none"/>
        </w:rPr>
      </w:pPr>
    </w:p>
    <w:p>
      <w:pPr>
        <w:tabs>
          <w:tab w:val="clear" w:pos="426"/>
        </w:tabs>
        <w:spacing w:line="300" w:lineRule="auto"/>
        <w:ind w:firstLine="420" w:firstLineChars="200"/>
        <w:rPr>
          <w:highlight w:val="none"/>
          <w:u w:val="single"/>
        </w:rPr>
      </w:pPr>
      <w:r>
        <w:rPr>
          <w:rFonts w:hint="eastAsia"/>
          <w:highlight w:val="none"/>
        </w:rPr>
        <w:t>投标人名称(盖公章):</w:t>
      </w:r>
    </w:p>
    <w:p>
      <w:pPr>
        <w:tabs>
          <w:tab w:val="clear" w:pos="426"/>
        </w:tabs>
        <w:spacing w:line="300" w:lineRule="auto"/>
        <w:ind w:firstLine="420" w:firstLineChars="200"/>
        <w:rPr>
          <w:highlight w:val="none"/>
        </w:rPr>
      </w:pPr>
      <w:r>
        <w:rPr>
          <w:rFonts w:hint="eastAsia"/>
          <w:highlight w:val="none"/>
        </w:rPr>
        <w:t>投标人地址:</w:t>
      </w:r>
    </w:p>
    <w:p>
      <w:pPr>
        <w:tabs>
          <w:tab w:val="clear" w:pos="426"/>
        </w:tabs>
        <w:spacing w:line="300" w:lineRule="auto"/>
        <w:ind w:firstLine="420" w:firstLineChars="200"/>
        <w:rPr>
          <w:highlight w:val="none"/>
        </w:rPr>
      </w:pPr>
      <w:r>
        <w:rPr>
          <w:rFonts w:hint="eastAsia"/>
          <w:highlight w:val="none"/>
        </w:rPr>
        <w:t>电话:</w:t>
      </w:r>
    </w:p>
    <w:p>
      <w:pPr>
        <w:tabs>
          <w:tab w:val="clear" w:pos="426"/>
        </w:tabs>
        <w:spacing w:line="300" w:lineRule="auto"/>
        <w:ind w:firstLine="420" w:firstLineChars="200"/>
        <w:rPr>
          <w:highlight w:val="none"/>
          <w:u w:val="single"/>
        </w:rPr>
      </w:pPr>
      <w:r>
        <w:rPr>
          <w:rFonts w:hint="eastAsia"/>
          <w:highlight w:val="none"/>
        </w:rPr>
        <w:t>法定代表人或投标人授权代表（签名或盖章）：</w:t>
      </w:r>
    </w:p>
    <w:p>
      <w:pPr>
        <w:tabs>
          <w:tab w:val="clear" w:pos="426"/>
        </w:tabs>
        <w:spacing w:line="300" w:lineRule="auto"/>
        <w:ind w:firstLine="420" w:firstLineChars="200"/>
        <w:rPr>
          <w:highlight w:val="none"/>
          <w:u w:val="single"/>
        </w:rPr>
      </w:pPr>
      <w:r>
        <w:rPr>
          <w:rFonts w:hint="eastAsia"/>
          <w:szCs w:val="21"/>
          <w:highlight w:val="none"/>
        </w:rPr>
        <w:t>日期：</w:t>
      </w:r>
    </w:p>
    <w:p>
      <w:pPr>
        <w:tabs>
          <w:tab w:val="clear" w:pos="426"/>
        </w:tabs>
        <w:spacing w:line="300" w:lineRule="auto"/>
        <w:ind w:firstLine="420" w:firstLineChars="200"/>
        <w:rPr>
          <w:bCs/>
          <w:highlight w:val="none"/>
        </w:rPr>
      </w:pPr>
    </w:p>
    <w:p>
      <w:pPr>
        <w:tabs>
          <w:tab w:val="clear" w:pos="426"/>
        </w:tabs>
        <w:spacing w:line="300" w:lineRule="auto"/>
        <w:ind w:firstLine="420" w:firstLineChars="200"/>
        <w:rPr>
          <w:bCs/>
          <w:highlight w:val="none"/>
        </w:rPr>
      </w:pPr>
    </w:p>
    <w:p>
      <w:pPr>
        <w:tabs>
          <w:tab w:val="clear" w:pos="426"/>
        </w:tabs>
        <w:spacing w:line="300" w:lineRule="auto"/>
        <w:ind w:firstLine="420" w:firstLineChars="200"/>
        <w:rPr>
          <w:bCs/>
          <w:highlight w:val="none"/>
        </w:rPr>
      </w:pPr>
      <w:r>
        <w:rPr>
          <w:rFonts w:hint="eastAsia"/>
          <w:bCs/>
          <w:highlight w:val="none"/>
        </w:rPr>
        <w:t>备注：</w:t>
      </w:r>
    </w:p>
    <w:p>
      <w:pPr>
        <w:tabs>
          <w:tab w:val="clear" w:pos="426"/>
        </w:tabs>
        <w:spacing w:line="300" w:lineRule="auto"/>
        <w:ind w:firstLine="420" w:firstLineChars="200"/>
        <w:rPr>
          <w:bCs/>
          <w:highlight w:val="none"/>
        </w:rPr>
      </w:pPr>
      <w:r>
        <w:rPr>
          <w:rFonts w:hint="eastAsia"/>
          <w:bCs/>
          <w:highlight w:val="none"/>
        </w:rPr>
        <w:t>1.根据《中华人民共和国政府采购法实施条例》第三十三条和《深圳财政委员会关于规范政府采购项目投标保证金和履约保证金管理的通知》的规定，考虑到不少投标人经常参与投标，为提供便利，避免频繁缴纳与退还投标保证金，市政府采供中心对频繁参与投标的供应商提供便捷措施，投标保证金可实行依法按时退还或者依申请退还的方式。</w:t>
      </w:r>
    </w:p>
    <w:p>
      <w:pPr>
        <w:tabs>
          <w:tab w:val="clear" w:pos="426"/>
        </w:tabs>
        <w:spacing w:line="300" w:lineRule="auto"/>
        <w:ind w:firstLine="420" w:firstLineChars="200"/>
        <w:rPr>
          <w:bCs/>
          <w:highlight w:val="none"/>
        </w:rPr>
      </w:pPr>
      <w:r>
        <w:rPr>
          <w:rFonts w:hint="eastAsia"/>
          <w:bCs/>
          <w:highlight w:val="none"/>
        </w:rPr>
        <w:t>2.代理机构将在本项目开标前，查询投标人状态和投标保证金缴纳情况。</w:t>
      </w:r>
    </w:p>
    <w:p>
      <w:pPr>
        <w:tabs>
          <w:tab w:val="clear" w:pos="426"/>
        </w:tabs>
        <w:spacing w:line="300" w:lineRule="auto"/>
        <w:ind w:firstLine="420" w:firstLineChars="200"/>
        <w:rPr>
          <w:highlight w:val="none"/>
        </w:rPr>
      </w:pPr>
      <w:r>
        <w:rPr>
          <w:rFonts w:hint="eastAsia"/>
          <w:bCs/>
          <w:highlight w:val="none"/>
        </w:rPr>
        <w:t>3.</w:t>
      </w:r>
      <w:r>
        <w:rPr>
          <w:rFonts w:hint="eastAsia"/>
          <w:highlight w:val="none"/>
        </w:rPr>
        <w:t>若投标人投标保证金被依法不予退还，及时补交，否则投标无效。</w:t>
      </w:r>
    </w:p>
    <w:p>
      <w:pPr>
        <w:tabs>
          <w:tab w:val="clear" w:pos="426"/>
        </w:tabs>
        <w:spacing w:line="300" w:lineRule="auto"/>
        <w:rPr>
          <w:highlight w:val="none"/>
        </w:rPr>
      </w:pPr>
    </w:p>
    <w:p>
      <w:pPr>
        <w:tabs>
          <w:tab w:val="clear" w:pos="426"/>
        </w:tabs>
        <w:spacing w:line="300" w:lineRule="auto"/>
        <w:rPr>
          <w:highlight w:val="none"/>
        </w:rPr>
      </w:pPr>
    </w:p>
    <w:p>
      <w:pPr>
        <w:tabs>
          <w:tab w:val="clear" w:pos="426"/>
        </w:tabs>
        <w:spacing w:line="300" w:lineRule="auto"/>
        <w:rPr>
          <w:highlight w:val="none"/>
        </w:rPr>
      </w:pPr>
    </w:p>
    <w:p>
      <w:pPr>
        <w:numPr>
          <w:ilvl w:val="0"/>
          <w:numId w:val="30"/>
        </w:numPr>
        <w:adjustRightInd/>
        <w:snapToGrid/>
        <w:spacing w:before="280" w:after="290" w:line="377" w:lineRule="auto"/>
        <w:outlineLvl w:val="2"/>
        <w:rPr>
          <w:b/>
          <w:sz w:val="24"/>
          <w:highlight w:val="none"/>
        </w:rPr>
      </w:pPr>
      <w:r>
        <w:rPr>
          <w:b/>
          <w:highlight w:val="none"/>
        </w:rPr>
        <w:br w:type="page"/>
      </w:r>
      <w:r>
        <w:rPr>
          <w:rFonts w:hint="eastAsia"/>
          <w:b/>
          <w:sz w:val="24"/>
          <w:highlight w:val="none"/>
        </w:rPr>
        <w:t>政府采购投标及履约承诺函</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r>
        <w:rPr>
          <w:rFonts w:hint="eastAsia" w:cs="Times New Roman"/>
          <w:bCs/>
          <w:kern w:val="2"/>
          <w:sz w:val="32"/>
          <w:szCs w:val="32"/>
          <w:highlight w:val="none"/>
        </w:rPr>
        <w:t>政府采购投标及履约承诺函</w:t>
      </w:r>
    </w:p>
    <w:p>
      <w:pPr>
        <w:tabs>
          <w:tab w:val="clear" w:pos="426"/>
        </w:tabs>
        <w:rPr>
          <w:highlight w:val="none"/>
        </w:rPr>
      </w:pPr>
    </w:p>
    <w:p>
      <w:pPr>
        <w:tabs>
          <w:tab w:val="clear" w:pos="426"/>
        </w:tabs>
        <w:rPr>
          <w:highlight w:val="none"/>
        </w:rPr>
      </w:pPr>
      <w:r>
        <w:rPr>
          <w:rFonts w:hint="eastAsia"/>
          <w:highlight w:val="none"/>
        </w:rPr>
        <w:t>深圳市深水水务咨询有限公司：</w:t>
      </w:r>
    </w:p>
    <w:p>
      <w:pPr>
        <w:tabs>
          <w:tab w:val="clear" w:pos="426"/>
        </w:tabs>
        <w:spacing w:beforeLines="50" w:line="240" w:lineRule="auto"/>
        <w:ind w:firstLine="424" w:firstLineChars="202"/>
        <w:rPr>
          <w:highlight w:val="none"/>
        </w:rPr>
      </w:pPr>
      <w:r>
        <w:rPr>
          <w:rFonts w:hint="eastAsia"/>
          <w:highlight w:val="none"/>
        </w:rPr>
        <w:t>关于贵公司年月日发布</w:t>
      </w:r>
      <w:r>
        <w:rPr>
          <w:rFonts w:hint="eastAsia"/>
          <w:szCs w:val="21"/>
          <w:highlight w:val="none"/>
          <w:u w:val="single"/>
        </w:rPr>
        <w:t xml:space="preserve">（项目名称) </w:t>
      </w:r>
      <w:r>
        <w:rPr>
          <w:rFonts w:hint="eastAsia"/>
          <w:highlight w:val="none"/>
        </w:rPr>
        <w:t>项目（招标项目编号：</w:t>
      </w:r>
      <w:r>
        <w:rPr>
          <w:rFonts w:hint="eastAsia"/>
          <w:highlight w:val="none"/>
          <w:u w:val="single"/>
        </w:rPr>
        <w:t xml:space="preserve">  （项目编号）  </w:t>
      </w:r>
      <w:r>
        <w:rPr>
          <w:rFonts w:hint="eastAsia"/>
          <w:highlight w:val="none"/>
        </w:rPr>
        <w:t>）的采购公告，本公司（企业）愿意参加投标，并声明：</w:t>
      </w:r>
    </w:p>
    <w:p>
      <w:pPr>
        <w:tabs>
          <w:tab w:val="clear" w:pos="426"/>
        </w:tabs>
        <w:spacing w:line="240" w:lineRule="auto"/>
        <w:ind w:firstLine="424" w:firstLineChars="202"/>
        <w:rPr>
          <w:highlight w:val="none"/>
        </w:rPr>
      </w:pPr>
      <w:r>
        <w:rPr>
          <w:highlight w:val="none"/>
        </w:rPr>
        <w:t>1.我公司本招标项目所提供的货物或服务未侵犯知识产权。</w:t>
      </w:r>
    </w:p>
    <w:p>
      <w:pPr>
        <w:tabs>
          <w:tab w:val="clear" w:pos="426"/>
        </w:tabs>
        <w:spacing w:line="240" w:lineRule="auto"/>
        <w:ind w:firstLine="426" w:firstLineChars="202"/>
        <w:rPr>
          <w:b/>
          <w:highlight w:val="none"/>
        </w:rPr>
      </w:pPr>
      <w:r>
        <w:rPr>
          <w:b/>
          <w:highlight w:val="none"/>
        </w:rPr>
        <w:t>2.我公司参与本项目投标前三年内，在经营活动中没有重大违法记录。</w:t>
      </w:r>
    </w:p>
    <w:p>
      <w:pPr>
        <w:tabs>
          <w:tab w:val="clear" w:pos="426"/>
        </w:tabs>
        <w:spacing w:line="240" w:lineRule="auto"/>
        <w:ind w:firstLine="426" w:firstLineChars="202"/>
        <w:rPr>
          <w:b/>
          <w:highlight w:val="none"/>
        </w:rPr>
      </w:pPr>
      <w:r>
        <w:rPr>
          <w:b/>
          <w:highlight w:val="none"/>
        </w:rPr>
        <w:t>3.我公司参与本项目政府采购活动时不存在被有关部门禁止参与政府采购活动且在有效期内的情况。</w:t>
      </w:r>
    </w:p>
    <w:p>
      <w:pPr>
        <w:tabs>
          <w:tab w:val="clear" w:pos="426"/>
        </w:tabs>
        <w:spacing w:line="240" w:lineRule="auto"/>
        <w:ind w:firstLine="426" w:firstLineChars="202"/>
        <w:rPr>
          <w:b/>
          <w:highlight w:val="none"/>
        </w:rPr>
      </w:pPr>
      <w:r>
        <w:rPr>
          <w:b/>
          <w:highlight w:val="none"/>
        </w:rPr>
        <w:t>4.我公司具备《中华人民共和国政府采购法》第二十二条规定的资质。</w:t>
      </w:r>
    </w:p>
    <w:p>
      <w:pPr>
        <w:tabs>
          <w:tab w:val="clear" w:pos="426"/>
        </w:tabs>
        <w:spacing w:line="240" w:lineRule="auto"/>
        <w:ind w:firstLine="426" w:firstLineChars="202"/>
        <w:rPr>
          <w:b/>
          <w:highlight w:val="none"/>
        </w:rPr>
      </w:pPr>
      <w:r>
        <w:rPr>
          <w:b/>
          <w:highlight w:val="none"/>
        </w:rPr>
        <w:t>5.我公司未被列入失信被执行人、重大税收违法案件当事人名单、政府采购严重违法失信行为记录名单</w:t>
      </w:r>
    </w:p>
    <w:p>
      <w:pPr>
        <w:tabs>
          <w:tab w:val="clear" w:pos="426"/>
        </w:tabs>
        <w:spacing w:line="240" w:lineRule="auto"/>
        <w:ind w:firstLine="424" w:firstLineChars="202"/>
        <w:rPr>
          <w:highlight w:val="none"/>
        </w:rPr>
      </w:pPr>
      <w:r>
        <w:rPr>
          <w:highlight w:val="none"/>
        </w:rPr>
        <w:t>6.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tabs>
          <w:tab w:val="clear" w:pos="426"/>
        </w:tabs>
        <w:spacing w:line="240" w:lineRule="auto"/>
        <w:ind w:firstLine="424" w:firstLineChars="202"/>
        <w:rPr>
          <w:highlight w:val="none"/>
        </w:rPr>
      </w:pPr>
      <w:r>
        <w:rPr>
          <w:highlight w:val="none"/>
        </w:rPr>
        <w:t>7.我公司如果中标，做到守信，不偷工减料，依照本项目招标文件需求内容、签署的采购合同及本公司在投标中所作的一切承诺履约。项目验收达到全部指标合格，力争优良。</w:t>
      </w:r>
    </w:p>
    <w:p>
      <w:pPr>
        <w:tabs>
          <w:tab w:val="clear" w:pos="426"/>
        </w:tabs>
        <w:spacing w:line="240" w:lineRule="auto"/>
        <w:ind w:firstLine="424" w:firstLineChars="202"/>
        <w:rPr>
          <w:highlight w:val="none"/>
        </w:rPr>
      </w:pPr>
      <w:r>
        <w:rPr>
          <w:highlight w:val="none"/>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w:t>
      </w:r>
      <w:r>
        <w:rPr>
          <w:rFonts w:hint="eastAsia"/>
          <w:highlight w:val="none"/>
        </w:rPr>
        <w:t>作；若我公司未按上述要求履约，我公司愿意接受主管部门的处理处罚。</w:t>
      </w:r>
    </w:p>
    <w:p>
      <w:pPr>
        <w:tabs>
          <w:tab w:val="clear" w:pos="426"/>
        </w:tabs>
        <w:spacing w:line="240" w:lineRule="auto"/>
        <w:ind w:firstLine="424" w:firstLineChars="202"/>
        <w:rPr>
          <w:highlight w:val="none"/>
        </w:rPr>
      </w:pPr>
      <w:r>
        <w:rPr>
          <w:highlight w:val="none"/>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tabs>
          <w:tab w:val="clear" w:pos="426"/>
        </w:tabs>
        <w:spacing w:line="240" w:lineRule="auto"/>
        <w:ind w:firstLine="424" w:firstLineChars="202"/>
        <w:rPr>
          <w:highlight w:val="none"/>
        </w:rPr>
      </w:pPr>
      <w:r>
        <w:rPr>
          <w:highlight w:val="none"/>
        </w:rPr>
        <w:t>10.我公司承诺不非法转包、分包。</w:t>
      </w:r>
    </w:p>
    <w:p>
      <w:pPr>
        <w:tabs>
          <w:tab w:val="clear" w:pos="426"/>
        </w:tabs>
        <w:spacing w:line="240" w:lineRule="auto"/>
        <w:ind w:firstLine="424" w:firstLineChars="202"/>
        <w:rPr>
          <w:highlight w:val="none"/>
        </w:rPr>
      </w:pPr>
      <w:r>
        <w:rPr>
          <w:rFonts w:hint="eastAsia"/>
          <w:highlight w:val="none"/>
        </w:rPr>
        <w:t>以上承诺，如有违反，愿依照国家相关法律处理，并承担由此给采购人带来的损失。</w:t>
      </w:r>
    </w:p>
    <w:p>
      <w:pPr>
        <w:tabs>
          <w:tab w:val="clear" w:pos="426"/>
        </w:tabs>
        <w:spacing w:line="240" w:lineRule="auto"/>
        <w:ind w:firstLine="420"/>
        <w:rPr>
          <w:highlight w:val="none"/>
        </w:rPr>
      </w:pPr>
      <w:r>
        <w:rPr>
          <w:rFonts w:hint="eastAsia"/>
          <w:highlight w:val="none"/>
        </w:rPr>
        <w:t>特此声明！</w:t>
      </w:r>
    </w:p>
    <w:p>
      <w:pPr>
        <w:tabs>
          <w:tab w:val="clear" w:pos="426"/>
        </w:tabs>
        <w:spacing w:line="240" w:lineRule="auto"/>
        <w:ind w:firstLine="420"/>
        <w:rPr>
          <w:highlight w:val="none"/>
        </w:rPr>
      </w:pPr>
    </w:p>
    <w:p>
      <w:pPr>
        <w:tabs>
          <w:tab w:val="clear" w:pos="426"/>
        </w:tabs>
        <w:ind w:firstLine="420"/>
        <w:rPr>
          <w:highlight w:val="none"/>
        </w:rPr>
      </w:pPr>
    </w:p>
    <w:p>
      <w:pPr>
        <w:tabs>
          <w:tab w:val="clear" w:pos="426"/>
        </w:tabs>
        <w:spacing w:line="300" w:lineRule="auto"/>
        <w:ind w:firstLine="420" w:firstLineChars="200"/>
        <w:rPr>
          <w:highlight w:val="none"/>
          <w:u w:val="single"/>
        </w:rPr>
      </w:pPr>
      <w:r>
        <w:rPr>
          <w:rFonts w:hint="eastAsia"/>
          <w:highlight w:val="none"/>
        </w:rPr>
        <w:t>投标人名称(盖公章):</w:t>
      </w:r>
    </w:p>
    <w:p>
      <w:pPr>
        <w:tabs>
          <w:tab w:val="clear" w:pos="426"/>
        </w:tabs>
        <w:spacing w:line="300" w:lineRule="auto"/>
        <w:ind w:firstLine="420" w:firstLineChars="200"/>
        <w:rPr>
          <w:highlight w:val="none"/>
        </w:rPr>
      </w:pPr>
      <w:r>
        <w:rPr>
          <w:rFonts w:hint="eastAsia"/>
          <w:highlight w:val="none"/>
        </w:rPr>
        <w:t>投标人地址:</w:t>
      </w:r>
    </w:p>
    <w:p>
      <w:pPr>
        <w:tabs>
          <w:tab w:val="clear" w:pos="426"/>
        </w:tabs>
        <w:spacing w:line="300" w:lineRule="auto"/>
        <w:ind w:firstLine="420" w:firstLineChars="200"/>
        <w:rPr>
          <w:highlight w:val="none"/>
        </w:rPr>
      </w:pPr>
      <w:r>
        <w:rPr>
          <w:rFonts w:hint="eastAsia"/>
          <w:highlight w:val="none"/>
        </w:rPr>
        <w:t>电话:</w:t>
      </w:r>
    </w:p>
    <w:p>
      <w:pPr>
        <w:tabs>
          <w:tab w:val="clear" w:pos="426"/>
        </w:tabs>
        <w:spacing w:line="300" w:lineRule="auto"/>
        <w:ind w:firstLine="420" w:firstLineChars="200"/>
        <w:rPr>
          <w:highlight w:val="none"/>
          <w:u w:val="single"/>
        </w:rPr>
      </w:pPr>
      <w:r>
        <w:rPr>
          <w:rFonts w:hint="eastAsia"/>
          <w:highlight w:val="none"/>
        </w:rPr>
        <w:t>法定代表人或投标人授权代表（签名或盖章）：</w:t>
      </w:r>
    </w:p>
    <w:p>
      <w:pPr>
        <w:tabs>
          <w:tab w:val="clear" w:pos="426"/>
        </w:tabs>
        <w:spacing w:line="300" w:lineRule="auto"/>
        <w:ind w:firstLine="420" w:firstLineChars="200"/>
        <w:rPr>
          <w:highlight w:val="none"/>
          <w:u w:val="single"/>
        </w:rPr>
      </w:pPr>
      <w:r>
        <w:rPr>
          <w:rFonts w:hint="eastAsia"/>
          <w:szCs w:val="21"/>
          <w:highlight w:val="none"/>
        </w:rPr>
        <w:t>日期：</w:t>
      </w:r>
    </w:p>
    <w:p>
      <w:pPr>
        <w:tabs>
          <w:tab w:val="clear" w:pos="426"/>
        </w:tabs>
        <w:ind w:firstLine="420" w:firstLineChars="200"/>
        <w:rPr>
          <w:highlight w:val="none"/>
          <w:u w:val="single"/>
        </w:rPr>
      </w:pPr>
      <w:bookmarkStart w:id="50" w:name="_Toc52165081"/>
      <w:bookmarkStart w:id="51" w:name="_Toc50737329"/>
      <w:bookmarkStart w:id="52" w:name="_Toc50736477"/>
      <w:bookmarkStart w:id="53" w:name="_Toc50737297"/>
      <w:bookmarkStart w:id="54" w:name="_Toc275865607"/>
      <w:bookmarkStart w:id="55" w:name="_Toc480754205"/>
      <w:bookmarkStart w:id="56" w:name="_Toc50736476"/>
      <w:bookmarkStart w:id="57" w:name="_Toc50737296"/>
      <w:bookmarkStart w:id="58" w:name="_Toc50691034"/>
      <w:bookmarkStart w:id="59" w:name="_Toc52165080"/>
      <w:bookmarkStart w:id="60" w:name="_Toc50737328"/>
    </w:p>
    <w:p>
      <w:pPr>
        <w:tabs>
          <w:tab w:val="clear" w:pos="426"/>
        </w:tabs>
        <w:rPr>
          <w:highlight w:val="none"/>
          <w:u w:val="single"/>
        </w:rPr>
      </w:pPr>
    </w:p>
    <w:p>
      <w:pPr>
        <w:tabs>
          <w:tab w:val="clear" w:pos="426"/>
        </w:tabs>
        <w:rPr>
          <w:highlight w:val="none"/>
          <w:u w:val="single"/>
        </w:rPr>
      </w:pPr>
    </w:p>
    <w:p>
      <w:pPr>
        <w:tabs>
          <w:tab w:val="clear" w:pos="426"/>
        </w:tabs>
        <w:rPr>
          <w:highlight w:val="none"/>
          <w:u w:val="single"/>
        </w:rPr>
      </w:pPr>
    </w:p>
    <w:p>
      <w:pPr>
        <w:tabs>
          <w:tab w:val="clear" w:pos="426"/>
        </w:tabs>
        <w:rPr>
          <w:highlight w:val="none"/>
          <w:u w:val="single"/>
        </w:rPr>
      </w:pPr>
    </w:p>
    <w:p>
      <w:pPr>
        <w:numPr>
          <w:ilvl w:val="0"/>
          <w:numId w:val="30"/>
        </w:numPr>
        <w:adjustRightInd/>
        <w:snapToGrid/>
        <w:spacing w:before="280" w:after="290" w:line="377" w:lineRule="auto"/>
        <w:outlineLvl w:val="2"/>
        <w:rPr>
          <w:b/>
          <w:sz w:val="24"/>
          <w:highlight w:val="none"/>
        </w:rPr>
      </w:pPr>
      <w:r>
        <w:rPr>
          <w:sz w:val="28"/>
          <w:szCs w:val="28"/>
          <w:highlight w:val="none"/>
        </w:rPr>
        <w:br w:type="page"/>
      </w:r>
      <w:r>
        <w:rPr>
          <w:rFonts w:hint="eastAsia"/>
          <w:b/>
          <w:sz w:val="24"/>
          <w:highlight w:val="none"/>
        </w:rPr>
        <w:t>法定代表人授权委托书、法定代表人证明书</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r>
        <w:rPr>
          <w:rFonts w:hint="eastAsia" w:cs="Times New Roman"/>
          <w:bCs/>
          <w:kern w:val="2"/>
          <w:sz w:val="32"/>
          <w:szCs w:val="32"/>
          <w:highlight w:val="none"/>
        </w:rPr>
        <w:t>法定代表人授权委托书</w:t>
      </w:r>
      <w:bookmarkEnd w:id="50"/>
      <w:bookmarkEnd w:id="51"/>
      <w:bookmarkEnd w:id="52"/>
      <w:bookmarkEnd w:id="53"/>
      <w:bookmarkEnd w:id="54"/>
      <w:bookmarkEnd w:id="55"/>
    </w:p>
    <w:p>
      <w:pPr>
        <w:pStyle w:val="24"/>
        <w:tabs>
          <w:tab w:val="clear" w:pos="426"/>
        </w:tabs>
        <w:ind w:firstLine="420" w:firstLineChars="200"/>
        <w:rPr>
          <w:highlight w:val="none"/>
        </w:rPr>
      </w:pPr>
    </w:p>
    <w:p>
      <w:pPr>
        <w:pStyle w:val="24"/>
        <w:tabs>
          <w:tab w:val="clear" w:pos="426"/>
        </w:tabs>
        <w:ind w:firstLine="420" w:firstLineChars="200"/>
        <w:rPr>
          <w:highlight w:val="none"/>
        </w:rPr>
      </w:pPr>
      <w:r>
        <w:rPr>
          <w:rFonts w:hint="eastAsia"/>
          <w:highlight w:val="none"/>
        </w:rPr>
        <w:t>本授权委托书声明：注册于</w:t>
      </w:r>
      <w:r>
        <w:rPr>
          <w:rFonts w:hint="eastAsia"/>
          <w:highlight w:val="none"/>
          <w:u w:val="single"/>
        </w:rPr>
        <w:t xml:space="preserve"> （投标人地址）  </w:t>
      </w:r>
      <w:r>
        <w:rPr>
          <w:rFonts w:hint="eastAsia"/>
          <w:highlight w:val="none"/>
        </w:rPr>
        <w:t>的</w:t>
      </w:r>
      <w:r>
        <w:rPr>
          <w:rFonts w:hint="eastAsia"/>
          <w:highlight w:val="none"/>
          <w:u w:val="single"/>
        </w:rPr>
        <w:t xml:space="preserve">  （投标人名称）    </w:t>
      </w:r>
      <w:r>
        <w:rPr>
          <w:rFonts w:hint="eastAsia"/>
          <w:highlight w:val="none"/>
        </w:rPr>
        <w:t>在下面签名的</w:t>
      </w:r>
      <w:r>
        <w:rPr>
          <w:rFonts w:hint="eastAsia"/>
          <w:highlight w:val="none"/>
          <w:u w:val="single"/>
        </w:rPr>
        <w:t>（法定代表人姓名、职务）</w:t>
      </w:r>
      <w:r>
        <w:rPr>
          <w:rFonts w:hint="eastAsia"/>
          <w:highlight w:val="none"/>
        </w:rPr>
        <w:t>在此授权</w:t>
      </w:r>
      <w:r>
        <w:rPr>
          <w:rFonts w:hint="eastAsia"/>
          <w:highlight w:val="none"/>
          <w:u w:val="single"/>
        </w:rPr>
        <w:t>（被授权人姓名、职务）</w:t>
      </w:r>
      <w:r>
        <w:rPr>
          <w:rFonts w:hint="eastAsia"/>
          <w:highlight w:val="none"/>
        </w:rPr>
        <w:t>作为我公司的合法代理人，就</w:t>
      </w:r>
      <w:r>
        <w:rPr>
          <w:rFonts w:hint="eastAsia"/>
          <w:highlight w:val="none"/>
          <w:u w:val="single"/>
        </w:rPr>
        <w:t>（项目名称、项目编号</w:t>
      </w:r>
      <w:r>
        <w:rPr>
          <w:rFonts w:hint="eastAsia"/>
          <w:highlight w:val="none"/>
        </w:rPr>
        <w:t>）的招投标活动，采购合同的签订、执行、完成和售后服务，作为投标人代表以我方的名义处理一切与之有关的事务。</w:t>
      </w:r>
    </w:p>
    <w:p>
      <w:pPr>
        <w:pStyle w:val="24"/>
        <w:tabs>
          <w:tab w:val="clear" w:pos="426"/>
        </w:tabs>
        <w:ind w:firstLine="420" w:firstLineChars="200"/>
        <w:rPr>
          <w:highlight w:val="none"/>
        </w:rPr>
      </w:pPr>
      <w:r>
        <w:rPr>
          <w:rFonts w:hint="eastAsia"/>
          <w:highlight w:val="none"/>
        </w:rPr>
        <w:t>被授权人（投标人授权代表）无转委托权限。</w:t>
      </w:r>
    </w:p>
    <w:p>
      <w:pPr>
        <w:tabs>
          <w:tab w:val="clear" w:pos="426"/>
        </w:tabs>
        <w:ind w:firstLine="420" w:firstLineChars="200"/>
        <w:rPr>
          <w:szCs w:val="21"/>
          <w:highlight w:val="none"/>
        </w:rPr>
      </w:pPr>
      <w:r>
        <w:rPr>
          <w:rFonts w:hint="eastAsia"/>
          <w:szCs w:val="21"/>
          <w:highlight w:val="none"/>
        </w:rPr>
        <w:t>本授权书自法定代表人签字之日起生效，特此声明。</w:t>
      </w:r>
    </w:p>
    <w:p>
      <w:pPr>
        <w:tabs>
          <w:tab w:val="clear" w:pos="426"/>
        </w:tabs>
        <w:ind w:firstLine="422" w:firstLineChars="200"/>
        <w:rPr>
          <w:b/>
          <w:szCs w:val="21"/>
          <w:highlight w:val="none"/>
        </w:rPr>
      </w:pPr>
      <w:r>
        <w:rPr>
          <w:rFonts w:hint="eastAsia"/>
          <w:b/>
          <w:szCs w:val="21"/>
          <w:highlight w:val="none"/>
        </w:rPr>
        <w:t>随附《法定代表人证明》</w:t>
      </w:r>
    </w:p>
    <w:p>
      <w:pPr>
        <w:tabs>
          <w:tab w:val="clear" w:pos="426"/>
        </w:tabs>
        <w:ind w:firstLine="422" w:firstLineChars="200"/>
        <w:rPr>
          <w:b/>
          <w:szCs w:val="21"/>
          <w:highlight w:val="none"/>
        </w:rPr>
      </w:pPr>
    </w:p>
    <w:p>
      <w:pPr>
        <w:tabs>
          <w:tab w:val="clear" w:pos="426"/>
        </w:tabs>
        <w:ind w:firstLine="422" w:firstLineChars="200"/>
        <w:rPr>
          <w:b/>
          <w:szCs w:val="21"/>
          <w:highlight w:val="none"/>
        </w:rPr>
      </w:pPr>
    </w:p>
    <w:p>
      <w:pPr>
        <w:tabs>
          <w:tab w:val="clear" w:pos="426"/>
        </w:tabs>
        <w:spacing w:line="300" w:lineRule="auto"/>
        <w:ind w:firstLine="420" w:firstLineChars="200"/>
        <w:rPr>
          <w:highlight w:val="none"/>
          <w:u w:val="single"/>
        </w:rPr>
      </w:pPr>
      <w:r>
        <w:rPr>
          <w:rFonts w:hint="eastAsia"/>
          <w:highlight w:val="none"/>
        </w:rPr>
        <w:t>投标人名称(盖公章):</w:t>
      </w:r>
    </w:p>
    <w:p>
      <w:pPr>
        <w:tabs>
          <w:tab w:val="clear" w:pos="426"/>
        </w:tabs>
        <w:spacing w:line="300" w:lineRule="auto"/>
        <w:ind w:firstLine="420" w:firstLineChars="200"/>
        <w:rPr>
          <w:highlight w:val="none"/>
        </w:rPr>
      </w:pPr>
      <w:r>
        <w:rPr>
          <w:rFonts w:hint="eastAsia"/>
          <w:highlight w:val="none"/>
        </w:rPr>
        <w:t>投标人地址:</w:t>
      </w:r>
    </w:p>
    <w:p>
      <w:pPr>
        <w:tabs>
          <w:tab w:val="clear" w:pos="426"/>
        </w:tabs>
        <w:spacing w:line="300" w:lineRule="auto"/>
        <w:ind w:firstLine="420" w:firstLineChars="200"/>
        <w:rPr>
          <w:highlight w:val="none"/>
        </w:rPr>
      </w:pPr>
      <w:r>
        <w:rPr>
          <w:rFonts w:hint="eastAsia"/>
          <w:highlight w:val="none"/>
        </w:rPr>
        <w:t>电话:</w:t>
      </w:r>
    </w:p>
    <w:p>
      <w:pPr>
        <w:tabs>
          <w:tab w:val="clear" w:pos="426"/>
        </w:tabs>
        <w:spacing w:line="300" w:lineRule="auto"/>
        <w:ind w:firstLine="420" w:firstLineChars="200"/>
        <w:rPr>
          <w:highlight w:val="none"/>
          <w:u w:val="single"/>
        </w:rPr>
      </w:pPr>
      <w:r>
        <w:rPr>
          <w:rFonts w:hint="eastAsia"/>
          <w:highlight w:val="none"/>
        </w:rPr>
        <w:t>法定代表人（签名或盖章）：</w:t>
      </w:r>
    </w:p>
    <w:p>
      <w:pPr>
        <w:tabs>
          <w:tab w:val="clear" w:pos="426"/>
        </w:tabs>
        <w:spacing w:line="300" w:lineRule="auto"/>
        <w:ind w:firstLine="420" w:firstLineChars="200"/>
        <w:rPr>
          <w:highlight w:val="none"/>
          <w:u w:val="single"/>
        </w:rPr>
      </w:pPr>
      <w:r>
        <w:rPr>
          <w:rFonts w:hint="eastAsia"/>
          <w:highlight w:val="none"/>
        </w:rPr>
        <w:t>投标人授权代表（签名或盖章）：</w:t>
      </w:r>
    </w:p>
    <w:p>
      <w:pPr>
        <w:tabs>
          <w:tab w:val="clear" w:pos="426"/>
        </w:tabs>
        <w:spacing w:line="300" w:lineRule="auto"/>
        <w:ind w:firstLine="420" w:firstLineChars="200"/>
        <w:rPr>
          <w:highlight w:val="none"/>
          <w:u w:val="single"/>
        </w:rPr>
      </w:pPr>
      <w:r>
        <w:rPr>
          <w:rFonts w:hint="eastAsia"/>
          <w:szCs w:val="21"/>
          <w:highlight w:val="none"/>
        </w:rPr>
        <w:t>日期：</w:t>
      </w:r>
    </w:p>
    <w:p>
      <w:pPr>
        <w:tabs>
          <w:tab w:val="clear" w:pos="426"/>
        </w:tabs>
        <w:ind w:firstLine="422" w:firstLineChars="200"/>
        <w:rPr>
          <w:b/>
          <w:szCs w:val="21"/>
          <w:highlight w:val="none"/>
        </w:rPr>
      </w:pPr>
    </w:p>
    <w:p>
      <w:pPr>
        <w:tabs>
          <w:tab w:val="clear" w:pos="426"/>
        </w:tabs>
        <w:ind w:firstLine="424" w:firstLineChars="202"/>
        <w:rPr>
          <w:szCs w:val="21"/>
          <w:highlight w:val="none"/>
        </w:rPr>
      </w:pPr>
    </w:p>
    <w:p>
      <w:pPr>
        <w:tabs>
          <w:tab w:val="clear" w:pos="426"/>
        </w:tabs>
        <w:ind w:firstLine="424" w:firstLineChars="202"/>
        <w:rPr>
          <w:szCs w:val="21"/>
          <w:highlight w:val="none"/>
        </w:rPr>
      </w:pPr>
      <w:r>
        <w:rPr>
          <w:rFonts w:hint="eastAsia"/>
          <w:szCs w:val="21"/>
          <w:highlight w:val="none"/>
        </w:rPr>
        <w:t>附：被授权人身份证复印件：</w:t>
      </w:r>
    </w:p>
    <w:p>
      <w:pPr>
        <w:tabs>
          <w:tab w:val="clear" w:pos="426"/>
        </w:tabs>
        <w:ind w:firstLine="424" w:firstLineChars="202"/>
        <w:rPr>
          <w:szCs w:val="21"/>
          <w:highlight w:val="none"/>
        </w:rPr>
      </w:pPr>
    </w:p>
    <w:bookmarkEnd w:id="56"/>
    <w:bookmarkEnd w:id="57"/>
    <w:bookmarkEnd w:id="58"/>
    <w:bookmarkEnd w:id="59"/>
    <w:bookmarkEnd w:id="60"/>
    <w:p>
      <w:pPr>
        <w:tabs>
          <w:tab w:val="clear" w:pos="426"/>
        </w:tabs>
        <w:spacing w:line="300" w:lineRule="auto"/>
        <w:jc w:val="center"/>
        <w:rPr>
          <w:highlight w:val="none"/>
        </w:rPr>
      </w:pPr>
      <w:r>
        <w:rPr>
          <w:highlight w:val="none"/>
        </w:rPr>
        <w:br w:type="page"/>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r>
        <w:rPr>
          <w:rFonts w:hint="eastAsia" w:cs="Times New Roman"/>
          <w:bCs/>
          <w:kern w:val="2"/>
          <w:sz w:val="32"/>
          <w:szCs w:val="32"/>
          <w:highlight w:val="none"/>
        </w:rPr>
        <w:t>法定代表人证明书</w:t>
      </w:r>
    </w:p>
    <w:p>
      <w:pPr>
        <w:tabs>
          <w:tab w:val="clear" w:pos="426"/>
        </w:tabs>
        <w:spacing w:line="480" w:lineRule="auto"/>
        <w:ind w:firstLine="424" w:firstLineChars="202"/>
        <w:rPr>
          <w:highlight w:val="none"/>
          <w:u w:val="single"/>
        </w:rPr>
      </w:pPr>
    </w:p>
    <w:p>
      <w:pPr>
        <w:tabs>
          <w:tab w:val="clear" w:pos="426"/>
        </w:tabs>
        <w:spacing w:line="480" w:lineRule="auto"/>
        <w:ind w:firstLine="424" w:firstLineChars="202"/>
        <w:rPr>
          <w:highlight w:val="none"/>
        </w:rPr>
      </w:pPr>
      <w:r>
        <w:rPr>
          <w:rFonts w:hint="eastAsia"/>
          <w:highlight w:val="none"/>
          <w:u w:val="single"/>
        </w:rPr>
        <w:t>__________</w:t>
      </w:r>
      <w:r>
        <w:rPr>
          <w:rFonts w:hint="eastAsia"/>
          <w:highlight w:val="none"/>
        </w:rPr>
        <w:t>同志，现任我单位职务，为法定代表人，特此证明。</w:t>
      </w:r>
    </w:p>
    <w:p>
      <w:pPr>
        <w:tabs>
          <w:tab w:val="clear" w:pos="426"/>
        </w:tabs>
        <w:spacing w:line="480" w:lineRule="auto"/>
        <w:ind w:firstLine="424" w:firstLineChars="202"/>
        <w:rPr>
          <w:highlight w:val="none"/>
        </w:rPr>
      </w:pPr>
      <w:r>
        <w:rPr>
          <w:rFonts w:hint="eastAsia"/>
          <w:highlight w:val="none"/>
        </w:rPr>
        <w:t>本证明书自签发之日起生效，有效期与本公司投标文件中标注的投标有效期相同。</w:t>
      </w:r>
    </w:p>
    <w:p>
      <w:pPr>
        <w:tabs>
          <w:tab w:val="clear" w:pos="426"/>
        </w:tabs>
        <w:spacing w:line="480" w:lineRule="auto"/>
        <w:ind w:firstLine="424" w:firstLineChars="202"/>
        <w:rPr>
          <w:highlight w:val="none"/>
        </w:rPr>
      </w:pPr>
      <w:r>
        <w:rPr>
          <w:rFonts w:hint="eastAsia"/>
          <w:highlight w:val="none"/>
        </w:rPr>
        <w:t>附：</w:t>
      </w:r>
    </w:p>
    <w:p>
      <w:pPr>
        <w:tabs>
          <w:tab w:val="clear" w:pos="426"/>
        </w:tabs>
        <w:spacing w:line="480" w:lineRule="auto"/>
        <w:ind w:firstLine="424" w:firstLineChars="202"/>
        <w:rPr>
          <w:highlight w:val="none"/>
        </w:rPr>
      </w:pPr>
      <w:r>
        <w:rPr>
          <w:rFonts w:hint="eastAsia"/>
          <w:highlight w:val="none"/>
        </w:rPr>
        <w:t>营业执照（注册号）：</w:t>
      </w:r>
    </w:p>
    <w:p>
      <w:pPr>
        <w:tabs>
          <w:tab w:val="clear" w:pos="426"/>
        </w:tabs>
        <w:spacing w:line="480" w:lineRule="auto"/>
        <w:ind w:firstLine="424" w:firstLineChars="202"/>
        <w:rPr>
          <w:highlight w:val="none"/>
          <w:u w:val="single"/>
        </w:rPr>
      </w:pPr>
      <w:r>
        <w:rPr>
          <w:rFonts w:hint="eastAsia"/>
          <w:highlight w:val="none"/>
        </w:rPr>
        <w:t>经济性质：</w:t>
      </w:r>
    </w:p>
    <w:p>
      <w:pPr>
        <w:tabs>
          <w:tab w:val="clear" w:pos="426"/>
        </w:tabs>
        <w:spacing w:line="480" w:lineRule="auto"/>
        <w:ind w:firstLine="424" w:firstLineChars="202"/>
        <w:rPr>
          <w:highlight w:val="none"/>
          <w:u w:val="single"/>
        </w:rPr>
      </w:pPr>
      <w:r>
        <w:rPr>
          <w:rFonts w:hint="eastAsia"/>
          <w:highlight w:val="none"/>
        </w:rPr>
        <w:t>主营（产）：</w:t>
      </w:r>
    </w:p>
    <w:p>
      <w:pPr>
        <w:tabs>
          <w:tab w:val="clear" w:pos="426"/>
        </w:tabs>
        <w:spacing w:line="480" w:lineRule="auto"/>
        <w:ind w:firstLine="424" w:firstLineChars="202"/>
        <w:rPr>
          <w:highlight w:val="none"/>
          <w:u w:val="single"/>
        </w:rPr>
      </w:pPr>
      <w:r>
        <w:rPr>
          <w:rFonts w:hint="eastAsia"/>
          <w:highlight w:val="none"/>
        </w:rPr>
        <w:t>兼营（产）：</w:t>
      </w:r>
    </w:p>
    <w:p>
      <w:pPr>
        <w:tabs>
          <w:tab w:val="clear" w:pos="426"/>
        </w:tabs>
        <w:ind w:firstLine="424" w:firstLineChars="202"/>
        <w:rPr>
          <w:highlight w:val="none"/>
        </w:rPr>
      </w:pPr>
    </w:p>
    <w:p>
      <w:pPr>
        <w:tabs>
          <w:tab w:val="clear" w:pos="426"/>
        </w:tabs>
        <w:ind w:firstLine="424" w:firstLineChars="202"/>
        <w:rPr>
          <w:szCs w:val="21"/>
          <w:highlight w:val="none"/>
        </w:rPr>
      </w:pPr>
      <w:r>
        <w:rPr>
          <w:rFonts w:hint="eastAsia"/>
          <w:szCs w:val="21"/>
          <w:highlight w:val="none"/>
        </w:rPr>
        <w:t>附：法定代表人身份证复印件：</w:t>
      </w:r>
    </w:p>
    <w:p>
      <w:pPr>
        <w:tabs>
          <w:tab w:val="clear" w:pos="426"/>
        </w:tabs>
        <w:ind w:firstLine="424" w:firstLineChars="202"/>
        <w:rPr>
          <w:szCs w:val="21"/>
          <w:highlight w:val="none"/>
        </w:rPr>
      </w:pPr>
    </w:p>
    <w:p>
      <w:pPr>
        <w:tabs>
          <w:tab w:val="clear" w:pos="426"/>
        </w:tabs>
        <w:ind w:firstLine="424" w:firstLineChars="202"/>
        <w:rPr>
          <w:szCs w:val="21"/>
          <w:highlight w:val="none"/>
        </w:rPr>
      </w:pPr>
    </w:p>
    <w:p>
      <w:pPr>
        <w:tabs>
          <w:tab w:val="clear" w:pos="426"/>
        </w:tabs>
        <w:ind w:firstLine="424" w:firstLineChars="202"/>
        <w:rPr>
          <w:szCs w:val="21"/>
          <w:highlight w:val="none"/>
        </w:rPr>
      </w:pPr>
    </w:p>
    <w:p>
      <w:pPr>
        <w:tabs>
          <w:tab w:val="clear" w:pos="426"/>
        </w:tabs>
        <w:spacing w:line="500" w:lineRule="exact"/>
        <w:ind w:left="3826" w:leftChars="1822"/>
        <w:rPr>
          <w:highlight w:val="none"/>
          <w:u w:val="single"/>
        </w:rPr>
      </w:pPr>
      <w:r>
        <w:rPr>
          <w:rFonts w:hint="eastAsia"/>
          <w:highlight w:val="none"/>
        </w:rPr>
        <w:t>投标人名称（单位盖</w:t>
      </w:r>
      <w:r>
        <w:rPr>
          <w:rFonts w:hint="eastAsia"/>
          <w:spacing w:val="4"/>
          <w:highlight w:val="none"/>
        </w:rPr>
        <w:t>公章</w:t>
      </w:r>
      <w:r>
        <w:rPr>
          <w:rFonts w:hint="eastAsia"/>
          <w:highlight w:val="none"/>
        </w:rPr>
        <w:t>）：</w:t>
      </w:r>
    </w:p>
    <w:p>
      <w:pPr>
        <w:tabs>
          <w:tab w:val="clear" w:pos="426"/>
        </w:tabs>
        <w:spacing w:line="500" w:lineRule="exact"/>
        <w:ind w:left="3826" w:leftChars="1822"/>
        <w:rPr>
          <w:highlight w:val="none"/>
          <w:u w:val="single"/>
        </w:rPr>
      </w:pPr>
      <w:r>
        <w:rPr>
          <w:rFonts w:hint="eastAsia"/>
          <w:highlight w:val="none"/>
        </w:rPr>
        <w:t>地址：</w:t>
      </w:r>
    </w:p>
    <w:p>
      <w:pPr>
        <w:tabs>
          <w:tab w:val="clear" w:pos="426"/>
        </w:tabs>
        <w:spacing w:line="500" w:lineRule="exact"/>
        <w:ind w:left="3826" w:leftChars="1822"/>
        <w:rPr>
          <w:highlight w:val="none"/>
          <w:u w:val="single"/>
        </w:rPr>
      </w:pPr>
      <w:r>
        <w:rPr>
          <w:rFonts w:hint="eastAsia"/>
          <w:highlight w:val="none"/>
        </w:rPr>
        <w:t>日期：</w:t>
      </w:r>
    </w:p>
    <w:p>
      <w:pPr>
        <w:tabs>
          <w:tab w:val="clear" w:pos="426"/>
        </w:tabs>
        <w:spacing w:line="500" w:lineRule="exact"/>
        <w:ind w:left="3826" w:leftChars="1822"/>
        <w:rPr>
          <w:b/>
          <w:bCs/>
          <w:highlight w:val="none"/>
          <w:u w:val="single"/>
        </w:rPr>
      </w:pPr>
    </w:p>
    <w:p>
      <w:pPr>
        <w:numPr>
          <w:ilvl w:val="0"/>
          <w:numId w:val="30"/>
        </w:numPr>
        <w:adjustRightInd/>
        <w:snapToGrid/>
        <w:spacing w:before="280" w:after="290" w:line="377" w:lineRule="auto"/>
        <w:outlineLvl w:val="2"/>
        <w:rPr>
          <w:b/>
          <w:sz w:val="24"/>
          <w:highlight w:val="none"/>
        </w:rPr>
      </w:pPr>
      <w:r>
        <w:rPr>
          <w:highlight w:val="none"/>
        </w:rPr>
        <w:br w:type="page"/>
      </w:r>
      <w:r>
        <w:rPr>
          <w:rFonts w:hint="eastAsia"/>
          <w:b/>
          <w:sz w:val="24"/>
          <w:highlight w:val="none"/>
        </w:rPr>
        <w:t>投标人基本情况表</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bookmarkStart w:id="61" w:name="_Toc480789478"/>
      <w:bookmarkStart w:id="62" w:name="_Toc173553182"/>
      <w:bookmarkStart w:id="63" w:name="_Toc480754207"/>
      <w:bookmarkStart w:id="64" w:name="_Toc480756074"/>
      <w:bookmarkStart w:id="65" w:name="_Toc480755928"/>
      <w:bookmarkStart w:id="66" w:name="_Toc275865616"/>
      <w:r>
        <w:rPr>
          <w:rFonts w:hint="eastAsia" w:cs="Times New Roman"/>
          <w:bCs/>
          <w:kern w:val="2"/>
          <w:sz w:val="32"/>
          <w:szCs w:val="32"/>
          <w:highlight w:val="none"/>
        </w:rPr>
        <w:t>投标人基本情况表</w:t>
      </w:r>
      <w:bookmarkEnd w:id="61"/>
      <w:bookmarkEnd w:id="62"/>
      <w:bookmarkEnd w:id="63"/>
      <w:bookmarkEnd w:id="64"/>
      <w:bookmarkEnd w:id="65"/>
      <w:bookmarkEnd w:id="66"/>
    </w:p>
    <w:p>
      <w:pPr>
        <w:widowControl w:val="0"/>
        <w:shd w:val="clear" w:color="auto" w:fill="auto"/>
        <w:tabs>
          <w:tab w:val="clear" w:pos="426"/>
        </w:tabs>
        <w:adjustRightInd/>
        <w:snapToGrid/>
        <w:rPr>
          <w:rFonts w:cs="Arial"/>
          <w:b/>
          <w:szCs w:val="21"/>
          <w:highlight w:val="none"/>
        </w:rPr>
      </w:pPr>
      <w:r>
        <w:rPr>
          <w:rFonts w:hint="eastAsia" w:cs="Arial"/>
          <w:b/>
          <w:szCs w:val="21"/>
          <w:highlight w:val="none"/>
        </w:rPr>
        <w:t>一、</w:t>
      </w:r>
      <w:r>
        <w:rPr>
          <w:rFonts w:cs="Arial"/>
          <w:b/>
          <w:szCs w:val="21"/>
          <w:highlight w:val="none"/>
        </w:rPr>
        <w:t>公司基本情况</w:t>
      </w:r>
    </w:p>
    <w:p>
      <w:pPr>
        <w:widowControl w:val="0"/>
        <w:numPr>
          <w:ilvl w:val="1"/>
          <w:numId w:val="31"/>
        </w:numPr>
        <w:shd w:val="clear" w:color="auto" w:fill="auto"/>
        <w:tabs>
          <w:tab w:val="clear" w:pos="426"/>
        </w:tabs>
        <w:adjustRightInd/>
        <w:snapToGrid/>
        <w:ind w:left="0" w:firstLine="426"/>
        <w:rPr>
          <w:rFonts w:cs="Arial"/>
          <w:szCs w:val="21"/>
          <w:highlight w:val="none"/>
        </w:rPr>
      </w:pPr>
      <w:r>
        <w:rPr>
          <w:rFonts w:cs="Arial"/>
          <w:szCs w:val="21"/>
          <w:highlight w:val="none"/>
        </w:rPr>
        <w:t>公司名称：  电话号码：</w:t>
      </w:r>
    </w:p>
    <w:p>
      <w:pPr>
        <w:widowControl w:val="0"/>
        <w:numPr>
          <w:ilvl w:val="1"/>
          <w:numId w:val="31"/>
        </w:numPr>
        <w:shd w:val="clear" w:color="auto" w:fill="auto"/>
        <w:tabs>
          <w:tab w:val="clear" w:pos="426"/>
        </w:tabs>
        <w:adjustRightInd/>
        <w:snapToGrid/>
        <w:ind w:left="0" w:firstLine="426"/>
        <w:rPr>
          <w:rFonts w:cs="Arial"/>
          <w:szCs w:val="21"/>
          <w:highlight w:val="none"/>
        </w:rPr>
      </w:pPr>
      <w:r>
        <w:rPr>
          <w:rFonts w:cs="Arial"/>
          <w:szCs w:val="21"/>
          <w:highlight w:val="none"/>
        </w:rPr>
        <w:t>地    址：  传    真：</w:t>
      </w:r>
    </w:p>
    <w:p>
      <w:pPr>
        <w:widowControl w:val="0"/>
        <w:numPr>
          <w:ilvl w:val="1"/>
          <w:numId w:val="31"/>
        </w:numPr>
        <w:shd w:val="clear" w:color="auto" w:fill="auto"/>
        <w:tabs>
          <w:tab w:val="clear" w:pos="426"/>
        </w:tabs>
        <w:adjustRightInd/>
        <w:snapToGrid/>
        <w:ind w:left="0" w:firstLine="426"/>
        <w:rPr>
          <w:rFonts w:cs="Arial"/>
          <w:szCs w:val="21"/>
          <w:highlight w:val="none"/>
          <w:u w:val="single"/>
        </w:rPr>
      </w:pPr>
      <w:r>
        <w:rPr>
          <w:rFonts w:cs="Arial"/>
          <w:szCs w:val="21"/>
          <w:highlight w:val="none"/>
        </w:rPr>
        <w:t>注册资金：  经济性质：</w:t>
      </w:r>
    </w:p>
    <w:p>
      <w:pPr>
        <w:widowControl w:val="0"/>
        <w:numPr>
          <w:ilvl w:val="1"/>
          <w:numId w:val="31"/>
        </w:numPr>
        <w:shd w:val="clear" w:color="auto" w:fill="auto"/>
        <w:tabs>
          <w:tab w:val="clear" w:pos="426"/>
        </w:tabs>
        <w:adjustRightInd/>
        <w:snapToGrid/>
        <w:ind w:left="0" w:firstLine="426"/>
        <w:rPr>
          <w:rFonts w:cs="Arial"/>
          <w:szCs w:val="21"/>
          <w:highlight w:val="none"/>
        </w:rPr>
      </w:pPr>
      <w:r>
        <w:rPr>
          <w:rFonts w:cs="Arial"/>
          <w:szCs w:val="21"/>
          <w:highlight w:val="none"/>
        </w:rPr>
        <w:t>公司开户银行名称及账号：</w:t>
      </w:r>
    </w:p>
    <w:p>
      <w:pPr>
        <w:widowControl w:val="0"/>
        <w:numPr>
          <w:ilvl w:val="1"/>
          <w:numId w:val="31"/>
        </w:numPr>
        <w:shd w:val="clear" w:color="auto" w:fill="auto"/>
        <w:tabs>
          <w:tab w:val="clear" w:pos="426"/>
        </w:tabs>
        <w:adjustRightInd/>
        <w:snapToGrid/>
        <w:ind w:left="0" w:firstLine="426"/>
        <w:rPr>
          <w:rFonts w:cs="Arial"/>
          <w:szCs w:val="21"/>
          <w:highlight w:val="none"/>
        </w:rPr>
      </w:pPr>
      <w:r>
        <w:rPr>
          <w:rFonts w:cs="Arial"/>
          <w:szCs w:val="21"/>
          <w:highlight w:val="none"/>
        </w:rPr>
        <w:t>营业注册执照号：</w:t>
      </w:r>
    </w:p>
    <w:p>
      <w:pPr>
        <w:widowControl w:val="0"/>
        <w:numPr>
          <w:ilvl w:val="1"/>
          <w:numId w:val="31"/>
        </w:numPr>
        <w:shd w:val="clear" w:color="auto" w:fill="auto"/>
        <w:tabs>
          <w:tab w:val="clear" w:pos="426"/>
        </w:tabs>
        <w:adjustRightInd/>
        <w:snapToGrid/>
        <w:ind w:left="0" w:firstLine="426"/>
        <w:rPr>
          <w:rFonts w:cs="Arial"/>
          <w:szCs w:val="21"/>
          <w:highlight w:val="none"/>
        </w:rPr>
      </w:pPr>
      <w:r>
        <w:rPr>
          <w:rFonts w:cs="Arial"/>
          <w:szCs w:val="21"/>
          <w:highlight w:val="none"/>
        </w:rPr>
        <w:t>公司简介</w:t>
      </w:r>
    </w:p>
    <w:p>
      <w:pPr>
        <w:tabs>
          <w:tab w:val="clear" w:pos="426"/>
        </w:tabs>
        <w:ind w:firstLine="426"/>
        <w:rPr>
          <w:highlight w:val="none"/>
        </w:rPr>
      </w:pPr>
      <w:r>
        <w:rPr>
          <w:rFonts w:hint="eastAsia"/>
          <w:highlight w:val="none"/>
        </w:rPr>
        <w:t>文字描述：</w:t>
      </w:r>
      <w:r>
        <w:rPr>
          <w:rFonts w:hint="eastAsia"/>
          <w:bCs/>
          <w:szCs w:val="21"/>
          <w:highlight w:val="none"/>
          <w:lang w:val="en-GB"/>
        </w:rPr>
        <w:t>发展历程、经营规模及服务理念</w:t>
      </w:r>
      <w:r>
        <w:rPr>
          <w:rFonts w:hint="eastAsia"/>
          <w:highlight w:val="none"/>
        </w:rPr>
        <w:t>、技术力量、财务状况、</w:t>
      </w:r>
      <w:r>
        <w:rPr>
          <w:highlight w:val="none"/>
        </w:rPr>
        <w:t>管理水平</w:t>
      </w:r>
      <w:r>
        <w:rPr>
          <w:rFonts w:hint="eastAsia"/>
          <w:highlight w:val="none"/>
        </w:rPr>
        <w:t>等方面进行阐述；</w:t>
      </w:r>
    </w:p>
    <w:p>
      <w:pPr>
        <w:tabs>
          <w:tab w:val="clear" w:pos="426"/>
        </w:tabs>
        <w:ind w:firstLine="426"/>
        <w:rPr>
          <w:rFonts w:cs="Arial"/>
          <w:szCs w:val="21"/>
          <w:highlight w:val="none"/>
        </w:rPr>
      </w:pPr>
      <w:r>
        <w:rPr>
          <w:rFonts w:hint="eastAsia"/>
          <w:highlight w:val="none"/>
        </w:rPr>
        <w:t>图片描述：</w:t>
      </w:r>
      <w:r>
        <w:rPr>
          <w:rFonts w:hint="eastAsia"/>
          <w:bCs/>
          <w:szCs w:val="21"/>
          <w:highlight w:val="none"/>
          <w:lang w:val="en-GB"/>
        </w:rPr>
        <w:t>经营场所、主要或关键产品介绍、生产场所及服务流程等。</w:t>
      </w:r>
    </w:p>
    <w:p>
      <w:pPr>
        <w:widowControl w:val="0"/>
        <w:shd w:val="clear" w:color="auto" w:fill="auto"/>
        <w:tabs>
          <w:tab w:val="clear" w:pos="426"/>
        </w:tabs>
        <w:adjustRightInd/>
        <w:snapToGrid/>
        <w:rPr>
          <w:rFonts w:cs="Arial"/>
          <w:b/>
          <w:szCs w:val="21"/>
          <w:highlight w:val="none"/>
        </w:rPr>
      </w:pPr>
      <w:r>
        <w:rPr>
          <w:rFonts w:hint="eastAsia" w:cs="Arial"/>
          <w:b/>
          <w:szCs w:val="21"/>
          <w:highlight w:val="none"/>
        </w:rPr>
        <w:t>二、供应商资格证明文件</w:t>
      </w:r>
    </w:p>
    <w:p>
      <w:pPr>
        <w:tabs>
          <w:tab w:val="clear" w:pos="426"/>
        </w:tabs>
        <w:spacing w:beforeLines="50"/>
        <w:ind w:firstLine="424" w:firstLineChars="201"/>
        <w:rPr>
          <w:b/>
          <w:color w:val="FF0000"/>
          <w:highlight w:val="none"/>
        </w:rPr>
      </w:pPr>
      <w:r>
        <w:rPr>
          <w:rFonts w:hint="eastAsia"/>
          <w:b/>
          <w:color w:val="FF0000"/>
          <w:highlight w:val="none"/>
        </w:rPr>
        <w:t>投标人须按本招标文件第一章采购公告第二条“投标人资质要求”提供相关的资质证明，且已接受报名的单位，不代表资格审查通过。投标文件中未提供或提供不完整、不符合要求的，投标文件将按无效标的情形处理。</w:t>
      </w:r>
    </w:p>
    <w:p>
      <w:pPr>
        <w:tabs>
          <w:tab w:val="clear" w:pos="426"/>
        </w:tabs>
        <w:spacing w:beforeLines="50"/>
        <w:ind w:firstLine="424" w:firstLineChars="201"/>
        <w:rPr>
          <w:b/>
          <w:color w:val="FF0000"/>
          <w:highlight w:val="none"/>
        </w:rPr>
      </w:pPr>
    </w:p>
    <w:p>
      <w:pPr>
        <w:tabs>
          <w:tab w:val="clear" w:pos="426"/>
        </w:tabs>
        <w:spacing w:beforeLines="50"/>
        <w:ind w:firstLine="424" w:firstLineChars="201"/>
        <w:rPr>
          <w:b/>
          <w:color w:val="FF0000"/>
          <w:highlight w:val="none"/>
        </w:rPr>
      </w:pPr>
    </w:p>
    <w:p>
      <w:pPr>
        <w:tabs>
          <w:tab w:val="clear" w:pos="426"/>
        </w:tabs>
        <w:spacing w:line="520" w:lineRule="exact"/>
        <w:ind w:left="424" w:leftChars="202"/>
        <w:rPr>
          <w:rFonts w:ascii="黑体" w:eastAsia="黑体"/>
          <w:b/>
          <w:bCs/>
          <w:sz w:val="28"/>
          <w:highlight w:val="none"/>
        </w:rPr>
      </w:pPr>
    </w:p>
    <w:p>
      <w:pPr>
        <w:numPr>
          <w:ilvl w:val="0"/>
          <w:numId w:val="30"/>
        </w:numPr>
        <w:adjustRightInd/>
        <w:snapToGrid/>
        <w:spacing w:before="280" w:after="290" w:line="377" w:lineRule="auto"/>
        <w:outlineLvl w:val="2"/>
        <w:rPr>
          <w:b/>
          <w:sz w:val="24"/>
          <w:highlight w:val="none"/>
        </w:rPr>
      </w:pPr>
      <w:r>
        <w:rPr>
          <w:highlight w:val="none"/>
        </w:rPr>
        <w:br w:type="page"/>
      </w:r>
      <w:r>
        <w:rPr>
          <w:rFonts w:hint="eastAsia"/>
          <w:b/>
          <w:sz w:val="24"/>
          <w:highlight w:val="none"/>
        </w:rPr>
        <w:t>开标一览表(报价表)</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bookmarkStart w:id="67" w:name="_Toc480789479"/>
      <w:bookmarkStart w:id="68" w:name="_Toc480755929"/>
      <w:bookmarkStart w:id="69" w:name="_Toc480756075"/>
      <w:bookmarkStart w:id="70" w:name="_Toc480754208"/>
      <w:r>
        <w:rPr>
          <w:rFonts w:hint="eastAsia" w:cs="Times New Roman"/>
          <w:bCs/>
          <w:kern w:val="2"/>
          <w:sz w:val="32"/>
          <w:szCs w:val="32"/>
          <w:highlight w:val="none"/>
        </w:rPr>
        <w:t>开标一览表(报价表)</w:t>
      </w:r>
      <w:bookmarkEnd w:id="67"/>
      <w:bookmarkEnd w:id="68"/>
      <w:bookmarkEnd w:id="69"/>
      <w:bookmarkEnd w:id="70"/>
    </w:p>
    <w:p>
      <w:pPr>
        <w:tabs>
          <w:tab w:val="clear" w:pos="426"/>
        </w:tabs>
        <w:jc w:val="left"/>
        <w:rPr>
          <w:highlight w:val="none"/>
        </w:rPr>
      </w:pPr>
    </w:p>
    <w:p>
      <w:pPr>
        <w:tabs>
          <w:tab w:val="clear" w:pos="426"/>
        </w:tabs>
        <w:jc w:val="left"/>
        <w:rPr>
          <w:sz w:val="24"/>
          <w:highlight w:val="none"/>
          <w:u w:val="single"/>
        </w:rPr>
      </w:pPr>
      <w:r>
        <w:rPr>
          <w:rFonts w:hint="eastAsia"/>
          <w:highlight w:val="none"/>
        </w:rPr>
        <w:t>项目名称：招标项目编号：</w:t>
      </w:r>
    </w:p>
    <w:tbl>
      <w:tblPr>
        <w:tblStyle w:val="44"/>
        <w:tblW w:w="95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757"/>
        <w:gridCol w:w="1177"/>
        <w:gridCol w:w="917"/>
        <w:gridCol w:w="1047"/>
        <w:gridCol w:w="1742"/>
        <w:gridCol w:w="1179"/>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834" w:type="dxa"/>
            <w:shd w:val="clear" w:color="auto" w:fill="auto"/>
            <w:vAlign w:val="center"/>
          </w:tcPr>
          <w:p>
            <w:pPr>
              <w:tabs>
                <w:tab w:val="clear" w:pos="426"/>
              </w:tabs>
              <w:spacing w:line="240" w:lineRule="auto"/>
              <w:jc w:val="center"/>
              <w:rPr>
                <w:b/>
                <w:szCs w:val="21"/>
                <w:highlight w:val="none"/>
              </w:rPr>
            </w:pPr>
            <w:r>
              <w:rPr>
                <w:rFonts w:hint="eastAsia"/>
                <w:b/>
                <w:szCs w:val="21"/>
                <w:highlight w:val="none"/>
              </w:rPr>
              <w:t>序号</w:t>
            </w:r>
          </w:p>
        </w:tc>
        <w:tc>
          <w:tcPr>
            <w:tcW w:w="1757" w:type="dxa"/>
            <w:shd w:val="clear" w:color="auto" w:fill="auto"/>
            <w:vAlign w:val="center"/>
          </w:tcPr>
          <w:p>
            <w:pPr>
              <w:tabs>
                <w:tab w:val="clear" w:pos="426"/>
              </w:tabs>
              <w:spacing w:line="240" w:lineRule="auto"/>
              <w:jc w:val="center"/>
              <w:rPr>
                <w:b/>
                <w:szCs w:val="21"/>
                <w:highlight w:val="none"/>
              </w:rPr>
            </w:pPr>
            <w:r>
              <w:rPr>
                <w:rFonts w:hint="eastAsia"/>
                <w:b/>
                <w:szCs w:val="21"/>
                <w:highlight w:val="none"/>
              </w:rPr>
              <w:t>项目名称</w:t>
            </w:r>
          </w:p>
        </w:tc>
        <w:tc>
          <w:tcPr>
            <w:tcW w:w="1177" w:type="dxa"/>
            <w:shd w:val="clear" w:color="auto" w:fill="auto"/>
            <w:vAlign w:val="center"/>
          </w:tcPr>
          <w:p>
            <w:pPr>
              <w:tabs>
                <w:tab w:val="clear" w:pos="426"/>
              </w:tabs>
              <w:spacing w:line="240" w:lineRule="auto"/>
              <w:jc w:val="center"/>
              <w:rPr>
                <w:b/>
                <w:szCs w:val="21"/>
                <w:highlight w:val="none"/>
              </w:rPr>
            </w:pPr>
            <w:r>
              <w:rPr>
                <w:rFonts w:hint="eastAsia"/>
                <w:b/>
                <w:szCs w:val="21"/>
                <w:highlight w:val="none"/>
              </w:rPr>
              <w:t>配置</w:t>
            </w:r>
          </w:p>
        </w:tc>
        <w:tc>
          <w:tcPr>
            <w:tcW w:w="917" w:type="dxa"/>
            <w:shd w:val="clear" w:color="auto" w:fill="auto"/>
            <w:vAlign w:val="center"/>
          </w:tcPr>
          <w:p>
            <w:pPr>
              <w:tabs>
                <w:tab w:val="clear" w:pos="426"/>
              </w:tabs>
              <w:spacing w:line="240" w:lineRule="auto"/>
              <w:jc w:val="center"/>
              <w:rPr>
                <w:b/>
                <w:szCs w:val="21"/>
                <w:highlight w:val="none"/>
              </w:rPr>
            </w:pPr>
            <w:r>
              <w:rPr>
                <w:rFonts w:hint="eastAsia"/>
                <w:b/>
                <w:szCs w:val="21"/>
                <w:highlight w:val="none"/>
              </w:rPr>
              <w:t>型号</w:t>
            </w:r>
          </w:p>
        </w:tc>
        <w:tc>
          <w:tcPr>
            <w:tcW w:w="1047" w:type="dxa"/>
            <w:shd w:val="clear" w:color="auto" w:fill="auto"/>
            <w:vAlign w:val="center"/>
          </w:tcPr>
          <w:p>
            <w:pPr>
              <w:tabs>
                <w:tab w:val="clear" w:pos="426"/>
              </w:tabs>
              <w:spacing w:line="240" w:lineRule="auto"/>
              <w:jc w:val="center"/>
              <w:rPr>
                <w:b/>
                <w:szCs w:val="21"/>
                <w:highlight w:val="none"/>
              </w:rPr>
            </w:pPr>
            <w:r>
              <w:rPr>
                <w:rFonts w:hint="eastAsia"/>
                <w:b/>
                <w:szCs w:val="21"/>
                <w:highlight w:val="none"/>
              </w:rPr>
              <w:t>数量</w:t>
            </w:r>
          </w:p>
        </w:tc>
        <w:tc>
          <w:tcPr>
            <w:tcW w:w="1742" w:type="dxa"/>
            <w:shd w:val="clear" w:color="auto" w:fill="auto"/>
            <w:vAlign w:val="center"/>
          </w:tcPr>
          <w:p>
            <w:pPr>
              <w:tabs>
                <w:tab w:val="clear" w:pos="426"/>
              </w:tabs>
              <w:spacing w:line="240" w:lineRule="auto"/>
              <w:jc w:val="center"/>
              <w:rPr>
                <w:b/>
                <w:szCs w:val="21"/>
                <w:highlight w:val="none"/>
              </w:rPr>
            </w:pPr>
            <w:r>
              <w:rPr>
                <w:rFonts w:hint="eastAsia"/>
                <w:b/>
                <w:szCs w:val="21"/>
                <w:highlight w:val="none"/>
              </w:rPr>
              <w:t>投标价格</w:t>
            </w:r>
          </w:p>
        </w:tc>
        <w:tc>
          <w:tcPr>
            <w:tcW w:w="1179" w:type="dxa"/>
            <w:shd w:val="clear" w:color="auto" w:fill="auto"/>
            <w:vAlign w:val="center"/>
          </w:tcPr>
          <w:p>
            <w:pPr>
              <w:tabs>
                <w:tab w:val="clear" w:pos="426"/>
              </w:tabs>
              <w:spacing w:line="240" w:lineRule="auto"/>
              <w:jc w:val="center"/>
              <w:rPr>
                <w:b/>
                <w:szCs w:val="21"/>
                <w:highlight w:val="none"/>
              </w:rPr>
            </w:pPr>
            <w:r>
              <w:rPr>
                <w:rFonts w:hint="eastAsia"/>
                <w:b/>
                <w:szCs w:val="21"/>
                <w:highlight w:val="none"/>
              </w:rPr>
              <w:t>交货期</w:t>
            </w:r>
          </w:p>
        </w:tc>
        <w:tc>
          <w:tcPr>
            <w:tcW w:w="917" w:type="dxa"/>
            <w:shd w:val="clear" w:color="auto" w:fill="auto"/>
            <w:vAlign w:val="center"/>
          </w:tcPr>
          <w:p>
            <w:pPr>
              <w:tabs>
                <w:tab w:val="clear" w:pos="426"/>
              </w:tabs>
              <w:spacing w:line="240" w:lineRule="auto"/>
              <w:jc w:val="center"/>
              <w:rPr>
                <w:b/>
                <w:szCs w:val="21"/>
                <w:highlight w:val="none"/>
              </w:rPr>
            </w:pPr>
            <w:r>
              <w:rPr>
                <w:rFonts w:hint="eastAsia"/>
                <w:b/>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834" w:type="dxa"/>
            <w:shd w:val="clear" w:color="auto" w:fill="auto"/>
            <w:vAlign w:val="center"/>
          </w:tcPr>
          <w:p>
            <w:pPr>
              <w:tabs>
                <w:tab w:val="clear" w:pos="426"/>
              </w:tabs>
              <w:jc w:val="center"/>
              <w:rPr>
                <w:bCs/>
                <w:szCs w:val="21"/>
                <w:highlight w:val="none"/>
              </w:rPr>
            </w:pPr>
            <w:r>
              <w:rPr>
                <w:rFonts w:hint="eastAsia"/>
                <w:bCs/>
                <w:szCs w:val="21"/>
                <w:highlight w:val="none"/>
              </w:rPr>
              <w:t>1</w:t>
            </w:r>
          </w:p>
        </w:tc>
        <w:tc>
          <w:tcPr>
            <w:tcW w:w="1757" w:type="dxa"/>
            <w:shd w:val="clear" w:color="auto" w:fill="auto"/>
            <w:vAlign w:val="center"/>
          </w:tcPr>
          <w:p>
            <w:pPr>
              <w:tabs>
                <w:tab w:val="clear" w:pos="426"/>
              </w:tabs>
              <w:jc w:val="center"/>
              <w:rPr>
                <w:szCs w:val="21"/>
                <w:highlight w:val="none"/>
              </w:rPr>
            </w:pPr>
          </w:p>
        </w:tc>
        <w:tc>
          <w:tcPr>
            <w:tcW w:w="1177" w:type="dxa"/>
            <w:shd w:val="clear" w:color="auto" w:fill="auto"/>
            <w:vAlign w:val="center"/>
          </w:tcPr>
          <w:p>
            <w:pPr>
              <w:tabs>
                <w:tab w:val="clear" w:pos="426"/>
              </w:tabs>
              <w:jc w:val="center"/>
              <w:rPr>
                <w:bCs/>
                <w:szCs w:val="21"/>
                <w:highlight w:val="none"/>
                <w:u w:val="single"/>
              </w:rPr>
            </w:pPr>
          </w:p>
        </w:tc>
        <w:tc>
          <w:tcPr>
            <w:tcW w:w="917" w:type="dxa"/>
            <w:shd w:val="clear" w:color="auto" w:fill="auto"/>
            <w:vAlign w:val="center"/>
          </w:tcPr>
          <w:p>
            <w:pPr>
              <w:tabs>
                <w:tab w:val="clear" w:pos="426"/>
              </w:tabs>
              <w:jc w:val="center"/>
              <w:rPr>
                <w:b/>
                <w:szCs w:val="21"/>
                <w:highlight w:val="none"/>
              </w:rPr>
            </w:pPr>
          </w:p>
        </w:tc>
        <w:tc>
          <w:tcPr>
            <w:tcW w:w="1047" w:type="dxa"/>
            <w:shd w:val="clear" w:color="auto" w:fill="auto"/>
            <w:vAlign w:val="center"/>
          </w:tcPr>
          <w:p>
            <w:pPr>
              <w:tabs>
                <w:tab w:val="clear" w:pos="426"/>
              </w:tabs>
              <w:jc w:val="center"/>
              <w:rPr>
                <w:b/>
                <w:szCs w:val="21"/>
                <w:highlight w:val="none"/>
              </w:rPr>
            </w:pPr>
          </w:p>
        </w:tc>
        <w:tc>
          <w:tcPr>
            <w:tcW w:w="1742" w:type="dxa"/>
            <w:shd w:val="clear" w:color="auto" w:fill="auto"/>
            <w:vAlign w:val="center"/>
          </w:tcPr>
          <w:p>
            <w:pPr>
              <w:tabs>
                <w:tab w:val="clear" w:pos="426"/>
              </w:tabs>
              <w:jc w:val="center"/>
              <w:rPr>
                <w:b/>
                <w:szCs w:val="21"/>
                <w:highlight w:val="none"/>
              </w:rPr>
            </w:pPr>
          </w:p>
        </w:tc>
        <w:tc>
          <w:tcPr>
            <w:tcW w:w="1179" w:type="dxa"/>
            <w:shd w:val="clear" w:color="auto" w:fill="auto"/>
            <w:vAlign w:val="center"/>
          </w:tcPr>
          <w:p>
            <w:pPr>
              <w:tabs>
                <w:tab w:val="clear" w:pos="426"/>
              </w:tabs>
              <w:jc w:val="center"/>
              <w:rPr>
                <w:b/>
                <w:szCs w:val="21"/>
                <w:highlight w:val="none"/>
              </w:rPr>
            </w:pPr>
          </w:p>
        </w:tc>
        <w:tc>
          <w:tcPr>
            <w:tcW w:w="917" w:type="dxa"/>
            <w:shd w:val="clear" w:color="auto" w:fill="auto"/>
            <w:vAlign w:val="center"/>
          </w:tcPr>
          <w:p>
            <w:pPr>
              <w:tabs>
                <w:tab w:val="clear" w:pos="426"/>
              </w:tabs>
              <w:jc w:val="center"/>
              <w:rPr>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834" w:type="dxa"/>
            <w:shd w:val="clear" w:color="auto" w:fill="auto"/>
            <w:vAlign w:val="center"/>
          </w:tcPr>
          <w:p>
            <w:pPr>
              <w:tabs>
                <w:tab w:val="clear" w:pos="426"/>
              </w:tabs>
              <w:jc w:val="center"/>
              <w:rPr>
                <w:bCs/>
                <w:szCs w:val="21"/>
                <w:highlight w:val="none"/>
              </w:rPr>
            </w:pPr>
            <w:r>
              <w:rPr>
                <w:rFonts w:hint="eastAsia"/>
                <w:bCs/>
                <w:szCs w:val="21"/>
                <w:highlight w:val="none"/>
              </w:rPr>
              <w:t>2</w:t>
            </w:r>
          </w:p>
        </w:tc>
        <w:tc>
          <w:tcPr>
            <w:tcW w:w="1757" w:type="dxa"/>
            <w:shd w:val="clear" w:color="auto" w:fill="auto"/>
            <w:vAlign w:val="center"/>
          </w:tcPr>
          <w:p>
            <w:pPr>
              <w:tabs>
                <w:tab w:val="clear" w:pos="426"/>
              </w:tabs>
              <w:jc w:val="center"/>
              <w:rPr>
                <w:szCs w:val="21"/>
                <w:highlight w:val="none"/>
              </w:rPr>
            </w:pPr>
          </w:p>
        </w:tc>
        <w:tc>
          <w:tcPr>
            <w:tcW w:w="1177" w:type="dxa"/>
            <w:shd w:val="clear" w:color="auto" w:fill="auto"/>
            <w:vAlign w:val="center"/>
          </w:tcPr>
          <w:p>
            <w:pPr>
              <w:tabs>
                <w:tab w:val="clear" w:pos="426"/>
              </w:tabs>
              <w:jc w:val="center"/>
              <w:rPr>
                <w:bCs/>
                <w:szCs w:val="21"/>
                <w:highlight w:val="none"/>
                <w:u w:val="single"/>
              </w:rPr>
            </w:pPr>
          </w:p>
        </w:tc>
        <w:tc>
          <w:tcPr>
            <w:tcW w:w="917" w:type="dxa"/>
            <w:shd w:val="clear" w:color="auto" w:fill="auto"/>
            <w:vAlign w:val="center"/>
          </w:tcPr>
          <w:p>
            <w:pPr>
              <w:tabs>
                <w:tab w:val="clear" w:pos="426"/>
              </w:tabs>
              <w:jc w:val="center"/>
              <w:rPr>
                <w:b/>
                <w:szCs w:val="21"/>
                <w:highlight w:val="none"/>
              </w:rPr>
            </w:pPr>
          </w:p>
        </w:tc>
        <w:tc>
          <w:tcPr>
            <w:tcW w:w="1047" w:type="dxa"/>
            <w:shd w:val="clear" w:color="auto" w:fill="auto"/>
            <w:vAlign w:val="center"/>
          </w:tcPr>
          <w:p>
            <w:pPr>
              <w:tabs>
                <w:tab w:val="clear" w:pos="426"/>
              </w:tabs>
              <w:jc w:val="center"/>
              <w:rPr>
                <w:b/>
                <w:szCs w:val="21"/>
                <w:highlight w:val="none"/>
              </w:rPr>
            </w:pPr>
          </w:p>
        </w:tc>
        <w:tc>
          <w:tcPr>
            <w:tcW w:w="1742" w:type="dxa"/>
            <w:shd w:val="clear" w:color="auto" w:fill="auto"/>
            <w:vAlign w:val="center"/>
          </w:tcPr>
          <w:p>
            <w:pPr>
              <w:tabs>
                <w:tab w:val="clear" w:pos="426"/>
              </w:tabs>
              <w:jc w:val="center"/>
              <w:rPr>
                <w:b/>
                <w:szCs w:val="21"/>
                <w:highlight w:val="none"/>
              </w:rPr>
            </w:pPr>
          </w:p>
        </w:tc>
        <w:tc>
          <w:tcPr>
            <w:tcW w:w="1179" w:type="dxa"/>
            <w:shd w:val="clear" w:color="auto" w:fill="auto"/>
            <w:vAlign w:val="center"/>
          </w:tcPr>
          <w:p>
            <w:pPr>
              <w:tabs>
                <w:tab w:val="clear" w:pos="426"/>
              </w:tabs>
              <w:jc w:val="center"/>
              <w:rPr>
                <w:b/>
                <w:szCs w:val="21"/>
                <w:highlight w:val="none"/>
              </w:rPr>
            </w:pPr>
          </w:p>
        </w:tc>
        <w:tc>
          <w:tcPr>
            <w:tcW w:w="917" w:type="dxa"/>
            <w:shd w:val="clear" w:color="auto" w:fill="auto"/>
            <w:vAlign w:val="center"/>
          </w:tcPr>
          <w:p>
            <w:pPr>
              <w:tabs>
                <w:tab w:val="clear" w:pos="426"/>
              </w:tabs>
              <w:jc w:val="center"/>
              <w:rPr>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834" w:type="dxa"/>
            <w:shd w:val="clear" w:color="auto" w:fill="auto"/>
            <w:vAlign w:val="center"/>
          </w:tcPr>
          <w:p>
            <w:pPr>
              <w:tabs>
                <w:tab w:val="clear" w:pos="426"/>
              </w:tabs>
              <w:jc w:val="center"/>
              <w:rPr>
                <w:bCs/>
                <w:szCs w:val="21"/>
                <w:highlight w:val="none"/>
              </w:rPr>
            </w:pPr>
            <w:r>
              <w:rPr>
                <w:rFonts w:hint="eastAsia"/>
                <w:bCs/>
                <w:szCs w:val="21"/>
                <w:highlight w:val="none"/>
              </w:rPr>
              <w:t>3</w:t>
            </w:r>
          </w:p>
        </w:tc>
        <w:tc>
          <w:tcPr>
            <w:tcW w:w="1757" w:type="dxa"/>
            <w:shd w:val="clear" w:color="auto" w:fill="auto"/>
            <w:vAlign w:val="center"/>
          </w:tcPr>
          <w:p>
            <w:pPr>
              <w:tabs>
                <w:tab w:val="clear" w:pos="426"/>
              </w:tabs>
              <w:jc w:val="center"/>
              <w:rPr>
                <w:szCs w:val="21"/>
                <w:highlight w:val="none"/>
              </w:rPr>
            </w:pPr>
          </w:p>
        </w:tc>
        <w:tc>
          <w:tcPr>
            <w:tcW w:w="1177" w:type="dxa"/>
            <w:shd w:val="clear" w:color="auto" w:fill="auto"/>
            <w:vAlign w:val="center"/>
          </w:tcPr>
          <w:p>
            <w:pPr>
              <w:tabs>
                <w:tab w:val="clear" w:pos="426"/>
              </w:tabs>
              <w:jc w:val="center"/>
              <w:rPr>
                <w:bCs/>
                <w:szCs w:val="21"/>
                <w:highlight w:val="none"/>
                <w:u w:val="single"/>
              </w:rPr>
            </w:pPr>
          </w:p>
        </w:tc>
        <w:tc>
          <w:tcPr>
            <w:tcW w:w="917" w:type="dxa"/>
            <w:shd w:val="clear" w:color="auto" w:fill="auto"/>
            <w:vAlign w:val="center"/>
          </w:tcPr>
          <w:p>
            <w:pPr>
              <w:tabs>
                <w:tab w:val="clear" w:pos="426"/>
              </w:tabs>
              <w:jc w:val="center"/>
              <w:rPr>
                <w:b/>
                <w:szCs w:val="21"/>
                <w:highlight w:val="none"/>
              </w:rPr>
            </w:pPr>
          </w:p>
        </w:tc>
        <w:tc>
          <w:tcPr>
            <w:tcW w:w="1047" w:type="dxa"/>
            <w:shd w:val="clear" w:color="auto" w:fill="auto"/>
            <w:vAlign w:val="center"/>
          </w:tcPr>
          <w:p>
            <w:pPr>
              <w:tabs>
                <w:tab w:val="clear" w:pos="426"/>
              </w:tabs>
              <w:jc w:val="center"/>
              <w:rPr>
                <w:b/>
                <w:szCs w:val="21"/>
                <w:highlight w:val="none"/>
              </w:rPr>
            </w:pPr>
          </w:p>
        </w:tc>
        <w:tc>
          <w:tcPr>
            <w:tcW w:w="1742" w:type="dxa"/>
            <w:shd w:val="clear" w:color="auto" w:fill="auto"/>
            <w:vAlign w:val="center"/>
          </w:tcPr>
          <w:p>
            <w:pPr>
              <w:tabs>
                <w:tab w:val="clear" w:pos="426"/>
              </w:tabs>
              <w:jc w:val="center"/>
              <w:rPr>
                <w:b/>
                <w:szCs w:val="21"/>
                <w:highlight w:val="none"/>
              </w:rPr>
            </w:pPr>
          </w:p>
        </w:tc>
        <w:tc>
          <w:tcPr>
            <w:tcW w:w="1179" w:type="dxa"/>
            <w:shd w:val="clear" w:color="auto" w:fill="auto"/>
            <w:vAlign w:val="center"/>
          </w:tcPr>
          <w:p>
            <w:pPr>
              <w:tabs>
                <w:tab w:val="clear" w:pos="426"/>
              </w:tabs>
              <w:jc w:val="center"/>
              <w:rPr>
                <w:b/>
                <w:szCs w:val="21"/>
                <w:highlight w:val="none"/>
              </w:rPr>
            </w:pPr>
          </w:p>
        </w:tc>
        <w:tc>
          <w:tcPr>
            <w:tcW w:w="917" w:type="dxa"/>
            <w:shd w:val="clear" w:color="auto" w:fill="auto"/>
            <w:vAlign w:val="center"/>
          </w:tcPr>
          <w:p>
            <w:pPr>
              <w:tabs>
                <w:tab w:val="clear" w:pos="426"/>
              </w:tabs>
              <w:jc w:val="center"/>
              <w:rPr>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9570" w:type="dxa"/>
            <w:gridSpan w:val="8"/>
            <w:shd w:val="clear" w:color="auto" w:fill="auto"/>
            <w:vAlign w:val="center"/>
          </w:tcPr>
          <w:p>
            <w:pPr>
              <w:tabs>
                <w:tab w:val="clear" w:pos="426"/>
              </w:tabs>
              <w:jc w:val="center"/>
              <w:rPr>
                <w:b/>
                <w:szCs w:val="21"/>
                <w:highlight w:val="none"/>
              </w:rPr>
            </w:pPr>
            <w:r>
              <w:rPr>
                <w:rFonts w:hint="eastAsia"/>
                <w:b/>
                <w:bCs/>
                <w:sz w:val="24"/>
                <w:highlight w:val="none"/>
              </w:rPr>
              <w:t xml:space="preserve">合计（即：投标总价；币种：人民币；单位：元）：     大写：  </w:t>
            </w:r>
          </w:p>
        </w:tc>
      </w:tr>
    </w:tbl>
    <w:p>
      <w:pPr>
        <w:tabs>
          <w:tab w:val="clear" w:pos="426"/>
        </w:tabs>
        <w:spacing w:line="500" w:lineRule="exact"/>
        <w:rPr>
          <w:spacing w:val="4"/>
          <w:highlight w:val="none"/>
        </w:rPr>
      </w:pPr>
    </w:p>
    <w:p>
      <w:pPr>
        <w:tabs>
          <w:tab w:val="clear" w:pos="426"/>
        </w:tabs>
        <w:spacing w:line="500" w:lineRule="exact"/>
        <w:rPr>
          <w:highlight w:val="none"/>
          <w:u w:val="single"/>
        </w:rPr>
      </w:pPr>
      <w:r>
        <w:rPr>
          <w:rFonts w:hint="eastAsia"/>
          <w:spacing w:val="4"/>
          <w:highlight w:val="none"/>
        </w:rPr>
        <w:t>投标人名称（</w:t>
      </w:r>
      <w:r>
        <w:rPr>
          <w:rFonts w:hint="eastAsia"/>
          <w:highlight w:val="none"/>
        </w:rPr>
        <w:t>单位盖</w:t>
      </w:r>
      <w:r>
        <w:rPr>
          <w:rFonts w:hint="eastAsia"/>
          <w:spacing w:val="4"/>
          <w:highlight w:val="none"/>
        </w:rPr>
        <w:t>公章）：</w:t>
      </w:r>
    </w:p>
    <w:p>
      <w:pPr>
        <w:tabs>
          <w:tab w:val="clear" w:pos="426"/>
        </w:tabs>
        <w:spacing w:line="520" w:lineRule="exact"/>
        <w:rPr>
          <w:highlight w:val="none"/>
        </w:rPr>
      </w:pPr>
    </w:p>
    <w:p>
      <w:pPr>
        <w:tabs>
          <w:tab w:val="clear" w:pos="426"/>
        </w:tabs>
        <w:spacing w:line="520" w:lineRule="exact"/>
        <w:rPr>
          <w:spacing w:val="4"/>
          <w:highlight w:val="none"/>
        </w:rPr>
      </w:pPr>
      <w:r>
        <w:rPr>
          <w:rFonts w:hint="eastAsia"/>
          <w:highlight w:val="none"/>
        </w:rPr>
        <w:t>法定代表人或投标人授权代表（签名或盖章）：</w:t>
      </w:r>
      <w:r>
        <w:rPr>
          <w:rFonts w:hint="eastAsia"/>
          <w:spacing w:val="4"/>
          <w:highlight w:val="none"/>
        </w:rPr>
        <w:t>职务：日期</w:t>
      </w:r>
    </w:p>
    <w:p>
      <w:pPr>
        <w:tabs>
          <w:tab w:val="clear" w:pos="426"/>
        </w:tabs>
        <w:spacing w:line="400" w:lineRule="exact"/>
        <w:rPr>
          <w:b/>
          <w:bCs/>
          <w:szCs w:val="21"/>
          <w:highlight w:val="none"/>
        </w:rPr>
      </w:pPr>
    </w:p>
    <w:p>
      <w:pPr>
        <w:tabs>
          <w:tab w:val="clear" w:pos="426"/>
        </w:tabs>
        <w:spacing w:line="400" w:lineRule="exact"/>
        <w:rPr>
          <w:b/>
          <w:bCs/>
          <w:szCs w:val="21"/>
          <w:highlight w:val="none"/>
        </w:rPr>
      </w:pPr>
      <w:r>
        <w:rPr>
          <w:rFonts w:hint="eastAsia"/>
          <w:b/>
          <w:bCs/>
          <w:szCs w:val="21"/>
          <w:highlight w:val="none"/>
        </w:rPr>
        <w:t>备注：</w:t>
      </w:r>
    </w:p>
    <w:p>
      <w:pPr>
        <w:widowControl w:val="0"/>
        <w:numPr>
          <w:ilvl w:val="1"/>
          <w:numId w:val="32"/>
        </w:numPr>
        <w:shd w:val="clear" w:color="auto" w:fill="auto"/>
        <w:tabs>
          <w:tab w:val="clear" w:pos="426"/>
        </w:tabs>
        <w:adjustRightInd/>
        <w:ind w:left="0" w:firstLine="424" w:firstLineChars="201"/>
        <w:rPr>
          <w:b/>
          <w:bCs/>
          <w:szCs w:val="21"/>
          <w:highlight w:val="none"/>
        </w:rPr>
      </w:pPr>
      <w:r>
        <w:rPr>
          <w:b/>
          <w:highlight w:val="none"/>
        </w:rPr>
        <w:t>此表</w:t>
      </w:r>
      <w:r>
        <w:rPr>
          <w:rFonts w:hint="eastAsia"/>
          <w:b/>
          <w:highlight w:val="none"/>
        </w:rPr>
        <w:t>为投标文件的组成部分，</w:t>
      </w:r>
      <w:r>
        <w:rPr>
          <w:b/>
          <w:highlight w:val="none"/>
        </w:rPr>
        <w:t>须附在正、副本的投标文件中，并另封装一份于开标信封中</w:t>
      </w:r>
      <w:r>
        <w:rPr>
          <w:rFonts w:hint="eastAsia"/>
          <w:b/>
          <w:highlight w:val="none"/>
        </w:rPr>
        <w:t>（信封中须同时提供法定代表人证明书、法定代表人授权委托书、被授权人身份证复印件）。</w:t>
      </w:r>
    </w:p>
    <w:p>
      <w:pPr>
        <w:widowControl w:val="0"/>
        <w:numPr>
          <w:ilvl w:val="1"/>
          <w:numId w:val="32"/>
        </w:numPr>
        <w:shd w:val="clear" w:color="auto" w:fill="auto"/>
        <w:tabs>
          <w:tab w:val="clear" w:pos="426"/>
        </w:tabs>
        <w:adjustRightInd/>
        <w:ind w:left="0" w:firstLine="424" w:firstLineChars="201"/>
        <w:rPr>
          <w:b/>
          <w:bCs/>
          <w:szCs w:val="21"/>
          <w:highlight w:val="none"/>
        </w:rPr>
      </w:pPr>
      <w:r>
        <w:rPr>
          <w:rFonts w:hint="eastAsia"/>
          <w:b/>
          <w:highlight w:val="none"/>
        </w:rPr>
        <w:t>此表内投标报价为最终价，开标信封及投标文件内不得含有任何对本报价进行修改的其他说明或资料，否则将导致投标无效</w:t>
      </w:r>
      <w:r>
        <w:rPr>
          <w:rFonts w:hint="eastAsia"/>
          <w:b/>
          <w:bCs/>
          <w:szCs w:val="21"/>
          <w:highlight w:val="none"/>
        </w:rPr>
        <w:t>。</w:t>
      </w:r>
    </w:p>
    <w:p>
      <w:pPr>
        <w:widowControl w:val="0"/>
        <w:shd w:val="clear" w:color="auto" w:fill="auto"/>
        <w:tabs>
          <w:tab w:val="clear" w:pos="426"/>
        </w:tabs>
        <w:adjustRightInd/>
        <w:rPr>
          <w:b/>
          <w:bCs/>
          <w:szCs w:val="21"/>
          <w:highlight w:val="none"/>
        </w:rPr>
      </w:pPr>
    </w:p>
    <w:p>
      <w:pPr>
        <w:widowControl w:val="0"/>
        <w:shd w:val="clear" w:color="auto" w:fill="auto"/>
        <w:tabs>
          <w:tab w:val="clear" w:pos="426"/>
        </w:tabs>
        <w:adjustRightInd/>
        <w:snapToGrid/>
        <w:spacing w:line="300" w:lineRule="auto"/>
        <w:jc w:val="center"/>
        <w:rPr>
          <w:rFonts w:cs="Times New Roman"/>
          <w:b/>
          <w:bCs/>
          <w:kern w:val="2"/>
          <w:sz w:val="32"/>
          <w:szCs w:val="32"/>
          <w:highlight w:val="none"/>
        </w:rPr>
      </w:pPr>
    </w:p>
    <w:p>
      <w:pPr>
        <w:adjustRightInd/>
        <w:snapToGrid/>
        <w:spacing w:before="280" w:after="290" w:line="377" w:lineRule="auto"/>
        <w:rPr>
          <w:b/>
          <w:sz w:val="24"/>
          <w:highlight w:val="none"/>
        </w:rPr>
      </w:pPr>
    </w:p>
    <w:p>
      <w:pPr>
        <w:adjustRightInd/>
        <w:snapToGrid/>
        <w:spacing w:before="280" w:after="290" w:line="377" w:lineRule="auto"/>
        <w:rPr>
          <w:b/>
          <w:sz w:val="24"/>
          <w:highlight w:val="none"/>
        </w:rPr>
      </w:pPr>
    </w:p>
    <w:p>
      <w:pPr>
        <w:adjustRightInd/>
        <w:snapToGrid/>
        <w:spacing w:before="280" w:after="290" w:line="377" w:lineRule="auto"/>
        <w:rPr>
          <w:b/>
          <w:sz w:val="24"/>
          <w:highlight w:val="none"/>
        </w:rPr>
      </w:pPr>
    </w:p>
    <w:p>
      <w:pPr>
        <w:numPr>
          <w:ilvl w:val="0"/>
          <w:numId w:val="30"/>
        </w:numPr>
        <w:adjustRightInd/>
        <w:snapToGrid/>
        <w:spacing w:before="280" w:after="290" w:line="377" w:lineRule="auto"/>
        <w:outlineLvl w:val="2"/>
        <w:rPr>
          <w:b/>
          <w:sz w:val="24"/>
          <w:highlight w:val="none"/>
        </w:rPr>
      </w:pPr>
      <w:r>
        <w:rPr>
          <w:rFonts w:hint="eastAsia"/>
          <w:b/>
          <w:sz w:val="24"/>
          <w:highlight w:val="none"/>
        </w:rPr>
        <w:t>投标分项报价表</w:t>
      </w:r>
    </w:p>
    <w:p>
      <w:pPr>
        <w:widowControl w:val="0"/>
        <w:shd w:val="clear" w:color="auto" w:fill="auto"/>
        <w:tabs>
          <w:tab w:val="clear" w:pos="426"/>
        </w:tabs>
        <w:adjustRightInd/>
        <w:snapToGrid/>
        <w:spacing w:line="300" w:lineRule="auto"/>
        <w:jc w:val="center"/>
        <w:rPr>
          <w:rFonts w:cs="Times New Roman"/>
          <w:b/>
          <w:bCs/>
          <w:kern w:val="2"/>
          <w:sz w:val="28"/>
          <w:szCs w:val="28"/>
          <w:highlight w:val="none"/>
        </w:rPr>
      </w:pPr>
      <w:bookmarkStart w:id="71" w:name="_Toc480789480"/>
      <w:bookmarkStart w:id="72" w:name="_Toc480755930"/>
      <w:bookmarkStart w:id="73" w:name="_Toc275865611"/>
      <w:bookmarkStart w:id="74" w:name="_Toc192662843"/>
      <w:bookmarkStart w:id="75" w:name="_Toc480754209"/>
      <w:bookmarkStart w:id="76" w:name="_Toc480756076"/>
      <w:r>
        <w:rPr>
          <w:rFonts w:hint="eastAsia" w:cs="Times New Roman"/>
          <w:b/>
          <w:bCs/>
          <w:kern w:val="2"/>
          <w:sz w:val="28"/>
          <w:szCs w:val="28"/>
          <w:highlight w:val="none"/>
        </w:rPr>
        <w:t>（一）</w:t>
      </w:r>
      <w:bookmarkEnd w:id="71"/>
      <w:bookmarkEnd w:id="72"/>
      <w:bookmarkEnd w:id="73"/>
      <w:bookmarkEnd w:id="74"/>
      <w:bookmarkEnd w:id="75"/>
      <w:bookmarkEnd w:id="76"/>
      <w:r>
        <w:rPr>
          <w:rFonts w:hint="eastAsia" w:cs="Times New Roman"/>
          <w:b/>
          <w:bCs/>
          <w:kern w:val="2"/>
          <w:sz w:val="28"/>
          <w:szCs w:val="28"/>
          <w:highlight w:val="none"/>
        </w:rPr>
        <w:t>货物详细清单报价表</w:t>
      </w:r>
    </w:p>
    <w:p>
      <w:pPr>
        <w:tabs>
          <w:tab w:val="clear" w:pos="426"/>
        </w:tabs>
        <w:wordWrap w:val="0"/>
        <w:rPr>
          <w:highlight w:val="none"/>
        </w:rPr>
      </w:pPr>
      <w:r>
        <w:rPr>
          <w:rFonts w:hint="eastAsia"/>
          <w:highlight w:val="none"/>
        </w:rPr>
        <w:t>项目名称：招标项目编号：</w:t>
      </w:r>
    </w:p>
    <w:tbl>
      <w:tblPr>
        <w:tblStyle w:val="44"/>
        <w:tblW w:w="100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1965"/>
        <w:gridCol w:w="1576"/>
        <w:gridCol w:w="851"/>
        <w:gridCol w:w="709"/>
        <w:gridCol w:w="737"/>
        <w:gridCol w:w="659"/>
        <w:gridCol w:w="900"/>
        <w:gridCol w:w="900"/>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spacing w:line="240" w:lineRule="auto"/>
              <w:jc w:val="center"/>
              <w:rPr>
                <w:szCs w:val="21"/>
                <w:highlight w:val="none"/>
              </w:rPr>
            </w:pPr>
            <w:r>
              <w:rPr>
                <w:rFonts w:hint="eastAsia"/>
                <w:szCs w:val="21"/>
                <w:highlight w:val="none"/>
              </w:rPr>
              <w:t>序号</w:t>
            </w:r>
          </w:p>
        </w:tc>
        <w:tc>
          <w:tcPr>
            <w:tcW w:w="1965" w:type="dxa"/>
            <w:vAlign w:val="center"/>
          </w:tcPr>
          <w:p>
            <w:pPr>
              <w:spacing w:line="240" w:lineRule="auto"/>
              <w:jc w:val="center"/>
              <w:rPr>
                <w:szCs w:val="21"/>
                <w:highlight w:val="none"/>
              </w:rPr>
            </w:pPr>
            <w:r>
              <w:rPr>
                <w:rFonts w:hint="eastAsia"/>
                <w:szCs w:val="21"/>
                <w:highlight w:val="none"/>
              </w:rPr>
              <w:t>货物名称</w:t>
            </w:r>
          </w:p>
        </w:tc>
        <w:tc>
          <w:tcPr>
            <w:tcW w:w="1576" w:type="dxa"/>
            <w:vAlign w:val="center"/>
          </w:tcPr>
          <w:p>
            <w:pPr>
              <w:spacing w:line="240" w:lineRule="auto"/>
              <w:jc w:val="center"/>
              <w:rPr>
                <w:szCs w:val="21"/>
                <w:highlight w:val="none"/>
              </w:rPr>
            </w:pPr>
            <w:r>
              <w:rPr>
                <w:rFonts w:hint="eastAsia"/>
                <w:szCs w:val="21"/>
                <w:highlight w:val="none"/>
              </w:rPr>
              <w:t>规格/型号</w:t>
            </w:r>
          </w:p>
        </w:tc>
        <w:tc>
          <w:tcPr>
            <w:tcW w:w="851" w:type="dxa"/>
            <w:vAlign w:val="center"/>
          </w:tcPr>
          <w:p>
            <w:pPr>
              <w:spacing w:line="240" w:lineRule="auto"/>
              <w:jc w:val="center"/>
              <w:rPr>
                <w:b/>
                <w:szCs w:val="21"/>
                <w:highlight w:val="none"/>
              </w:rPr>
            </w:pPr>
            <w:r>
              <w:rPr>
                <w:rFonts w:hint="eastAsia"/>
                <w:b/>
                <w:szCs w:val="21"/>
                <w:highlight w:val="none"/>
              </w:rPr>
              <w:t>原产地</w:t>
            </w:r>
          </w:p>
        </w:tc>
        <w:tc>
          <w:tcPr>
            <w:tcW w:w="709" w:type="dxa"/>
            <w:vAlign w:val="center"/>
          </w:tcPr>
          <w:p>
            <w:pPr>
              <w:spacing w:line="240" w:lineRule="auto"/>
              <w:jc w:val="center"/>
              <w:rPr>
                <w:szCs w:val="21"/>
                <w:highlight w:val="none"/>
              </w:rPr>
            </w:pPr>
            <w:r>
              <w:rPr>
                <w:rFonts w:hint="eastAsia"/>
                <w:szCs w:val="21"/>
                <w:highlight w:val="none"/>
              </w:rPr>
              <w:t>制造商名称</w:t>
            </w:r>
          </w:p>
        </w:tc>
        <w:tc>
          <w:tcPr>
            <w:tcW w:w="737" w:type="dxa"/>
            <w:vAlign w:val="center"/>
          </w:tcPr>
          <w:p>
            <w:pPr>
              <w:spacing w:line="240" w:lineRule="auto"/>
              <w:jc w:val="center"/>
              <w:rPr>
                <w:szCs w:val="21"/>
                <w:highlight w:val="none"/>
              </w:rPr>
            </w:pPr>
            <w:r>
              <w:rPr>
                <w:rFonts w:hint="eastAsia"/>
                <w:szCs w:val="21"/>
                <w:highlight w:val="none"/>
              </w:rPr>
              <w:t>数量</w:t>
            </w:r>
          </w:p>
        </w:tc>
        <w:tc>
          <w:tcPr>
            <w:tcW w:w="659" w:type="dxa"/>
            <w:vAlign w:val="center"/>
          </w:tcPr>
          <w:p>
            <w:pPr>
              <w:spacing w:line="240" w:lineRule="auto"/>
              <w:jc w:val="center"/>
              <w:rPr>
                <w:szCs w:val="21"/>
                <w:highlight w:val="none"/>
              </w:rPr>
            </w:pPr>
            <w:r>
              <w:rPr>
                <w:rFonts w:hint="eastAsia"/>
                <w:szCs w:val="21"/>
                <w:highlight w:val="none"/>
              </w:rPr>
              <w:t>单位</w:t>
            </w:r>
          </w:p>
        </w:tc>
        <w:tc>
          <w:tcPr>
            <w:tcW w:w="900" w:type="dxa"/>
            <w:vAlign w:val="center"/>
          </w:tcPr>
          <w:p>
            <w:pPr>
              <w:spacing w:line="240" w:lineRule="auto"/>
              <w:jc w:val="center"/>
              <w:rPr>
                <w:szCs w:val="21"/>
                <w:highlight w:val="none"/>
              </w:rPr>
            </w:pPr>
            <w:r>
              <w:rPr>
                <w:rFonts w:hint="eastAsia"/>
                <w:szCs w:val="21"/>
                <w:highlight w:val="none"/>
              </w:rPr>
              <w:t>单价(元)</w:t>
            </w:r>
          </w:p>
        </w:tc>
        <w:tc>
          <w:tcPr>
            <w:tcW w:w="900" w:type="dxa"/>
            <w:vAlign w:val="center"/>
          </w:tcPr>
          <w:p>
            <w:pPr>
              <w:spacing w:line="240" w:lineRule="auto"/>
              <w:jc w:val="center"/>
              <w:rPr>
                <w:szCs w:val="21"/>
                <w:highlight w:val="none"/>
              </w:rPr>
            </w:pPr>
            <w:r>
              <w:rPr>
                <w:rFonts w:hint="eastAsia"/>
                <w:szCs w:val="21"/>
                <w:highlight w:val="none"/>
              </w:rPr>
              <w:t>合价(元)</w:t>
            </w:r>
          </w:p>
        </w:tc>
        <w:tc>
          <w:tcPr>
            <w:tcW w:w="956" w:type="dxa"/>
            <w:vAlign w:val="center"/>
          </w:tcPr>
          <w:p>
            <w:pPr>
              <w:spacing w:line="240" w:lineRule="auto"/>
              <w:jc w:val="center"/>
              <w:rPr>
                <w:szCs w:val="21"/>
                <w:highlight w:val="none"/>
              </w:rPr>
            </w:pPr>
            <w:r>
              <w:rPr>
                <w:rFonts w:hint="eastAsia"/>
                <w:szCs w:val="21"/>
                <w:highlight w:val="none"/>
              </w:rPr>
              <w:t>是否核心产品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08" w:type="dxa"/>
            <w:gridSpan w:val="10"/>
            <w:vAlign w:val="center"/>
          </w:tcPr>
          <w:p>
            <w:pPr>
              <w:spacing w:line="240" w:lineRule="auto"/>
              <w:jc w:val="left"/>
              <w:rPr>
                <w:szCs w:val="21"/>
                <w:highlight w:val="none"/>
              </w:rPr>
            </w:pPr>
            <w:r>
              <w:rPr>
                <w:rFonts w:hint="eastAsia"/>
                <w:b/>
                <w:bCs/>
                <w:szCs w:val="21"/>
                <w:highlight w:val="none"/>
              </w:rPr>
              <w:t>电脑室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1</w:t>
            </w:r>
          </w:p>
        </w:tc>
        <w:tc>
          <w:tcPr>
            <w:tcW w:w="1965" w:type="dxa"/>
            <w:vAlign w:val="center"/>
          </w:tcPr>
          <w:p>
            <w:pPr>
              <w:rPr>
                <w:szCs w:val="21"/>
                <w:highlight w:val="none"/>
              </w:rPr>
            </w:pPr>
            <w:r>
              <w:rPr>
                <w:rFonts w:hint="eastAsia"/>
                <w:szCs w:val="21"/>
                <w:highlight w:val="none"/>
              </w:rPr>
              <w:t>学生电脑</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2</w:t>
            </w:r>
          </w:p>
        </w:tc>
        <w:tc>
          <w:tcPr>
            <w:tcW w:w="1965" w:type="dxa"/>
            <w:vAlign w:val="center"/>
          </w:tcPr>
          <w:p>
            <w:pPr>
              <w:rPr>
                <w:szCs w:val="21"/>
                <w:highlight w:val="none"/>
              </w:rPr>
            </w:pPr>
            <w:r>
              <w:rPr>
                <w:rFonts w:hint="eastAsia"/>
                <w:szCs w:val="21"/>
                <w:highlight w:val="none"/>
              </w:rPr>
              <w:t>学生耳机</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3</w:t>
            </w:r>
          </w:p>
        </w:tc>
        <w:tc>
          <w:tcPr>
            <w:tcW w:w="1965" w:type="dxa"/>
            <w:vAlign w:val="center"/>
          </w:tcPr>
          <w:p>
            <w:pPr>
              <w:rPr>
                <w:szCs w:val="21"/>
                <w:highlight w:val="none"/>
              </w:rPr>
            </w:pPr>
            <w:r>
              <w:rPr>
                <w:rFonts w:hint="eastAsia"/>
                <w:szCs w:val="21"/>
                <w:highlight w:val="none"/>
              </w:rPr>
              <w:t>48口交换机</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4</w:t>
            </w:r>
          </w:p>
        </w:tc>
        <w:tc>
          <w:tcPr>
            <w:tcW w:w="1965" w:type="dxa"/>
            <w:vAlign w:val="center"/>
          </w:tcPr>
          <w:p>
            <w:pPr>
              <w:rPr>
                <w:szCs w:val="21"/>
                <w:highlight w:val="none"/>
              </w:rPr>
            </w:pPr>
            <w:r>
              <w:rPr>
                <w:rFonts w:hint="eastAsia"/>
                <w:szCs w:val="21"/>
                <w:highlight w:val="none"/>
              </w:rPr>
              <w:t>机柜</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5</w:t>
            </w:r>
          </w:p>
        </w:tc>
        <w:tc>
          <w:tcPr>
            <w:tcW w:w="1965" w:type="dxa"/>
            <w:vAlign w:val="center"/>
          </w:tcPr>
          <w:p>
            <w:pPr>
              <w:rPr>
                <w:szCs w:val="21"/>
                <w:highlight w:val="none"/>
              </w:rPr>
            </w:pPr>
            <w:r>
              <w:rPr>
                <w:rFonts w:hint="eastAsia"/>
                <w:szCs w:val="21"/>
                <w:highlight w:val="none"/>
              </w:rPr>
              <w:t>电子教学软件</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6</w:t>
            </w:r>
          </w:p>
        </w:tc>
        <w:tc>
          <w:tcPr>
            <w:tcW w:w="1965" w:type="dxa"/>
            <w:vAlign w:val="center"/>
          </w:tcPr>
          <w:p>
            <w:pPr>
              <w:rPr>
                <w:szCs w:val="21"/>
                <w:highlight w:val="none"/>
              </w:rPr>
            </w:pPr>
            <w:r>
              <w:rPr>
                <w:rFonts w:hint="eastAsia"/>
                <w:szCs w:val="21"/>
                <w:highlight w:val="none"/>
              </w:rPr>
              <w:t>稳压电源</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7</w:t>
            </w:r>
          </w:p>
        </w:tc>
        <w:tc>
          <w:tcPr>
            <w:tcW w:w="1965" w:type="dxa"/>
            <w:vAlign w:val="center"/>
          </w:tcPr>
          <w:p>
            <w:pPr>
              <w:rPr>
                <w:szCs w:val="21"/>
                <w:highlight w:val="none"/>
              </w:rPr>
            </w:pPr>
            <w:r>
              <w:rPr>
                <w:rFonts w:hint="eastAsia"/>
                <w:szCs w:val="21"/>
                <w:highlight w:val="none"/>
              </w:rPr>
              <w:t>装修</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8</w:t>
            </w:r>
          </w:p>
        </w:tc>
        <w:tc>
          <w:tcPr>
            <w:tcW w:w="1965" w:type="dxa"/>
            <w:vAlign w:val="center"/>
          </w:tcPr>
          <w:p>
            <w:pPr>
              <w:rPr>
                <w:szCs w:val="21"/>
                <w:highlight w:val="none"/>
              </w:rPr>
            </w:pPr>
            <w:r>
              <w:rPr>
                <w:rFonts w:hint="eastAsia"/>
                <w:szCs w:val="21"/>
                <w:highlight w:val="none"/>
              </w:rPr>
              <w:t>综合布线</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08" w:type="dxa"/>
            <w:gridSpan w:val="10"/>
            <w:vAlign w:val="center"/>
          </w:tcPr>
          <w:p>
            <w:pPr>
              <w:rPr>
                <w:szCs w:val="21"/>
                <w:highlight w:val="none"/>
              </w:rPr>
            </w:pPr>
            <w:r>
              <w:rPr>
                <w:rFonts w:hint="eastAsia"/>
                <w:b/>
                <w:szCs w:val="21"/>
                <w:highlight w:val="none"/>
              </w:rPr>
              <w:t>办公设备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1</w:t>
            </w:r>
          </w:p>
        </w:tc>
        <w:tc>
          <w:tcPr>
            <w:tcW w:w="1965" w:type="dxa"/>
            <w:vAlign w:val="center"/>
          </w:tcPr>
          <w:p>
            <w:pPr>
              <w:rPr>
                <w:szCs w:val="21"/>
                <w:highlight w:val="none"/>
              </w:rPr>
            </w:pPr>
            <w:r>
              <w:rPr>
                <w:rFonts w:hint="eastAsia"/>
                <w:szCs w:val="21"/>
                <w:highlight w:val="none"/>
              </w:rPr>
              <w:t>平板电脑</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2</w:t>
            </w:r>
          </w:p>
        </w:tc>
        <w:tc>
          <w:tcPr>
            <w:tcW w:w="1965" w:type="dxa"/>
            <w:vAlign w:val="center"/>
          </w:tcPr>
          <w:p>
            <w:pPr>
              <w:rPr>
                <w:szCs w:val="21"/>
                <w:highlight w:val="none"/>
              </w:rPr>
            </w:pPr>
            <w:r>
              <w:rPr>
                <w:rFonts w:hint="eastAsia"/>
                <w:szCs w:val="21"/>
                <w:highlight w:val="none"/>
              </w:rPr>
              <w:t>移动授课系统</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3</w:t>
            </w:r>
          </w:p>
        </w:tc>
        <w:tc>
          <w:tcPr>
            <w:tcW w:w="1965" w:type="dxa"/>
            <w:vAlign w:val="center"/>
          </w:tcPr>
          <w:p>
            <w:pPr>
              <w:rPr>
                <w:szCs w:val="21"/>
                <w:highlight w:val="none"/>
              </w:rPr>
            </w:pPr>
            <w:r>
              <w:rPr>
                <w:rFonts w:hint="eastAsia"/>
                <w:szCs w:val="21"/>
                <w:highlight w:val="none"/>
              </w:rPr>
              <w:t>教师用电脑</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4</w:t>
            </w:r>
          </w:p>
        </w:tc>
        <w:tc>
          <w:tcPr>
            <w:tcW w:w="1965" w:type="dxa"/>
            <w:vAlign w:val="center"/>
          </w:tcPr>
          <w:p>
            <w:pPr>
              <w:rPr>
                <w:szCs w:val="21"/>
                <w:highlight w:val="none"/>
              </w:rPr>
            </w:pPr>
            <w:r>
              <w:rPr>
                <w:rFonts w:hint="eastAsia"/>
                <w:szCs w:val="21"/>
                <w:highlight w:val="none"/>
              </w:rPr>
              <w:t>学生用笔记本</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5</w:t>
            </w:r>
          </w:p>
        </w:tc>
        <w:tc>
          <w:tcPr>
            <w:tcW w:w="1965" w:type="dxa"/>
            <w:vAlign w:val="center"/>
          </w:tcPr>
          <w:p>
            <w:pPr>
              <w:rPr>
                <w:szCs w:val="21"/>
                <w:highlight w:val="none"/>
              </w:rPr>
            </w:pPr>
            <w:r>
              <w:rPr>
                <w:rFonts w:hint="eastAsia"/>
                <w:szCs w:val="21"/>
                <w:highlight w:val="none"/>
              </w:rPr>
              <w:t>复印机</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6</w:t>
            </w:r>
          </w:p>
        </w:tc>
        <w:tc>
          <w:tcPr>
            <w:tcW w:w="1965" w:type="dxa"/>
            <w:vAlign w:val="center"/>
          </w:tcPr>
          <w:p>
            <w:pPr>
              <w:rPr>
                <w:szCs w:val="21"/>
                <w:highlight w:val="none"/>
              </w:rPr>
            </w:pPr>
            <w:r>
              <w:rPr>
                <w:rFonts w:hint="eastAsia"/>
                <w:szCs w:val="21"/>
                <w:highlight w:val="none"/>
              </w:rPr>
              <w:t>速印机</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7</w:t>
            </w:r>
          </w:p>
        </w:tc>
        <w:tc>
          <w:tcPr>
            <w:tcW w:w="1965" w:type="dxa"/>
            <w:vAlign w:val="center"/>
          </w:tcPr>
          <w:p>
            <w:pPr>
              <w:rPr>
                <w:szCs w:val="21"/>
                <w:highlight w:val="none"/>
              </w:rPr>
            </w:pPr>
            <w:r>
              <w:rPr>
                <w:rFonts w:hint="eastAsia"/>
                <w:szCs w:val="21"/>
                <w:highlight w:val="none"/>
              </w:rPr>
              <w:t>单反相机</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8</w:t>
            </w:r>
          </w:p>
        </w:tc>
        <w:tc>
          <w:tcPr>
            <w:tcW w:w="1965" w:type="dxa"/>
            <w:vAlign w:val="center"/>
          </w:tcPr>
          <w:p>
            <w:pPr>
              <w:rPr>
                <w:szCs w:val="21"/>
                <w:highlight w:val="none"/>
              </w:rPr>
            </w:pPr>
            <w:r>
              <w:rPr>
                <w:rFonts w:hint="eastAsia"/>
                <w:szCs w:val="21"/>
                <w:highlight w:val="none"/>
              </w:rPr>
              <w:t>激光黑白打印机</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9</w:t>
            </w:r>
          </w:p>
        </w:tc>
        <w:tc>
          <w:tcPr>
            <w:tcW w:w="1965" w:type="dxa"/>
            <w:vAlign w:val="center"/>
          </w:tcPr>
          <w:p>
            <w:pPr>
              <w:rPr>
                <w:szCs w:val="21"/>
                <w:highlight w:val="none"/>
              </w:rPr>
            </w:pPr>
            <w:r>
              <w:rPr>
                <w:rFonts w:hint="eastAsia"/>
                <w:szCs w:val="21"/>
                <w:highlight w:val="none"/>
              </w:rPr>
              <w:t>激光彩色打印机</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08" w:type="dxa"/>
            <w:gridSpan w:val="10"/>
            <w:vAlign w:val="center"/>
          </w:tcPr>
          <w:p>
            <w:pPr>
              <w:spacing w:line="240" w:lineRule="auto"/>
              <w:jc w:val="left"/>
              <w:rPr>
                <w:sz w:val="24"/>
                <w:highlight w:val="none"/>
              </w:rPr>
            </w:pPr>
            <w:r>
              <w:rPr>
                <w:rFonts w:hint="eastAsia"/>
                <w:b/>
                <w:szCs w:val="21"/>
                <w:highlight w:val="none"/>
              </w:rPr>
              <w:t>网络、监控、广播及消防系统迁移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1</w:t>
            </w:r>
          </w:p>
        </w:tc>
        <w:tc>
          <w:tcPr>
            <w:tcW w:w="1965" w:type="dxa"/>
            <w:vAlign w:val="center"/>
          </w:tcPr>
          <w:p>
            <w:pPr>
              <w:rPr>
                <w:szCs w:val="21"/>
                <w:highlight w:val="none"/>
              </w:rPr>
            </w:pPr>
            <w:r>
              <w:rPr>
                <w:rFonts w:hint="eastAsia"/>
                <w:szCs w:val="21"/>
                <w:highlight w:val="none"/>
              </w:rPr>
              <w:t>网络迁移</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2</w:t>
            </w:r>
          </w:p>
        </w:tc>
        <w:tc>
          <w:tcPr>
            <w:tcW w:w="1965" w:type="dxa"/>
            <w:vAlign w:val="center"/>
          </w:tcPr>
          <w:p>
            <w:pPr>
              <w:rPr>
                <w:szCs w:val="21"/>
                <w:highlight w:val="none"/>
              </w:rPr>
            </w:pPr>
            <w:r>
              <w:rPr>
                <w:rFonts w:hint="eastAsia"/>
                <w:szCs w:val="21"/>
                <w:highlight w:val="none"/>
              </w:rPr>
              <w:t>监控系统迁移</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3</w:t>
            </w:r>
          </w:p>
        </w:tc>
        <w:tc>
          <w:tcPr>
            <w:tcW w:w="1965" w:type="dxa"/>
            <w:vAlign w:val="center"/>
          </w:tcPr>
          <w:p>
            <w:pPr>
              <w:rPr>
                <w:szCs w:val="21"/>
                <w:highlight w:val="none"/>
              </w:rPr>
            </w:pPr>
            <w:r>
              <w:rPr>
                <w:rFonts w:hint="eastAsia"/>
                <w:szCs w:val="21"/>
                <w:highlight w:val="none"/>
              </w:rPr>
              <w:t>广播系统迁移</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5" w:type="dxa"/>
            <w:vAlign w:val="center"/>
          </w:tcPr>
          <w:p>
            <w:pPr>
              <w:rPr>
                <w:szCs w:val="21"/>
                <w:highlight w:val="none"/>
              </w:rPr>
            </w:pPr>
            <w:r>
              <w:rPr>
                <w:rFonts w:hint="eastAsia"/>
                <w:szCs w:val="21"/>
                <w:highlight w:val="none"/>
              </w:rPr>
              <w:t>4</w:t>
            </w:r>
          </w:p>
        </w:tc>
        <w:tc>
          <w:tcPr>
            <w:tcW w:w="1965" w:type="dxa"/>
            <w:vAlign w:val="center"/>
          </w:tcPr>
          <w:p>
            <w:pPr>
              <w:rPr>
                <w:szCs w:val="21"/>
                <w:highlight w:val="none"/>
              </w:rPr>
            </w:pPr>
            <w:r>
              <w:rPr>
                <w:rFonts w:hint="eastAsia"/>
                <w:szCs w:val="21"/>
                <w:highlight w:val="none"/>
              </w:rPr>
              <w:t>消防系统迁移</w:t>
            </w:r>
          </w:p>
        </w:tc>
        <w:tc>
          <w:tcPr>
            <w:tcW w:w="1576" w:type="dxa"/>
            <w:vAlign w:val="center"/>
          </w:tcPr>
          <w:p>
            <w:pPr>
              <w:spacing w:line="240" w:lineRule="auto"/>
              <w:jc w:val="center"/>
              <w:rPr>
                <w:sz w:val="24"/>
                <w:highlight w:val="none"/>
              </w:rPr>
            </w:pPr>
          </w:p>
        </w:tc>
        <w:tc>
          <w:tcPr>
            <w:tcW w:w="851" w:type="dxa"/>
            <w:vAlign w:val="center"/>
          </w:tcPr>
          <w:p>
            <w:pPr>
              <w:spacing w:line="240" w:lineRule="auto"/>
              <w:jc w:val="center"/>
              <w:rPr>
                <w:sz w:val="24"/>
                <w:highlight w:val="none"/>
              </w:rPr>
            </w:pPr>
          </w:p>
        </w:tc>
        <w:tc>
          <w:tcPr>
            <w:tcW w:w="709" w:type="dxa"/>
            <w:vAlign w:val="center"/>
          </w:tcPr>
          <w:p>
            <w:pPr>
              <w:spacing w:line="240" w:lineRule="auto"/>
              <w:jc w:val="center"/>
              <w:rPr>
                <w:sz w:val="24"/>
                <w:highlight w:val="none"/>
              </w:rPr>
            </w:pPr>
          </w:p>
        </w:tc>
        <w:tc>
          <w:tcPr>
            <w:tcW w:w="737" w:type="dxa"/>
            <w:vAlign w:val="center"/>
          </w:tcPr>
          <w:p>
            <w:pPr>
              <w:spacing w:line="240" w:lineRule="auto"/>
              <w:jc w:val="center"/>
              <w:rPr>
                <w:sz w:val="24"/>
                <w:highlight w:val="none"/>
              </w:rPr>
            </w:pPr>
          </w:p>
        </w:tc>
        <w:tc>
          <w:tcPr>
            <w:tcW w:w="659"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00" w:type="dxa"/>
            <w:vAlign w:val="center"/>
          </w:tcPr>
          <w:p>
            <w:pPr>
              <w:spacing w:line="240" w:lineRule="auto"/>
              <w:jc w:val="center"/>
              <w:rPr>
                <w:sz w:val="24"/>
                <w:highlight w:val="none"/>
              </w:rPr>
            </w:pPr>
          </w:p>
        </w:tc>
        <w:tc>
          <w:tcPr>
            <w:tcW w:w="956"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08" w:type="dxa"/>
            <w:gridSpan w:val="10"/>
            <w:vAlign w:val="center"/>
          </w:tcPr>
          <w:p>
            <w:pPr>
              <w:spacing w:line="240" w:lineRule="auto"/>
              <w:jc w:val="center"/>
              <w:rPr>
                <w:sz w:val="24"/>
                <w:highlight w:val="none"/>
              </w:rPr>
            </w:pPr>
            <w:r>
              <w:rPr>
                <w:rFonts w:hint="eastAsia"/>
                <w:sz w:val="24"/>
                <w:highlight w:val="none"/>
              </w:rPr>
              <w:t xml:space="preserve">合计（即：投标总价；币种：人民币；单位：元）：     大写：    </w:t>
            </w:r>
          </w:p>
        </w:tc>
      </w:tr>
    </w:tbl>
    <w:p>
      <w:pPr>
        <w:spacing w:line="240" w:lineRule="auto"/>
        <w:rPr>
          <w:b/>
          <w:sz w:val="24"/>
          <w:highlight w:val="none"/>
        </w:rPr>
      </w:pPr>
    </w:p>
    <w:p>
      <w:pPr>
        <w:spacing w:line="240" w:lineRule="auto"/>
        <w:rPr>
          <w:b/>
          <w:sz w:val="24"/>
          <w:highlight w:val="none"/>
        </w:rPr>
      </w:pPr>
      <w:r>
        <w:rPr>
          <w:rFonts w:hint="eastAsia"/>
          <w:b/>
          <w:sz w:val="24"/>
          <w:highlight w:val="none"/>
        </w:rPr>
        <w:t>备注：</w:t>
      </w:r>
    </w:p>
    <w:p>
      <w:pPr>
        <w:spacing w:line="240" w:lineRule="auto"/>
        <w:ind w:firstLine="424" w:firstLineChars="176"/>
        <w:rPr>
          <w:b/>
          <w:sz w:val="24"/>
          <w:highlight w:val="none"/>
        </w:rPr>
      </w:pPr>
      <w:r>
        <w:rPr>
          <w:rFonts w:hint="eastAsia"/>
          <w:b/>
          <w:sz w:val="24"/>
          <w:highlight w:val="none"/>
        </w:rPr>
        <w:t>1.请根据“第三章</w:t>
      </w:r>
      <w:r>
        <w:rPr>
          <w:b/>
          <w:sz w:val="24"/>
          <w:highlight w:val="none"/>
        </w:rPr>
        <w:t xml:space="preserve"> 项目需求” “</w:t>
      </w:r>
      <w:r>
        <w:rPr>
          <w:rFonts w:hint="eastAsia"/>
          <w:b/>
          <w:sz w:val="24"/>
          <w:highlight w:val="none"/>
        </w:rPr>
        <w:t>一</w:t>
      </w:r>
      <w:r>
        <w:rPr>
          <w:b/>
          <w:sz w:val="24"/>
          <w:highlight w:val="none"/>
        </w:rPr>
        <w:t>、货物清单</w:t>
      </w:r>
      <w:r>
        <w:rPr>
          <w:rFonts w:hint="eastAsia"/>
          <w:b/>
          <w:sz w:val="24"/>
          <w:highlight w:val="none"/>
        </w:rPr>
        <w:t>一览表</w:t>
      </w:r>
      <w:r>
        <w:rPr>
          <w:b/>
          <w:sz w:val="24"/>
          <w:highlight w:val="none"/>
        </w:rPr>
        <w:t>”中的“（</w:t>
      </w:r>
      <w:r>
        <w:rPr>
          <w:rFonts w:hint="eastAsia"/>
          <w:b/>
          <w:sz w:val="24"/>
          <w:highlight w:val="none"/>
        </w:rPr>
        <w:t>二</w:t>
      </w:r>
      <w:r>
        <w:rPr>
          <w:b/>
          <w:sz w:val="24"/>
          <w:highlight w:val="none"/>
        </w:rPr>
        <w:t>）货物清单</w:t>
      </w:r>
      <w:r>
        <w:rPr>
          <w:rFonts w:hint="eastAsia"/>
          <w:b/>
          <w:sz w:val="24"/>
          <w:highlight w:val="none"/>
        </w:rPr>
        <w:t>明细</w:t>
      </w:r>
      <w:r>
        <w:rPr>
          <w:b/>
          <w:sz w:val="24"/>
          <w:highlight w:val="none"/>
        </w:rPr>
        <w:t>”填写；本表格式不得修改。</w:t>
      </w:r>
    </w:p>
    <w:p>
      <w:pPr>
        <w:spacing w:line="240" w:lineRule="auto"/>
        <w:ind w:firstLine="424" w:firstLineChars="176"/>
        <w:rPr>
          <w:b/>
          <w:sz w:val="24"/>
          <w:highlight w:val="none"/>
        </w:rPr>
      </w:pPr>
      <w:r>
        <w:rPr>
          <w:rFonts w:hint="eastAsia"/>
          <w:b/>
          <w:sz w:val="24"/>
          <w:highlight w:val="none"/>
        </w:rPr>
        <w:t>2</w:t>
      </w:r>
      <w:r>
        <w:rPr>
          <w:b/>
          <w:sz w:val="24"/>
          <w:highlight w:val="none"/>
        </w:rPr>
        <w:t>.</w:t>
      </w:r>
      <w:r>
        <w:rPr>
          <w:rFonts w:hint="eastAsia"/>
          <w:b/>
          <w:sz w:val="24"/>
          <w:highlight w:val="none"/>
        </w:rPr>
        <w:t>所有价格应按“招标文件”中规定的货币单位填写；投标总价应为以上各分项价格之和；投标总价和项目报价表中单个采购预算条目报价均不得超过对应的财政预算限额，否则将导致投标无效。</w:t>
      </w:r>
    </w:p>
    <w:p>
      <w:pPr>
        <w:spacing w:line="240" w:lineRule="auto"/>
        <w:ind w:firstLine="424" w:firstLineChars="176"/>
        <w:rPr>
          <w:b/>
          <w:sz w:val="24"/>
          <w:highlight w:val="none"/>
        </w:rPr>
      </w:pPr>
      <w:r>
        <w:rPr>
          <w:rFonts w:hint="eastAsia"/>
          <w:b/>
          <w:sz w:val="24"/>
          <w:highlight w:val="none"/>
        </w:rPr>
        <w:t>4.单价、合价和投标总价为包干价，即三者均应包含设备的价款、包装、运输、装卸、安装、调试、技术指导、培训、咨询、服务、保险、税费、检测、验收合格交付使用之前以及技术和售后服务等其他各项有关费用。</w:t>
      </w:r>
    </w:p>
    <w:p>
      <w:pPr>
        <w:spacing w:line="240" w:lineRule="auto"/>
        <w:ind w:firstLine="424" w:firstLineChars="176"/>
        <w:rPr>
          <w:b/>
          <w:sz w:val="24"/>
          <w:highlight w:val="none"/>
        </w:rPr>
      </w:pPr>
      <w:r>
        <w:rPr>
          <w:rFonts w:hint="eastAsia"/>
          <w:b/>
          <w:sz w:val="24"/>
          <w:highlight w:val="none"/>
        </w:rPr>
        <w:t>5.开标一览表的投标总价必须与投标分项报价表的投标总价一致。</w:t>
      </w:r>
    </w:p>
    <w:p>
      <w:pPr>
        <w:spacing w:line="240" w:lineRule="auto"/>
        <w:ind w:firstLine="424" w:firstLineChars="176"/>
        <w:rPr>
          <w:b/>
          <w:sz w:val="24"/>
          <w:highlight w:val="none"/>
        </w:rPr>
      </w:pPr>
      <w:r>
        <w:rPr>
          <w:b/>
          <w:sz w:val="24"/>
          <w:highlight w:val="none"/>
        </w:rPr>
        <w:t>6</w:t>
      </w:r>
      <w:r>
        <w:rPr>
          <w:rFonts w:hint="eastAsia"/>
          <w:b/>
          <w:sz w:val="24"/>
          <w:highlight w:val="none"/>
        </w:rPr>
        <w:t>.“原产地”是指该产品的实际生产加工地，而非品牌总公司所在地。</w:t>
      </w:r>
    </w:p>
    <w:p>
      <w:pPr>
        <w:spacing w:line="240" w:lineRule="auto"/>
        <w:ind w:firstLine="424" w:firstLineChars="176"/>
        <w:rPr>
          <w:b/>
          <w:sz w:val="24"/>
          <w:highlight w:val="none"/>
        </w:rPr>
      </w:pPr>
      <w:r>
        <w:rPr>
          <w:rFonts w:hint="eastAsia"/>
          <w:b/>
          <w:sz w:val="24"/>
          <w:highlight w:val="none"/>
        </w:rPr>
        <w:t>8.如所投产品属于定制类的非量产货物，投标人无需填写型号等，但应在开标一览表中予以备注。</w:t>
      </w:r>
    </w:p>
    <w:p>
      <w:pPr>
        <w:adjustRightInd/>
        <w:snapToGrid/>
        <w:spacing w:before="280" w:after="290" w:line="377" w:lineRule="auto"/>
        <w:rPr>
          <w:b/>
          <w:sz w:val="24"/>
          <w:highlight w:val="none"/>
        </w:rPr>
        <w:sectPr>
          <w:pgSz w:w="11906" w:h="16838"/>
          <w:pgMar w:top="1134" w:right="1134" w:bottom="1134" w:left="1418" w:header="851" w:footer="992" w:gutter="0"/>
          <w:cols w:space="425" w:num="1"/>
          <w:titlePg/>
          <w:docGrid w:linePitch="462" w:charSpace="0"/>
        </w:sectPr>
      </w:pPr>
    </w:p>
    <w:p>
      <w:pPr>
        <w:numPr>
          <w:ilvl w:val="0"/>
          <w:numId w:val="30"/>
        </w:numPr>
        <w:adjustRightInd/>
        <w:snapToGrid/>
        <w:spacing w:before="280" w:after="290" w:line="377" w:lineRule="auto"/>
        <w:outlineLvl w:val="2"/>
        <w:rPr>
          <w:b/>
          <w:sz w:val="24"/>
          <w:highlight w:val="none"/>
        </w:rPr>
      </w:pPr>
      <w:r>
        <w:rPr>
          <w:rFonts w:hint="eastAsia"/>
          <w:b/>
          <w:sz w:val="24"/>
          <w:highlight w:val="none"/>
        </w:rPr>
        <w:t>产品授权或代理商情况</w:t>
      </w:r>
    </w:p>
    <w:p>
      <w:pPr>
        <w:tabs>
          <w:tab w:val="clear" w:pos="426"/>
        </w:tabs>
        <w:spacing w:line="520" w:lineRule="exact"/>
        <w:rPr>
          <w:spacing w:val="4"/>
          <w:highlight w:val="none"/>
          <w:u w:val="single"/>
        </w:rPr>
      </w:pPr>
      <w:bookmarkStart w:id="77" w:name="_Toc43264518"/>
      <w:bookmarkStart w:id="78" w:name="_Toc50703730"/>
      <w:bookmarkStart w:id="79" w:name="_Toc50691037"/>
    </w:p>
    <w:p>
      <w:pPr>
        <w:tabs>
          <w:tab w:val="clear" w:pos="426"/>
        </w:tabs>
        <w:spacing w:line="520" w:lineRule="exact"/>
        <w:rPr>
          <w:spacing w:val="4"/>
          <w:highlight w:val="none"/>
          <w:u w:val="single"/>
        </w:rPr>
      </w:pPr>
    </w:p>
    <w:p>
      <w:pPr>
        <w:numPr>
          <w:ilvl w:val="0"/>
          <w:numId w:val="30"/>
        </w:numPr>
        <w:adjustRightInd/>
        <w:snapToGrid/>
        <w:spacing w:before="280" w:after="290" w:line="377" w:lineRule="auto"/>
        <w:outlineLvl w:val="2"/>
        <w:rPr>
          <w:b/>
          <w:sz w:val="24"/>
          <w:highlight w:val="none"/>
        </w:rPr>
      </w:pPr>
      <w:bookmarkStart w:id="80" w:name="_Toc43264525"/>
      <w:r>
        <w:rPr>
          <w:spacing w:val="4"/>
          <w:highlight w:val="none"/>
          <w:u w:val="single"/>
        </w:rPr>
        <w:br w:type="page"/>
      </w:r>
      <w:r>
        <w:rPr>
          <w:rFonts w:hint="eastAsia"/>
          <w:b/>
          <w:sz w:val="24"/>
          <w:highlight w:val="none"/>
        </w:rPr>
        <w:t>货物说明一览表</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bookmarkStart w:id="81" w:name="_Toc480755933"/>
      <w:bookmarkStart w:id="82" w:name="_Toc480789483"/>
      <w:bookmarkStart w:id="83" w:name="_Toc480756079"/>
      <w:bookmarkStart w:id="84" w:name="_Toc480754212"/>
      <w:r>
        <w:rPr>
          <w:rFonts w:hint="eastAsia" w:cs="Times New Roman"/>
          <w:bCs/>
          <w:kern w:val="2"/>
          <w:sz w:val="32"/>
          <w:szCs w:val="32"/>
          <w:highlight w:val="none"/>
        </w:rPr>
        <w:t>货物说明一览表</w:t>
      </w:r>
      <w:bookmarkEnd w:id="81"/>
      <w:bookmarkEnd w:id="82"/>
      <w:bookmarkEnd w:id="83"/>
      <w:bookmarkEnd w:id="84"/>
    </w:p>
    <w:p>
      <w:pPr>
        <w:tabs>
          <w:tab w:val="clear" w:pos="426"/>
        </w:tabs>
        <w:rPr>
          <w:rFonts w:cs="Arial"/>
          <w:bCs/>
          <w:szCs w:val="21"/>
          <w:highlight w:val="none"/>
        </w:rPr>
      </w:pPr>
    </w:p>
    <w:p>
      <w:pPr>
        <w:tabs>
          <w:tab w:val="clear" w:pos="426"/>
        </w:tabs>
        <w:rPr>
          <w:rFonts w:cs="Arial"/>
          <w:bCs/>
          <w:szCs w:val="21"/>
          <w:highlight w:val="none"/>
        </w:rPr>
      </w:pPr>
      <w:r>
        <w:rPr>
          <w:rFonts w:hint="eastAsia" w:cs="Arial"/>
          <w:bCs/>
          <w:szCs w:val="21"/>
          <w:highlight w:val="none"/>
        </w:rPr>
        <w:t>项目名称：招标项目编号：包号：</w:t>
      </w:r>
    </w:p>
    <w:tbl>
      <w:tblPr>
        <w:tblStyle w:val="44"/>
        <w:tblW w:w="95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993"/>
        <w:gridCol w:w="1647"/>
        <w:gridCol w:w="824"/>
        <w:gridCol w:w="824"/>
        <w:gridCol w:w="824"/>
        <w:gridCol w:w="825"/>
        <w:gridCol w:w="984"/>
        <w:gridCol w:w="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6" w:type="dxa"/>
            <w:vAlign w:val="center"/>
          </w:tcPr>
          <w:p>
            <w:pPr>
              <w:spacing w:line="240" w:lineRule="auto"/>
              <w:jc w:val="center"/>
              <w:rPr>
                <w:szCs w:val="21"/>
                <w:highlight w:val="none"/>
              </w:rPr>
            </w:pPr>
            <w:r>
              <w:rPr>
                <w:rFonts w:hint="eastAsia"/>
                <w:szCs w:val="21"/>
                <w:highlight w:val="none"/>
              </w:rPr>
              <w:t>序号</w:t>
            </w:r>
          </w:p>
        </w:tc>
        <w:tc>
          <w:tcPr>
            <w:tcW w:w="1993" w:type="dxa"/>
            <w:vAlign w:val="center"/>
          </w:tcPr>
          <w:p>
            <w:pPr>
              <w:spacing w:line="240" w:lineRule="auto"/>
              <w:jc w:val="center"/>
              <w:rPr>
                <w:szCs w:val="21"/>
                <w:highlight w:val="none"/>
              </w:rPr>
            </w:pPr>
            <w:r>
              <w:rPr>
                <w:rFonts w:hint="eastAsia"/>
                <w:szCs w:val="21"/>
                <w:highlight w:val="none"/>
              </w:rPr>
              <w:t>货物名称</w:t>
            </w:r>
          </w:p>
        </w:tc>
        <w:tc>
          <w:tcPr>
            <w:tcW w:w="1647" w:type="dxa"/>
            <w:vAlign w:val="center"/>
          </w:tcPr>
          <w:p>
            <w:pPr>
              <w:spacing w:line="240" w:lineRule="auto"/>
              <w:jc w:val="center"/>
              <w:rPr>
                <w:szCs w:val="21"/>
                <w:highlight w:val="none"/>
              </w:rPr>
            </w:pPr>
            <w:r>
              <w:rPr>
                <w:rFonts w:hint="eastAsia"/>
                <w:szCs w:val="21"/>
                <w:highlight w:val="none"/>
              </w:rPr>
              <w:t>规格及型号</w:t>
            </w:r>
          </w:p>
        </w:tc>
        <w:tc>
          <w:tcPr>
            <w:tcW w:w="824" w:type="dxa"/>
            <w:vAlign w:val="center"/>
          </w:tcPr>
          <w:p>
            <w:pPr>
              <w:spacing w:line="240" w:lineRule="auto"/>
              <w:jc w:val="center"/>
              <w:rPr>
                <w:b/>
                <w:szCs w:val="21"/>
                <w:highlight w:val="none"/>
              </w:rPr>
            </w:pPr>
            <w:r>
              <w:rPr>
                <w:rFonts w:hint="eastAsia"/>
                <w:b/>
                <w:szCs w:val="21"/>
                <w:highlight w:val="none"/>
              </w:rPr>
              <w:t>产地</w:t>
            </w:r>
          </w:p>
        </w:tc>
        <w:tc>
          <w:tcPr>
            <w:tcW w:w="824" w:type="dxa"/>
            <w:vAlign w:val="center"/>
          </w:tcPr>
          <w:p>
            <w:pPr>
              <w:spacing w:line="240" w:lineRule="auto"/>
              <w:jc w:val="center"/>
              <w:rPr>
                <w:szCs w:val="21"/>
                <w:highlight w:val="none"/>
              </w:rPr>
            </w:pPr>
            <w:r>
              <w:rPr>
                <w:rFonts w:hint="eastAsia"/>
                <w:szCs w:val="21"/>
                <w:highlight w:val="none"/>
              </w:rPr>
              <w:t>品牌</w:t>
            </w:r>
          </w:p>
        </w:tc>
        <w:tc>
          <w:tcPr>
            <w:tcW w:w="824" w:type="dxa"/>
            <w:vAlign w:val="center"/>
          </w:tcPr>
          <w:p>
            <w:pPr>
              <w:spacing w:line="240" w:lineRule="auto"/>
              <w:jc w:val="center"/>
              <w:rPr>
                <w:szCs w:val="21"/>
                <w:highlight w:val="none"/>
              </w:rPr>
            </w:pPr>
            <w:r>
              <w:rPr>
                <w:rFonts w:hint="eastAsia"/>
                <w:szCs w:val="21"/>
                <w:highlight w:val="none"/>
              </w:rPr>
              <w:t>数量</w:t>
            </w:r>
          </w:p>
        </w:tc>
        <w:tc>
          <w:tcPr>
            <w:tcW w:w="825" w:type="dxa"/>
            <w:vAlign w:val="center"/>
          </w:tcPr>
          <w:p>
            <w:pPr>
              <w:spacing w:line="240" w:lineRule="auto"/>
              <w:jc w:val="center"/>
              <w:rPr>
                <w:szCs w:val="21"/>
                <w:highlight w:val="none"/>
              </w:rPr>
            </w:pPr>
            <w:r>
              <w:rPr>
                <w:rFonts w:hint="eastAsia"/>
                <w:szCs w:val="21"/>
                <w:highlight w:val="none"/>
              </w:rPr>
              <w:t>单位</w:t>
            </w:r>
          </w:p>
        </w:tc>
        <w:tc>
          <w:tcPr>
            <w:tcW w:w="984" w:type="dxa"/>
            <w:vAlign w:val="center"/>
          </w:tcPr>
          <w:p>
            <w:pPr>
              <w:tabs>
                <w:tab w:val="clear" w:pos="426"/>
              </w:tabs>
              <w:spacing w:line="240" w:lineRule="auto"/>
              <w:jc w:val="center"/>
              <w:rPr>
                <w:rFonts w:cs="Arial"/>
                <w:bCs/>
                <w:szCs w:val="21"/>
                <w:highlight w:val="none"/>
              </w:rPr>
            </w:pPr>
            <w:r>
              <w:rPr>
                <w:rFonts w:hint="eastAsia" w:cs="Arial"/>
                <w:bCs/>
                <w:szCs w:val="21"/>
                <w:highlight w:val="none"/>
              </w:rPr>
              <w:t>交货期</w:t>
            </w:r>
          </w:p>
        </w:tc>
        <w:tc>
          <w:tcPr>
            <w:tcW w:w="953" w:type="dxa"/>
            <w:vAlign w:val="center"/>
          </w:tcPr>
          <w:p>
            <w:pPr>
              <w:tabs>
                <w:tab w:val="clear" w:pos="426"/>
              </w:tabs>
              <w:spacing w:line="240" w:lineRule="auto"/>
              <w:jc w:val="center"/>
              <w:rPr>
                <w:rFonts w:cs="Arial"/>
                <w:bCs/>
                <w:szCs w:val="21"/>
                <w:highlight w:val="none"/>
              </w:rPr>
            </w:pPr>
            <w:r>
              <w:rPr>
                <w:rFonts w:hint="eastAsia" w:cs="Arial"/>
                <w:bCs/>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6" w:type="dxa"/>
            <w:vAlign w:val="center"/>
          </w:tcPr>
          <w:p>
            <w:pPr>
              <w:spacing w:line="240" w:lineRule="auto"/>
              <w:jc w:val="center"/>
              <w:rPr>
                <w:sz w:val="24"/>
                <w:highlight w:val="none"/>
              </w:rPr>
            </w:pPr>
            <w:r>
              <w:rPr>
                <w:rFonts w:hint="eastAsia"/>
                <w:sz w:val="24"/>
                <w:highlight w:val="none"/>
              </w:rPr>
              <w:t>1</w:t>
            </w:r>
          </w:p>
        </w:tc>
        <w:tc>
          <w:tcPr>
            <w:tcW w:w="1993" w:type="dxa"/>
            <w:vAlign w:val="center"/>
          </w:tcPr>
          <w:p>
            <w:pPr>
              <w:spacing w:line="240" w:lineRule="auto"/>
              <w:jc w:val="center"/>
              <w:rPr>
                <w:sz w:val="24"/>
                <w:highlight w:val="none"/>
              </w:rPr>
            </w:pPr>
          </w:p>
        </w:tc>
        <w:tc>
          <w:tcPr>
            <w:tcW w:w="1647"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5" w:type="dxa"/>
            <w:vAlign w:val="center"/>
          </w:tcPr>
          <w:p>
            <w:pPr>
              <w:spacing w:line="240" w:lineRule="auto"/>
              <w:jc w:val="center"/>
              <w:rPr>
                <w:sz w:val="24"/>
                <w:highlight w:val="none"/>
              </w:rPr>
            </w:pPr>
          </w:p>
        </w:tc>
        <w:tc>
          <w:tcPr>
            <w:tcW w:w="984" w:type="dxa"/>
            <w:vAlign w:val="center"/>
          </w:tcPr>
          <w:p>
            <w:pPr>
              <w:spacing w:line="240" w:lineRule="auto"/>
              <w:jc w:val="center"/>
              <w:rPr>
                <w:sz w:val="24"/>
                <w:highlight w:val="none"/>
              </w:rPr>
            </w:pPr>
          </w:p>
        </w:tc>
        <w:tc>
          <w:tcPr>
            <w:tcW w:w="953"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6" w:type="dxa"/>
            <w:vAlign w:val="center"/>
          </w:tcPr>
          <w:p>
            <w:pPr>
              <w:spacing w:line="240" w:lineRule="auto"/>
              <w:jc w:val="center"/>
              <w:rPr>
                <w:sz w:val="24"/>
                <w:highlight w:val="none"/>
              </w:rPr>
            </w:pPr>
            <w:r>
              <w:rPr>
                <w:rFonts w:hint="eastAsia"/>
                <w:sz w:val="24"/>
                <w:highlight w:val="none"/>
              </w:rPr>
              <w:t>2</w:t>
            </w:r>
          </w:p>
        </w:tc>
        <w:tc>
          <w:tcPr>
            <w:tcW w:w="1993" w:type="dxa"/>
            <w:vAlign w:val="center"/>
          </w:tcPr>
          <w:p>
            <w:pPr>
              <w:spacing w:line="240" w:lineRule="auto"/>
              <w:jc w:val="center"/>
              <w:rPr>
                <w:sz w:val="24"/>
                <w:highlight w:val="none"/>
              </w:rPr>
            </w:pPr>
          </w:p>
        </w:tc>
        <w:tc>
          <w:tcPr>
            <w:tcW w:w="1647"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5" w:type="dxa"/>
            <w:vAlign w:val="center"/>
          </w:tcPr>
          <w:p>
            <w:pPr>
              <w:spacing w:line="240" w:lineRule="auto"/>
              <w:jc w:val="center"/>
              <w:rPr>
                <w:sz w:val="24"/>
                <w:highlight w:val="none"/>
              </w:rPr>
            </w:pPr>
          </w:p>
        </w:tc>
        <w:tc>
          <w:tcPr>
            <w:tcW w:w="984" w:type="dxa"/>
            <w:vAlign w:val="center"/>
          </w:tcPr>
          <w:p>
            <w:pPr>
              <w:spacing w:line="240" w:lineRule="auto"/>
              <w:jc w:val="center"/>
              <w:rPr>
                <w:sz w:val="24"/>
                <w:highlight w:val="none"/>
              </w:rPr>
            </w:pPr>
          </w:p>
        </w:tc>
        <w:tc>
          <w:tcPr>
            <w:tcW w:w="953"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6" w:type="dxa"/>
            <w:vAlign w:val="center"/>
          </w:tcPr>
          <w:p>
            <w:pPr>
              <w:spacing w:line="240" w:lineRule="auto"/>
              <w:jc w:val="center"/>
              <w:rPr>
                <w:sz w:val="24"/>
                <w:highlight w:val="none"/>
              </w:rPr>
            </w:pPr>
            <w:r>
              <w:rPr>
                <w:rFonts w:hint="eastAsia"/>
                <w:sz w:val="24"/>
                <w:highlight w:val="none"/>
              </w:rPr>
              <w:t>3</w:t>
            </w:r>
          </w:p>
        </w:tc>
        <w:tc>
          <w:tcPr>
            <w:tcW w:w="1993" w:type="dxa"/>
            <w:vAlign w:val="center"/>
          </w:tcPr>
          <w:p>
            <w:pPr>
              <w:spacing w:line="240" w:lineRule="auto"/>
              <w:jc w:val="center"/>
              <w:rPr>
                <w:sz w:val="24"/>
                <w:highlight w:val="none"/>
              </w:rPr>
            </w:pPr>
          </w:p>
        </w:tc>
        <w:tc>
          <w:tcPr>
            <w:tcW w:w="1647"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5" w:type="dxa"/>
            <w:vAlign w:val="center"/>
          </w:tcPr>
          <w:p>
            <w:pPr>
              <w:spacing w:line="240" w:lineRule="auto"/>
              <w:jc w:val="center"/>
              <w:rPr>
                <w:sz w:val="24"/>
                <w:highlight w:val="none"/>
              </w:rPr>
            </w:pPr>
          </w:p>
        </w:tc>
        <w:tc>
          <w:tcPr>
            <w:tcW w:w="984" w:type="dxa"/>
            <w:vAlign w:val="center"/>
          </w:tcPr>
          <w:p>
            <w:pPr>
              <w:spacing w:line="240" w:lineRule="auto"/>
              <w:jc w:val="center"/>
              <w:rPr>
                <w:sz w:val="24"/>
                <w:highlight w:val="none"/>
              </w:rPr>
            </w:pPr>
          </w:p>
        </w:tc>
        <w:tc>
          <w:tcPr>
            <w:tcW w:w="953"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6" w:type="dxa"/>
            <w:vAlign w:val="center"/>
          </w:tcPr>
          <w:p>
            <w:pPr>
              <w:spacing w:line="240" w:lineRule="auto"/>
              <w:jc w:val="center"/>
              <w:rPr>
                <w:sz w:val="24"/>
                <w:highlight w:val="none"/>
              </w:rPr>
            </w:pPr>
            <w:r>
              <w:rPr>
                <w:rFonts w:hint="eastAsia"/>
                <w:sz w:val="24"/>
                <w:highlight w:val="none"/>
              </w:rPr>
              <w:t>……</w:t>
            </w:r>
          </w:p>
        </w:tc>
        <w:tc>
          <w:tcPr>
            <w:tcW w:w="1993" w:type="dxa"/>
            <w:vAlign w:val="center"/>
          </w:tcPr>
          <w:p>
            <w:pPr>
              <w:spacing w:line="240" w:lineRule="auto"/>
              <w:jc w:val="center"/>
              <w:rPr>
                <w:sz w:val="24"/>
                <w:highlight w:val="none"/>
              </w:rPr>
            </w:pPr>
          </w:p>
        </w:tc>
        <w:tc>
          <w:tcPr>
            <w:tcW w:w="1647"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5" w:type="dxa"/>
            <w:vAlign w:val="center"/>
          </w:tcPr>
          <w:p>
            <w:pPr>
              <w:spacing w:line="240" w:lineRule="auto"/>
              <w:jc w:val="center"/>
              <w:rPr>
                <w:sz w:val="24"/>
                <w:highlight w:val="none"/>
              </w:rPr>
            </w:pPr>
          </w:p>
        </w:tc>
        <w:tc>
          <w:tcPr>
            <w:tcW w:w="984" w:type="dxa"/>
            <w:vAlign w:val="center"/>
          </w:tcPr>
          <w:p>
            <w:pPr>
              <w:spacing w:line="240" w:lineRule="auto"/>
              <w:jc w:val="center"/>
              <w:rPr>
                <w:sz w:val="24"/>
                <w:highlight w:val="none"/>
              </w:rPr>
            </w:pPr>
          </w:p>
        </w:tc>
        <w:tc>
          <w:tcPr>
            <w:tcW w:w="953"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6" w:type="dxa"/>
            <w:vAlign w:val="center"/>
          </w:tcPr>
          <w:p>
            <w:pPr>
              <w:spacing w:line="240" w:lineRule="auto"/>
              <w:jc w:val="center"/>
              <w:rPr>
                <w:sz w:val="24"/>
                <w:highlight w:val="none"/>
              </w:rPr>
            </w:pPr>
            <w:r>
              <w:rPr>
                <w:rFonts w:hint="eastAsia"/>
                <w:sz w:val="24"/>
                <w:highlight w:val="none"/>
              </w:rPr>
              <w:t>……</w:t>
            </w:r>
          </w:p>
        </w:tc>
        <w:tc>
          <w:tcPr>
            <w:tcW w:w="1993" w:type="dxa"/>
            <w:vAlign w:val="center"/>
          </w:tcPr>
          <w:p>
            <w:pPr>
              <w:spacing w:line="240" w:lineRule="auto"/>
              <w:jc w:val="center"/>
              <w:rPr>
                <w:sz w:val="24"/>
                <w:highlight w:val="none"/>
              </w:rPr>
            </w:pPr>
          </w:p>
        </w:tc>
        <w:tc>
          <w:tcPr>
            <w:tcW w:w="1647"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5" w:type="dxa"/>
            <w:vAlign w:val="center"/>
          </w:tcPr>
          <w:p>
            <w:pPr>
              <w:spacing w:line="240" w:lineRule="auto"/>
              <w:jc w:val="center"/>
              <w:rPr>
                <w:sz w:val="24"/>
                <w:highlight w:val="none"/>
              </w:rPr>
            </w:pPr>
          </w:p>
        </w:tc>
        <w:tc>
          <w:tcPr>
            <w:tcW w:w="984" w:type="dxa"/>
            <w:vAlign w:val="center"/>
          </w:tcPr>
          <w:p>
            <w:pPr>
              <w:spacing w:line="240" w:lineRule="auto"/>
              <w:jc w:val="center"/>
              <w:rPr>
                <w:sz w:val="24"/>
                <w:highlight w:val="none"/>
              </w:rPr>
            </w:pPr>
          </w:p>
        </w:tc>
        <w:tc>
          <w:tcPr>
            <w:tcW w:w="953" w:type="dxa"/>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6" w:type="dxa"/>
            <w:vAlign w:val="center"/>
          </w:tcPr>
          <w:p>
            <w:pPr>
              <w:spacing w:line="240" w:lineRule="auto"/>
              <w:jc w:val="center"/>
              <w:rPr>
                <w:sz w:val="24"/>
                <w:highlight w:val="none"/>
              </w:rPr>
            </w:pPr>
          </w:p>
        </w:tc>
        <w:tc>
          <w:tcPr>
            <w:tcW w:w="1993" w:type="dxa"/>
            <w:vAlign w:val="center"/>
          </w:tcPr>
          <w:p>
            <w:pPr>
              <w:spacing w:line="240" w:lineRule="auto"/>
              <w:jc w:val="center"/>
              <w:rPr>
                <w:sz w:val="24"/>
                <w:highlight w:val="none"/>
              </w:rPr>
            </w:pPr>
          </w:p>
        </w:tc>
        <w:tc>
          <w:tcPr>
            <w:tcW w:w="1647"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4" w:type="dxa"/>
            <w:vAlign w:val="center"/>
          </w:tcPr>
          <w:p>
            <w:pPr>
              <w:spacing w:line="240" w:lineRule="auto"/>
              <w:jc w:val="center"/>
              <w:rPr>
                <w:sz w:val="24"/>
                <w:highlight w:val="none"/>
              </w:rPr>
            </w:pPr>
          </w:p>
        </w:tc>
        <w:tc>
          <w:tcPr>
            <w:tcW w:w="825" w:type="dxa"/>
            <w:vAlign w:val="center"/>
          </w:tcPr>
          <w:p>
            <w:pPr>
              <w:spacing w:line="240" w:lineRule="auto"/>
              <w:jc w:val="center"/>
              <w:rPr>
                <w:sz w:val="24"/>
                <w:highlight w:val="none"/>
              </w:rPr>
            </w:pPr>
          </w:p>
        </w:tc>
        <w:tc>
          <w:tcPr>
            <w:tcW w:w="984" w:type="dxa"/>
            <w:vAlign w:val="center"/>
          </w:tcPr>
          <w:p>
            <w:pPr>
              <w:spacing w:line="240" w:lineRule="auto"/>
              <w:jc w:val="center"/>
              <w:rPr>
                <w:sz w:val="24"/>
                <w:highlight w:val="none"/>
              </w:rPr>
            </w:pPr>
          </w:p>
        </w:tc>
        <w:tc>
          <w:tcPr>
            <w:tcW w:w="953" w:type="dxa"/>
            <w:vAlign w:val="center"/>
          </w:tcPr>
          <w:p>
            <w:pPr>
              <w:spacing w:line="240" w:lineRule="auto"/>
              <w:jc w:val="center"/>
              <w:rPr>
                <w:sz w:val="24"/>
                <w:highlight w:val="none"/>
              </w:rPr>
            </w:pPr>
          </w:p>
        </w:tc>
      </w:tr>
    </w:tbl>
    <w:p>
      <w:pPr>
        <w:tabs>
          <w:tab w:val="clear" w:pos="426"/>
        </w:tabs>
        <w:rPr>
          <w:rFonts w:cs="Arial"/>
          <w:bCs/>
          <w:szCs w:val="21"/>
          <w:highlight w:val="none"/>
        </w:rPr>
      </w:pPr>
      <w:r>
        <w:rPr>
          <w:rFonts w:hint="eastAsia" w:cs="Arial"/>
          <w:bCs/>
          <w:szCs w:val="21"/>
          <w:highlight w:val="none"/>
        </w:rPr>
        <w:t>备注：“产地”是指该产品的实际生产加工地，而非品牌总公司所在地。</w:t>
      </w:r>
    </w:p>
    <w:p>
      <w:pPr>
        <w:tabs>
          <w:tab w:val="clear" w:pos="426"/>
        </w:tabs>
        <w:ind w:firstLine="424" w:firstLineChars="202"/>
        <w:rPr>
          <w:rFonts w:cs="Arial"/>
          <w:bCs/>
          <w:szCs w:val="21"/>
          <w:highlight w:val="none"/>
        </w:rPr>
      </w:pPr>
    </w:p>
    <w:p>
      <w:pPr>
        <w:tabs>
          <w:tab w:val="clear" w:pos="426"/>
        </w:tabs>
        <w:ind w:firstLine="424" w:firstLineChars="202"/>
        <w:rPr>
          <w:rFonts w:cs="Arial"/>
          <w:bCs/>
          <w:szCs w:val="21"/>
          <w:highlight w:val="none"/>
        </w:rPr>
      </w:pPr>
    </w:p>
    <w:p>
      <w:pPr>
        <w:tabs>
          <w:tab w:val="clear" w:pos="426"/>
        </w:tabs>
        <w:ind w:firstLine="424" w:firstLineChars="202"/>
        <w:rPr>
          <w:rFonts w:cs="Arial"/>
          <w:bCs/>
          <w:szCs w:val="21"/>
          <w:highlight w:val="none"/>
        </w:rPr>
      </w:pPr>
    </w:p>
    <w:p>
      <w:pPr>
        <w:numPr>
          <w:ilvl w:val="0"/>
          <w:numId w:val="30"/>
        </w:numPr>
        <w:adjustRightInd/>
        <w:snapToGrid/>
        <w:spacing w:before="280" w:after="290" w:line="377" w:lineRule="auto"/>
        <w:outlineLvl w:val="2"/>
        <w:rPr>
          <w:b/>
          <w:bCs/>
          <w:sz w:val="24"/>
          <w:highlight w:val="none"/>
        </w:rPr>
      </w:pPr>
      <w:r>
        <w:rPr>
          <w:rFonts w:cs="Arial"/>
          <w:bCs/>
          <w:highlight w:val="none"/>
        </w:rPr>
        <w:br w:type="page"/>
      </w:r>
      <w:r>
        <w:rPr>
          <w:rFonts w:hint="eastAsia"/>
          <w:b/>
          <w:bCs/>
          <w:sz w:val="24"/>
          <w:highlight w:val="none"/>
        </w:rPr>
        <w:t>同类项目业绩</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r>
        <w:rPr>
          <w:rFonts w:hint="eastAsia" w:cs="Times New Roman"/>
          <w:bCs/>
          <w:kern w:val="2"/>
          <w:sz w:val="32"/>
          <w:szCs w:val="32"/>
          <w:highlight w:val="none"/>
        </w:rPr>
        <w:t>同类业绩情况一览表</w:t>
      </w:r>
    </w:p>
    <w:p>
      <w:pPr>
        <w:tabs>
          <w:tab w:val="clear" w:pos="426"/>
        </w:tabs>
        <w:wordWrap w:val="0"/>
        <w:rPr>
          <w:highlight w:val="none"/>
        </w:rPr>
      </w:pPr>
    </w:p>
    <w:p>
      <w:pPr>
        <w:tabs>
          <w:tab w:val="clear" w:pos="426"/>
        </w:tabs>
        <w:wordWrap w:val="0"/>
        <w:rPr>
          <w:highlight w:val="none"/>
          <w:u w:val="single"/>
        </w:rPr>
      </w:pPr>
      <w:r>
        <w:rPr>
          <w:rFonts w:hint="eastAsia"/>
          <w:highlight w:val="none"/>
        </w:rPr>
        <w:t>项目名称：招标项目编号：</w:t>
      </w:r>
    </w:p>
    <w:p>
      <w:pPr>
        <w:tabs>
          <w:tab w:val="clear" w:pos="426"/>
        </w:tabs>
        <w:spacing w:line="440" w:lineRule="exact"/>
        <w:jc w:val="center"/>
        <w:rPr>
          <w:b/>
          <w:bCs/>
          <w:sz w:val="28"/>
          <w:szCs w:val="28"/>
          <w:highlight w:val="none"/>
        </w:rPr>
      </w:pPr>
      <w:r>
        <w:rPr>
          <w:rFonts w:hint="eastAsia"/>
          <w:b/>
          <w:bCs/>
          <w:sz w:val="28"/>
          <w:szCs w:val="28"/>
          <w:highlight w:val="none"/>
        </w:rPr>
        <w:t>（格式自定）</w:t>
      </w:r>
    </w:p>
    <w:p>
      <w:pPr>
        <w:tabs>
          <w:tab w:val="clear" w:pos="426"/>
        </w:tabs>
        <w:spacing w:line="440" w:lineRule="exact"/>
        <w:rPr>
          <w:bCs/>
          <w:highlight w:val="none"/>
        </w:rPr>
      </w:pPr>
    </w:p>
    <w:p>
      <w:pPr>
        <w:tabs>
          <w:tab w:val="clear" w:pos="426"/>
        </w:tabs>
        <w:spacing w:line="440" w:lineRule="exact"/>
        <w:rPr>
          <w:bCs/>
          <w:highlight w:val="none"/>
        </w:rPr>
      </w:pPr>
    </w:p>
    <w:p>
      <w:pPr>
        <w:tabs>
          <w:tab w:val="clear" w:pos="426"/>
        </w:tabs>
        <w:spacing w:line="440" w:lineRule="exact"/>
        <w:rPr>
          <w:bCs/>
          <w:highlight w:val="none"/>
        </w:rPr>
      </w:pPr>
    </w:p>
    <w:p>
      <w:pPr>
        <w:tabs>
          <w:tab w:val="clear" w:pos="426"/>
        </w:tabs>
        <w:spacing w:line="440" w:lineRule="exact"/>
        <w:rPr>
          <w:bCs/>
          <w:highlight w:val="none"/>
        </w:rPr>
      </w:pPr>
    </w:p>
    <w:p>
      <w:pPr>
        <w:tabs>
          <w:tab w:val="clear" w:pos="426"/>
        </w:tabs>
        <w:spacing w:line="440" w:lineRule="exact"/>
        <w:rPr>
          <w:szCs w:val="21"/>
          <w:highlight w:val="none"/>
        </w:rPr>
      </w:pPr>
      <w:r>
        <w:rPr>
          <w:rFonts w:hint="eastAsia"/>
          <w:bCs/>
          <w:highlight w:val="none"/>
        </w:rPr>
        <w:t>备注：</w:t>
      </w:r>
      <w:r>
        <w:rPr>
          <w:rFonts w:hint="eastAsia"/>
          <w:szCs w:val="21"/>
          <w:highlight w:val="none"/>
        </w:rPr>
        <w:t>根据评审表的要求提交相应资料。</w:t>
      </w:r>
    </w:p>
    <w:p>
      <w:pPr>
        <w:adjustRightInd/>
        <w:snapToGrid/>
        <w:spacing w:before="280" w:after="290" w:line="377" w:lineRule="auto"/>
        <w:outlineLvl w:val="2"/>
        <w:rPr>
          <w:b/>
          <w:sz w:val="24"/>
          <w:highlight w:val="none"/>
        </w:rPr>
        <w:sectPr>
          <w:pgSz w:w="11906" w:h="16838"/>
          <w:pgMar w:top="1134" w:right="1134" w:bottom="1134" w:left="1418" w:header="851" w:footer="992" w:gutter="0"/>
          <w:cols w:space="425" w:num="1"/>
          <w:titlePg/>
          <w:docGrid w:linePitch="462" w:charSpace="0"/>
        </w:sectPr>
      </w:pPr>
    </w:p>
    <w:p>
      <w:pPr>
        <w:numPr>
          <w:ilvl w:val="0"/>
          <w:numId w:val="30"/>
        </w:numPr>
        <w:adjustRightInd/>
        <w:snapToGrid/>
        <w:spacing w:before="280" w:after="290" w:line="377" w:lineRule="auto"/>
        <w:outlineLvl w:val="2"/>
        <w:rPr>
          <w:b/>
          <w:bCs/>
          <w:sz w:val="24"/>
          <w:highlight w:val="none"/>
        </w:rPr>
      </w:pPr>
      <w:r>
        <w:rPr>
          <w:rFonts w:hint="eastAsia"/>
          <w:b/>
          <w:bCs/>
          <w:sz w:val="24"/>
          <w:highlight w:val="none"/>
        </w:rPr>
        <w:t>服务便利性</w:t>
      </w:r>
    </w:p>
    <w:p>
      <w:pPr>
        <w:numPr>
          <w:ilvl w:val="0"/>
          <w:numId w:val="30"/>
        </w:numPr>
        <w:adjustRightInd/>
        <w:snapToGrid/>
        <w:spacing w:before="280" w:after="290" w:line="377" w:lineRule="auto"/>
        <w:outlineLvl w:val="2"/>
        <w:rPr>
          <w:b/>
          <w:bCs/>
          <w:sz w:val="24"/>
          <w:highlight w:val="none"/>
        </w:rPr>
      </w:pPr>
      <w:r>
        <w:rPr>
          <w:rFonts w:hint="eastAsia"/>
          <w:b/>
          <w:bCs/>
          <w:sz w:val="24"/>
          <w:highlight w:val="none"/>
        </w:rPr>
        <w:t>诚信档案</w:t>
      </w:r>
    </w:p>
    <w:p>
      <w:pPr>
        <w:wordWrap w:val="0"/>
        <w:ind w:firstLine="422" w:firstLineChars="200"/>
        <w:jc w:val="left"/>
        <w:rPr>
          <w:szCs w:val="21"/>
          <w:highlight w:val="none"/>
          <w:u w:val="single"/>
        </w:rPr>
      </w:pPr>
      <w:r>
        <w:rPr>
          <w:rFonts w:hint="eastAsia"/>
          <w:b/>
          <w:bCs/>
          <w:highlight w:val="none"/>
          <w:u w:val="single"/>
        </w:rPr>
        <w:t>深圳市深水水务咨询有限公司：</w:t>
      </w:r>
    </w:p>
    <w:p>
      <w:pPr>
        <w:pStyle w:val="40"/>
        <w:ind w:firstLine="420" w:firstLineChars="200"/>
        <w:rPr>
          <w:b/>
          <w:color w:val="FF0000"/>
          <w:sz w:val="21"/>
          <w:szCs w:val="21"/>
          <w:highlight w:val="none"/>
        </w:rPr>
      </w:pPr>
      <w:r>
        <w:rPr>
          <w:rFonts w:hint="eastAsia"/>
          <w:sz w:val="21"/>
          <w:szCs w:val="21"/>
          <w:highlight w:val="none"/>
        </w:rPr>
        <w:t>根据《深圳市政府采购供应商诚信管理暂行办法》深财规〔2017〕8号相关规定，在参与贵中心组织的       （项目名称）    （项目编号：      ） 政府采购活动中，我单位承诺：</w:t>
      </w:r>
      <w:r>
        <w:rPr>
          <w:rFonts w:hint="eastAsia"/>
          <w:b/>
          <w:color w:val="FF0000"/>
          <w:sz w:val="21"/>
          <w:szCs w:val="21"/>
          <w:highlight w:val="none"/>
        </w:rPr>
        <w:t>本公司不存在违反《深圳市政府采购供应商诚信管理暂行办法》</w:t>
      </w:r>
      <w:r>
        <w:rPr>
          <w:b/>
          <w:color w:val="FF0000"/>
          <w:sz w:val="21"/>
          <w:szCs w:val="21"/>
          <w:highlight w:val="none"/>
        </w:rPr>
        <w:t>的</w:t>
      </w:r>
      <w:r>
        <w:rPr>
          <w:rFonts w:hint="eastAsia"/>
          <w:b/>
          <w:color w:val="FF0000"/>
          <w:sz w:val="21"/>
          <w:szCs w:val="21"/>
          <w:highlight w:val="none"/>
        </w:rPr>
        <w:t>情形。</w:t>
      </w:r>
    </w:p>
    <w:p>
      <w:pPr>
        <w:pStyle w:val="40"/>
        <w:ind w:firstLine="420" w:firstLineChars="200"/>
        <w:rPr>
          <w:sz w:val="21"/>
          <w:szCs w:val="21"/>
          <w:highlight w:val="none"/>
        </w:rPr>
      </w:pPr>
      <w:r>
        <w:rPr>
          <w:rFonts w:hint="eastAsia"/>
          <w:sz w:val="21"/>
          <w:szCs w:val="21"/>
          <w:highlight w:val="none"/>
        </w:rPr>
        <w:t>我单位对该承诺的真实性负责，如有不实，自愿接受相关法律法规的处罚及其他一切后果（含自愿接受将此不良行为记入</w:t>
      </w:r>
      <w:r>
        <w:rPr>
          <w:sz w:val="21"/>
          <w:szCs w:val="21"/>
          <w:highlight w:val="none"/>
        </w:rPr>
        <w:t>供应商诚信档案</w:t>
      </w:r>
      <w:r>
        <w:rPr>
          <w:rFonts w:hint="eastAsia"/>
          <w:sz w:val="21"/>
          <w:szCs w:val="21"/>
          <w:highlight w:val="none"/>
        </w:rPr>
        <w:t>和自愿接受虚假响应导致禁止参加政府采购活动的处罚等）。</w:t>
      </w:r>
    </w:p>
    <w:p>
      <w:pPr>
        <w:ind w:firstLine="420" w:firstLineChars="200"/>
        <w:rPr>
          <w:szCs w:val="21"/>
          <w:highlight w:val="none"/>
          <w:u w:val="single"/>
        </w:rPr>
      </w:pPr>
      <w:r>
        <w:rPr>
          <w:rFonts w:hint="eastAsia"/>
          <w:szCs w:val="21"/>
          <w:highlight w:val="none"/>
        </w:rPr>
        <w:t xml:space="preserve">    特此承诺。</w:t>
      </w:r>
    </w:p>
    <w:p>
      <w:pPr>
        <w:rPr>
          <w:szCs w:val="21"/>
          <w:highlight w:val="none"/>
          <w:u w:val="single"/>
        </w:rPr>
      </w:pPr>
    </w:p>
    <w:p>
      <w:pPr>
        <w:ind w:firstLine="4620" w:firstLineChars="2200"/>
        <w:jc w:val="left"/>
        <w:rPr>
          <w:szCs w:val="21"/>
          <w:highlight w:val="none"/>
        </w:rPr>
      </w:pPr>
      <w:r>
        <w:rPr>
          <w:rFonts w:hint="eastAsia"/>
          <w:szCs w:val="21"/>
          <w:highlight w:val="none"/>
        </w:rPr>
        <w:t xml:space="preserve">投标单位： </w:t>
      </w:r>
    </w:p>
    <w:p>
      <w:pPr>
        <w:tabs>
          <w:tab w:val="clear" w:pos="426"/>
        </w:tabs>
        <w:adjustRightInd/>
        <w:snapToGrid/>
        <w:spacing w:before="280" w:after="290" w:line="377" w:lineRule="auto"/>
        <w:ind w:left="634" w:leftChars="302"/>
        <w:jc w:val="right"/>
        <w:rPr>
          <w:szCs w:val="21"/>
          <w:highlight w:val="none"/>
        </w:rPr>
        <w:sectPr>
          <w:pgSz w:w="11906" w:h="16838"/>
          <w:pgMar w:top="1134" w:right="1134" w:bottom="1134" w:left="1838" w:header="851" w:footer="992" w:gutter="0"/>
          <w:cols w:space="720" w:num="1"/>
          <w:titlePg/>
          <w:docGrid w:linePitch="462" w:charSpace="0"/>
        </w:sectPr>
      </w:pPr>
      <w:r>
        <w:rPr>
          <w:rFonts w:hint="eastAsia"/>
          <w:szCs w:val="21"/>
          <w:highlight w:val="none"/>
        </w:rPr>
        <w:t>日期：      年    月    日</w:t>
      </w:r>
    </w:p>
    <w:p>
      <w:pPr>
        <w:numPr>
          <w:ilvl w:val="0"/>
          <w:numId w:val="30"/>
        </w:numPr>
        <w:adjustRightInd/>
        <w:snapToGrid/>
        <w:spacing w:before="280" w:after="290" w:line="377" w:lineRule="auto"/>
        <w:outlineLvl w:val="2"/>
        <w:rPr>
          <w:b/>
          <w:bCs/>
          <w:sz w:val="24"/>
          <w:highlight w:val="none"/>
        </w:rPr>
      </w:pPr>
      <w:r>
        <w:rPr>
          <w:rFonts w:hint="eastAsia"/>
          <w:b/>
          <w:bCs/>
          <w:sz w:val="24"/>
          <w:highlight w:val="none"/>
        </w:rPr>
        <w:t>现场踏勘</w:t>
      </w:r>
    </w:p>
    <w:p>
      <w:pPr>
        <w:numPr>
          <w:ilvl w:val="0"/>
          <w:numId w:val="30"/>
        </w:numPr>
        <w:adjustRightInd/>
        <w:snapToGrid/>
        <w:spacing w:before="280" w:after="290" w:line="377" w:lineRule="auto"/>
        <w:outlineLvl w:val="2"/>
        <w:rPr>
          <w:b/>
          <w:bCs/>
          <w:sz w:val="24"/>
          <w:highlight w:val="none"/>
        </w:rPr>
      </w:pPr>
      <w:r>
        <w:rPr>
          <w:rFonts w:hint="eastAsia"/>
          <w:b/>
          <w:bCs/>
          <w:kern w:val="2"/>
          <w:sz w:val="24"/>
          <w:highlight w:val="none"/>
        </w:rPr>
        <w:t>总体方案</w:t>
      </w:r>
    </w:p>
    <w:p>
      <w:pPr>
        <w:numPr>
          <w:ilvl w:val="0"/>
          <w:numId w:val="30"/>
        </w:numPr>
        <w:adjustRightInd/>
        <w:snapToGrid/>
        <w:spacing w:before="280" w:after="290" w:line="377" w:lineRule="auto"/>
        <w:outlineLvl w:val="2"/>
        <w:rPr>
          <w:b/>
          <w:sz w:val="24"/>
          <w:highlight w:val="none"/>
        </w:rPr>
      </w:pPr>
      <w:r>
        <w:rPr>
          <w:rFonts w:hint="eastAsia"/>
          <w:b/>
          <w:sz w:val="24"/>
          <w:highlight w:val="none"/>
        </w:rPr>
        <w:t>技术参数响应情况</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bookmarkStart w:id="85" w:name="_Toc480756080"/>
      <w:bookmarkStart w:id="86" w:name="_Toc480754213"/>
      <w:bookmarkStart w:id="87" w:name="_Toc480789484"/>
      <w:bookmarkStart w:id="88" w:name="_Toc480755934"/>
      <w:r>
        <w:rPr>
          <w:rFonts w:hint="eastAsia" w:cs="Times New Roman"/>
          <w:bCs/>
          <w:kern w:val="2"/>
          <w:sz w:val="32"/>
          <w:szCs w:val="32"/>
          <w:highlight w:val="none"/>
        </w:rPr>
        <w:t>技术规格偏离表</w:t>
      </w:r>
      <w:bookmarkEnd w:id="85"/>
      <w:bookmarkEnd w:id="86"/>
      <w:bookmarkEnd w:id="87"/>
      <w:bookmarkEnd w:id="88"/>
    </w:p>
    <w:p>
      <w:pPr>
        <w:tabs>
          <w:tab w:val="clear" w:pos="426"/>
        </w:tabs>
        <w:rPr>
          <w:rFonts w:cs="Arial"/>
          <w:bCs/>
          <w:szCs w:val="21"/>
          <w:highlight w:val="none"/>
        </w:rPr>
      </w:pPr>
    </w:p>
    <w:p>
      <w:pPr>
        <w:tabs>
          <w:tab w:val="clear" w:pos="426"/>
        </w:tabs>
        <w:rPr>
          <w:rFonts w:cs="Arial"/>
          <w:bCs/>
          <w:szCs w:val="21"/>
          <w:highlight w:val="none"/>
        </w:rPr>
      </w:pPr>
      <w:r>
        <w:rPr>
          <w:rFonts w:hint="eastAsia" w:cs="Arial"/>
          <w:bCs/>
          <w:szCs w:val="21"/>
          <w:highlight w:val="none"/>
        </w:rPr>
        <w:t>项目名称：  招标项目编号：包号：</w:t>
      </w:r>
    </w:p>
    <w:tbl>
      <w:tblPr>
        <w:tblStyle w:val="44"/>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375"/>
        <w:gridCol w:w="1593"/>
        <w:gridCol w:w="1593"/>
        <w:gridCol w:w="1594"/>
        <w:gridCol w:w="1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21" w:type="dxa"/>
            <w:vAlign w:val="center"/>
          </w:tcPr>
          <w:p>
            <w:pPr>
              <w:tabs>
                <w:tab w:val="clear" w:pos="426"/>
              </w:tabs>
              <w:adjustRightInd/>
              <w:snapToGrid/>
              <w:spacing w:line="240" w:lineRule="auto"/>
              <w:jc w:val="center"/>
              <w:rPr>
                <w:rFonts w:cs="Arial"/>
                <w:bCs/>
                <w:szCs w:val="21"/>
                <w:highlight w:val="none"/>
              </w:rPr>
            </w:pPr>
            <w:r>
              <w:rPr>
                <w:rFonts w:hint="eastAsia" w:cs="Arial"/>
                <w:bCs/>
                <w:szCs w:val="21"/>
                <w:highlight w:val="none"/>
              </w:rPr>
              <w:t>序号</w:t>
            </w:r>
          </w:p>
        </w:tc>
        <w:tc>
          <w:tcPr>
            <w:tcW w:w="2375" w:type="dxa"/>
            <w:vAlign w:val="center"/>
          </w:tcPr>
          <w:p>
            <w:pPr>
              <w:tabs>
                <w:tab w:val="clear" w:pos="426"/>
              </w:tabs>
              <w:adjustRightInd/>
              <w:snapToGrid/>
              <w:spacing w:line="240" w:lineRule="auto"/>
              <w:jc w:val="center"/>
              <w:rPr>
                <w:rFonts w:cs="Arial"/>
                <w:bCs/>
                <w:szCs w:val="21"/>
                <w:highlight w:val="none"/>
              </w:rPr>
            </w:pPr>
            <w:r>
              <w:rPr>
                <w:rFonts w:hint="eastAsia" w:cs="Arial"/>
                <w:bCs/>
                <w:szCs w:val="21"/>
                <w:highlight w:val="none"/>
              </w:rPr>
              <w:t>货物名称</w:t>
            </w:r>
          </w:p>
        </w:tc>
        <w:tc>
          <w:tcPr>
            <w:tcW w:w="1593" w:type="dxa"/>
            <w:vAlign w:val="center"/>
          </w:tcPr>
          <w:p>
            <w:pPr>
              <w:tabs>
                <w:tab w:val="clear" w:pos="426"/>
              </w:tabs>
              <w:adjustRightInd/>
              <w:snapToGrid/>
              <w:spacing w:line="240" w:lineRule="auto"/>
              <w:jc w:val="center"/>
              <w:rPr>
                <w:rFonts w:cs="Arial"/>
                <w:bCs/>
                <w:szCs w:val="21"/>
                <w:highlight w:val="none"/>
              </w:rPr>
            </w:pPr>
            <w:r>
              <w:rPr>
                <w:rFonts w:hint="eastAsia" w:cs="Arial"/>
                <w:bCs/>
                <w:szCs w:val="21"/>
                <w:highlight w:val="none"/>
              </w:rPr>
              <w:t>招标技术要求</w:t>
            </w:r>
          </w:p>
        </w:tc>
        <w:tc>
          <w:tcPr>
            <w:tcW w:w="1593" w:type="dxa"/>
            <w:vAlign w:val="center"/>
          </w:tcPr>
          <w:p>
            <w:pPr>
              <w:tabs>
                <w:tab w:val="clear" w:pos="426"/>
              </w:tabs>
              <w:adjustRightInd/>
              <w:snapToGrid/>
              <w:spacing w:line="240" w:lineRule="auto"/>
              <w:jc w:val="center"/>
              <w:rPr>
                <w:rFonts w:cs="Arial"/>
                <w:bCs/>
                <w:szCs w:val="21"/>
                <w:highlight w:val="none"/>
              </w:rPr>
            </w:pPr>
            <w:r>
              <w:rPr>
                <w:rFonts w:hint="eastAsia" w:cs="Arial"/>
                <w:bCs/>
                <w:szCs w:val="21"/>
                <w:highlight w:val="none"/>
              </w:rPr>
              <w:t>投标技术响应</w:t>
            </w:r>
          </w:p>
        </w:tc>
        <w:tc>
          <w:tcPr>
            <w:tcW w:w="1594" w:type="dxa"/>
            <w:vAlign w:val="center"/>
          </w:tcPr>
          <w:p>
            <w:pPr>
              <w:tabs>
                <w:tab w:val="clear" w:pos="426"/>
              </w:tabs>
              <w:adjustRightInd/>
              <w:snapToGrid/>
              <w:spacing w:line="240" w:lineRule="auto"/>
              <w:jc w:val="center"/>
              <w:rPr>
                <w:rFonts w:cs="Arial"/>
                <w:bCs/>
                <w:szCs w:val="21"/>
                <w:highlight w:val="none"/>
              </w:rPr>
            </w:pPr>
            <w:r>
              <w:rPr>
                <w:rFonts w:hint="eastAsia" w:cs="Arial"/>
                <w:bCs/>
                <w:szCs w:val="21"/>
                <w:highlight w:val="none"/>
              </w:rPr>
              <w:t>偏离情况</w:t>
            </w:r>
          </w:p>
        </w:tc>
        <w:tc>
          <w:tcPr>
            <w:tcW w:w="1594" w:type="dxa"/>
            <w:vAlign w:val="center"/>
          </w:tcPr>
          <w:p>
            <w:pPr>
              <w:tabs>
                <w:tab w:val="clear" w:pos="426"/>
              </w:tabs>
              <w:adjustRightInd/>
              <w:snapToGrid/>
              <w:spacing w:line="240" w:lineRule="auto"/>
              <w:jc w:val="center"/>
              <w:rPr>
                <w:rFonts w:cs="Arial"/>
                <w:bCs/>
                <w:szCs w:val="21"/>
                <w:highlight w:val="none"/>
              </w:rPr>
            </w:pPr>
            <w:r>
              <w:rPr>
                <w:rFonts w:hint="eastAsia" w:cs="Arial"/>
                <w:bCs/>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21" w:type="dxa"/>
            <w:vAlign w:val="center"/>
          </w:tcPr>
          <w:p>
            <w:pPr>
              <w:tabs>
                <w:tab w:val="clear" w:pos="426"/>
              </w:tabs>
              <w:adjustRightInd/>
              <w:snapToGrid/>
              <w:spacing w:line="240" w:lineRule="auto"/>
              <w:jc w:val="center"/>
              <w:rPr>
                <w:rFonts w:cs="Arial"/>
                <w:bCs/>
                <w:szCs w:val="21"/>
                <w:highlight w:val="none"/>
              </w:rPr>
            </w:pPr>
            <w:r>
              <w:rPr>
                <w:rFonts w:hint="eastAsia" w:cs="Arial"/>
                <w:bCs/>
                <w:szCs w:val="21"/>
                <w:highlight w:val="none"/>
              </w:rPr>
              <w:t>1</w:t>
            </w:r>
          </w:p>
        </w:tc>
        <w:tc>
          <w:tcPr>
            <w:tcW w:w="2375" w:type="dxa"/>
            <w:vAlign w:val="center"/>
          </w:tcPr>
          <w:p>
            <w:pPr>
              <w:tabs>
                <w:tab w:val="clear" w:pos="426"/>
              </w:tabs>
              <w:adjustRightInd/>
              <w:snapToGrid/>
              <w:spacing w:line="240" w:lineRule="auto"/>
              <w:jc w:val="center"/>
              <w:rPr>
                <w:rFonts w:cs="Arial"/>
                <w:bCs/>
                <w:szCs w:val="21"/>
                <w:highlight w:val="none"/>
              </w:rPr>
            </w:pPr>
          </w:p>
        </w:tc>
        <w:tc>
          <w:tcPr>
            <w:tcW w:w="1593" w:type="dxa"/>
            <w:vAlign w:val="center"/>
          </w:tcPr>
          <w:p>
            <w:pPr>
              <w:tabs>
                <w:tab w:val="clear" w:pos="426"/>
              </w:tabs>
              <w:adjustRightInd/>
              <w:snapToGrid/>
              <w:spacing w:line="240" w:lineRule="auto"/>
              <w:jc w:val="center"/>
              <w:rPr>
                <w:rFonts w:cs="Arial"/>
                <w:bCs/>
                <w:szCs w:val="21"/>
                <w:highlight w:val="none"/>
              </w:rPr>
            </w:pPr>
          </w:p>
        </w:tc>
        <w:tc>
          <w:tcPr>
            <w:tcW w:w="1593" w:type="dxa"/>
            <w:vAlign w:val="center"/>
          </w:tcPr>
          <w:p>
            <w:pPr>
              <w:tabs>
                <w:tab w:val="clear" w:pos="426"/>
              </w:tabs>
              <w:adjustRightInd/>
              <w:snapToGrid/>
              <w:spacing w:line="240" w:lineRule="auto"/>
              <w:jc w:val="center"/>
              <w:rPr>
                <w:rFonts w:cs="Arial"/>
                <w:bCs/>
                <w:szCs w:val="21"/>
                <w:highlight w:val="none"/>
              </w:rPr>
            </w:pPr>
          </w:p>
        </w:tc>
        <w:tc>
          <w:tcPr>
            <w:tcW w:w="1594" w:type="dxa"/>
            <w:vAlign w:val="center"/>
          </w:tcPr>
          <w:p>
            <w:pPr>
              <w:tabs>
                <w:tab w:val="clear" w:pos="426"/>
              </w:tabs>
              <w:adjustRightInd/>
              <w:snapToGrid/>
              <w:spacing w:line="240" w:lineRule="auto"/>
              <w:jc w:val="center"/>
              <w:rPr>
                <w:rFonts w:cs="Arial"/>
                <w:bCs/>
                <w:szCs w:val="21"/>
                <w:highlight w:val="none"/>
              </w:rPr>
            </w:pPr>
          </w:p>
        </w:tc>
        <w:tc>
          <w:tcPr>
            <w:tcW w:w="1594" w:type="dxa"/>
            <w:vAlign w:val="center"/>
          </w:tcPr>
          <w:p>
            <w:pPr>
              <w:tabs>
                <w:tab w:val="clear" w:pos="426"/>
              </w:tabs>
              <w:adjustRightInd/>
              <w:snapToGrid/>
              <w:spacing w:line="240" w:lineRule="auto"/>
              <w:jc w:val="center"/>
              <w:rPr>
                <w:rFonts w:cs="Arial"/>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21" w:type="dxa"/>
            <w:vAlign w:val="center"/>
          </w:tcPr>
          <w:p>
            <w:pPr>
              <w:tabs>
                <w:tab w:val="clear" w:pos="426"/>
              </w:tabs>
              <w:adjustRightInd/>
              <w:snapToGrid/>
              <w:spacing w:line="240" w:lineRule="auto"/>
              <w:jc w:val="center"/>
              <w:rPr>
                <w:rFonts w:cs="Arial"/>
                <w:bCs/>
                <w:szCs w:val="21"/>
                <w:highlight w:val="none"/>
              </w:rPr>
            </w:pPr>
            <w:r>
              <w:rPr>
                <w:rFonts w:hint="eastAsia" w:cs="Arial"/>
                <w:bCs/>
                <w:szCs w:val="21"/>
                <w:highlight w:val="none"/>
              </w:rPr>
              <w:t>2</w:t>
            </w:r>
          </w:p>
        </w:tc>
        <w:tc>
          <w:tcPr>
            <w:tcW w:w="2375" w:type="dxa"/>
            <w:vAlign w:val="center"/>
          </w:tcPr>
          <w:p>
            <w:pPr>
              <w:tabs>
                <w:tab w:val="clear" w:pos="426"/>
              </w:tabs>
              <w:adjustRightInd/>
              <w:snapToGrid/>
              <w:spacing w:line="240" w:lineRule="auto"/>
              <w:jc w:val="center"/>
              <w:rPr>
                <w:rFonts w:cs="Arial"/>
                <w:bCs/>
                <w:szCs w:val="21"/>
                <w:highlight w:val="none"/>
              </w:rPr>
            </w:pPr>
          </w:p>
        </w:tc>
        <w:tc>
          <w:tcPr>
            <w:tcW w:w="1593" w:type="dxa"/>
            <w:vAlign w:val="center"/>
          </w:tcPr>
          <w:p>
            <w:pPr>
              <w:tabs>
                <w:tab w:val="clear" w:pos="426"/>
              </w:tabs>
              <w:adjustRightInd/>
              <w:snapToGrid/>
              <w:spacing w:line="240" w:lineRule="auto"/>
              <w:jc w:val="center"/>
              <w:rPr>
                <w:rFonts w:cs="Arial"/>
                <w:bCs/>
                <w:szCs w:val="21"/>
                <w:highlight w:val="none"/>
              </w:rPr>
            </w:pPr>
          </w:p>
        </w:tc>
        <w:tc>
          <w:tcPr>
            <w:tcW w:w="1593" w:type="dxa"/>
            <w:vAlign w:val="center"/>
          </w:tcPr>
          <w:p>
            <w:pPr>
              <w:tabs>
                <w:tab w:val="clear" w:pos="426"/>
              </w:tabs>
              <w:adjustRightInd/>
              <w:snapToGrid/>
              <w:spacing w:line="240" w:lineRule="auto"/>
              <w:jc w:val="center"/>
              <w:rPr>
                <w:rFonts w:cs="Arial"/>
                <w:bCs/>
                <w:szCs w:val="21"/>
                <w:highlight w:val="none"/>
              </w:rPr>
            </w:pPr>
          </w:p>
        </w:tc>
        <w:tc>
          <w:tcPr>
            <w:tcW w:w="1594" w:type="dxa"/>
            <w:vAlign w:val="center"/>
          </w:tcPr>
          <w:p>
            <w:pPr>
              <w:tabs>
                <w:tab w:val="clear" w:pos="426"/>
              </w:tabs>
              <w:adjustRightInd/>
              <w:snapToGrid/>
              <w:spacing w:line="240" w:lineRule="auto"/>
              <w:jc w:val="center"/>
              <w:rPr>
                <w:rFonts w:cs="Arial"/>
                <w:bCs/>
                <w:szCs w:val="21"/>
                <w:highlight w:val="none"/>
              </w:rPr>
            </w:pPr>
          </w:p>
        </w:tc>
        <w:tc>
          <w:tcPr>
            <w:tcW w:w="1594" w:type="dxa"/>
            <w:vAlign w:val="center"/>
          </w:tcPr>
          <w:p>
            <w:pPr>
              <w:tabs>
                <w:tab w:val="clear" w:pos="426"/>
              </w:tabs>
              <w:adjustRightInd/>
              <w:snapToGrid/>
              <w:spacing w:line="240" w:lineRule="auto"/>
              <w:jc w:val="center"/>
              <w:rPr>
                <w:rFonts w:cs="Arial"/>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21" w:type="dxa"/>
            <w:vAlign w:val="center"/>
          </w:tcPr>
          <w:p>
            <w:pPr>
              <w:tabs>
                <w:tab w:val="clear" w:pos="426"/>
              </w:tabs>
              <w:adjustRightInd/>
              <w:snapToGrid/>
              <w:spacing w:line="240" w:lineRule="auto"/>
              <w:jc w:val="center"/>
              <w:rPr>
                <w:rFonts w:cs="Arial"/>
                <w:bCs/>
                <w:szCs w:val="21"/>
                <w:highlight w:val="none"/>
              </w:rPr>
            </w:pPr>
            <w:r>
              <w:rPr>
                <w:rFonts w:hint="eastAsia" w:cs="Arial"/>
                <w:bCs/>
                <w:szCs w:val="21"/>
                <w:highlight w:val="none"/>
              </w:rPr>
              <w:t>3</w:t>
            </w:r>
          </w:p>
        </w:tc>
        <w:tc>
          <w:tcPr>
            <w:tcW w:w="2375" w:type="dxa"/>
            <w:vAlign w:val="center"/>
          </w:tcPr>
          <w:p>
            <w:pPr>
              <w:tabs>
                <w:tab w:val="clear" w:pos="426"/>
              </w:tabs>
              <w:adjustRightInd/>
              <w:snapToGrid/>
              <w:spacing w:line="240" w:lineRule="auto"/>
              <w:jc w:val="center"/>
              <w:rPr>
                <w:rFonts w:cs="Arial"/>
                <w:bCs/>
                <w:szCs w:val="21"/>
                <w:highlight w:val="none"/>
              </w:rPr>
            </w:pPr>
          </w:p>
        </w:tc>
        <w:tc>
          <w:tcPr>
            <w:tcW w:w="1593" w:type="dxa"/>
            <w:vAlign w:val="center"/>
          </w:tcPr>
          <w:p>
            <w:pPr>
              <w:tabs>
                <w:tab w:val="clear" w:pos="426"/>
              </w:tabs>
              <w:adjustRightInd/>
              <w:snapToGrid/>
              <w:spacing w:line="240" w:lineRule="auto"/>
              <w:jc w:val="center"/>
              <w:rPr>
                <w:rFonts w:cs="Arial"/>
                <w:bCs/>
                <w:szCs w:val="21"/>
                <w:highlight w:val="none"/>
              </w:rPr>
            </w:pPr>
          </w:p>
        </w:tc>
        <w:tc>
          <w:tcPr>
            <w:tcW w:w="1593" w:type="dxa"/>
            <w:vAlign w:val="center"/>
          </w:tcPr>
          <w:p>
            <w:pPr>
              <w:tabs>
                <w:tab w:val="clear" w:pos="426"/>
              </w:tabs>
              <w:adjustRightInd/>
              <w:snapToGrid/>
              <w:spacing w:line="240" w:lineRule="auto"/>
              <w:jc w:val="center"/>
              <w:rPr>
                <w:rFonts w:cs="Arial"/>
                <w:bCs/>
                <w:szCs w:val="21"/>
                <w:highlight w:val="none"/>
              </w:rPr>
            </w:pPr>
          </w:p>
        </w:tc>
        <w:tc>
          <w:tcPr>
            <w:tcW w:w="1594" w:type="dxa"/>
            <w:vAlign w:val="center"/>
          </w:tcPr>
          <w:p>
            <w:pPr>
              <w:tabs>
                <w:tab w:val="clear" w:pos="426"/>
              </w:tabs>
              <w:adjustRightInd/>
              <w:snapToGrid/>
              <w:spacing w:line="240" w:lineRule="auto"/>
              <w:jc w:val="center"/>
              <w:rPr>
                <w:rFonts w:cs="Arial"/>
                <w:bCs/>
                <w:szCs w:val="21"/>
                <w:highlight w:val="none"/>
              </w:rPr>
            </w:pPr>
          </w:p>
        </w:tc>
        <w:tc>
          <w:tcPr>
            <w:tcW w:w="1594" w:type="dxa"/>
            <w:vAlign w:val="center"/>
          </w:tcPr>
          <w:p>
            <w:pPr>
              <w:tabs>
                <w:tab w:val="clear" w:pos="426"/>
              </w:tabs>
              <w:adjustRightInd/>
              <w:snapToGrid/>
              <w:spacing w:line="240" w:lineRule="auto"/>
              <w:jc w:val="center"/>
              <w:rPr>
                <w:rFonts w:cs="Arial"/>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21" w:type="dxa"/>
            <w:vAlign w:val="center"/>
          </w:tcPr>
          <w:p>
            <w:pPr>
              <w:tabs>
                <w:tab w:val="clear" w:pos="426"/>
              </w:tabs>
              <w:adjustRightInd/>
              <w:snapToGrid/>
              <w:spacing w:line="240" w:lineRule="auto"/>
              <w:jc w:val="center"/>
              <w:rPr>
                <w:rFonts w:cs="Arial"/>
                <w:bCs/>
                <w:szCs w:val="21"/>
                <w:highlight w:val="none"/>
              </w:rPr>
            </w:pPr>
            <w:r>
              <w:rPr>
                <w:rFonts w:hint="eastAsia" w:cs="Arial"/>
                <w:bCs/>
                <w:szCs w:val="21"/>
                <w:highlight w:val="none"/>
              </w:rPr>
              <w:t>……</w:t>
            </w:r>
          </w:p>
        </w:tc>
        <w:tc>
          <w:tcPr>
            <w:tcW w:w="2375" w:type="dxa"/>
            <w:vAlign w:val="center"/>
          </w:tcPr>
          <w:p>
            <w:pPr>
              <w:tabs>
                <w:tab w:val="clear" w:pos="426"/>
              </w:tabs>
              <w:adjustRightInd/>
              <w:snapToGrid/>
              <w:spacing w:line="240" w:lineRule="auto"/>
              <w:jc w:val="center"/>
              <w:rPr>
                <w:rFonts w:cs="Arial"/>
                <w:bCs/>
                <w:szCs w:val="21"/>
                <w:highlight w:val="none"/>
              </w:rPr>
            </w:pPr>
          </w:p>
        </w:tc>
        <w:tc>
          <w:tcPr>
            <w:tcW w:w="1593" w:type="dxa"/>
            <w:vAlign w:val="center"/>
          </w:tcPr>
          <w:p>
            <w:pPr>
              <w:tabs>
                <w:tab w:val="clear" w:pos="426"/>
              </w:tabs>
              <w:adjustRightInd/>
              <w:snapToGrid/>
              <w:spacing w:line="240" w:lineRule="auto"/>
              <w:jc w:val="center"/>
              <w:rPr>
                <w:rFonts w:cs="Arial"/>
                <w:bCs/>
                <w:szCs w:val="21"/>
                <w:highlight w:val="none"/>
              </w:rPr>
            </w:pPr>
          </w:p>
        </w:tc>
        <w:tc>
          <w:tcPr>
            <w:tcW w:w="1593" w:type="dxa"/>
            <w:vAlign w:val="center"/>
          </w:tcPr>
          <w:p>
            <w:pPr>
              <w:tabs>
                <w:tab w:val="clear" w:pos="426"/>
              </w:tabs>
              <w:adjustRightInd/>
              <w:snapToGrid/>
              <w:spacing w:line="240" w:lineRule="auto"/>
              <w:jc w:val="center"/>
              <w:rPr>
                <w:rFonts w:cs="Arial"/>
                <w:bCs/>
                <w:szCs w:val="21"/>
                <w:highlight w:val="none"/>
              </w:rPr>
            </w:pPr>
          </w:p>
        </w:tc>
        <w:tc>
          <w:tcPr>
            <w:tcW w:w="1594" w:type="dxa"/>
            <w:vAlign w:val="center"/>
          </w:tcPr>
          <w:p>
            <w:pPr>
              <w:tabs>
                <w:tab w:val="clear" w:pos="426"/>
              </w:tabs>
              <w:adjustRightInd/>
              <w:snapToGrid/>
              <w:spacing w:line="240" w:lineRule="auto"/>
              <w:jc w:val="center"/>
              <w:rPr>
                <w:rFonts w:cs="Arial"/>
                <w:bCs/>
                <w:szCs w:val="21"/>
                <w:highlight w:val="none"/>
              </w:rPr>
            </w:pPr>
          </w:p>
        </w:tc>
        <w:tc>
          <w:tcPr>
            <w:tcW w:w="1594" w:type="dxa"/>
            <w:vAlign w:val="center"/>
          </w:tcPr>
          <w:p>
            <w:pPr>
              <w:tabs>
                <w:tab w:val="clear" w:pos="426"/>
              </w:tabs>
              <w:adjustRightInd/>
              <w:snapToGrid/>
              <w:spacing w:line="240" w:lineRule="auto"/>
              <w:jc w:val="center"/>
              <w:rPr>
                <w:rFonts w:cs="Arial"/>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21" w:type="dxa"/>
            <w:vAlign w:val="center"/>
          </w:tcPr>
          <w:p>
            <w:pPr>
              <w:tabs>
                <w:tab w:val="clear" w:pos="426"/>
              </w:tabs>
              <w:adjustRightInd/>
              <w:snapToGrid/>
              <w:spacing w:line="240" w:lineRule="auto"/>
              <w:jc w:val="center"/>
              <w:rPr>
                <w:rFonts w:cs="Arial"/>
                <w:bCs/>
                <w:szCs w:val="21"/>
                <w:highlight w:val="none"/>
              </w:rPr>
            </w:pPr>
            <w:r>
              <w:rPr>
                <w:rFonts w:hint="eastAsia" w:cs="Arial"/>
                <w:bCs/>
                <w:szCs w:val="21"/>
                <w:highlight w:val="none"/>
              </w:rPr>
              <w:t>……</w:t>
            </w:r>
          </w:p>
        </w:tc>
        <w:tc>
          <w:tcPr>
            <w:tcW w:w="2375" w:type="dxa"/>
            <w:vAlign w:val="center"/>
          </w:tcPr>
          <w:p>
            <w:pPr>
              <w:tabs>
                <w:tab w:val="clear" w:pos="426"/>
              </w:tabs>
              <w:adjustRightInd/>
              <w:snapToGrid/>
              <w:spacing w:line="240" w:lineRule="auto"/>
              <w:jc w:val="center"/>
              <w:rPr>
                <w:rFonts w:cs="Arial"/>
                <w:bCs/>
                <w:szCs w:val="21"/>
                <w:highlight w:val="none"/>
              </w:rPr>
            </w:pPr>
          </w:p>
        </w:tc>
        <w:tc>
          <w:tcPr>
            <w:tcW w:w="1593" w:type="dxa"/>
            <w:vAlign w:val="center"/>
          </w:tcPr>
          <w:p>
            <w:pPr>
              <w:tabs>
                <w:tab w:val="clear" w:pos="426"/>
              </w:tabs>
              <w:adjustRightInd/>
              <w:snapToGrid/>
              <w:spacing w:line="240" w:lineRule="auto"/>
              <w:jc w:val="center"/>
              <w:rPr>
                <w:rFonts w:cs="Arial"/>
                <w:bCs/>
                <w:szCs w:val="21"/>
                <w:highlight w:val="none"/>
              </w:rPr>
            </w:pPr>
          </w:p>
        </w:tc>
        <w:tc>
          <w:tcPr>
            <w:tcW w:w="1593" w:type="dxa"/>
            <w:vAlign w:val="center"/>
          </w:tcPr>
          <w:p>
            <w:pPr>
              <w:tabs>
                <w:tab w:val="clear" w:pos="426"/>
              </w:tabs>
              <w:adjustRightInd/>
              <w:snapToGrid/>
              <w:spacing w:line="240" w:lineRule="auto"/>
              <w:jc w:val="center"/>
              <w:rPr>
                <w:rFonts w:cs="Arial"/>
                <w:bCs/>
                <w:szCs w:val="21"/>
                <w:highlight w:val="none"/>
              </w:rPr>
            </w:pPr>
          </w:p>
        </w:tc>
        <w:tc>
          <w:tcPr>
            <w:tcW w:w="1594" w:type="dxa"/>
            <w:vAlign w:val="center"/>
          </w:tcPr>
          <w:p>
            <w:pPr>
              <w:tabs>
                <w:tab w:val="clear" w:pos="426"/>
              </w:tabs>
              <w:adjustRightInd/>
              <w:snapToGrid/>
              <w:spacing w:line="240" w:lineRule="auto"/>
              <w:jc w:val="center"/>
              <w:rPr>
                <w:rFonts w:cs="Arial"/>
                <w:bCs/>
                <w:szCs w:val="21"/>
                <w:highlight w:val="none"/>
              </w:rPr>
            </w:pPr>
          </w:p>
        </w:tc>
        <w:tc>
          <w:tcPr>
            <w:tcW w:w="1594" w:type="dxa"/>
            <w:vAlign w:val="center"/>
          </w:tcPr>
          <w:p>
            <w:pPr>
              <w:tabs>
                <w:tab w:val="clear" w:pos="426"/>
              </w:tabs>
              <w:adjustRightInd/>
              <w:snapToGrid/>
              <w:spacing w:line="240" w:lineRule="auto"/>
              <w:jc w:val="center"/>
              <w:rPr>
                <w:rFonts w:cs="Arial"/>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21" w:type="dxa"/>
            <w:vAlign w:val="center"/>
          </w:tcPr>
          <w:p>
            <w:pPr>
              <w:tabs>
                <w:tab w:val="clear" w:pos="426"/>
              </w:tabs>
              <w:adjustRightInd/>
              <w:snapToGrid/>
              <w:spacing w:line="240" w:lineRule="auto"/>
              <w:jc w:val="center"/>
              <w:rPr>
                <w:rFonts w:cs="Arial"/>
                <w:bCs/>
                <w:szCs w:val="21"/>
                <w:highlight w:val="none"/>
              </w:rPr>
            </w:pPr>
          </w:p>
        </w:tc>
        <w:tc>
          <w:tcPr>
            <w:tcW w:w="2375" w:type="dxa"/>
            <w:vAlign w:val="center"/>
          </w:tcPr>
          <w:p>
            <w:pPr>
              <w:tabs>
                <w:tab w:val="clear" w:pos="426"/>
              </w:tabs>
              <w:adjustRightInd/>
              <w:snapToGrid/>
              <w:spacing w:line="240" w:lineRule="auto"/>
              <w:jc w:val="center"/>
              <w:rPr>
                <w:rFonts w:cs="Arial"/>
                <w:bCs/>
                <w:szCs w:val="21"/>
                <w:highlight w:val="none"/>
              </w:rPr>
            </w:pPr>
          </w:p>
        </w:tc>
        <w:tc>
          <w:tcPr>
            <w:tcW w:w="1593" w:type="dxa"/>
            <w:vAlign w:val="center"/>
          </w:tcPr>
          <w:p>
            <w:pPr>
              <w:tabs>
                <w:tab w:val="clear" w:pos="426"/>
              </w:tabs>
              <w:adjustRightInd/>
              <w:snapToGrid/>
              <w:spacing w:line="240" w:lineRule="auto"/>
              <w:jc w:val="center"/>
              <w:rPr>
                <w:rFonts w:cs="Arial"/>
                <w:bCs/>
                <w:szCs w:val="21"/>
                <w:highlight w:val="none"/>
              </w:rPr>
            </w:pPr>
          </w:p>
        </w:tc>
        <w:tc>
          <w:tcPr>
            <w:tcW w:w="1593" w:type="dxa"/>
            <w:vAlign w:val="center"/>
          </w:tcPr>
          <w:p>
            <w:pPr>
              <w:tabs>
                <w:tab w:val="clear" w:pos="426"/>
              </w:tabs>
              <w:adjustRightInd/>
              <w:snapToGrid/>
              <w:spacing w:line="240" w:lineRule="auto"/>
              <w:jc w:val="center"/>
              <w:rPr>
                <w:rFonts w:cs="Arial"/>
                <w:bCs/>
                <w:szCs w:val="21"/>
                <w:highlight w:val="none"/>
              </w:rPr>
            </w:pPr>
          </w:p>
        </w:tc>
        <w:tc>
          <w:tcPr>
            <w:tcW w:w="1594" w:type="dxa"/>
            <w:vAlign w:val="center"/>
          </w:tcPr>
          <w:p>
            <w:pPr>
              <w:tabs>
                <w:tab w:val="clear" w:pos="426"/>
              </w:tabs>
              <w:adjustRightInd/>
              <w:snapToGrid/>
              <w:spacing w:line="240" w:lineRule="auto"/>
              <w:jc w:val="center"/>
              <w:rPr>
                <w:rFonts w:cs="Arial"/>
                <w:bCs/>
                <w:szCs w:val="21"/>
                <w:highlight w:val="none"/>
              </w:rPr>
            </w:pPr>
          </w:p>
        </w:tc>
        <w:tc>
          <w:tcPr>
            <w:tcW w:w="1594" w:type="dxa"/>
            <w:vAlign w:val="center"/>
          </w:tcPr>
          <w:p>
            <w:pPr>
              <w:tabs>
                <w:tab w:val="clear" w:pos="426"/>
              </w:tabs>
              <w:adjustRightInd/>
              <w:snapToGrid/>
              <w:spacing w:line="240" w:lineRule="auto"/>
              <w:jc w:val="center"/>
              <w:rPr>
                <w:rFonts w:cs="Arial"/>
                <w:bCs/>
                <w:szCs w:val="21"/>
                <w:highlight w:val="none"/>
              </w:rPr>
            </w:pPr>
          </w:p>
        </w:tc>
      </w:tr>
    </w:tbl>
    <w:p>
      <w:pPr>
        <w:tabs>
          <w:tab w:val="clear" w:pos="426"/>
        </w:tabs>
        <w:spacing w:line="240" w:lineRule="auto"/>
        <w:rPr>
          <w:rFonts w:cs="Arial"/>
          <w:bCs/>
          <w:szCs w:val="21"/>
          <w:highlight w:val="none"/>
        </w:rPr>
      </w:pPr>
      <w:bookmarkStart w:id="89" w:name="_Hlk535526122"/>
      <w:r>
        <w:rPr>
          <w:rFonts w:hint="eastAsia" w:cs="Arial"/>
          <w:bCs/>
          <w:szCs w:val="21"/>
          <w:highlight w:val="none"/>
        </w:rPr>
        <w:t>备注：</w:t>
      </w:r>
    </w:p>
    <w:p>
      <w:pPr>
        <w:tabs>
          <w:tab w:val="clear" w:pos="426"/>
        </w:tabs>
        <w:spacing w:line="240" w:lineRule="auto"/>
        <w:ind w:firstLine="420" w:firstLineChars="200"/>
        <w:rPr>
          <w:rFonts w:cs="Arial"/>
          <w:bCs/>
          <w:szCs w:val="21"/>
          <w:highlight w:val="none"/>
        </w:rPr>
      </w:pPr>
      <w:r>
        <w:rPr>
          <w:rFonts w:hint="eastAsia" w:cs="Arial"/>
          <w:bCs/>
          <w:szCs w:val="21"/>
          <w:highlight w:val="none"/>
        </w:rPr>
        <w:t>1.“招标技术要求”一栏应填写招标文件第三章“具体技术要求”的内容，"投标技术响应"一栏必须详细填写投标产品的具体参数，不得照搬照抄招标文件的技术要求，否则评标委员会有权认定为不合格响应，“偏离情况”一栏应如实填写“正偏离”、“负偏离”或“无偏离”。</w:t>
      </w:r>
    </w:p>
    <w:p>
      <w:pPr>
        <w:tabs>
          <w:tab w:val="clear" w:pos="426"/>
        </w:tabs>
        <w:spacing w:line="240" w:lineRule="auto"/>
        <w:ind w:firstLine="420" w:firstLineChars="200"/>
        <w:rPr>
          <w:rFonts w:cs="Arial"/>
          <w:bCs/>
          <w:szCs w:val="21"/>
          <w:highlight w:val="none"/>
        </w:rPr>
      </w:pPr>
      <w:r>
        <w:rPr>
          <w:rFonts w:hint="eastAsia" w:cs="Arial"/>
          <w:bCs/>
          <w:szCs w:val="21"/>
          <w:highlight w:val="none"/>
        </w:rPr>
        <w:t>2.若“招标技术要求”要求对投标产品的技术参数提供相应的证明资料，以证明投标人响应的真实性，投标人应按照招标文件的要求提供证明资料（例如：制造商公布的产品说明书、或产品彩页、或我国政府机构出具的产品检验和核准证件等）。投标人应在"说明"一栏中列出技术参数的证明资料名称，并指明该证明资料在投标文件中的具体位置。</w:t>
      </w:r>
    </w:p>
    <w:p>
      <w:pPr>
        <w:tabs>
          <w:tab w:val="clear" w:pos="426"/>
        </w:tabs>
        <w:spacing w:line="240" w:lineRule="auto"/>
        <w:ind w:firstLine="420" w:firstLineChars="200"/>
        <w:rPr>
          <w:rFonts w:cs="Arial"/>
          <w:bCs/>
          <w:szCs w:val="21"/>
          <w:highlight w:val="none"/>
        </w:rPr>
      </w:pPr>
      <w:r>
        <w:rPr>
          <w:rFonts w:hint="eastAsia" w:cs="Arial"/>
          <w:bCs/>
          <w:szCs w:val="21"/>
          <w:highlight w:val="none"/>
        </w:rPr>
        <w:t>若“招标技术要求”没有要求对投标产品的技术参数提供相应的证明资料，投标人所提供的《技术规格偏离表》即为对招标技术要求作出投标技术响应的书面承诺，投标人在中标后应严格按照承诺内容供货和履约，否则采购人有权将相关情况报政府采购主管部门并依据相关法律法规追究投标人的责任。</w:t>
      </w:r>
    </w:p>
    <w:p>
      <w:pPr>
        <w:tabs>
          <w:tab w:val="clear" w:pos="426"/>
        </w:tabs>
        <w:spacing w:line="240" w:lineRule="auto"/>
        <w:ind w:firstLine="420" w:firstLineChars="200"/>
        <w:rPr>
          <w:rFonts w:cs="Arial"/>
          <w:bCs/>
          <w:szCs w:val="21"/>
          <w:highlight w:val="none"/>
        </w:rPr>
      </w:pPr>
      <w:r>
        <w:rPr>
          <w:rFonts w:hint="eastAsia" w:cs="Arial"/>
          <w:bCs/>
          <w:szCs w:val="21"/>
          <w:highlight w:val="none"/>
        </w:rPr>
        <w:t>3. 证明资料（均为原件复印件）的提供要求：</w:t>
      </w:r>
    </w:p>
    <w:p>
      <w:pPr>
        <w:tabs>
          <w:tab w:val="clear" w:pos="426"/>
        </w:tabs>
        <w:spacing w:line="240" w:lineRule="auto"/>
        <w:ind w:firstLine="420" w:firstLineChars="200"/>
        <w:rPr>
          <w:rFonts w:cs="Arial"/>
          <w:bCs/>
          <w:szCs w:val="21"/>
          <w:highlight w:val="none"/>
        </w:rPr>
      </w:pPr>
      <w:r>
        <w:rPr>
          <w:rFonts w:hint="eastAsia" w:cs="Arial"/>
          <w:bCs/>
          <w:szCs w:val="21"/>
          <w:highlight w:val="none"/>
        </w:rPr>
        <w:t>（1）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纸质文件上被阅读、识别和判断；</w:t>
      </w:r>
    </w:p>
    <w:p>
      <w:pPr>
        <w:tabs>
          <w:tab w:val="clear" w:pos="426"/>
        </w:tabs>
        <w:spacing w:line="240" w:lineRule="auto"/>
        <w:ind w:firstLine="420" w:firstLineChars="200"/>
        <w:rPr>
          <w:rFonts w:cs="Arial"/>
          <w:bCs/>
          <w:szCs w:val="21"/>
          <w:highlight w:val="none"/>
        </w:rPr>
      </w:pPr>
      <w:r>
        <w:rPr>
          <w:rFonts w:hint="eastAsia" w:cs="Arial"/>
          <w:bCs/>
          <w:szCs w:val="21"/>
          <w:highlight w:val="none"/>
        </w:rPr>
        <w:t>（2）我国政府机构出具的产品检验和核准证件应为证件正面、背面和附件标注的全部具体内容；产品检验和核准证件的尺寸和清晰度应该能够被阅读、识别和判断。</w:t>
      </w:r>
    </w:p>
    <w:p>
      <w:pPr>
        <w:tabs>
          <w:tab w:val="clear" w:pos="426"/>
        </w:tabs>
        <w:spacing w:line="240" w:lineRule="auto"/>
        <w:ind w:firstLine="420" w:firstLineChars="200"/>
        <w:rPr>
          <w:rFonts w:cs="Arial"/>
          <w:bCs/>
          <w:szCs w:val="21"/>
          <w:highlight w:val="none"/>
        </w:rPr>
      </w:pPr>
      <w:r>
        <w:rPr>
          <w:rFonts w:hint="eastAsia" w:cs="Arial"/>
          <w:bCs/>
          <w:szCs w:val="21"/>
          <w:highlight w:val="none"/>
        </w:rPr>
        <w:t>（3）未达到以上提供要求的，评标委员会有权认定为不合格响应，其相关分数予以扣减。</w:t>
      </w:r>
    </w:p>
    <w:bookmarkEnd w:id="89"/>
    <w:p>
      <w:pPr>
        <w:tabs>
          <w:tab w:val="clear" w:pos="426"/>
        </w:tabs>
        <w:ind w:firstLine="420" w:firstLineChars="200"/>
        <w:rPr>
          <w:rFonts w:cs="Arial"/>
          <w:bCs/>
          <w:szCs w:val="21"/>
          <w:highlight w:val="none"/>
        </w:rPr>
      </w:pPr>
    </w:p>
    <w:p>
      <w:pPr>
        <w:numPr>
          <w:ilvl w:val="0"/>
          <w:numId w:val="30"/>
        </w:numPr>
        <w:adjustRightInd/>
        <w:snapToGrid/>
        <w:spacing w:before="280" w:after="290" w:line="377" w:lineRule="auto"/>
        <w:outlineLvl w:val="2"/>
        <w:rPr>
          <w:b/>
          <w:sz w:val="24"/>
          <w:highlight w:val="none"/>
        </w:rPr>
      </w:pPr>
      <w:r>
        <w:rPr>
          <w:rFonts w:hint="eastAsia"/>
          <w:b/>
          <w:sz w:val="24"/>
          <w:highlight w:val="none"/>
        </w:rPr>
        <w:t>服务保障措施</w:t>
      </w:r>
    </w:p>
    <w:p>
      <w:pPr>
        <w:tabs>
          <w:tab w:val="clear" w:pos="426"/>
        </w:tabs>
        <w:ind w:firstLine="420" w:firstLineChars="200"/>
        <w:rPr>
          <w:rFonts w:cs="Arial"/>
          <w:bCs/>
          <w:szCs w:val="21"/>
          <w:highlight w:val="none"/>
        </w:rPr>
      </w:pPr>
    </w:p>
    <w:p>
      <w:pPr>
        <w:tabs>
          <w:tab w:val="clear" w:pos="426"/>
        </w:tabs>
        <w:ind w:firstLine="420" w:firstLineChars="200"/>
        <w:rPr>
          <w:rFonts w:cs="Arial"/>
          <w:bCs/>
          <w:szCs w:val="21"/>
          <w:highlight w:val="none"/>
        </w:rPr>
      </w:pPr>
    </w:p>
    <w:p>
      <w:pPr>
        <w:tabs>
          <w:tab w:val="clear" w:pos="426"/>
        </w:tabs>
        <w:ind w:firstLine="420" w:firstLineChars="200"/>
        <w:rPr>
          <w:rFonts w:cs="Arial"/>
          <w:bCs/>
          <w:szCs w:val="21"/>
          <w:highlight w:val="none"/>
        </w:rPr>
      </w:pPr>
    </w:p>
    <w:p>
      <w:pPr>
        <w:tabs>
          <w:tab w:val="clear" w:pos="426"/>
        </w:tabs>
        <w:ind w:firstLine="420" w:firstLineChars="200"/>
        <w:rPr>
          <w:rFonts w:cs="Arial"/>
          <w:bCs/>
          <w:szCs w:val="21"/>
          <w:highlight w:val="none"/>
        </w:rPr>
      </w:pPr>
    </w:p>
    <w:p>
      <w:pPr>
        <w:tabs>
          <w:tab w:val="clear" w:pos="426"/>
        </w:tabs>
        <w:ind w:firstLine="420" w:firstLineChars="200"/>
        <w:rPr>
          <w:rFonts w:cs="Arial"/>
          <w:bCs/>
          <w:szCs w:val="21"/>
          <w:highlight w:val="none"/>
        </w:rPr>
      </w:pPr>
    </w:p>
    <w:p>
      <w:pPr>
        <w:shd w:val="clear" w:color="auto" w:fill="auto"/>
        <w:tabs>
          <w:tab w:val="clear" w:pos="426"/>
        </w:tabs>
        <w:adjustRightInd/>
        <w:snapToGrid/>
        <w:spacing w:line="240" w:lineRule="auto"/>
        <w:jc w:val="left"/>
        <w:rPr>
          <w:b/>
          <w:sz w:val="24"/>
          <w:highlight w:val="none"/>
        </w:rPr>
      </w:pPr>
      <w:r>
        <w:rPr>
          <w:b/>
          <w:sz w:val="24"/>
          <w:highlight w:val="none"/>
        </w:rPr>
        <w:br w:type="page"/>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p>
    <w:p>
      <w:pPr>
        <w:numPr>
          <w:ilvl w:val="0"/>
          <w:numId w:val="30"/>
        </w:numPr>
        <w:adjustRightInd/>
        <w:snapToGrid/>
        <w:spacing w:before="280" w:after="290" w:line="377" w:lineRule="auto"/>
        <w:outlineLvl w:val="2"/>
        <w:rPr>
          <w:b/>
          <w:sz w:val="24"/>
          <w:highlight w:val="none"/>
        </w:rPr>
      </w:pPr>
      <w:bookmarkStart w:id="90" w:name="_Hlk5291869"/>
      <w:r>
        <w:rPr>
          <w:rFonts w:hint="eastAsia"/>
          <w:b/>
          <w:bCs/>
          <w:sz w:val="24"/>
          <w:highlight w:val="none"/>
        </w:rPr>
        <w:t>中小企业声明函及残疾人福利性单位声明函（或省级以上监狱管理局、戒毒管理局（含新疆生产建设兵团）出具的属于监狱企业的证明文件）（可选）</w:t>
      </w:r>
    </w:p>
    <w:p>
      <w:pPr>
        <w:tabs>
          <w:tab w:val="clear" w:pos="426"/>
        </w:tabs>
        <w:ind w:left="-2" w:leftChars="-1" w:firstLine="420" w:firstLineChars="200"/>
        <w:rPr>
          <w:bCs/>
          <w:szCs w:val="21"/>
          <w:highlight w:val="none"/>
        </w:rPr>
      </w:pPr>
      <w:r>
        <w:rPr>
          <w:rFonts w:hint="eastAsia"/>
          <w:bCs/>
          <w:szCs w:val="21"/>
          <w:highlight w:val="none"/>
        </w:rPr>
        <w:t>（</w:t>
      </w:r>
      <w:r>
        <w:rPr>
          <w:bCs/>
          <w:szCs w:val="21"/>
          <w:highlight w:val="none"/>
        </w:rPr>
        <w:t>1）中小企业声明函（仅限中小企业）</w:t>
      </w:r>
    </w:p>
    <w:p>
      <w:pPr>
        <w:tabs>
          <w:tab w:val="clear" w:pos="426"/>
        </w:tabs>
        <w:ind w:left="-2" w:leftChars="-1" w:firstLine="420" w:firstLineChars="200"/>
        <w:rPr>
          <w:bCs/>
          <w:szCs w:val="21"/>
          <w:highlight w:val="none"/>
        </w:rPr>
      </w:pPr>
    </w:p>
    <w:p>
      <w:pPr>
        <w:tabs>
          <w:tab w:val="clear" w:pos="426"/>
        </w:tabs>
        <w:ind w:left="-2" w:leftChars="-1" w:firstLine="420" w:firstLineChars="200"/>
        <w:rPr>
          <w:bCs/>
          <w:szCs w:val="21"/>
          <w:highlight w:val="none"/>
        </w:rPr>
      </w:pPr>
      <w:r>
        <w:rPr>
          <w:rFonts w:hint="eastAsia"/>
          <w:bCs/>
          <w:szCs w:val="21"/>
          <w:highlight w:val="none"/>
        </w:rPr>
        <w:t>本公司郑重声明，根据《政府采购促进中小企业发展暂行办法》（财库〔</w:t>
      </w:r>
      <w:r>
        <w:rPr>
          <w:bCs/>
          <w:szCs w:val="21"/>
          <w:highlight w:val="none"/>
        </w:rPr>
        <w:t>2011〕181号）的规定，本公司为______（请填写：中型、小型、微型）企业。即，本公司同时满足以下条件：</w:t>
      </w:r>
    </w:p>
    <w:p>
      <w:pPr>
        <w:tabs>
          <w:tab w:val="clear" w:pos="426"/>
        </w:tabs>
        <w:ind w:left="-2" w:leftChars="-1" w:firstLine="420" w:firstLineChars="200"/>
        <w:rPr>
          <w:bCs/>
          <w:szCs w:val="21"/>
          <w:highlight w:val="none"/>
        </w:rPr>
      </w:pPr>
      <w:r>
        <w:rPr>
          <w:bCs/>
          <w:szCs w:val="21"/>
          <w:highlight w:val="none"/>
        </w:rPr>
        <w:t>1.根据《工业和信息化部、国家统计局、国家发展和改革委员会、财政部关于印发中小企业划型标准规定的通知》（工信部联企业〔2011〕300号）规定的划分标准，本公司为______（请填写：中型、小型、微型）企业。</w:t>
      </w:r>
    </w:p>
    <w:p>
      <w:pPr>
        <w:tabs>
          <w:tab w:val="clear" w:pos="426"/>
        </w:tabs>
        <w:ind w:left="-2" w:leftChars="-1" w:firstLine="420" w:firstLineChars="200"/>
        <w:rPr>
          <w:bCs/>
          <w:szCs w:val="21"/>
          <w:highlight w:val="none"/>
        </w:rPr>
      </w:pPr>
      <w:r>
        <w:rPr>
          <w:bCs/>
          <w:szCs w:val="21"/>
          <w:highlight w:val="none"/>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tabs>
          <w:tab w:val="clear" w:pos="426"/>
        </w:tabs>
        <w:ind w:left="-2" w:leftChars="-1" w:firstLine="420" w:firstLineChars="200"/>
        <w:rPr>
          <w:bCs/>
          <w:szCs w:val="21"/>
          <w:highlight w:val="none"/>
        </w:rPr>
      </w:pPr>
      <w:r>
        <w:rPr>
          <w:rFonts w:hint="eastAsia"/>
          <w:bCs/>
          <w:szCs w:val="21"/>
          <w:highlight w:val="none"/>
        </w:rPr>
        <w:t>本公司对上述声明的真实性负责。如有虚假，将依法承担相应责任。</w:t>
      </w:r>
    </w:p>
    <w:p>
      <w:pPr>
        <w:tabs>
          <w:tab w:val="clear" w:pos="426"/>
        </w:tabs>
        <w:ind w:left="-2" w:leftChars="-1" w:firstLine="420" w:firstLineChars="200"/>
        <w:rPr>
          <w:bCs/>
          <w:szCs w:val="21"/>
          <w:highlight w:val="none"/>
        </w:rPr>
      </w:pPr>
    </w:p>
    <w:p>
      <w:pPr>
        <w:tabs>
          <w:tab w:val="clear" w:pos="426"/>
        </w:tabs>
        <w:ind w:left="-2" w:leftChars="-1" w:firstLine="420" w:firstLineChars="200"/>
        <w:rPr>
          <w:bCs/>
          <w:szCs w:val="21"/>
          <w:highlight w:val="none"/>
        </w:rPr>
      </w:pPr>
      <w:r>
        <w:rPr>
          <w:rFonts w:hint="eastAsia"/>
          <w:bCs/>
          <w:szCs w:val="21"/>
          <w:highlight w:val="none"/>
        </w:rPr>
        <w:t>（</w:t>
      </w:r>
      <w:r>
        <w:rPr>
          <w:bCs/>
          <w:szCs w:val="21"/>
          <w:highlight w:val="none"/>
        </w:rPr>
        <w:t>2）残疾人福利性单位声明函（仅限残疾人福利性单位）</w:t>
      </w:r>
    </w:p>
    <w:p>
      <w:pPr>
        <w:tabs>
          <w:tab w:val="clear" w:pos="426"/>
        </w:tabs>
        <w:ind w:left="-2" w:leftChars="-1" w:firstLine="420" w:firstLineChars="200"/>
        <w:rPr>
          <w:bCs/>
          <w:szCs w:val="21"/>
          <w:highlight w:val="none"/>
        </w:rPr>
      </w:pPr>
    </w:p>
    <w:p>
      <w:pPr>
        <w:tabs>
          <w:tab w:val="clear" w:pos="426"/>
        </w:tabs>
        <w:ind w:left="-2" w:leftChars="-1" w:firstLine="420" w:firstLineChars="200"/>
        <w:rPr>
          <w:bCs/>
          <w:szCs w:val="21"/>
          <w:highlight w:val="none"/>
        </w:rPr>
      </w:pPr>
      <w:r>
        <w:rPr>
          <w:rFonts w:hint="eastAsia"/>
          <w:bCs/>
          <w:szCs w:val="21"/>
          <w:highlight w:val="none"/>
        </w:rPr>
        <w:t>本单位郑重声明，根据《财政部</w:t>
      </w:r>
      <w:r>
        <w:rPr>
          <w:bCs/>
          <w:szCs w:val="21"/>
          <w:highlight w:val="none"/>
        </w:rPr>
        <w:t xml:space="preserve">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tabs>
          <w:tab w:val="clear" w:pos="426"/>
        </w:tabs>
        <w:ind w:left="-2" w:leftChars="-1" w:firstLine="420" w:firstLineChars="200"/>
        <w:rPr>
          <w:bCs/>
          <w:szCs w:val="21"/>
          <w:highlight w:val="none"/>
        </w:rPr>
      </w:pPr>
      <w:r>
        <w:rPr>
          <w:rFonts w:hint="eastAsia"/>
          <w:bCs/>
          <w:szCs w:val="21"/>
          <w:highlight w:val="none"/>
        </w:rPr>
        <w:t>本单位对上述声明的真实性负责。如有虚假，将依法承担相应责任。</w:t>
      </w:r>
    </w:p>
    <w:p>
      <w:pPr>
        <w:tabs>
          <w:tab w:val="clear" w:pos="426"/>
        </w:tabs>
        <w:ind w:left="-2" w:leftChars="-1" w:firstLine="420" w:firstLineChars="200"/>
        <w:rPr>
          <w:bCs/>
          <w:szCs w:val="21"/>
          <w:highlight w:val="none"/>
        </w:rPr>
      </w:pPr>
    </w:p>
    <w:p>
      <w:pPr>
        <w:tabs>
          <w:tab w:val="clear" w:pos="426"/>
        </w:tabs>
        <w:ind w:left="-2" w:leftChars="-1" w:firstLine="420" w:firstLineChars="200"/>
        <w:rPr>
          <w:bCs/>
          <w:szCs w:val="21"/>
          <w:highlight w:val="none"/>
          <w:lang w:val="en-GB"/>
        </w:rPr>
      </w:pPr>
      <w:r>
        <w:rPr>
          <w:rFonts w:hint="eastAsia"/>
          <w:bCs/>
          <w:szCs w:val="21"/>
          <w:highlight w:val="none"/>
        </w:rPr>
        <w:t>（</w:t>
      </w:r>
      <w:r>
        <w:rPr>
          <w:bCs/>
          <w:szCs w:val="21"/>
          <w:highlight w:val="none"/>
        </w:rPr>
        <w:t>3）省级以上监狱管理局、戒毒管理局（含新疆生产建设兵团）出具的属于监狱企业的证明文件（仅限监狱企业，格式自定）</w:t>
      </w:r>
    </w:p>
    <w:p>
      <w:pPr>
        <w:tabs>
          <w:tab w:val="clear" w:pos="426"/>
        </w:tabs>
        <w:ind w:firstLine="420" w:firstLineChars="200"/>
        <w:rPr>
          <w:highlight w:val="none"/>
        </w:rPr>
      </w:pPr>
    </w:p>
    <w:bookmarkEnd w:id="90"/>
    <w:p>
      <w:pPr>
        <w:tabs>
          <w:tab w:val="clear" w:pos="426"/>
        </w:tabs>
        <w:spacing w:line="500" w:lineRule="exact"/>
        <w:rPr>
          <w:highlight w:val="none"/>
          <w:u w:val="single"/>
        </w:rPr>
      </w:pPr>
      <w:r>
        <w:rPr>
          <w:rFonts w:hint="eastAsia"/>
          <w:spacing w:val="4"/>
          <w:highlight w:val="none"/>
        </w:rPr>
        <w:t>投标人名称（盖公章）：</w:t>
      </w:r>
    </w:p>
    <w:p>
      <w:pPr>
        <w:tabs>
          <w:tab w:val="clear" w:pos="426"/>
        </w:tabs>
        <w:spacing w:line="440" w:lineRule="exact"/>
        <w:rPr>
          <w:highlight w:val="none"/>
        </w:rPr>
      </w:pPr>
    </w:p>
    <w:p>
      <w:pPr>
        <w:tabs>
          <w:tab w:val="clear" w:pos="426"/>
        </w:tabs>
        <w:spacing w:line="440" w:lineRule="exact"/>
        <w:rPr>
          <w:spacing w:val="4"/>
          <w:highlight w:val="none"/>
          <w:u w:val="single"/>
        </w:rPr>
      </w:pPr>
      <w:r>
        <w:rPr>
          <w:rFonts w:hint="eastAsia"/>
          <w:highlight w:val="none"/>
        </w:rPr>
        <w:t>法定代表人或投标人授权代表（签名或盖章）：</w:t>
      </w:r>
      <w:r>
        <w:rPr>
          <w:rFonts w:hint="eastAsia"/>
          <w:spacing w:val="4"/>
          <w:highlight w:val="none"/>
        </w:rPr>
        <w:t>职务：日期：</w:t>
      </w:r>
    </w:p>
    <w:p>
      <w:pPr>
        <w:tabs>
          <w:tab w:val="clear" w:pos="426"/>
        </w:tabs>
        <w:spacing w:line="500" w:lineRule="exact"/>
        <w:rPr>
          <w:sz w:val="24"/>
          <w:highlight w:val="none"/>
        </w:rPr>
      </w:pPr>
    </w:p>
    <w:p>
      <w:pPr>
        <w:numPr>
          <w:ilvl w:val="0"/>
          <w:numId w:val="30"/>
        </w:numPr>
        <w:adjustRightInd/>
        <w:snapToGrid/>
        <w:spacing w:before="280" w:after="290" w:line="377" w:lineRule="auto"/>
        <w:outlineLvl w:val="2"/>
        <w:rPr>
          <w:b/>
          <w:sz w:val="24"/>
          <w:highlight w:val="none"/>
        </w:rPr>
      </w:pPr>
      <w:r>
        <w:rPr>
          <w:highlight w:val="none"/>
        </w:rPr>
        <w:br w:type="page"/>
      </w:r>
      <w:r>
        <w:rPr>
          <w:rFonts w:hint="eastAsia"/>
          <w:b/>
          <w:sz w:val="24"/>
          <w:highlight w:val="none"/>
        </w:rPr>
        <w:t>招标代理服务费承诺书</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bookmarkStart w:id="91" w:name="_Toc480789488"/>
      <w:bookmarkStart w:id="92" w:name="_Toc480755938"/>
      <w:bookmarkStart w:id="93" w:name="_Toc275865624"/>
      <w:bookmarkStart w:id="94" w:name="_Toc480754217"/>
      <w:bookmarkStart w:id="95" w:name="_Toc480756084"/>
      <w:r>
        <w:rPr>
          <w:rFonts w:hint="eastAsia" w:cs="Times New Roman"/>
          <w:bCs/>
          <w:kern w:val="2"/>
          <w:sz w:val="32"/>
          <w:szCs w:val="32"/>
          <w:highlight w:val="none"/>
        </w:rPr>
        <w:t>招标代理服务费承诺书</w:t>
      </w:r>
      <w:bookmarkEnd w:id="91"/>
      <w:bookmarkEnd w:id="92"/>
      <w:bookmarkEnd w:id="93"/>
      <w:bookmarkEnd w:id="94"/>
      <w:bookmarkEnd w:id="95"/>
    </w:p>
    <w:p>
      <w:pPr>
        <w:tabs>
          <w:tab w:val="clear" w:pos="426"/>
        </w:tabs>
        <w:adjustRightInd/>
        <w:snapToGrid/>
        <w:rPr>
          <w:b/>
          <w:highlight w:val="none"/>
        </w:rPr>
      </w:pPr>
    </w:p>
    <w:p>
      <w:pPr>
        <w:tabs>
          <w:tab w:val="clear" w:pos="426"/>
        </w:tabs>
        <w:adjustRightInd/>
        <w:snapToGrid/>
        <w:rPr>
          <w:highlight w:val="none"/>
        </w:rPr>
      </w:pPr>
      <w:r>
        <w:rPr>
          <w:rFonts w:hint="eastAsia"/>
          <w:highlight w:val="none"/>
        </w:rPr>
        <w:t>深圳市深水水务咨询有限公司：</w:t>
      </w:r>
    </w:p>
    <w:p>
      <w:pPr>
        <w:tabs>
          <w:tab w:val="clear" w:pos="426"/>
        </w:tabs>
        <w:adjustRightInd/>
        <w:snapToGrid/>
        <w:ind w:firstLine="420" w:firstLineChars="200"/>
        <w:rPr>
          <w:szCs w:val="21"/>
          <w:highlight w:val="none"/>
        </w:rPr>
      </w:pPr>
      <w:r>
        <w:rPr>
          <w:rFonts w:hint="eastAsia"/>
          <w:highlight w:val="none"/>
        </w:rPr>
        <w:t>本公司</w:t>
      </w:r>
      <w:r>
        <w:rPr>
          <w:rFonts w:hint="eastAsia"/>
          <w:highlight w:val="none"/>
          <w:u w:val="single"/>
        </w:rPr>
        <w:t xml:space="preserve">  (投标人名称)  </w:t>
      </w:r>
      <w:r>
        <w:rPr>
          <w:rFonts w:hint="eastAsia"/>
          <w:highlight w:val="none"/>
        </w:rPr>
        <w:t>在参加</w:t>
      </w:r>
      <w:r>
        <w:rPr>
          <w:rFonts w:hint="eastAsia"/>
          <w:highlight w:val="none"/>
          <w:u w:val="single"/>
        </w:rPr>
        <w:t xml:space="preserve">（项目名称） </w:t>
      </w:r>
      <w:r>
        <w:rPr>
          <w:rFonts w:hint="eastAsia"/>
          <w:highlight w:val="none"/>
        </w:rPr>
        <w:t>(招标项目编号：</w:t>
      </w:r>
      <w:r>
        <w:rPr>
          <w:rFonts w:hint="eastAsia"/>
          <w:highlight w:val="none"/>
          <w:u w:val="single"/>
        </w:rPr>
        <w:t xml:space="preserve">  （项目编号）  </w:t>
      </w:r>
      <w:r>
        <w:rPr>
          <w:rFonts w:hint="eastAsia"/>
          <w:highlight w:val="none"/>
        </w:rPr>
        <w:t>)的招标中如获中标</w:t>
      </w:r>
      <w:r>
        <w:rPr>
          <w:rFonts w:hint="eastAsia"/>
          <w:szCs w:val="21"/>
          <w:highlight w:val="none"/>
        </w:rPr>
        <w:t>，我公司保证按照招标文件</w:t>
      </w:r>
      <w:r>
        <w:rPr>
          <w:rFonts w:hint="eastAsia"/>
          <w:highlight w:val="none"/>
        </w:rPr>
        <w:t>的</w:t>
      </w:r>
      <w:r>
        <w:rPr>
          <w:rFonts w:hint="eastAsia"/>
          <w:szCs w:val="21"/>
          <w:highlight w:val="none"/>
        </w:rPr>
        <w:t>规定缴纳“招标代理服务费”后，凭领取人身份证复印件并加盖公章领取《中标通知书》。如采用电汇或银行转账，我</w:t>
      </w:r>
      <w:r>
        <w:rPr>
          <w:rFonts w:hint="eastAsia"/>
          <w:highlight w:val="none"/>
        </w:rPr>
        <w:t>公</w:t>
      </w:r>
      <w:r>
        <w:rPr>
          <w:rFonts w:hint="eastAsia"/>
          <w:szCs w:val="21"/>
          <w:highlight w:val="none"/>
        </w:rPr>
        <w:t>司将同时递交招标代理服务费缴费凭证复印件并加盖公章。</w:t>
      </w:r>
    </w:p>
    <w:p>
      <w:pPr>
        <w:tabs>
          <w:tab w:val="clear" w:pos="426"/>
        </w:tabs>
        <w:adjustRightInd/>
        <w:snapToGrid/>
        <w:ind w:firstLine="420" w:firstLineChars="200"/>
        <w:rPr>
          <w:highlight w:val="none"/>
        </w:rPr>
      </w:pPr>
      <w:r>
        <w:rPr>
          <w:rFonts w:hint="eastAsia"/>
          <w:highlight w:val="none"/>
        </w:rPr>
        <w:t>如我公司违反上款承诺，愿凭贵公司开出的相关通知，同意（采购代理机构名称）办理支付手续，扣除我公司提交的全部投标保证金，并愿承担由此引起的一切法律责任。</w:t>
      </w:r>
    </w:p>
    <w:p>
      <w:pPr>
        <w:tabs>
          <w:tab w:val="clear" w:pos="426"/>
        </w:tabs>
        <w:adjustRightInd/>
        <w:snapToGrid/>
        <w:ind w:firstLine="420" w:firstLineChars="200"/>
        <w:rPr>
          <w:highlight w:val="none"/>
        </w:rPr>
      </w:pPr>
      <w:r>
        <w:rPr>
          <w:rFonts w:hint="eastAsia"/>
          <w:highlight w:val="none"/>
        </w:rPr>
        <w:t>特此承诺!</w:t>
      </w:r>
    </w:p>
    <w:p>
      <w:pPr>
        <w:tabs>
          <w:tab w:val="clear" w:pos="426"/>
        </w:tabs>
        <w:spacing w:line="520" w:lineRule="exact"/>
        <w:ind w:left="424" w:leftChars="202"/>
        <w:rPr>
          <w:highlight w:val="none"/>
          <w:u w:val="single"/>
        </w:rPr>
      </w:pPr>
      <w:r>
        <w:rPr>
          <w:rFonts w:hint="eastAsia"/>
          <w:highlight w:val="none"/>
        </w:rPr>
        <w:t>投标人名称(盖公章):</w:t>
      </w:r>
    </w:p>
    <w:p>
      <w:pPr>
        <w:tabs>
          <w:tab w:val="clear" w:pos="426"/>
        </w:tabs>
        <w:spacing w:line="520" w:lineRule="exact"/>
        <w:ind w:left="424" w:leftChars="202"/>
        <w:rPr>
          <w:highlight w:val="none"/>
          <w:u w:val="single"/>
        </w:rPr>
      </w:pPr>
      <w:r>
        <w:rPr>
          <w:rFonts w:hint="eastAsia"/>
          <w:highlight w:val="none"/>
        </w:rPr>
        <w:t>投标人地址:</w:t>
      </w:r>
    </w:p>
    <w:p>
      <w:pPr>
        <w:tabs>
          <w:tab w:val="clear" w:pos="426"/>
        </w:tabs>
        <w:spacing w:line="520" w:lineRule="exact"/>
        <w:ind w:left="424" w:leftChars="202"/>
        <w:rPr>
          <w:highlight w:val="none"/>
        </w:rPr>
      </w:pPr>
      <w:r>
        <w:rPr>
          <w:rFonts w:hint="eastAsia"/>
          <w:highlight w:val="none"/>
        </w:rPr>
        <w:t>电话:</w:t>
      </w:r>
    </w:p>
    <w:p>
      <w:pPr>
        <w:tabs>
          <w:tab w:val="clear" w:pos="426"/>
        </w:tabs>
        <w:spacing w:line="520" w:lineRule="exact"/>
        <w:ind w:left="424" w:leftChars="202"/>
        <w:rPr>
          <w:highlight w:val="none"/>
        </w:rPr>
      </w:pPr>
      <w:r>
        <w:rPr>
          <w:rFonts w:hint="eastAsia"/>
          <w:highlight w:val="none"/>
        </w:rPr>
        <w:t>传真:</w:t>
      </w:r>
    </w:p>
    <w:p>
      <w:pPr>
        <w:tabs>
          <w:tab w:val="clear" w:pos="426"/>
        </w:tabs>
        <w:spacing w:line="520" w:lineRule="exact"/>
        <w:ind w:left="424" w:leftChars="202"/>
        <w:rPr>
          <w:highlight w:val="none"/>
          <w:u w:val="single"/>
        </w:rPr>
      </w:pPr>
      <w:r>
        <w:rPr>
          <w:rFonts w:hint="eastAsia"/>
          <w:highlight w:val="none"/>
        </w:rPr>
        <w:t>法定代表人或投标人授权代表（签名或盖章）</w:t>
      </w:r>
    </w:p>
    <w:p>
      <w:pPr>
        <w:tabs>
          <w:tab w:val="clear" w:pos="426"/>
        </w:tabs>
        <w:spacing w:line="520" w:lineRule="exact"/>
        <w:ind w:left="424" w:leftChars="202"/>
        <w:rPr>
          <w:highlight w:val="none"/>
          <w:u w:val="single"/>
        </w:rPr>
      </w:pPr>
    </w:p>
    <w:p>
      <w:pPr>
        <w:tabs>
          <w:tab w:val="clear" w:pos="426"/>
        </w:tabs>
        <w:spacing w:line="520" w:lineRule="exact"/>
        <w:ind w:left="424" w:leftChars="202"/>
        <w:rPr>
          <w:highlight w:val="none"/>
        </w:rPr>
      </w:pPr>
    </w:p>
    <w:p>
      <w:pPr>
        <w:tabs>
          <w:tab w:val="clear" w:pos="426"/>
        </w:tabs>
        <w:spacing w:line="520" w:lineRule="exact"/>
        <w:ind w:left="424" w:leftChars="202"/>
        <w:rPr>
          <w:highlight w:val="none"/>
        </w:rPr>
      </w:pPr>
    </w:p>
    <w:p>
      <w:pPr>
        <w:tabs>
          <w:tab w:val="clear" w:pos="426"/>
        </w:tabs>
        <w:spacing w:line="520" w:lineRule="exact"/>
        <w:ind w:left="424" w:leftChars="202"/>
        <w:rPr>
          <w:highlight w:val="none"/>
        </w:rPr>
      </w:pP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p>
    <w:p>
      <w:pPr>
        <w:shd w:val="clear" w:color="auto" w:fill="auto"/>
        <w:tabs>
          <w:tab w:val="clear" w:pos="426"/>
        </w:tabs>
        <w:adjustRightInd/>
        <w:snapToGrid/>
        <w:spacing w:line="240" w:lineRule="auto"/>
        <w:jc w:val="left"/>
        <w:rPr>
          <w:rFonts w:cs="Times New Roman"/>
          <w:bCs/>
          <w:kern w:val="2"/>
          <w:sz w:val="32"/>
          <w:szCs w:val="32"/>
          <w:highlight w:val="none"/>
        </w:rPr>
      </w:pPr>
      <w:r>
        <w:rPr>
          <w:rFonts w:cs="Times New Roman"/>
          <w:bCs/>
          <w:kern w:val="2"/>
          <w:sz w:val="32"/>
          <w:szCs w:val="32"/>
          <w:highlight w:val="none"/>
        </w:rPr>
        <w:br w:type="page"/>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r>
        <w:rPr>
          <w:rFonts w:hint="eastAsia" w:cs="Times New Roman"/>
          <w:bCs/>
          <w:kern w:val="2"/>
          <w:sz w:val="32"/>
          <w:szCs w:val="32"/>
          <w:highlight w:val="none"/>
        </w:rPr>
        <w:t>招标代理服务费发票开具须知</w:t>
      </w:r>
    </w:p>
    <w:tbl>
      <w:tblPr>
        <w:tblStyle w:val="4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7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159" w:type="dxa"/>
            <w:vAlign w:val="center"/>
          </w:tcPr>
          <w:p>
            <w:pPr>
              <w:tabs>
                <w:tab w:val="clear" w:pos="426"/>
              </w:tabs>
              <w:spacing w:line="520" w:lineRule="exact"/>
              <w:rPr>
                <w:b/>
                <w:highlight w:val="none"/>
              </w:rPr>
            </w:pPr>
            <w:r>
              <w:rPr>
                <w:rFonts w:hint="eastAsia"/>
                <w:b/>
                <w:highlight w:val="none"/>
              </w:rPr>
              <w:t>发票类型</w:t>
            </w:r>
          </w:p>
        </w:tc>
        <w:tc>
          <w:tcPr>
            <w:tcW w:w="7363" w:type="dxa"/>
            <w:vAlign w:val="center"/>
          </w:tcPr>
          <w:p>
            <w:pPr>
              <w:tabs>
                <w:tab w:val="clear" w:pos="426"/>
              </w:tabs>
              <w:spacing w:line="520" w:lineRule="exact"/>
              <w:ind w:firstLine="420" w:firstLineChars="200"/>
              <w:rPr>
                <w:highlight w:val="none"/>
              </w:rPr>
            </w:pPr>
            <w:r>
              <w:rPr>
                <w:rFonts w:hint="eastAsia"/>
                <w:highlight w:val="none"/>
              </w:rPr>
              <w:t>□增值税普通发票          □增值税专用发票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5" w:hRule="atLeast"/>
          <w:jc w:val="center"/>
        </w:trPr>
        <w:tc>
          <w:tcPr>
            <w:tcW w:w="8522" w:type="dxa"/>
            <w:gridSpan w:val="2"/>
            <w:vAlign w:val="center"/>
          </w:tcPr>
          <w:p>
            <w:pPr>
              <w:tabs>
                <w:tab w:val="clear" w:pos="426"/>
              </w:tabs>
              <w:spacing w:line="520" w:lineRule="exact"/>
              <w:rPr>
                <w:highlight w:val="none"/>
              </w:rPr>
            </w:pPr>
            <w:r>
              <w:rPr>
                <w:rFonts w:hint="eastAsia"/>
                <w:highlight w:val="none"/>
              </w:rPr>
              <w:t>如选择增值税专用发票，需提供以下材料，投标时密封于开标信封中：</w:t>
            </w:r>
          </w:p>
          <w:p>
            <w:pPr>
              <w:tabs>
                <w:tab w:val="clear" w:pos="426"/>
              </w:tabs>
              <w:spacing w:line="520" w:lineRule="exact"/>
              <w:rPr>
                <w:highlight w:val="none"/>
              </w:rPr>
            </w:pPr>
            <w:r>
              <w:rPr>
                <w:rFonts w:hint="eastAsia"/>
                <w:highlight w:val="none"/>
              </w:rPr>
              <w:t xml:space="preserve">1、营业执照、一般纳税人资格认定税务通知书或其他可证明具有该项资格证明文件的复印件，加盖单位公章； </w:t>
            </w:r>
          </w:p>
          <w:p>
            <w:pPr>
              <w:tabs>
                <w:tab w:val="clear" w:pos="426"/>
              </w:tabs>
              <w:spacing w:line="520" w:lineRule="exact"/>
              <w:rPr>
                <w:highlight w:val="none"/>
              </w:rPr>
            </w:pPr>
            <w:r>
              <w:rPr>
                <w:rFonts w:hint="eastAsia"/>
                <w:highlight w:val="none"/>
              </w:rPr>
              <w:t>2、客户的开票资料（单位名称、纳税人识别号、地址、电话、开户行全称及账号</w:t>
            </w:r>
            <w:r>
              <w:rPr>
                <w:highlight w:val="none"/>
              </w:rPr>
              <w:t>）</w:t>
            </w:r>
            <w:r>
              <w:rPr>
                <w:rFonts w:hint="eastAsia"/>
                <w:highlight w:val="none"/>
              </w:rPr>
              <w:t>，加盖单位公章。</w:t>
            </w:r>
          </w:p>
        </w:tc>
      </w:tr>
    </w:tbl>
    <w:p>
      <w:pPr>
        <w:tabs>
          <w:tab w:val="clear" w:pos="426"/>
        </w:tabs>
        <w:rPr>
          <w:b/>
          <w:szCs w:val="21"/>
          <w:highlight w:val="none"/>
        </w:rPr>
      </w:pPr>
    </w:p>
    <w:p>
      <w:pPr>
        <w:tabs>
          <w:tab w:val="clear" w:pos="426"/>
        </w:tabs>
        <w:rPr>
          <w:b/>
          <w:szCs w:val="21"/>
          <w:highlight w:val="none"/>
        </w:rPr>
      </w:pPr>
    </w:p>
    <w:p>
      <w:pPr>
        <w:tabs>
          <w:tab w:val="clear" w:pos="426"/>
        </w:tabs>
        <w:jc w:val="center"/>
        <w:rPr>
          <w:b/>
          <w:szCs w:val="21"/>
          <w:highlight w:val="none"/>
        </w:rPr>
      </w:pPr>
      <w:r>
        <w:rPr>
          <w:rFonts w:hint="eastAsia"/>
          <w:b/>
          <w:szCs w:val="21"/>
          <w:highlight w:val="none"/>
        </w:rPr>
        <w:t>附：缴纳</w:t>
      </w:r>
      <w:r>
        <w:rPr>
          <w:b/>
          <w:szCs w:val="21"/>
          <w:highlight w:val="none"/>
        </w:rPr>
        <w:t>招标代理服务费</w:t>
      </w:r>
      <w:r>
        <w:rPr>
          <w:rFonts w:hint="eastAsia"/>
          <w:b/>
          <w:szCs w:val="21"/>
          <w:highlight w:val="none"/>
        </w:rPr>
        <w:t>账号</w:t>
      </w:r>
      <w:r>
        <w:rPr>
          <w:b/>
          <w:szCs w:val="21"/>
          <w:highlight w:val="none"/>
        </w:rPr>
        <w:t>：</w:t>
      </w:r>
    </w:p>
    <w:tbl>
      <w:tblPr>
        <w:tblStyle w:val="44"/>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55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szCs w:val="21"/>
                <w:highlight w:val="none"/>
              </w:rPr>
            </w:pPr>
            <w:r>
              <w:rPr>
                <w:b/>
                <w:szCs w:val="21"/>
                <w:highlight w:val="none"/>
              </w:rPr>
              <w:t>收款人名称</w:t>
            </w:r>
          </w:p>
        </w:tc>
        <w:tc>
          <w:tcPr>
            <w:tcW w:w="5579" w:type="dxa"/>
            <w:vAlign w:val="center"/>
          </w:tcPr>
          <w:p>
            <w:pPr>
              <w:tabs>
                <w:tab w:val="clear" w:pos="426"/>
              </w:tabs>
              <w:spacing w:line="240" w:lineRule="auto"/>
              <w:jc w:val="center"/>
              <w:rPr>
                <w:szCs w:val="21"/>
                <w:highlight w:val="none"/>
              </w:rPr>
            </w:pPr>
            <w:r>
              <w:rPr>
                <w:rFonts w:hint="eastAsia"/>
                <w:szCs w:val="21"/>
                <w:highlight w:val="none"/>
              </w:rPr>
              <w:t>深圳市深水水务咨询有限公司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szCs w:val="21"/>
                <w:highlight w:val="none"/>
              </w:rPr>
            </w:pPr>
            <w:r>
              <w:rPr>
                <w:b/>
                <w:szCs w:val="21"/>
                <w:highlight w:val="none"/>
              </w:rPr>
              <w:t>开户银行</w:t>
            </w:r>
          </w:p>
        </w:tc>
        <w:tc>
          <w:tcPr>
            <w:tcW w:w="5579" w:type="dxa"/>
            <w:vAlign w:val="center"/>
          </w:tcPr>
          <w:p>
            <w:pPr>
              <w:tabs>
                <w:tab w:val="clear" w:pos="426"/>
              </w:tabs>
              <w:spacing w:line="240" w:lineRule="auto"/>
              <w:jc w:val="center"/>
              <w:rPr>
                <w:b/>
                <w:szCs w:val="21"/>
                <w:highlight w:val="none"/>
              </w:rPr>
            </w:pPr>
            <w:r>
              <w:rPr>
                <w:rFonts w:hint="eastAsia"/>
                <w:highlight w:val="none"/>
              </w:rPr>
              <w:t>中国工商银行深圳红围支行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szCs w:val="21"/>
                <w:highlight w:val="none"/>
              </w:rPr>
            </w:pPr>
            <w:r>
              <w:rPr>
                <w:rFonts w:hint="eastAsia"/>
                <w:b/>
                <w:szCs w:val="21"/>
                <w:highlight w:val="none"/>
              </w:rPr>
              <w:t>账</w:t>
            </w:r>
            <w:r>
              <w:rPr>
                <w:b/>
                <w:szCs w:val="21"/>
                <w:highlight w:val="none"/>
              </w:rPr>
              <w:t xml:space="preserve">    号</w:t>
            </w:r>
          </w:p>
        </w:tc>
        <w:tc>
          <w:tcPr>
            <w:tcW w:w="5579" w:type="dxa"/>
            <w:vAlign w:val="center"/>
          </w:tcPr>
          <w:p>
            <w:pPr>
              <w:tabs>
                <w:tab w:val="clear" w:pos="426"/>
              </w:tabs>
              <w:spacing w:line="240" w:lineRule="auto"/>
              <w:jc w:val="center"/>
              <w:rPr>
                <w:b/>
                <w:szCs w:val="21"/>
                <w:highlight w:val="none"/>
              </w:rPr>
            </w:pPr>
            <w:r>
              <w:rPr>
                <w:rFonts w:hint="eastAsia"/>
                <w:highlight w:val="none"/>
              </w:rPr>
              <w:t>4000021219200366130</w:t>
            </w:r>
          </w:p>
        </w:tc>
      </w:tr>
    </w:tbl>
    <w:p>
      <w:pPr>
        <w:tabs>
          <w:tab w:val="clear" w:pos="426"/>
        </w:tabs>
        <w:rPr>
          <w:rFonts w:cs="Arial"/>
          <w:bCs/>
          <w:sz w:val="24"/>
          <w:highlight w:val="none"/>
        </w:rPr>
      </w:pPr>
    </w:p>
    <w:p>
      <w:pPr>
        <w:tabs>
          <w:tab w:val="clear" w:pos="426"/>
        </w:tabs>
        <w:spacing w:line="440" w:lineRule="exact"/>
        <w:rPr>
          <w:spacing w:val="4"/>
          <w:highlight w:val="none"/>
          <w:u w:val="single"/>
        </w:rPr>
      </w:pPr>
    </w:p>
    <w:p>
      <w:pPr>
        <w:tabs>
          <w:tab w:val="clear" w:pos="426"/>
        </w:tabs>
        <w:spacing w:line="440" w:lineRule="exact"/>
        <w:rPr>
          <w:bCs/>
          <w:highlight w:val="none"/>
        </w:rPr>
      </w:pPr>
      <w:r>
        <w:rPr>
          <w:spacing w:val="4"/>
          <w:highlight w:val="none"/>
          <w:u w:val="single"/>
        </w:rPr>
        <w:br w:type="page"/>
      </w:r>
    </w:p>
    <w:p>
      <w:pPr>
        <w:tabs>
          <w:tab w:val="clear" w:pos="426"/>
        </w:tabs>
        <w:spacing w:line="440" w:lineRule="exact"/>
        <w:rPr>
          <w:spacing w:val="4"/>
          <w:highlight w:val="none"/>
          <w:u w:val="single"/>
        </w:rPr>
      </w:pPr>
    </w:p>
    <w:bookmarkEnd w:id="77"/>
    <w:bookmarkEnd w:id="78"/>
    <w:bookmarkEnd w:id="79"/>
    <w:bookmarkEnd w:id="80"/>
    <w:p>
      <w:pPr>
        <w:adjustRightInd/>
        <w:snapToGrid/>
        <w:spacing w:before="280" w:after="290" w:line="377" w:lineRule="auto"/>
        <w:outlineLvl w:val="2"/>
        <w:rPr>
          <w:b/>
          <w:sz w:val="24"/>
          <w:highlight w:val="none"/>
        </w:rPr>
      </w:pPr>
      <w:r>
        <w:rPr>
          <w:rFonts w:hint="eastAsia"/>
          <w:b/>
          <w:bCs/>
          <w:sz w:val="24"/>
          <w:highlight w:val="none"/>
        </w:rPr>
        <w:t>十九、招标文件要求的其他内容及投标人认为需要加以说明的其他内容</w:t>
      </w:r>
    </w:p>
    <w:p>
      <w:pPr>
        <w:tabs>
          <w:tab w:val="clear" w:pos="426"/>
        </w:tabs>
        <w:adjustRightInd/>
        <w:snapToGrid/>
        <w:ind w:firstLine="420" w:firstLineChars="200"/>
        <w:rPr>
          <w:highlight w:val="none"/>
        </w:rPr>
      </w:pPr>
      <w:bookmarkStart w:id="96" w:name="_Toc398220528"/>
      <w:r>
        <w:rPr>
          <w:rFonts w:hint="eastAsia"/>
          <w:highlight w:val="none"/>
        </w:rPr>
        <w:t>提供招标公告和评标信息中关于投标人的其他相关证明文件（如评标信息中涉及的各种证件（身份证除外）、设备发票等，未涉及的可以不提供）。</w:t>
      </w:r>
    </w:p>
    <w:p>
      <w:pPr>
        <w:tabs>
          <w:tab w:val="clear" w:pos="426"/>
        </w:tabs>
        <w:rPr>
          <w:highlight w:val="none"/>
        </w:rPr>
      </w:pPr>
    </w:p>
    <w:p>
      <w:pPr>
        <w:tabs>
          <w:tab w:val="clear" w:pos="426"/>
        </w:tabs>
        <w:rPr>
          <w:highlight w:val="none"/>
        </w:rPr>
      </w:pPr>
    </w:p>
    <w:p>
      <w:pPr>
        <w:pStyle w:val="42"/>
        <w:tabs>
          <w:tab w:val="clear" w:pos="426"/>
        </w:tabs>
        <w:rPr>
          <w:highlight w:val="none"/>
        </w:rPr>
      </w:pPr>
      <w:r>
        <w:rPr>
          <w:highlight w:val="none"/>
        </w:rPr>
        <w:br w:type="page"/>
      </w:r>
      <w:bookmarkStart w:id="97" w:name="_Toc5875393"/>
      <w:r>
        <w:rPr>
          <w:rFonts w:hint="eastAsia"/>
          <w:highlight w:val="none"/>
        </w:rPr>
        <w:t>第二册  通用条款</w:t>
      </w:r>
      <w:bookmarkEnd w:id="96"/>
      <w:bookmarkEnd w:id="97"/>
    </w:p>
    <w:p>
      <w:pPr>
        <w:jc w:val="center"/>
        <w:rPr>
          <w:b/>
          <w:highlight w:val="none"/>
        </w:rPr>
      </w:pPr>
      <w:bookmarkStart w:id="98" w:name="_Toc432592821"/>
      <w:bookmarkStart w:id="99" w:name="_Toc398220529"/>
      <w:r>
        <w:rPr>
          <w:rFonts w:hint="eastAsia"/>
          <w:b/>
          <w:highlight w:val="none"/>
        </w:rPr>
        <w:t>（投标人须知）</w:t>
      </w:r>
    </w:p>
    <w:p>
      <w:pPr>
        <w:pStyle w:val="5"/>
        <w:rPr>
          <w:highlight w:val="none"/>
        </w:rPr>
      </w:pPr>
      <w:bookmarkStart w:id="100" w:name="_Toc5875394"/>
      <w:r>
        <w:rPr>
          <w:rFonts w:hint="eastAsia"/>
          <w:highlight w:val="none"/>
        </w:rPr>
        <w:t>第一章 总则</w:t>
      </w:r>
      <w:bookmarkEnd w:id="98"/>
      <w:bookmarkEnd w:id="99"/>
      <w:bookmarkEnd w:id="100"/>
    </w:p>
    <w:p>
      <w:pPr>
        <w:tabs>
          <w:tab w:val="clear" w:pos="426"/>
        </w:tabs>
        <w:rPr>
          <w:highlight w:val="none"/>
        </w:rPr>
      </w:pPr>
      <w:r>
        <w:rPr>
          <w:rFonts w:hint="eastAsia"/>
          <w:highlight w:val="none"/>
        </w:rPr>
        <w:t>1.通用条款说明</w:t>
      </w:r>
    </w:p>
    <w:p>
      <w:pPr>
        <w:tabs>
          <w:tab w:val="clear" w:pos="426"/>
        </w:tabs>
        <w:rPr>
          <w:highlight w:val="none"/>
        </w:rPr>
      </w:pPr>
      <w:r>
        <w:rPr>
          <w:rFonts w:hint="eastAsia"/>
          <w:highlight w:val="none"/>
        </w:rPr>
        <w:t>1.1采购代理机构发出招标文件通用条款版本，列出深圳市政府采购项目进行招标采购所适用的通用条款内容。如有需要，采购代理机构可以对这些条款增加附录或补充内容。</w:t>
      </w:r>
    </w:p>
    <w:p>
      <w:pPr>
        <w:tabs>
          <w:tab w:val="clear" w:pos="426"/>
        </w:tabs>
        <w:rPr>
          <w:highlight w:val="none"/>
        </w:rPr>
      </w:pPr>
      <w:bookmarkStart w:id="101" w:name="_Toc100052366"/>
      <w:bookmarkStart w:id="102" w:name="_Toc73521549"/>
      <w:bookmarkStart w:id="103" w:name="_Toc73521637"/>
      <w:bookmarkStart w:id="104" w:name="_Toc73517641"/>
      <w:bookmarkStart w:id="105" w:name="_Toc60560627"/>
      <w:bookmarkStart w:id="106" w:name="_Toc60631622"/>
      <w:bookmarkStart w:id="107" w:name="_Toc73518119"/>
      <w:bookmarkStart w:id="108" w:name="_Toc73521639"/>
      <w:bookmarkStart w:id="109" w:name="_Toc100052368"/>
      <w:bookmarkStart w:id="110" w:name="_Toc73518121"/>
      <w:bookmarkStart w:id="111" w:name="_Toc60631624"/>
      <w:bookmarkStart w:id="112" w:name="_Toc73517643"/>
      <w:bookmarkStart w:id="113" w:name="_Toc73521551"/>
      <w:bookmarkStart w:id="114" w:name="_Toc60560629"/>
      <w:r>
        <w:rPr>
          <w:rFonts w:hint="eastAsia"/>
          <w:highlight w:val="none"/>
        </w:rPr>
        <w:t>2</w:t>
      </w:r>
      <w:r>
        <w:rPr>
          <w:highlight w:val="none"/>
        </w:rPr>
        <w:t>．</w:t>
      </w:r>
      <w:r>
        <w:rPr>
          <w:rFonts w:hint="eastAsia"/>
          <w:highlight w:val="none"/>
        </w:rPr>
        <w:t>招标说明</w:t>
      </w:r>
      <w:bookmarkEnd w:id="101"/>
      <w:bookmarkEnd w:id="102"/>
      <w:bookmarkEnd w:id="103"/>
      <w:bookmarkEnd w:id="104"/>
      <w:bookmarkEnd w:id="105"/>
      <w:bookmarkEnd w:id="106"/>
      <w:bookmarkEnd w:id="107"/>
    </w:p>
    <w:p>
      <w:pPr>
        <w:tabs>
          <w:tab w:val="clear" w:pos="426"/>
        </w:tabs>
        <w:rPr>
          <w:color w:val="000000"/>
          <w:szCs w:val="21"/>
          <w:highlight w:val="none"/>
        </w:rPr>
      </w:pPr>
      <w:r>
        <w:rPr>
          <w:rFonts w:hint="eastAsia"/>
          <w:highlight w:val="none"/>
        </w:rPr>
        <w:t>本项目按照《深圳经济特区政府采购条例》《深圳网上政府采购管理暂行办法》《深圳市政府采购评标定标分离管理暂行办法》的规定，并参考有关法规、政策、规章、规定通过招标择优选定供应商。</w:t>
      </w:r>
      <w:r>
        <w:rPr>
          <w:rFonts w:hint="eastAsia"/>
          <w:color w:val="000000"/>
          <w:szCs w:val="21"/>
          <w:highlight w:val="none"/>
        </w:rPr>
        <w:t>本招标文件适用于</w:t>
      </w:r>
      <w:r>
        <w:rPr>
          <w:rFonts w:hint="eastAsia"/>
          <w:szCs w:val="21"/>
          <w:highlight w:val="none"/>
        </w:rPr>
        <w:t>采购公告中所述项目的</w:t>
      </w:r>
      <w:r>
        <w:rPr>
          <w:rFonts w:hint="eastAsia"/>
          <w:color w:val="000000"/>
          <w:szCs w:val="21"/>
          <w:highlight w:val="none"/>
        </w:rPr>
        <w:t>政府采购。</w:t>
      </w:r>
    </w:p>
    <w:p>
      <w:pPr>
        <w:tabs>
          <w:tab w:val="clear" w:pos="426"/>
        </w:tabs>
        <w:rPr>
          <w:color w:val="000000"/>
          <w:szCs w:val="21"/>
          <w:highlight w:val="none"/>
        </w:rPr>
      </w:pPr>
      <w:r>
        <w:rPr>
          <w:rFonts w:hint="eastAsia"/>
          <w:color w:val="000000"/>
          <w:szCs w:val="21"/>
          <w:highlight w:val="none"/>
        </w:rPr>
        <w:t>本招标文件的解释权归属深圳市深水水务咨询有限公司。</w:t>
      </w:r>
    </w:p>
    <w:p>
      <w:pPr>
        <w:tabs>
          <w:tab w:val="clear" w:pos="426"/>
        </w:tabs>
        <w:rPr>
          <w:highlight w:val="none"/>
        </w:rPr>
      </w:pPr>
      <w:bookmarkStart w:id="115" w:name="_Toc60560628"/>
      <w:bookmarkStart w:id="116" w:name="_Toc100052367"/>
      <w:bookmarkStart w:id="117" w:name="_Toc73517642"/>
      <w:bookmarkStart w:id="118" w:name="_Toc73521550"/>
      <w:bookmarkStart w:id="119" w:name="_Toc73518120"/>
      <w:bookmarkStart w:id="120" w:name="_Toc60631623"/>
      <w:bookmarkStart w:id="121" w:name="_Toc73521638"/>
      <w:r>
        <w:rPr>
          <w:rFonts w:hint="eastAsia"/>
          <w:highlight w:val="none"/>
        </w:rPr>
        <w:t>3．定义</w:t>
      </w:r>
      <w:bookmarkEnd w:id="115"/>
      <w:bookmarkEnd w:id="116"/>
      <w:bookmarkEnd w:id="117"/>
      <w:bookmarkEnd w:id="118"/>
      <w:bookmarkEnd w:id="119"/>
      <w:bookmarkEnd w:id="120"/>
      <w:bookmarkEnd w:id="121"/>
    </w:p>
    <w:p>
      <w:pPr>
        <w:tabs>
          <w:tab w:val="clear" w:pos="426"/>
        </w:tabs>
        <w:rPr>
          <w:highlight w:val="none"/>
        </w:rPr>
      </w:pPr>
      <w:r>
        <w:rPr>
          <w:highlight w:val="none"/>
        </w:rPr>
        <w:t>招标文件中下列术语应解释为：</w:t>
      </w:r>
    </w:p>
    <w:p>
      <w:pPr>
        <w:tabs>
          <w:tab w:val="clear" w:pos="426"/>
        </w:tabs>
        <w:rPr>
          <w:highlight w:val="none"/>
        </w:rPr>
      </w:pPr>
      <w:r>
        <w:rPr>
          <w:rFonts w:hint="eastAsia"/>
          <w:szCs w:val="21"/>
          <w:highlight w:val="none"/>
        </w:rPr>
        <w:t>3.</w:t>
      </w:r>
      <w:r>
        <w:rPr>
          <w:szCs w:val="21"/>
          <w:highlight w:val="none"/>
        </w:rPr>
        <w:t>1</w:t>
      </w:r>
      <w:r>
        <w:rPr>
          <w:rFonts w:hint="eastAsia"/>
          <w:szCs w:val="21"/>
          <w:highlight w:val="none"/>
        </w:rPr>
        <w:t>“采购代理机构”</w:t>
      </w:r>
      <w:r>
        <w:rPr>
          <w:rFonts w:hint="eastAsia"/>
          <w:highlight w:val="none"/>
        </w:rPr>
        <w:t>系指政府设立的负责本级财政性资金的集中采购和招标组织工作的专门机构；本项目</w:t>
      </w:r>
      <w:r>
        <w:rPr>
          <w:highlight w:val="none"/>
        </w:rPr>
        <w:t>系指</w:t>
      </w:r>
      <w:r>
        <w:rPr>
          <w:rFonts w:hint="eastAsia"/>
          <w:highlight w:val="none"/>
        </w:rPr>
        <w:t>深圳市深水水务咨询有限公司；</w:t>
      </w:r>
    </w:p>
    <w:p>
      <w:pPr>
        <w:tabs>
          <w:tab w:val="clear" w:pos="426"/>
        </w:tabs>
        <w:rPr>
          <w:highlight w:val="none"/>
        </w:rPr>
      </w:pPr>
      <w:r>
        <w:rPr>
          <w:rFonts w:hint="eastAsia"/>
          <w:highlight w:val="none"/>
        </w:rPr>
        <w:t xml:space="preserve">3.2“采购人”或“采购单位”：系指利用财政性资金依法进行政府采购的国家机关、事业单位、团体组织； </w:t>
      </w:r>
    </w:p>
    <w:p>
      <w:pPr>
        <w:tabs>
          <w:tab w:val="clear" w:pos="426"/>
        </w:tabs>
        <w:rPr>
          <w:highlight w:val="none"/>
        </w:rPr>
      </w:pPr>
      <w:r>
        <w:rPr>
          <w:rFonts w:hint="eastAsia"/>
          <w:highlight w:val="none"/>
        </w:rPr>
        <w:t>3.3“投标人”或“投标方”，即供应商，是指参加投标竞争并愿意按照招标文件要求向采购人提供货物、工程或者服务的依法成立的法人、其他组织或者自然人；</w:t>
      </w:r>
    </w:p>
    <w:p>
      <w:pPr>
        <w:tabs>
          <w:tab w:val="clear" w:pos="426"/>
        </w:tabs>
        <w:rPr>
          <w:highlight w:val="none"/>
        </w:rPr>
      </w:pPr>
      <w:r>
        <w:rPr>
          <w:rFonts w:hint="eastAsia"/>
          <w:highlight w:val="none"/>
        </w:rPr>
        <w:t>3.4“评标委员会”和“谈判小组”是依据《深圳经济特区政府采购条例》有关规定组建的专门负责本次招标其评标（谈判）工作的临时性机构；</w:t>
      </w:r>
    </w:p>
    <w:p>
      <w:pPr>
        <w:tabs>
          <w:tab w:val="clear" w:pos="426"/>
        </w:tabs>
        <w:rPr>
          <w:highlight w:val="none"/>
        </w:rPr>
      </w:pPr>
      <w:r>
        <w:rPr>
          <w:rFonts w:hint="eastAsia"/>
          <w:highlight w:val="none"/>
        </w:rPr>
        <w:t>3.5“日期”</w:t>
      </w:r>
      <w:r>
        <w:rPr>
          <w:highlight w:val="none"/>
        </w:rPr>
        <w:t>指</w:t>
      </w:r>
      <w:r>
        <w:rPr>
          <w:rFonts w:hint="eastAsia"/>
          <w:highlight w:val="none"/>
        </w:rPr>
        <w:t>公历日；</w:t>
      </w:r>
    </w:p>
    <w:p>
      <w:pPr>
        <w:tabs>
          <w:tab w:val="clear" w:pos="426"/>
        </w:tabs>
        <w:rPr>
          <w:highlight w:val="none"/>
        </w:rPr>
      </w:pPr>
      <w:r>
        <w:rPr>
          <w:rFonts w:hint="eastAsia"/>
          <w:highlight w:val="none"/>
        </w:rPr>
        <w:t>3.6“合同”指由本次招标所产生的合同或合约文件；</w:t>
      </w:r>
    </w:p>
    <w:p>
      <w:pPr>
        <w:tabs>
          <w:tab w:val="clear" w:pos="426"/>
        </w:tabs>
        <w:rPr>
          <w:highlight w:val="none"/>
        </w:rPr>
      </w:pPr>
      <w:r>
        <w:rPr>
          <w:rFonts w:hint="eastAsia"/>
          <w:highlight w:val="none"/>
        </w:rPr>
        <w:t>3.7招标文件中的标题或题名仅起引导作用，而不应视为对招标文件内容的理解和解释。</w:t>
      </w:r>
    </w:p>
    <w:p>
      <w:pPr>
        <w:tabs>
          <w:tab w:val="clear" w:pos="426"/>
        </w:tabs>
        <w:rPr>
          <w:highlight w:val="none"/>
        </w:rPr>
      </w:pPr>
      <w:r>
        <w:rPr>
          <w:rFonts w:hint="eastAsia"/>
          <w:highlight w:val="none"/>
        </w:rPr>
        <w:t>4. 政府采购供应商责任</w:t>
      </w:r>
    </w:p>
    <w:p>
      <w:pPr>
        <w:tabs>
          <w:tab w:val="clear" w:pos="426"/>
        </w:tabs>
        <w:rPr>
          <w:highlight w:val="none"/>
        </w:rPr>
      </w:pPr>
      <w:r>
        <w:rPr>
          <w:rFonts w:hint="eastAsia"/>
          <w:highlight w:val="none"/>
        </w:rPr>
        <w:t>4.1欢迎诚信、有实力和有社会责任心的供应商参与政府采购事业。</w:t>
      </w:r>
    </w:p>
    <w:p>
      <w:pPr>
        <w:tabs>
          <w:tab w:val="clear" w:pos="426"/>
        </w:tabs>
        <w:rPr>
          <w:highlight w:val="none"/>
        </w:rPr>
      </w:pPr>
      <w:r>
        <w:rPr>
          <w:rFonts w:hint="eastAsia"/>
          <w:highlight w:val="none"/>
        </w:rPr>
        <w:t>4.2供应商在政府采购项目投标过程中应诚实守信，不弄虚作假，不隐瞒真实情况，不围标串标，不恶意质疑投诉。如违反上述要求，经核实后，供应商的投标将作废，没收投标保证金，将该供应商列入不良记录名单并在网上曝光，同时提请政府采购监督管理部门给予一定年限内禁止参加政府采购活动的处罚或其他处罚。</w:t>
      </w:r>
    </w:p>
    <w:p>
      <w:pPr>
        <w:tabs>
          <w:tab w:val="clear" w:pos="426"/>
        </w:tabs>
        <w:rPr>
          <w:highlight w:val="none"/>
        </w:rPr>
      </w:pPr>
      <w:r>
        <w:rPr>
          <w:rFonts w:hint="eastAsia"/>
          <w:highlight w:val="none"/>
        </w:rPr>
        <w:t>5．</w:t>
      </w:r>
      <w:bookmarkEnd w:id="108"/>
      <w:bookmarkEnd w:id="109"/>
      <w:bookmarkEnd w:id="110"/>
      <w:bookmarkEnd w:id="111"/>
      <w:bookmarkEnd w:id="112"/>
      <w:bookmarkEnd w:id="113"/>
      <w:bookmarkEnd w:id="114"/>
      <w:r>
        <w:rPr>
          <w:rFonts w:hint="eastAsia"/>
          <w:highlight w:val="none"/>
        </w:rPr>
        <w:t>合格的投标人</w:t>
      </w:r>
    </w:p>
    <w:p>
      <w:pPr>
        <w:widowControl w:val="0"/>
        <w:shd w:val="clear" w:color="auto" w:fill="auto"/>
        <w:tabs>
          <w:tab w:val="clear" w:pos="426"/>
        </w:tabs>
        <w:autoSpaceDE w:val="0"/>
        <w:autoSpaceDN w:val="0"/>
        <w:rPr>
          <w:szCs w:val="21"/>
          <w:highlight w:val="none"/>
        </w:rPr>
      </w:pPr>
      <w:bookmarkStart w:id="122" w:name="_Toc60560631"/>
      <w:bookmarkStart w:id="123" w:name="_Toc73521641"/>
      <w:bookmarkStart w:id="124" w:name="_Toc73518123"/>
      <w:bookmarkStart w:id="125" w:name="_Toc73521553"/>
      <w:bookmarkStart w:id="126" w:name="_Toc60631626"/>
      <w:bookmarkStart w:id="127" w:name="_Toc73517645"/>
      <w:bookmarkStart w:id="128" w:name="_Toc100052370"/>
      <w:r>
        <w:rPr>
          <w:rFonts w:hint="eastAsia"/>
          <w:szCs w:val="21"/>
          <w:highlight w:val="none"/>
        </w:rPr>
        <w:t>5.1 投标人是响应招标并且符合招标文件规定资格条件和参加投标竞争的法人、其他组织或者自然人。</w:t>
      </w:r>
    </w:p>
    <w:p>
      <w:pPr>
        <w:widowControl w:val="0"/>
        <w:shd w:val="clear" w:color="auto" w:fill="auto"/>
        <w:tabs>
          <w:tab w:val="clear" w:pos="426"/>
        </w:tabs>
        <w:autoSpaceDE w:val="0"/>
        <w:autoSpaceDN w:val="0"/>
        <w:rPr>
          <w:szCs w:val="21"/>
          <w:highlight w:val="none"/>
          <w:lang w:eastAsia="zh-TW"/>
        </w:rPr>
      </w:pPr>
      <w:r>
        <w:rPr>
          <w:rFonts w:hint="eastAsia"/>
          <w:szCs w:val="21"/>
          <w:highlight w:val="none"/>
        </w:rPr>
        <w:t xml:space="preserve">5.2 </w:t>
      </w:r>
      <w:r>
        <w:rPr>
          <w:rFonts w:hint="eastAsia"/>
          <w:szCs w:val="21"/>
          <w:highlight w:val="none"/>
          <w:lang w:eastAsia="zh-TW"/>
        </w:rPr>
        <w:t>合格的投标人</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5.2.1 </w:t>
      </w:r>
      <w:r>
        <w:rPr>
          <w:szCs w:val="21"/>
          <w:highlight w:val="none"/>
        </w:rPr>
        <w:t>具有独立承担民事责任的能力。</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5.2.2 </w:t>
      </w:r>
      <w:r>
        <w:rPr>
          <w:szCs w:val="21"/>
          <w:highlight w:val="none"/>
        </w:rPr>
        <w:t>具有良好的商业信誉和健全的财务会计制度</w:t>
      </w:r>
      <w:r>
        <w:rPr>
          <w:rFonts w:hint="eastAsia"/>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5.2.3 </w:t>
      </w:r>
      <w:r>
        <w:rPr>
          <w:szCs w:val="21"/>
          <w:highlight w:val="none"/>
        </w:rPr>
        <w:t>具有履行合同所必需的设备和专业技术能力</w:t>
      </w:r>
      <w:r>
        <w:rPr>
          <w:rFonts w:hint="eastAsia"/>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5.2.4 </w:t>
      </w:r>
      <w:r>
        <w:rPr>
          <w:szCs w:val="21"/>
          <w:highlight w:val="none"/>
        </w:rPr>
        <w:t>有依法缴纳税收和社会保障资金的良好记录</w:t>
      </w:r>
      <w:r>
        <w:rPr>
          <w:rFonts w:hint="eastAsia"/>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5.2.5 </w:t>
      </w:r>
      <w:r>
        <w:rPr>
          <w:szCs w:val="21"/>
          <w:highlight w:val="none"/>
        </w:rPr>
        <w:t>参加政府采购活动前三年内，在经营活动中没有重大违法记录</w:t>
      </w:r>
      <w:r>
        <w:rPr>
          <w:rFonts w:hint="eastAsia"/>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5.2.6 </w:t>
      </w:r>
      <w:r>
        <w:rPr>
          <w:szCs w:val="21"/>
          <w:highlight w:val="none"/>
        </w:rPr>
        <w:t>法律、行政法规规定的其他条件</w:t>
      </w:r>
      <w:r>
        <w:rPr>
          <w:rFonts w:hint="eastAsia"/>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5.2.7 只有在法律上和财务上独立、合法运作并独立于采购人和政府采购代理机构的供货商才能参加投标。</w:t>
      </w:r>
    </w:p>
    <w:p>
      <w:pPr>
        <w:widowControl w:val="0"/>
        <w:shd w:val="clear" w:color="auto" w:fill="auto"/>
        <w:tabs>
          <w:tab w:val="clear" w:pos="426"/>
        </w:tabs>
        <w:autoSpaceDE w:val="0"/>
        <w:autoSpaceDN w:val="0"/>
        <w:rPr>
          <w:b/>
          <w:szCs w:val="21"/>
          <w:highlight w:val="none"/>
        </w:rPr>
      </w:pPr>
      <w:r>
        <w:rPr>
          <w:rFonts w:hint="eastAsia"/>
          <w:szCs w:val="21"/>
          <w:highlight w:val="none"/>
        </w:rPr>
        <w:t>5.2.8 法定代表人或单位负责人为同一人或者存在直接控股、管理关系的不同单位不得同时参与同一个项目（包组）的竞争。</w:t>
      </w:r>
    </w:p>
    <w:p>
      <w:pPr>
        <w:widowControl w:val="0"/>
        <w:shd w:val="clear" w:color="auto" w:fill="auto"/>
        <w:tabs>
          <w:tab w:val="clear" w:pos="426"/>
        </w:tabs>
        <w:autoSpaceDE w:val="0"/>
        <w:autoSpaceDN w:val="0"/>
        <w:rPr>
          <w:szCs w:val="21"/>
          <w:highlight w:val="none"/>
        </w:rPr>
      </w:pPr>
      <w:r>
        <w:rPr>
          <w:rFonts w:hint="eastAsia"/>
          <w:szCs w:val="21"/>
          <w:highlight w:val="none"/>
        </w:rPr>
        <w:t>5.2.9 符合</w:t>
      </w:r>
      <w:r>
        <w:rPr>
          <w:rFonts w:hint="eastAsia" w:cs="黑体"/>
          <w:szCs w:val="21"/>
          <w:highlight w:val="none"/>
        </w:rPr>
        <w:t>第一章采购公告“投标人资格要求”</w:t>
      </w:r>
      <w:r>
        <w:rPr>
          <w:rFonts w:hint="eastAsia"/>
          <w:szCs w:val="21"/>
          <w:highlight w:val="none"/>
        </w:rPr>
        <w:t>的条款</w:t>
      </w:r>
      <w:r>
        <w:rPr>
          <w:rFonts w:hint="eastAsia" w:cs="黑体"/>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5.3 中标人是指经法定程序确定并授予合同的投标人。</w:t>
      </w:r>
    </w:p>
    <w:p>
      <w:pPr>
        <w:tabs>
          <w:tab w:val="clear" w:pos="426"/>
        </w:tabs>
        <w:rPr>
          <w:highlight w:val="none"/>
        </w:rPr>
      </w:pPr>
      <w:r>
        <w:rPr>
          <w:rFonts w:hint="eastAsia"/>
          <w:highlight w:val="none"/>
        </w:rPr>
        <w:t>6．联合体投标</w:t>
      </w:r>
    </w:p>
    <w:p>
      <w:pPr>
        <w:tabs>
          <w:tab w:val="clear" w:pos="426"/>
        </w:tabs>
        <w:rPr>
          <w:highlight w:val="none"/>
        </w:rPr>
      </w:pPr>
      <w:r>
        <w:rPr>
          <w:rFonts w:hint="eastAsia"/>
          <w:highlight w:val="none"/>
        </w:rPr>
        <w:t>6.1　以下有关联合体投标的条款仅适用于允许投标人组成联合体投标的项目。</w:t>
      </w:r>
    </w:p>
    <w:p>
      <w:pPr>
        <w:tabs>
          <w:tab w:val="clear" w:pos="426"/>
        </w:tabs>
        <w:rPr>
          <w:highlight w:val="none"/>
        </w:rPr>
      </w:pPr>
      <w:r>
        <w:rPr>
          <w:rFonts w:hint="eastAsia"/>
          <w:highlight w:val="none"/>
        </w:rPr>
        <w:t>6.2　由两个或两个以上的自然人、法人或者其他组织可以组成一个联合体，以一个供应商的身份共同投标时，应符合以下原则：</w:t>
      </w:r>
    </w:p>
    <w:p>
      <w:pPr>
        <w:tabs>
          <w:tab w:val="clear" w:pos="426"/>
        </w:tabs>
        <w:rPr>
          <w:color w:val="000000"/>
          <w:highlight w:val="none"/>
        </w:rPr>
      </w:pPr>
      <w:r>
        <w:rPr>
          <w:rFonts w:hint="eastAsia"/>
          <w:color w:val="000000"/>
          <w:highlight w:val="none"/>
        </w:rPr>
        <w:t>6.2.</w:t>
      </w:r>
      <w:r>
        <w:rPr>
          <w:rFonts w:hint="eastAsia"/>
          <w:bCs/>
          <w:color w:val="000000"/>
          <w:highlight w:val="none"/>
        </w:rPr>
        <w:t>1投标联合体应满足采购公告有关投标人资格要求中对联合体的要求；</w:t>
      </w:r>
    </w:p>
    <w:p>
      <w:pPr>
        <w:tabs>
          <w:tab w:val="clear" w:pos="426"/>
        </w:tabs>
        <w:rPr>
          <w:color w:val="000000"/>
          <w:highlight w:val="none"/>
        </w:rPr>
      </w:pPr>
      <w:r>
        <w:rPr>
          <w:rFonts w:hint="eastAsia"/>
          <w:color w:val="000000"/>
          <w:highlight w:val="none"/>
        </w:rPr>
        <w:t>6.2.2对于采购公告中所要求投标人应具有的某一资质，若联合体各方均具有，则将以联合体各方中最低的资质等级作为联合体在这一资质条件上的资质等级；联合体各方的不同资质可优势互补。</w:t>
      </w:r>
    </w:p>
    <w:p>
      <w:pPr>
        <w:tabs>
          <w:tab w:val="clear" w:pos="426"/>
        </w:tabs>
        <w:rPr>
          <w:color w:val="000000"/>
          <w:highlight w:val="none"/>
        </w:rPr>
      </w:pPr>
      <w:r>
        <w:rPr>
          <w:rFonts w:hint="eastAsia"/>
          <w:color w:val="000000"/>
          <w:highlight w:val="none"/>
        </w:rPr>
        <w:t>6.2.3投标人的投标文件及中标后签署的合同协议对联合体各方均具法律约束力；</w:t>
      </w:r>
    </w:p>
    <w:p>
      <w:pPr>
        <w:tabs>
          <w:tab w:val="clear" w:pos="426"/>
        </w:tabs>
        <w:rPr>
          <w:color w:val="000000"/>
          <w:highlight w:val="none"/>
        </w:rPr>
      </w:pPr>
      <w:r>
        <w:rPr>
          <w:rFonts w:hint="eastAsia"/>
          <w:color w:val="000000"/>
          <w:highlight w:val="none"/>
        </w:rPr>
        <w:t>6.2.4联合体各方应当签订共同投标协议，明确约定各方拟承担的工作和责任，并将该共同投标协议随投标文件一并递交给政府采购代理机构；</w:t>
      </w:r>
    </w:p>
    <w:p>
      <w:pPr>
        <w:tabs>
          <w:tab w:val="clear" w:pos="426"/>
        </w:tabs>
        <w:rPr>
          <w:color w:val="000000"/>
          <w:highlight w:val="none"/>
        </w:rPr>
      </w:pPr>
      <w:r>
        <w:rPr>
          <w:rFonts w:hint="eastAsia"/>
          <w:color w:val="000000"/>
          <w:highlight w:val="none"/>
        </w:rPr>
        <w:t>6.2.5联合体的各方应当共同推荐一联合体投标授权代表人，由联合体各方提交一份授权书，证明其有资格代表联合体各方签署投标文件，该授权书作为投标文件的组成部分一并提交给政府采购代理机构；</w:t>
      </w:r>
    </w:p>
    <w:p>
      <w:pPr>
        <w:tabs>
          <w:tab w:val="clear" w:pos="426"/>
        </w:tabs>
        <w:rPr>
          <w:color w:val="000000"/>
          <w:highlight w:val="none"/>
        </w:rPr>
      </w:pPr>
      <w:r>
        <w:rPr>
          <w:rFonts w:hint="eastAsia"/>
          <w:color w:val="000000"/>
          <w:highlight w:val="none"/>
        </w:rPr>
        <w:t>6.2.6参加联合体的各方不得再以自己的名义单独投标，不得同时参加两个或两个以上的联合体投标、不得以分包商或其它形式参与投标，出现上述情况者，其投标和与此有关联合体、总包单位的投标将被拒绝；</w:t>
      </w:r>
    </w:p>
    <w:p>
      <w:pPr>
        <w:tabs>
          <w:tab w:val="clear" w:pos="426"/>
        </w:tabs>
        <w:rPr>
          <w:color w:val="000000"/>
          <w:highlight w:val="none"/>
        </w:rPr>
      </w:pPr>
      <w:r>
        <w:rPr>
          <w:rFonts w:hint="eastAsia"/>
          <w:color w:val="000000"/>
          <w:highlight w:val="none"/>
        </w:rPr>
        <w:t>6.2.7除非另有规定或说明，本须知中“投标人”一词亦指联合体各方。</w:t>
      </w:r>
    </w:p>
    <w:p>
      <w:pPr>
        <w:tabs>
          <w:tab w:val="clear" w:pos="426"/>
        </w:tabs>
        <w:rPr>
          <w:highlight w:val="none"/>
        </w:rPr>
      </w:pPr>
      <w:r>
        <w:rPr>
          <w:rFonts w:hint="eastAsia"/>
          <w:highlight w:val="none"/>
        </w:rPr>
        <w:t>7. 合格的服务和货物</w:t>
      </w:r>
    </w:p>
    <w:p>
      <w:pPr>
        <w:widowControl w:val="0"/>
        <w:shd w:val="clear" w:color="auto" w:fill="auto"/>
        <w:tabs>
          <w:tab w:val="clear" w:pos="426"/>
        </w:tabs>
        <w:autoSpaceDE w:val="0"/>
        <w:autoSpaceDN w:val="0"/>
        <w:rPr>
          <w:szCs w:val="21"/>
          <w:highlight w:val="none"/>
        </w:rPr>
      </w:pPr>
      <w:r>
        <w:rPr>
          <w:rFonts w:hint="eastAsia"/>
          <w:szCs w:val="21"/>
          <w:highlight w:val="none"/>
        </w:rPr>
        <w:t>7.1 “服务” 是指投标人按招标文件规定完成的全部服务内容，其中包括完成服务所需的货物，及须承担的技术支持、培训和其它伴随服务。</w:t>
      </w:r>
    </w:p>
    <w:p>
      <w:pPr>
        <w:widowControl w:val="0"/>
        <w:shd w:val="clear" w:color="auto" w:fill="auto"/>
        <w:tabs>
          <w:tab w:val="clear" w:pos="426"/>
        </w:tabs>
        <w:autoSpaceDE w:val="0"/>
        <w:autoSpaceDN w:val="0"/>
        <w:rPr>
          <w:rFonts w:cs="黑体"/>
          <w:b/>
          <w:bCs/>
          <w:szCs w:val="21"/>
          <w:highlight w:val="none"/>
        </w:rPr>
      </w:pPr>
      <w:r>
        <w:rPr>
          <w:rFonts w:hint="eastAsia"/>
          <w:szCs w:val="21"/>
          <w:highlight w:val="none"/>
        </w:rPr>
        <w:t>7.2 “货物”是指投标人制造或组织符合招标文件要求的货物等。投标的货物必须是其合法生产、合法来源的符合国家有关标准要求的货物，并满足招标文件规定的规格、参数、质量、价格、有效期、售后服务等要求。</w:t>
      </w:r>
    </w:p>
    <w:p>
      <w:pPr>
        <w:widowControl w:val="0"/>
        <w:shd w:val="clear" w:color="auto" w:fill="auto"/>
        <w:tabs>
          <w:tab w:val="clear" w:pos="426"/>
        </w:tabs>
        <w:autoSpaceDE w:val="0"/>
        <w:autoSpaceDN w:val="0"/>
        <w:rPr>
          <w:szCs w:val="21"/>
          <w:highlight w:val="none"/>
        </w:rPr>
      </w:pPr>
      <w:r>
        <w:rPr>
          <w:rFonts w:hint="eastAsia"/>
          <w:szCs w:val="21"/>
          <w:highlight w:val="none"/>
        </w:rPr>
        <w:t>7.3 投标人提供的所有服务，其质量、技术等特征必须符合国家、行业现行法律、法规的相关标准和《中华人民共和国政府采购法》的有关规定及用户需求。</w:t>
      </w:r>
    </w:p>
    <w:p>
      <w:pPr>
        <w:widowControl w:val="0"/>
        <w:shd w:val="clear" w:color="auto" w:fill="auto"/>
        <w:tabs>
          <w:tab w:val="clear" w:pos="426"/>
        </w:tabs>
        <w:autoSpaceDE w:val="0"/>
        <w:autoSpaceDN w:val="0"/>
        <w:rPr>
          <w:szCs w:val="21"/>
          <w:highlight w:val="none"/>
        </w:rPr>
      </w:pPr>
      <w:r>
        <w:rPr>
          <w:rFonts w:hint="eastAsia"/>
          <w:szCs w:val="21"/>
          <w:highlight w:val="none"/>
        </w:rPr>
        <w:t>7.4 采购人有权拒绝接受任何不合格的服务，由此产生的费用及相关后果均由供应商自行承担。</w:t>
      </w:r>
    </w:p>
    <w:p>
      <w:pPr>
        <w:widowControl w:val="0"/>
        <w:shd w:val="clear" w:color="auto" w:fill="auto"/>
        <w:tabs>
          <w:tab w:val="clear" w:pos="426"/>
        </w:tabs>
        <w:autoSpaceDE w:val="0"/>
        <w:autoSpaceDN w:val="0"/>
        <w:rPr>
          <w:szCs w:val="21"/>
          <w:highlight w:val="none"/>
        </w:rPr>
      </w:pPr>
      <w:r>
        <w:rPr>
          <w:rFonts w:hint="eastAsia"/>
          <w:szCs w:val="21"/>
          <w:highlight w:val="none"/>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pPr>
        <w:tabs>
          <w:tab w:val="clear" w:pos="426"/>
        </w:tabs>
        <w:rPr>
          <w:highlight w:val="none"/>
        </w:rPr>
      </w:pPr>
      <w:r>
        <w:rPr>
          <w:rFonts w:hint="eastAsia"/>
          <w:highlight w:val="none"/>
        </w:rPr>
        <w:t>8．投标费用</w:t>
      </w:r>
      <w:bookmarkEnd w:id="122"/>
      <w:bookmarkEnd w:id="123"/>
      <w:bookmarkEnd w:id="124"/>
      <w:bookmarkEnd w:id="125"/>
      <w:bookmarkEnd w:id="126"/>
      <w:bookmarkEnd w:id="127"/>
      <w:bookmarkEnd w:id="128"/>
    </w:p>
    <w:p>
      <w:pPr>
        <w:tabs>
          <w:tab w:val="clear" w:pos="426"/>
        </w:tabs>
        <w:rPr>
          <w:highlight w:val="none"/>
        </w:rPr>
      </w:pPr>
      <w:r>
        <w:rPr>
          <w:rFonts w:hint="eastAsia"/>
          <w:highlight w:val="none"/>
        </w:rPr>
        <w:t>不论投标结果如何，投标人应承担其编制投标文件与递交投标文件所涉及的一切费用。</w:t>
      </w:r>
      <w:r>
        <w:rPr>
          <w:rFonts w:hint="eastAsia"/>
          <w:szCs w:val="21"/>
          <w:highlight w:val="none"/>
          <w:lang w:eastAsia="zh-TW"/>
        </w:rPr>
        <w:t>不论投标的结果如何</w:t>
      </w:r>
      <w:r>
        <w:rPr>
          <w:rFonts w:hint="eastAsia"/>
          <w:szCs w:val="21"/>
          <w:highlight w:val="none"/>
        </w:rPr>
        <w:t>，</w:t>
      </w:r>
      <w:r>
        <w:rPr>
          <w:rFonts w:hint="eastAsia"/>
          <w:szCs w:val="21"/>
          <w:highlight w:val="none"/>
          <w:lang w:eastAsia="zh-TW"/>
        </w:rPr>
        <w:t>招标采购单位均无义务和责任承担这些费用</w:t>
      </w:r>
      <w:r>
        <w:rPr>
          <w:rFonts w:hint="eastAsia"/>
          <w:szCs w:val="21"/>
          <w:highlight w:val="none"/>
        </w:rPr>
        <w:t>。</w:t>
      </w:r>
    </w:p>
    <w:p>
      <w:pPr>
        <w:tabs>
          <w:tab w:val="clear" w:pos="426"/>
        </w:tabs>
        <w:rPr>
          <w:highlight w:val="none"/>
        </w:rPr>
      </w:pPr>
      <w:bookmarkStart w:id="129" w:name="_Toc100052371"/>
      <w:bookmarkStart w:id="130" w:name="_Toc73521642"/>
      <w:bookmarkStart w:id="131" w:name="_Toc60631627"/>
      <w:bookmarkStart w:id="132" w:name="_Toc73517646"/>
      <w:bookmarkStart w:id="133" w:name="_Toc60560632"/>
      <w:bookmarkStart w:id="134" w:name="_Toc73518124"/>
      <w:bookmarkStart w:id="135" w:name="_Toc73521554"/>
      <w:r>
        <w:rPr>
          <w:rFonts w:hint="eastAsia"/>
          <w:highlight w:val="none"/>
        </w:rPr>
        <w:t>9．踏勘现场</w:t>
      </w:r>
      <w:bookmarkEnd w:id="129"/>
      <w:bookmarkEnd w:id="130"/>
      <w:bookmarkEnd w:id="131"/>
      <w:bookmarkEnd w:id="132"/>
      <w:bookmarkEnd w:id="133"/>
      <w:bookmarkEnd w:id="134"/>
      <w:bookmarkEnd w:id="135"/>
    </w:p>
    <w:p>
      <w:pPr>
        <w:tabs>
          <w:tab w:val="clear" w:pos="426"/>
        </w:tabs>
        <w:rPr>
          <w:highlight w:val="none"/>
        </w:rPr>
      </w:pPr>
      <w:bookmarkStart w:id="136" w:name="_Toc78260681"/>
      <w:bookmarkStart w:id="137" w:name="_Toc100052372"/>
      <w:r>
        <w:rPr>
          <w:rFonts w:hint="eastAsia"/>
          <w:highlight w:val="none"/>
        </w:rPr>
        <w:t>9.1如有需要，采购代理机构或采购单位将组织投标人对项目现场及周围环境进行踏勘，以便投标人获取有关编制投标文件和签署合同所需的所有资料。踏勘现场所发生的费用和风险由投标人自己承担，投标人应按采购公告所约定的时间、地点统一踏勘现场。</w:t>
      </w:r>
    </w:p>
    <w:p>
      <w:pPr>
        <w:tabs>
          <w:tab w:val="clear" w:pos="426"/>
        </w:tabs>
        <w:rPr>
          <w:highlight w:val="none"/>
        </w:rPr>
      </w:pPr>
      <w:r>
        <w:rPr>
          <w:rFonts w:hint="eastAsia"/>
          <w:highlight w:val="none"/>
        </w:rPr>
        <w:t>9.2投标人及其人员经过采购单位的允许，可以踏勘目的进入采购单位的项目现场。若本项目招标文件要求投标人于统一时间地点踏勘现场的，投标人按时前往。</w:t>
      </w:r>
    </w:p>
    <w:p>
      <w:pPr>
        <w:tabs>
          <w:tab w:val="clear" w:pos="426"/>
        </w:tabs>
        <w:rPr>
          <w:highlight w:val="none"/>
        </w:rPr>
      </w:pPr>
      <w:r>
        <w:rPr>
          <w:rFonts w:hint="eastAsia"/>
          <w:highlight w:val="none"/>
        </w:rPr>
        <w:t>9.3采购单位必须通过采购代理机构向投标人提供有关现场的资料和数据。</w:t>
      </w:r>
    </w:p>
    <w:p>
      <w:pPr>
        <w:tabs>
          <w:tab w:val="clear" w:pos="426"/>
        </w:tabs>
        <w:rPr>
          <w:highlight w:val="none"/>
        </w:rPr>
      </w:pPr>
      <w:r>
        <w:rPr>
          <w:rFonts w:hint="eastAsia"/>
          <w:highlight w:val="none"/>
        </w:rPr>
        <w:t>9.4任何人或任何组织在踏勘现场时向投标人提交的任何书面或口头上的资料，未经采购代理机构在网上发布或书面通知，均作无效处理。采购代理机构对投标人由此而做出的推论、理解和结论概不负责。</w:t>
      </w:r>
    </w:p>
    <w:p>
      <w:pPr>
        <w:tabs>
          <w:tab w:val="clear" w:pos="426"/>
        </w:tabs>
        <w:rPr>
          <w:highlight w:val="none"/>
        </w:rPr>
      </w:pPr>
      <w:r>
        <w:rPr>
          <w:rFonts w:hint="eastAsia"/>
          <w:highlight w:val="none"/>
        </w:rPr>
        <w:t>9.5 未参与现场踏勘不作为否定投标人资格的理由。</w:t>
      </w:r>
    </w:p>
    <w:p>
      <w:pPr>
        <w:tabs>
          <w:tab w:val="clear" w:pos="426"/>
        </w:tabs>
        <w:rPr>
          <w:highlight w:val="none"/>
        </w:rPr>
      </w:pPr>
      <w:r>
        <w:rPr>
          <w:rFonts w:hint="eastAsia"/>
          <w:highlight w:val="none"/>
        </w:rPr>
        <w:t>10．招标</w:t>
      </w:r>
      <w:bookmarkEnd w:id="136"/>
      <w:r>
        <w:rPr>
          <w:rFonts w:hint="eastAsia"/>
          <w:highlight w:val="none"/>
        </w:rPr>
        <w:t>答疑</w:t>
      </w:r>
      <w:bookmarkEnd w:id="137"/>
    </w:p>
    <w:p>
      <w:pPr>
        <w:tabs>
          <w:tab w:val="clear" w:pos="426"/>
        </w:tabs>
        <w:rPr>
          <w:highlight w:val="none"/>
        </w:rPr>
      </w:pPr>
      <w:r>
        <w:rPr>
          <w:rFonts w:hint="eastAsia"/>
          <w:highlight w:val="none"/>
        </w:rPr>
        <w:t>10.1招标答疑的目的是澄清、解答投标人在查阅招标文件后或现场踏勘中可能提出的与投标有关的疑问或询问。</w:t>
      </w:r>
    </w:p>
    <w:p>
      <w:pPr>
        <w:tabs>
          <w:tab w:val="clear" w:pos="426"/>
        </w:tabs>
        <w:rPr>
          <w:highlight w:val="none"/>
        </w:rPr>
      </w:pPr>
      <w:r>
        <w:rPr>
          <w:rFonts w:hint="eastAsia"/>
          <w:highlight w:val="none"/>
        </w:rPr>
        <w:t>10.2投标人提出的与投标有关的问题须在招标文件规定的答疑截止时间前以 “质疑函</w:t>
      </w:r>
      <w:r>
        <w:rPr>
          <w:highlight w:val="none"/>
        </w:rPr>
        <w:t>”</w:t>
      </w:r>
      <w:r>
        <w:rPr>
          <w:rFonts w:hint="eastAsia"/>
          <w:highlight w:val="none"/>
        </w:rPr>
        <w:t>的形式提交给采购代理机构，质疑函应该加盖质疑单位公章。</w:t>
      </w:r>
    </w:p>
    <w:p>
      <w:pPr>
        <w:tabs>
          <w:tab w:val="clear" w:pos="426"/>
        </w:tabs>
        <w:rPr>
          <w:highlight w:val="none"/>
        </w:rPr>
      </w:pPr>
      <w:r>
        <w:rPr>
          <w:rFonts w:hint="eastAsia"/>
          <w:highlight w:val="none"/>
        </w:rPr>
        <w:t>10.3采购代理机构对疑问所做出的澄清和解答，以书面答复（包括网站发布信息）为准。答疑纪要的有效性规定按照本通用条款第13</w:t>
      </w:r>
      <w:r>
        <w:rPr>
          <w:highlight w:val="none"/>
        </w:rPr>
        <w:t>.3</w:t>
      </w:r>
      <w:r>
        <w:rPr>
          <w:rFonts w:hint="eastAsia"/>
          <w:highlight w:val="none"/>
        </w:rPr>
        <w:t>、13</w:t>
      </w:r>
      <w:r>
        <w:rPr>
          <w:highlight w:val="none"/>
        </w:rPr>
        <w:t>.4</w:t>
      </w:r>
      <w:r>
        <w:rPr>
          <w:rFonts w:hint="eastAsia"/>
          <w:highlight w:val="none"/>
        </w:rPr>
        <w:t>款规定执行。</w:t>
      </w:r>
    </w:p>
    <w:p>
      <w:pPr>
        <w:tabs>
          <w:tab w:val="clear" w:pos="426"/>
        </w:tabs>
        <w:rPr>
          <w:highlight w:val="none"/>
        </w:rPr>
      </w:pPr>
      <w:r>
        <w:rPr>
          <w:rFonts w:hint="eastAsia"/>
          <w:highlight w:val="none"/>
        </w:rPr>
        <w:t>10.4如采购代理机构认为有必要组织现场答疑会，投标人应按照招标文件规定的时间或采购代理机构另行书面通知（包括网站发布的通知）的时间和地点，参与现场答疑会。</w:t>
      </w:r>
    </w:p>
    <w:p>
      <w:pPr>
        <w:tabs>
          <w:tab w:val="clear" w:pos="426"/>
        </w:tabs>
        <w:rPr>
          <w:highlight w:val="none"/>
        </w:rPr>
      </w:pPr>
      <w:r>
        <w:rPr>
          <w:rFonts w:hint="eastAsia"/>
          <w:highlight w:val="none"/>
        </w:rPr>
        <w:t>10.5未参与招标答疑不作为否定投标人资格的理由。</w:t>
      </w:r>
    </w:p>
    <w:p>
      <w:pPr>
        <w:pStyle w:val="5"/>
        <w:tabs>
          <w:tab w:val="clear" w:pos="426"/>
        </w:tabs>
        <w:rPr>
          <w:highlight w:val="none"/>
        </w:rPr>
      </w:pPr>
      <w:bookmarkStart w:id="138" w:name="bt招标文件"/>
      <w:bookmarkEnd w:id="138"/>
      <w:bookmarkStart w:id="139" w:name="_Toc432592822"/>
      <w:bookmarkStart w:id="140" w:name="_Toc101074878"/>
      <w:bookmarkStart w:id="141" w:name="_Toc398220530"/>
      <w:bookmarkStart w:id="142" w:name="_Toc5875395"/>
      <w:bookmarkStart w:id="143" w:name="_Toc73521644"/>
      <w:bookmarkStart w:id="144" w:name="_Toc73518126"/>
      <w:bookmarkStart w:id="145" w:name="_Toc73517648"/>
      <w:bookmarkStart w:id="146" w:name="_Toc100052373"/>
      <w:bookmarkStart w:id="147" w:name="_Toc73521556"/>
      <w:r>
        <w:rPr>
          <w:rFonts w:hint="eastAsia"/>
          <w:highlight w:val="none"/>
        </w:rPr>
        <w:t>第二章 招标文件</w:t>
      </w:r>
      <w:bookmarkEnd w:id="139"/>
      <w:bookmarkEnd w:id="140"/>
      <w:bookmarkEnd w:id="141"/>
      <w:bookmarkEnd w:id="142"/>
      <w:bookmarkEnd w:id="143"/>
      <w:bookmarkEnd w:id="144"/>
      <w:bookmarkEnd w:id="145"/>
      <w:bookmarkEnd w:id="146"/>
      <w:bookmarkEnd w:id="147"/>
    </w:p>
    <w:p>
      <w:pPr>
        <w:tabs>
          <w:tab w:val="clear" w:pos="426"/>
        </w:tabs>
        <w:rPr>
          <w:highlight w:val="none"/>
        </w:rPr>
      </w:pPr>
      <w:bookmarkStart w:id="148" w:name="_Toc100052374"/>
      <w:bookmarkStart w:id="149" w:name="_Toc73521557"/>
      <w:bookmarkStart w:id="150" w:name="_Toc73517649"/>
      <w:bookmarkStart w:id="151" w:name="_Toc73521645"/>
      <w:bookmarkStart w:id="152" w:name="_Toc73518127"/>
      <w:r>
        <w:rPr>
          <w:rFonts w:hint="eastAsia"/>
          <w:highlight w:val="none"/>
        </w:rPr>
        <w:t>11．招标文件的编制与组成</w:t>
      </w:r>
      <w:bookmarkEnd w:id="148"/>
      <w:bookmarkEnd w:id="149"/>
      <w:bookmarkEnd w:id="150"/>
      <w:bookmarkEnd w:id="151"/>
      <w:bookmarkEnd w:id="152"/>
    </w:p>
    <w:p>
      <w:pPr>
        <w:tabs>
          <w:tab w:val="clear" w:pos="426"/>
        </w:tabs>
        <w:rPr>
          <w:highlight w:val="none"/>
        </w:rPr>
      </w:pPr>
      <w:r>
        <w:rPr>
          <w:rFonts w:hint="eastAsia"/>
          <w:highlight w:val="none"/>
        </w:rPr>
        <w:t>11.1招标文件除以下内容外，采购代理机构在招标（或谈判）期间发出的答疑纪要和其他补充修改函件，均是招标文件的组成部分，对投标人起约束作用；</w:t>
      </w:r>
    </w:p>
    <w:p>
      <w:pPr>
        <w:tabs>
          <w:tab w:val="clear" w:pos="426"/>
        </w:tabs>
        <w:rPr>
          <w:highlight w:val="none"/>
        </w:rPr>
      </w:pPr>
      <w:r>
        <w:rPr>
          <w:rFonts w:hint="eastAsia"/>
          <w:highlight w:val="none"/>
        </w:rPr>
        <w:t>招标文件包括下列内容：</w:t>
      </w:r>
    </w:p>
    <w:p>
      <w:pPr>
        <w:tabs>
          <w:tab w:val="clear" w:pos="426"/>
        </w:tabs>
        <w:rPr>
          <w:highlight w:val="none"/>
        </w:rPr>
      </w:pPr>
      <w:r>
        <w:rPr>
          <w:rFonts w:hint="eastAsia"/>
          <w:highlight w:val="none"/>
        </w:rPr>
        <w:t>项目关键信息</w:t>
      </w:r>
    </w:p>
    <w:p>
      <w:pPr>
        <w:tabs>
          <w:tab w:val="clear" w:pos="426"/>
        </w:tabs>
        <w:rPr>
          <w:highlight w:val="none"/>
        </w:rPr>
      </w:pPr>
      <w:r>
        <w:rPr>
          <w:rFonts w:hint="eastAsia"/>
          <w:highlight w:val="none"/>
        </w:rPr>
        <w:t>评标信息</w:t>
      </w:r>
    </w:p>
    <w:p>
      <w:pPr>
        <w:tabs>
          <w:tab w:val="clear" w:pos="426"/>
        </w:tabs>
        <w:rPr>
          <w:highlight w:val="none"/>
        </w:rPr>
      </w:pPr>
      <w:r>
        <w:rPr>
          <w:rFonts w:hint="eastAsia"/>
          <w:highlight w:val="none"/>
        </w:rPr>
        <w:t>第一册  专用条款</w:t>
      </w:r>
    </w:p>
    <w:p>
      <w:pPr>
        <w:tabs>
          <w:tab w:val="clear" w:pos="426"/>
        </w:tabs>
        <w:rPr>
          <w:highlight w:val="none"/>
        </w:rPr>
      </w:pPr>
      <w:r>
        <w:rPr>
          <w:rFonts w:hint="eastAsia"/>
          <w:highlight w:val="none"/>
        </w:rPr>
        <w:t>第一章  采购公告</w:t>
      </w:r>
    </w:p>
    <w:p>
      <w:pPr>
        <w:tabs>
          <w:tab w:val="clear" w:pos="426"/>
        </w:tabs>
        <w:rPr>
          <w:highlight w:val="none"/>
        </w:rPr>
      </w:pPr>
      <w:r>
        <w:rPr>
          <w:rFonts w:hint="eastAsia"/>
          <w:highlight w:val="none"/>
        </w:rPr>
        <w:t>第二章  招标项目需求</w:t>
      </w:r>
    </w:p>
    <w:p>
      <w:pPr>
        <w:tabs>
          <w:tab w:val="clear" w:pos="426"/>
        </w:tabs>
        <w:rPr>
          <w:highlight w:val="none"/>
        </w:rPr>
      </w:pPr>
      <w:r>
        <w:rPr>
          <w:rFonts w:hint="eastAsia"/>
          <w:highlight w:val="none"/>
        </w:rPr>
        <w:t>第三章  合同条款及格式</w:t>
      </w:r>
    </w:p>
    <w:p>
      <w:pPr>
        <w:tabs>
          <w:tab w:val="clear" w:pos="426"/>
        </w:tabs>
        <w:rPr>
          <w:highlight w:val="none"/>
        </w:rPr>
      </w:pPr>
      <w:r>
        <w:rPr>
          <w:rFonts w:hint="eastAsia"/>
          <w:highlight w:val="none"/>
        </w:rPr>
        <w:t>第四章  投标文件格式、附件</w:t>
      </w:r>
    </w:p>
    <w:p>
      <w:pPr>
        <w:tabs>
          <w:tab w:val="clear" w:pos="426"/>
        </w:tabs>
        <w:rPr>
          <w:highlight w:val="none"/>
        </w:rPr>
      </w:pPr>
      <w:r>
        <w:rPr>
          <w:rFonts w:hint="eastAsia"/>
          <w:highlight w:val="none"/>
        </w:rPr>
        <w:t>第五章  政府采购履约情况反馈表</w:t>
      </w:r>
    </w:p>
    <w:p>
      <w:pPr>
        <w:tabs>
          <w:tab w:val="clear" w:pos="426"/>
        </w:tabs>
        <w:rPr>
          <w:highlight w:val="none"/>
        </w:rPr>
      </w:pPr>
      <w:r>
        <w:rPr>
          <w:rFonts w:hint="eastAsia"/>
          <w:highlight w:val="none"/>
        </w:rPr>
        <w:t>第二册  通用条款</w:t>
      </w:r>
    </w:p>
    <w:p>
      <w:pPr>
        <w:tabs>
          <w:tab w:val="clear" w:pos="426"/>
        </w:tabs>
        <w:rPr>
          <w:highlight w:val="none"/>
        </w:rPr>
      </w:pPr>
      <w:r>
        <w:rPr>
          <w:rFonts w:hint="eastAsia"/>
          <w:highlight w:val="none"/>
        </w:rPr>
        <w:t>第一章  总则</w:t>
      </w:r>
    </w:p>
    <w:p>
      <w:pPr>
        <w:tabs>
          <w:tab w:val="clear" w:pos="426"/>
        </w:tabs>
        <w:rPr>
          <w:highlight w:val="none"/>
        </w:rPr>
      </w:pPr>
      <w:r>
        <w:rPr>
          <w:rFonts w:hint="eastAsia"/>
          <w:highlight w:val="none"/>
        </w:rPr>
        <w:t>第二章  招标文件</w:t>
      </w:r>
    </w:p>
    <w:p>
      <w:pPr>
        <w:tabs>
          <w:tab w:val="clear" w:pos="426"/>
        </w:tabs>
        <w:rPr>
          <w:highlight w:val="none"/>
        </w:rPr>
      </w:pPr>
      <w:r>
        <w:rPr>
          <w:rFonts w:hint="eastAsia"/>
          <w:highlight w:val="none"/>
        </w:rPr>
        <w:t>第三章  投标文件的编制与递交</w:t>
      </w:r>
    </w:p>
    <w:p>
      <w:pPr>
        <w:tabs>
          <w:tab w:val="clear" w:pos="426"/>
        </w:tabs>
        <w:rPr>
          <w:highlight w:val="none"/>
        </w:rPr>
      </w:pPr>
      <w:r>
        <w:rPr>
          <w:rFonts w:hint="eastAsia"/>
          <w:highlight w:val="none"/>
        </w:rPr>
        <w:t>第四章  开标</w:t>
      </w:r>
    </w:p>
    <w:p>
      <w:pPr>
        <w:tabs>
          <w:tab w:val="clear" w:pos="426"/>
        </w:tabs>
        <w:rPr>
          <w:highlight w:val="none"/>
        </w:rPr>
      </w:pPr>
      <w:r>
        <w:rPr>
          <w:rFonts w:hint="eastAsia"/>
          <w:highlight w:val="none"/>
        </w:rPr>
        <w:t>第五章  评标要求</w:t>
      </w:r>
    </w:p>
    <w:p>
      <w:pPr>
        <w:tabs>
          <w:tab w:val="clear" w:pos="426"/>
        </w:tabs>
        <w:rPr>
          <w:highlight w:val="none"/>
        </w:rPr>
      </w:pPr>
      <w:r>
        <w:rPr>
          <w:rFonts w:hint="eastAsia"/>
          <w:highlight w:val="none"/>
        </w:rPr>
        <w:t>第六章  评标程序及评标方法</w:t>
      </w:r>
    </w:p>
    <w:p>
      <w:pPr>
        <w:tabs>
          <w:tab w:val="clear" w:pos="426"/>
        </w:tabs>
        <w:rPr>
          <w:highlight w:val="none"/>
        </w:rPr>
      </w:pPr>
      <w:r>
        <w:rPr>
          <w:rFonts w:hint="eastAsia"/>
          <w:highlight w:val="none"/>
        </w:rPr>
        <w:t>第七章  定标及公示</w:t>
      </w:r>
    </w:p>
    <w:p>
      <w:pPr>
        <w:tabs>
          <w:tab w:val="clear" w:pos="426"/>
        </w:tabs>
        <w:rPr>
          <w:highlight w:val="none"/>
        </w:rPr>
      </w:pPr>
      <w:r>
        <w:rPr>
          <w:rFonts w:hint="eastAsia"/>
          <w:highlight w:val="none"/>
        </w:rPr>
        <w:t>第八章  公开招标失败的后续处理</w:t>
      </w:r>
    </w:p>
    <w:p>
      <w:pPr>
        <w:tabs>
          <w:tab w:val="clear" w:pos="426"/>
        </w:tabs>
        <w:rPr>
          <w:highlight w:val="none"/>
        </w:rPr>
      </w:pPr>
      <w:r>
        <w:rPr>
          <w:rFonts w:hint="eastAsia"/>
          <w:highlight w:val="none"/>
        </w:rPr>
        <w:t>第九章  合同的授予与备案</w:t>
      </w:r>
    </w:p>
    <w:p>
      <w:pPr>
        <w:tabs>
          <w:tab w:val="clear" w:pos="426"/>
        </w:tabs>
        <w:rPr>
          <w:highlight w:val="none"/>
        </w:rPr>
      </w:pPr>
      <w:r>
        <w:rPr>
          <w:rFonts w:hint="eastAsia"/>
          <w:highlight w:val="none"/>
        </w:rPr>
        <w:t>第十章  质疑处理</w:t>
      </w:r>
    </w:p>
    <w:p>
      <w:pPr>
        <w:tabs>
          <w:tab w:val="clear" w:pos="426"/>
        </w:tabs>
        <w:rPr>
          <w:highlight w:val="none"/>
        </w:rPr>
      </w:pPr>
      <w:bookmarkStart w:id="153" w:name="_Toc73518128"/>
      <w:bookmarkStart w:id="154" w:name="_Toc73521558"/>
      <w:bookmarkStart w:id="155" w:name="_Toc100052375"/>
      <w:bookmarkStart w:id="156" w:name="_Toc60631631"/>
      <w:bookmarkStart w:id="157" w:name="_Toc60560636"/>
      <w:bookmarkStart w:id="158" w:name="_Toc73517650"/>
      <w:bookmarkStart w:id="159" w:name="_Toc73521646"/>
      <w:bookmarkStart w:id="160" w:name="_Toc100052376"/>
      <w:bookmarkStart w:id="161" w:name="_Toc73521559"/>
      <w:bookmarkStart w:id="162" w:name="_Toc73521647"/>
      <w:bookmarkStart w:id="163" w:name="_Toc73517651"/>
      <w:bookmarkStart w:id="164" w:name="_Toc60560637"/>
      <w:bookmarkStart w:id="165" w:name="_Toc60631632"/>
      <w:bookmarkStart w:id="166" w:name="_Toc73518129"/>
      <w:r>
        <w:rPr>
          <w:rFonts w:hint="eastAsia"/>
          <w:highlight w:val="none"/>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pPr>
        <w:tabs>
          <w:tab w:val="clear" w:pos="426"/>
        </w:tabs>
        <w:rPr>
          <w:szCs w:val="21"/>
          <w:highlight w:val="none"/>
        </w:rPr>
      </w:pPr>
      <w:r>
        <w:rPr>
          <w:rFonts w:hint="eastAsia"/>
          <w:szCs w:val="21"/>
          <w:highlight w:val="none"/>
        </w:rPr>
        <w:t>11.3</w:t>
      </w:r>
      <w:r>
        <w:rPr>
          <w:rFonts w:hint="eastAsia"/>
          <w:highlight w:val="none"/>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pPr>
        <w:tabs>
          <w:tab w:val="clear" w:pos="426"/>
        </w:tabs>
        <w:rPr>
          <w:highlight w:val="none"/>
        </w:rPr>
      </w:pPr>
      <w:r>
        <w:rPr>
          <w:rFonts w:hint="eastAsia"/>
          <w:highlight w:val="none"/>
        </w:rPr>
        <w:t>12．招标文件的澄清</w:t>
      </w:r>
      <w:bookmarkEnd w:id="153"/>
      <w:bookmarkEnd w:id="154"/>
      <w:bookmarkEnd w:id="155"/>
      <w:bookmarkEnd w:id="156"/>
      <w:bookmarkEnd w:id="157"/>
      <w:bookmarkEnd w:id="158"/>
      <w:bookmarkEnd w:id="159"/>
    </w:p>
    <w:p>
      <w:pPr>
        <w:tabs>
          <w:tab w:val="clear" w:pos="426"/>
        </w:tabs>
        <w:rPr>
          <w:highlight w:val="none"/>
        </w:rPr>
      </w:pPr>
      <w:r>
        <w:rPr>
          <w:rFonts w:hint="eastAsia"/>
          <w:highlight w:val="none"/>
        </w:rPr>
        <w:t>12.1投标人在收到招标文件后，对招标文件任何部分若有任何疑问，或要求澄清招标文件的，均应在采购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pPr>
        <w:tabs>
          <w:tab w:val="clear" w:pos="426"/>
        </w:tabs>
        <w:rPr>
          <w:highlight w:val="none"/>
        </w:rPr>
      </w:pPr>
      <w:r>
        <w:rPr>
          <w:rFonts w:hint="eastAsia"/>
          <w:highlight w:val="none"/>
        </w:rPr>
        <w:t>12.2对于没有提出澄清又参与了该项目投标的供应商将被视为完全认同该招标文件（含澄清纪要），投标截止期后不再受理针对招标文件的相关质疑或投诉。</w:t>
      </w:r>
    </w:p>
    <w:p>
      <w:pPr>
        <w:tabs>
          <w:tab w:val="clear" w:pos="426"/>
        </w:tabs>
        <w:rPr>
          <w:highlight w:val="none"/>
        </w:rPr>
      </w:pPr>
      <w:r>
        <w:rPr>
          <w:rFonts w:hint="eastAsia"/>
          <w:highlight w:val="none"/>
        </w:rPr>
        <w:t>12.3 对招标文件中描述有歧意或前后不一致的地方，评标委员会有权进行评判，但对同一条款的评判应适用于每个投标人。</w:t>
      </w:r>
    </w:p>
    <w:p>
      <w:pPr>
        <w:tabs>
          <w:tab w:val="clear" w:pos="426"/>
        </w:tabs>
        <w:rPr>
          <w:highlight w:val="none"/>
        </w:rPr>
      </w:pPr>
      <w:r>
        <w:rPr>
          <w:highlight w:val="none"/>
        </w:rPr>
        <w:t>1</w:t>
      </w:r>
      <w:r>
        <w:rPr>
          <w:rFonts w:hint="eastAsia"/>
          <w:highlight w:val="none"/>
        </w:rPr>
        <w:t>3．招标文件的修改</w:t>
      </w:r>
      <w:bookmarkEnd w:id="160"/>
      <w:bookmarkEnd w:id="161"/>
      <w:bookmarkEnd w:id="162"/>
      <w:bookmarkEnd w:id="163"/>
      <w:bookmarkEnd w:id="164"/>
      <w:bookmarkEnd w:id="165"/>
      <w:bookmarkEnd w:id="166"/>
    </w:p>
    <w:p>
      <w:pPr>
        <w:tabs>
          <w:tab w:val="clear" w:pos="426"/>
        </w:tabs>
        <w:rPr>
          <w:highlight w:val="none"/>
        </w:rPr>
      </w:pPr>
      <w:bookmarkStart w:id="167" w:name="bt投标文件"/>
      <w:bookmarkEnd w:id="167"/>
      <w:bookmarkStart w:id="168" w:name="_Toc73517652"/>
      <w:bookmarkStart w:id="169" w:name="_Toc73521560"/>
      <w:bookmarkStart w:id="170" w:name="_Toc73518130"/>
      <w:bookmarkStart w:id="171" w:name="_Toc73521648"/>
      <w:bookmarkStart w:id="172" w:name="_Toc101074879"/>
      <w:bookmarkStart w:id="173" w:name="_Toc100052377"/>
      <w:r>
        <w:rPr>
          <w:highlight w:val="none"/>
        </w:rPr>
        <w:t>1</w:t>
      </w:r>
      <w:r>
        <w:rPr>
          <w:rFonts w:hint="eastAsia"/>
          <w:highlight w:val="none"/>
        </w:rPr>
        <w:t>3.1招标文件发出后，在投标截止日期前任何时候，确需要变更招标内容的，采购代理机构可主动地或在解答投标人提出的澄清问题时对招标文件进行修改；</w:t>
      </w:r>
    </w:p>
    <w:p>
      <w:pPr>
        <w:tabs>
          <w:tab w:val="clear" w:pos="426"/>
        </w:tabs>
        <w:rPr>
          <w:highlight w:val="none"/>
        </w:rPr>
      </w:pPr>
      <w:r>
        <w:rPr>
          <w:highlight w:val="none"/>
        </w:rPr>
        <w:t>1</w:t>
      </w:r>
      <w:r>
        <w:rPr>
          <w:rFonts w:hint="eastAsia"/>
          <w:highlight w:val="none"/>
        </w:rPr>
        <w:t>3.2招标文件的修改以书面形式（包括网站公开发布方式）发送给所有投标人，招标文件的修改内容作为招标文件的组成部分，并具有约束力。</w:t>
      </w:r>
    </w:p>
    <w:p>
      <w:pPr>
        <w:tabs>
          <w:tab w:val="clear" w:pos="426"/>
        </w:tabs>
        <w:rPr>
          <w:highlight w:val="none"/>
        </w:rPr>
      </w:pPr>
      <w:r>
        <w:rPr>
          <w:highlight w:val="none"/>
        </w:rPr>
        <w:t>1</w:t>
      </w:r>
      <w:r>
        <w:rPr>
          <w:rFonts w:hint="eastAsia"/>
          <w:highlight w:val="none"/>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pPr>
        <w:tabs>
          <w:tab w:val="clear" w:pos="426"/>
        </w:tabs>
        <w:rPr>
          <w:highlight w:val="none"/>
        </w:rPr>
      </w:pPr>
      <w:r>
        <w:rPr>
          <w:highlight w:val="none"/>
        </w:rPr>
        <w:t>1</w:t>
      </w:r>
      <w:r>
        <w:rPr>
          <w:rFonts w:hint="eastAsia"/>
          <w:highlight w:val="none"/>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pPr>
        <w:pStyle w:val="5"/>
        <w:tabs>
          <w:tab w:val="clear" w:pos="426"/>
        </w:tabs>
        <w:rPr>
          <w:highlight w:val="none"/>
        </w:rPr>
      </w:pPr>
      <w:bookmarkStart w:id="174" w:name="_Toc5875396"/>
      <w:bookmarkStart w:id="175" w:name="_Toc398220531"/>
      <w:bookmarkStart w:id="176" w:name="_Toc432592823"/>
      <w:r>
        <w:rPr>
          <w:rFonts w:hint="eastAsia"/>
          <w:highlight w:val="none"/>
        </w:rPr>
        <w:t>第三章 投标文件</w:t>
      </w:r>
      <w:bookmarkEnd w:id="168"/>
      <w:bookmarkEnd w:id="169"/>
      <w:bookmarkEnd w:id="170"/>
      <w:bookmarkEnd w:id="171"/>
      <w:bookmarkEnd w:id="172"/>
      <w:bookmarkEnd w:id="173"/>
      <w:r>
        <w:rPr>
          <w:rFonts w:hint="eastAsia"/>
          <w:highlight w:val="none"/>
        </w:rPr>
        <w:t>的编制与递交</w:t>
      </w:r>
      <w:bookmarkEnd w:id="174"/>
      <w:bookmarkEnd w:id="175"/>
      <w:bookmarkEnd w:id="176"/>
    </w:p>
    <w:p>
      <w:pPr>
        <w:tabs>
          <w:tab w:val="clear" w:pos="426"/>
        </w:tabs>
        <w:rPr>
          <w:highlight w:val="none"/>
        </w:rPr>
      </w:pPr>
      <w:bookmarkStart w:id="177" w:name="_Toc60560639"/>
      <w:bookmarkStart w:id="178" w:name="_Toc73517653"/>
      <w:bookmarkStart w:id="179" w:name="_Toc73521649"/>
      <w:bookmarkStart w:id="180" w:name="_Toc73521561"/>
      <w:bookmarkStart w:id="181" w:name="_Toc100052378"/>
      <w:bookmarkStart w:id="182" w:name="_Toc60631634"/>
      <w:bookmarkStart w:id="183" w:name="_Toc73518131"/>
      <w:r>
        <w:rPr>
          <w:rFonts w:hint="eastAsia"/>
          <w:highlight w:val="none"/>
        </w:rPr>
        <w:t>14．投标文件的语言及度量单位</w:t>
      </w:r>
      <w:bookmarkEnd w:id="177"/>
      <w:bookmarkEnd w:id="178"/>
      <w:bookmarkEnd w:id="179"/>
      <w:bookmarkEnd w:id="180"/>
      <w:bookmarkEnd w:id="181"/>
      <w:bookmarkEnd w:id="182"/>
      <w:bookmarkEnd w:id="183"/>
    </w:p>
    <w:p>
      <w:pPr>
        <w:tabs>
          <w:tab w:val="clear" w:pos="426"/>
        </w:tabs>
        <w:rPr>
          <w:highlight w:val="none"/>
        </w:rPr>
      </w:pPr>
      <w:r>
        <w:rPr>
          <w:rFonts w:hint="eastAsia"/>
          <w:highlight w:val="none"/>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pPr>
        <w:tabs>
          <w:tab w:val="clear" w:pos="426"/>
        </w:tabs>
        <w:rPr>
          <w:highlight w:val="none"/>
        </w:rPr>
      </w:pPr>
      <w:r>
        <w:rPr>
          <w:rFonts w:hint="eastAsia"/>
          <w:highlight w:val="none"/>
        </w:rPr>
        <w:t>14.2 除技术规范另有规定外，投标文件使用的度量单位，均采用中华人民共和国法定计量单位。</w:t>
      </w:r>
    </w:p>
    <w:p>
      <w:pPr>
        <w:tabs>
          <w:tab w:val="clear" w:pos="426"/>
        </w:tabs>
        <w:rPr>
          <w:highlight w:val="none"/>
        </w:rPr>
      </w:pPr>
      <w:bookmarkStart w:id="184" w:name="_Toc73521650"/>
      <w:bookmarkStart w:id="185" w:name="_Toc60631635"/>
      <w:bookmarkStart w:id="186" w:name="_Toc73521562"/>
      <w:bookmarkStart w:id="187" w:name="_Toc73517654"/>
      <w:bookmarkStart w:id="188" w:name="_Toc73518132"/>
      <w:bookmarkStart w:id="189" w:name="_Toc60560640"/>
      <w:bookmarkStart w:id="190" w:name="_Toc100052379"/>
      <w:r>
        <w:rPr>
          <w:rFonts w:hint="eastAsia"/>
          <w:highlight w:val="none"/>
        </w:rPr>
        <w:t>15．投标文件的组成</w:t>
      </w:r>
      <w:bookmarkEnd w:id="184"/>
      <w:bookmarkEnd w:id="185"/>
      <w:bookmarkEnd w:id="186"/>
      <w:bookmarkEnd w:id="187"/>
      <w:bookmarkEnd w:id="188"/>
      <w:bookmarkEnd w:id="189"/>
      <w:bookmarkEnd w:id="190"/>
    </w:p>
    <w:p>
      <w:pPr>
        <w:tabs>
          <w:tab w:val="clear" w:pos="426"/>
        </w:tabs>
        <w:rPr>
          <w:highlight w:val="none"/>
        </w:rPr>
      </w:pPr>
      <w:r>
        <w:rPr>
          <w:rFonts w:hint="eastAsia"/>
          <w:highlight w:val="none"/>
        </w:rPr>
        <w:t>具体内容请详见本项目专用条款的相关内容。</w:t>
      </w:r>
      <w:bookmarkStart w:id="191" w:name="_Toc73517655"/>
      <w:bookmarkStart w:id="192" w:name="_Toc73518133"/>
      <w:bookmarkStart w:id="193" w:name="_Toc73521651"/>
      <w:bookmarkStart w:id="194" w:name="投标文件的组成"/>
      <w:bookmarkStart w:id="195" w:name="_Toc73521563"/>
      <w:bookmarkStart w:id="196" w:name="_Toc60560641"/>
      <w:bookmarkStart w:id="197" w:name="_Toc60631636"/>
    </w:p>
    <w:p>
      <w:pPr>
        <w:tabs>
          <w:tab w:val="clear" w:pos="426"/>
        </w:tabs>
        <w:rPr>
          <w:highlight w:val="none"/>
        </w:rPr>
      </w:pPr>
      <w:r>
        <w:rPr>
          <w:rFonts w:hint="eastAsia"/>
          <w:highlight w:val="none"/>
        </w:rPr>
        <w:t>16. 投标文件格式</w:t>
      </w:r>
    </w:p>
    <w:p>
      <w:pPr>
        <w:tabs>
          <w:tab w:val="clear" w:pos="426"/>
        </w:tabs>
        <w:rPr>
          <w:highlight w:val="none"/>
        </w:rPr>
      </w:pPr>
      <w:r>
        <w:rPr>
          <w:rFonts w:hint="eastAsia"/>
          <w:highlight w:val="none"/>
        </w:rPr>
        <w:t>16</w:t>
      </w:r>
      <w:r>
        <w:rPr>
          <w:highlight w:val="none"/>
        </w:rPr>
        <w:t>.1</w:t>
      </w:r>
      <w:r>
        <w:rPr>
          <w:rFonts w:hint="eastAsia"/>
          <w:highlight w:val="none"/>
        </w:rPr>
        <w:t>投标文件包括本通用条款第15条中规定的内容。如招标文件提供了投标文件格式，则投标人提交的投标文件必须毫无例外地使用招标文件所提供的相应格式并统一使用A4篇幅（表格可以按同样格式扩展）。</w:t>
      </w:r>
    </w:p>
    <w:bookmarkEnd w:id="191"/>
    <w:bookmarkEnd w:id="192"/>
    <w:bookmarkEnd w:id="193"/>
    <w:bookmarkEnd w:id="194"/>
    <w:bookmarkEnd w:id="195"/>
    <w:bookmarkEnd w:id="196"/>
    <w:bookmarkEnd w:id="197"/>
    <w:p>
      <w:pPr>
        <w:tabs>
          <w:tab w:val="clear" w:pos="426"/>
        </w:tabs>
        <w:rPr>
          <w:highlight w:val="none"/>
        </w:rPr>
      </w:pPr>
      <w:bookmarkStart w:id="198" w:name="_Toc73521565"/>
      <w:bookmarkStart w:id="199" w:name="_Toc60560643"/>
      <w:bookmarkStart w:id="200" w:name="_Toc73518135"/>
      <w:bookmarkStart w:id="201" w:name="_Toc100052382"/>
      <w:bookmarkStart w:id="202" w:name="_Toc60631638"/>
      <w:bookmarkStart w:id="203" w:name="_Toc73521653"/>
      <w:bookmarkStart w:id="204" w:name="_Toc73517657"/>
      <w:r>
        <w:rPr>
          <w:rFonts w:hint="eastAsia"/>
          <w:highlight w:val="none"/>
        </w:rPr>
        <w:t>17．投标货币</w:t>
      </w:r>
      <w:bookmarkEnd w:id="198"/>
      <w:bookmarkEnd w:id="199"/>
      <w:bookmarkEnd w:id="200"/>
      <w:bookmarkEnd w:id="201"/>
      <w:bookmarkEnd w:id="202"/>
      <w:bookmarkEnd w:id="203"/>
      <w:bookmarkEnd w:id="204"/>
    </w:p>
    <w:p>
      <w:pPr>
        <w:tabs>
          <w:tab w:val="clear" w:pos="426"/>
        </w:tabs>
        <w:rPr>
          <w:highlight w:val="none"/>
        </w:rPr>
      </w:pPr>
      <w:r>
        <w:rPr>
          <w:rFonts w:hint="eastAsia"/>
          <w:highlight w:val="none"/>
        </w:rPr>
        <w:t>本项目的投标应以人民币计。</w:t>
      </w:r>
    </w:p>
    <w:p>
      <w:pPr>
        <w:widowControl w:val="0"/>
        <w:shd w:val="clear" w:color="auto" w:fill="auto"/>
        <w:tabs>
          <w:tab w:val="clear" w:pos="426"/>
        </w:tabs>
        <w:autoSpaceDE w:val="0"/>
        <w:autoSpaceDN w:val="0"/>
        <w:rPr>
          <w:highlight w:val="none"/>
        </w:rPr>
      </w:pPr>
      <w:r>
        <w:rPr>
          <w:rFonts w:hint="eastAsia"/>
          <w:highlight w:val="none"/>
        </w:rPr>
        <w:t>18. 证明投标人合格和资格的文件</w:t>
      </w:r>
    </w:p>
    <w:p>
      <w:pPr>
        <w:widowControl w:val="0"/>
        <w:shd w:val="clear" w:color="auto" w:fill="auto"/>
        <w:tabs>
          <w:tab w:val="clear" w:pos="426"/>
        </w:tabs>
        <w:autoSpaceDE w:val="0"/>
        <w:autoSpaceDN w:val="0"/>
        <w:rPr>
          <w:rFonts w:cs="黑体"/>
          <w:b/>
          <w:bCs/>
          <w:szCs w:val="21"/>
          <w:highlight w:val="none"/>
        </w:rPr>
      </w:pPr>
      <w:r>
        <w:rPr>
          <w:rFonts w:hint="eastAsia"/>
          <w:szCs w:val="21"/>
          <w:highlight w:val="none"/>
        </w:rPr>
        <w:t xml:space="preserve">18.1 </w:t>
      </w:r>
      <w:r>
        <w:rPr>
          <w:rFonts w:hint="eastAsia"/>
          <w:szCs w:val="21"/>
          <w:highlight w:val="none"/>
          <w:lang w:eastAsia="zh-TW"/>
        </w:rPr>
        <w:t>投标人应提交证明其有资格参加投标和中标后有能力履行合同的文件</w:t>
      </w:r>
      <w:r>
        <w:rPr>
          <w:rFonts w:hint="eastAsia"/>
          <w:szCs w:val="21"/>
          <w:highlight w:val="none"/>
        </w:rPr>
        <w:t>，</w:t>
      </w:r>
      <w:r>
        <w:rPr>
          <w:rFonts w:hint="eastAsia"/>
          <w:szCs w:val="21"/>
          <w:highlight w:val="none"/>
          <w:lang w:eastAsia="zh-TW"/>
        </w:rPr>
        <w:t>并作为其投标文件的一部分。如果投标人为联合体</w:t>
      </w:r>
      <w:r>
        <w:rPr>
          <w:rFonts w:hint="eastAsia"/>
          <w:szCs w:val="21"/>
          <w:highlight w:val="none"/>
        </w:rPr>
        <w:t>，</w:t>
      </w:r>
      <w:r>
        <w:rPr>
          <w:rFonts w:hint="eastAsia"/>
          <w:szCs w:val="21"/>
          <w:highlight w:val="none"/>
          <w:lang w:eastAsia="zh-TW"/>
        </w:rPr>
        <w:t>应提交联合体各方的资格证明文件、</w:t>
      </w:r>
      <w:r>
        <w:rPr>
          <w:rFonts w:hint="eastAsia"/>
          <w:szCs w:val="21"/>
          <w:highlight w:val="none"/>
        </w:rPr>
        <w:t>共同投标协议</w:t>
      </w:r>
      <w:r>
        <w:rPr>
          <w:rFonts w:hint="eastAsia"/>
          <w:szCs w:val="21"/>
          <w:highlight w:val="none"/>
          <w:lang w:eastAsia="zh-TW"/>
        </w:rPr>
        <w:t>并注明</w:t>
      </w:r>
      <w:r>
        <w:rPr>
          <w:rFonts w:hint="eastAsia"/>
          <w:szCs w:val="21"/>
          <w:highlight w:val="none"/>
        </w:rPr>
        <w:t>主体方及各方拟承担的工作和责任。</w:t>
      </w:r>
      <w:r>
        <w:rPr>
          <w:rFonts w:hint="eastAsia"/>
          <w:szCs w:val="21"/>
          <w:highlight w:val="none"/>
          <w:lang w:eastAsia="zh-TW"/>
        </w:rPr>
        <w:t>否则</w:t>
      </w:r>
      <w:r>
        <w:rPr>
          <w:rFonts w:hint="eastAsia"/>
          <w:szCs w:val="21"/>
          <w:highlight w:val="none"/>
        </w:rPr>
        <w:t>，</w:t>
      </w:r>
      <w:r>
        <w:rPr>
          <w:rFonts w:hint="eastAsia"/>
          <w:szCs w:val="21"/>
          <w:highlight w:val="none"/>
          <w:lang w:eastAsia="zh-TW"/>
        </w:rPr>
        <w:t>将导致其投标</w:t>
      </w:r>
      <w:r>
        <w:rPr>
          <w:rFonts w:hint="eastAsia"/>
          <w:szCs w:val="21"/>
          <w:highlight w:val="none"/>
        </w:rPr>
        <w:t>无效。</w:t>
      </w:r>
    </w:p>
    <w:p>
      <w:pPr>
        <w:widowControl w:val="0"/>
        <w:shd w:val="clear" w:color="auto" w:fill="auto"/>
        <w:tabs>
          <w:tab w:val="clear" w:pos="426"/>
        </w:tabs>
        <w:autoSpaceDE w:val="0"/>
        <w:autoSpaceDN w:val="0"/>
        <w:rPr>
          <w:szCs w:val="21"/>
          <w:highlight w:val="none"/>
          <w:lang w:eastAsia="zh-TW"/>
        </w:rPr>
      </w:pPr>
      <w:r>
        <w:rPr>
          <w:rFonts w:hint="eastAsia"/>
          <w:szCs w:val="21"/>
          <w:highlight w:val="none"/>
        </w:rPr>
        <w:t xml:space="preserve">18.2 </w:t>
      </w:r>
      <w:r>
        <w:rPr>
          <w:rFonts w:hint="eastAsia"/>
          <w:szCs w:val="21"/>
          <w:highlight w:val="none"/>
          <w:lang w:eastAsia="zh-TW"/>
        </w:rPr>
        <w:t>投标人提交的资格证明文件应证明其</w:t>
      </w:r>
      <w:r>
        <w:rPr>
          <w:rFonts w:hint="eastAsia"/>
          <w:szCs w:val="21"/>
          <w:highlight w:val="none"/>
        </w:rPr>
        <w:t>满足</w:t>
      </w:r>
      <w:r>
        <w:rPr>
          <w:rFonts w:hint="eastAsia"/>
          <w:szCs w:val="21"/>
          <w:highlight w:val="none"/>
          <w:lang w:eastAsia="zh-TW"/>
        </w:rPr>
        <w:t>本须知定义的合格投标人。</w:t>
      </w:r>
    </w:p>
    <w:p>
      <w:pPr>
        <w:tabs>
          <w:tab w:val="clear" w:pos="426"/>
        </w:tabs>
        <w:rPr>
          <w:highlight w:val="none"/>
        </w:rPr>
      </w:pPr>
      <w:r>
        <w:rPr>
          <w:rFonts w:hint="eastAsia"/>
          <w:highlight w:val="none"/>
        </w:rPr>
        <w:t>19．证明投标文件投标技术方案的合格性和符合招标文件规定的文件要求</w:t>
      </w:r>
    </w:p>
    <w:p>
      <w:pPr>
        <w:tabs>
          <w:tab w:val="clear" w:pos="426"/>
        </w:tabs>
        <w:rPr>
          <w:highlight w:val="none"/>
        </w:rPr>
      </w:pPr>
      <w:r>
        <w:rPr>
          <w:rFonts w:hint="eastAsia"/>
          <w:highlight w:val="none"/>
        </w:rPr>
        <w:t>19</w:t>
      </w:r>
      <w:r>
        <w:rPr>
          <w:highlight w:val="none"/>
        </w:rPr>
        <w:t xml:space="preserve">.1 </w:t>
      </w:r>
      <w:r>
        <w:rPr>
          <w:rFonts w:hint="eastAsia"/>
          <w:highlight w:val="none"/>
        </w:rPr>
        <w:t>投标人应提交证明文件证明其投标技术方案项下的货物、工程和服务的合格性符合招标文件规定。该投标技术方案及其证明文件作为投标文件的一部分。</w:t>
      </w:r>
    </w:p>
    <w:p>
      <w:pPr>
        <w:tabs>
          <w:tab w:val="clear" w:pos="426"/>
        </w:tabs>
        <w:rPr>
          <w:highlight w:val="none"/>
        </w:rPr>
      </w:pPr>
      <w:r>
        <w:rPr>
          <w:highlight w:val="none"/>
        </w:rPr>
        <w:t>1</w:t>
      </w:r>
      <w:r>
        <w:rPr>
          <w:rFonts w:hint="eastAsia"/>
          <w:highlight w:val="none"/>
        </w:rPr>
        <w:t>9</w:t>
      </w:r>
      <w:r>
        <w:rPr>
          <w:highlight w:val="none"/>
        </w:rPr>
        <w:t xml:space="preserve">.2 </w:t>
      </w:r>
      <w:r>
        <w:rPr>
          <w:rFonts w:hint="eastAsia"/>
          <w:highlight w:val="none"/>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pPr>
        <w:tabs>
          <w:tab w:val="clear" w:pos="426"/>
        </w:tabs>
        <w:rPr>
          <w:highlight w:val="none"/>
        </w:rPr>
      </w:pPr>
      <w:r>
        <w:rPr>
          <w:rFonts w:hint="eastAsia"/>
          <w:highlight w:val="none"/>
        </w:rPr>
        <w:t>19.2.1主要技术指标和性能的详细说明。</w:t>
      </w:r>
    </w:p>
    <w:p>
      <w:pPr>
        <w:tabs>
          <w:tab w:val="clear" w:pos="426"/>
        </w:tabs>
        <w:rPr>
          <w:highlight w:val="none"/>
        </w:rPr>
      </w:pPr>
      <w:r>
        <w:rPr>
          <w:rFonts w:hint="eastAsia"/>
          <w:highlight w:val="none"/>
        </w:rPr>
        <w:t>19.2.</w:t>
      </w:r>
      <w:r>
        <w:rPr>
          <w:highlight w:val="none"/>
        </w:rPr>
        <w:t>2</w:t>
      </w:r>
      <w:r>
        <w:rPr>
          <w:rFonts w:hint="eastAsia"/>
          <w:highlight w:val="none"/>
        </w:rPr>
        <w:t>投标产品从采购单位开始使用至招标文件中规定的周期内正常、连续地使用所必须的备件和专用工具清单，包括备件和专用工具的货源及现行价格。</w:t>
      </w:r>
    </w:p>
    <w:p>
      <w:pPr>
        <w:tabs>
          <w:tab w:val="clear" w:pos="426"/>
        </w:tabs>
        <w:rPr>
          <w:highlight w:val="none"/>
        </w:rPr>
      </w:pPr>
      <w:r>
        <w:rPr>
          <w:rFonts w:hint="eastAsia"/>
          <w:highlight w:val="none"/>
        </w:rPr>
        <w:t>19.2.</w:t>
      </w:r>
      <w:r>
        <w:rPr>
          <w:highlight w:val="none"/>
        </w:rPr>
        <w:t>3</w:t>
      </w:r>
      <w:r>
        <w:rPr>
          <w:rFonts w:hint="eastAsia"/>
          <w:highlight w:val="none"/>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pPr>
        <w:tabs>
          <w:tab w:val="clear" w:pos="426"/>
        </w:tabs>
        <w:rPr>
          <w:highlight w:val="none"/>
        </w:rPr>
      </w:pPr>
      <w:r>
        <w:rPr>
          <w:rFonts w:hint="eastAsia"/>
          <w:highlight w:val="none"/>
        </w:rP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pPr>
        <w:tabs>
          <w:tab w:val="clear" w:pos="426"/>
        </w:tabs>
        <w:rPr>
          <w:highlight w:val="none"/>
        </w:rPr>
      </w:pPr>
      <w:r>
        <w:rPr>
          <w:rFonts w:hint="eastAsia"/>
          <w:highlight w:val="none"/>
        </w:rPr>
        <w:t>19.2.5我国政府机构出具的产品检验和核准证件应为证件正面、背面和附件标注的全部具体内容；产品检验和核准证件应能清晰的阅读、识别和判断，提供原件复印件。</w:t>
      </w:r>
    </w:p>
    <w:p>
      <w:pPr>
        <w:tabs>
          <w:tab w:val="clear" w:pos="426"/>
        </w:tabs>
        <w:rPr>
          <w:highlight w:val="none"/>
        </w:rPr>
      </w:pPr>
      <w:r>
        <w:rPr>
          <w:rFonts w:hint="eastAsia"/>
          <w:highlight w:val="none"/>
        </w:rPr>
        <w:t>19.3相关资料不符合19.2款要求的，评标委员会有权认定为投标技术方案不合格响应，其相关分数予以扣减或作废标处理。</w:t>
      </w:r>
    </w:p>
    <w:p>
      <w:pPr>
        <w:tabs>
          <w:tab w:val="clear" w:pos="426"/>
        </w:tabs>
        <w:rPr>
          <w:highlight w:val="none"/>
        </w:rPr>
      </w:pPr>
      <w:r>
        <w:rPr>
          <w:rFonts w:hint="eastAsia"/>
          <w:highlight w:val="none"/>
        </w:rPr>
        <w:t>19.4评标委员会有权对以谋取中标为目的的技术规格模糊响应（如有意照搬照抄招标文件的技术要求）或虚假响应予以认定。供应商上述行为一经发现或查实，除扣分或废标外，采购代理机构可视情况报政府采购监督管理部门做进一步处理。</w:t>
      </w:r>
    </w:p>
    <w:p>
      <w:pPr>
        <w:tabs>
          <w:tab w:val="clear" w:pos="426"/>
        </w:tabs>
        <w:rPr>
          <w:highlight w:val="none"/>
        </w:rPr>
      </w:pPr>
      <w:r>
        <w:rPr>
          <w:highlight w:val="none"/>
        </w:rPr>
        <w:t>1</w:t>
      </w:r>
      <w:r>
        <w:rPr>
          <w:rFonts w:hint="eastAsia"/>
          <w:highlight w:val="none"/>
        </w:rPr>
        <w:t>9</w:t>
      </w:r>
      <w:r>
        <w:rPr>
          <w:highlight w:val="none"/>
        </w:rPr>
        <w:t>.</w:t>
      </w:r>
      <w:r>
        <w:rPr>
          <w:rFonts w:hint="eastAsia"/>
          <w:highlight w:val="none"/>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标委员会来评判。</w:t>
      </w:r>
    </w:p>
    <w:p>
      <w:pPr>
        <w:tabs>
          <w:tab w:val="clear" w:pos="426"/>
        </w:tabs>
        <w:rPr>
          <w:highlight w:val="none"/>
        </w:rPr>
      </w:pPr>
      <w:r>
        <w:rPr>
          <w:rFonts w:hint="eastAsia"/>
          <w:highlight w:val="none"/>
        </w:rPr>
        <w:t>19.6为保证公平公正，除非另有规定或说明，投标人对同一货物或服务投标时，不得同时提供两套或两套以上的投标方案。</w:t>
      </w:r>
    </w:p>
    <w:p>
      <w:pPr>
        <w:tabs>
          <w:tab w:val="clear" w:pos="426"/>
        </w:tabs>
        <w:rPr>
          <w:highlight w:val="none"/>
        </w:rPr>
      </w:pPr>
      <w:r>
        <w:rPr>
          <w:rFonts w:hint="eastAsia"/>
          <w:highlight w:val="none"/>
        </w:rPr>
        <w:t>20．投标文件其他证明文件的要求</w:t>
      </w:r>
    </w:p>
    <w:p>
      <w:pPr>
        <w:tabs>
          <w:tab w:val="clear" w:pos="426"/>
        </w:tabs>
        <w:rPr>
          <w:highlight w:val="none"/>
        </w:rPr>
      </w:pPr>
      <w:r>
        <w:rPr>
          <w:rFonts w:hint="eastAsia"/>
          <w:highlight w:val="none"/>
        </w:rPr>
        <w:t>20.1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审查或符合性审查的予以无效标处理，涉及《评标信息》打分项的则该项评分予以0分处理。</w:t>
      </w:r>
    </w:p>
    <w:p>
      <w:pPr>
        <w:tabs>
          <w:tab w:val="clear" w:pos="426"/>
        </w:tabs>
        <w:rPr>
          <w:highlight w:val="none"/>
        </w:rPr>
      </w:pPr>
      <w:r>
        <w:rPr>
          <w:rFonts w:hint="eastAsia"/>
          <w:highlight w:val="none"/>
        </w:rPr>
        <w:t>20.2本项目涉及提供的有关资质证书，若原有资质证书处于年审期间，投标人提供年审证明的可按原资质投标；若投标人正在申报上一级别资质，在未获批准之前，仍按原级别资质投标。</w:t>
      </w:r>
    </w:p>
    <w:p>
      <w:pPr>
        <w:tabs>
          <w:tab w:val="clear" w:pos="426"/>
        </w:tabs>
        <w:rPr>
          <w:highlight w:val="none"/>
        </w:rPr>
      </w:pPr>
      <w:bookmarkStart w:id="205" w:name="_Toc100052383"/>
      <w:bookmarkStart w:id="206" w:name="_Toc60560644"/>
      <w:bookmarkStart w:id="207" w:name="_Toc73518136"/>
      <w:bookmarkStart w:id="208" w:name="_Toc73517658"/>
      <w:bookmarkStart w:id="209" w:name="_Toc73521654"/>
      <w:bookmarkStart w:id="210" w:name="_Toc60631639"/>
      <w:bookmarkStart w:id="211" w:name="_Toc73521566"/>
      <w:r>
        <w:rPr>
          <w:rFonts w:hint="eastAsia"/>
          <w:highlight w:val="none"/>
        </w:rPr>
        <w:t>21．投标有效期</w:t>
      </w:r>
      <w:bookmarkEnd w:id="205"/>
      <w:bookmarkEnd w:id="206"/>
      <w:bookmarkEnd w:id="207"/>
      <w:bookmarkEnd w:id="208"/>
      <w:bookmarkEnd w:id="209"/>
      <w:bookmarkEnd w:id="210"/>
      <w:bookmarkEnd w:id="211"/>
    </w:p>
    <w:p>
      <w:pPr>
        <w:tabs>
          <w:tab w:val="clear" w:pos="426"/>
        </w:tabs>
        <w:rPr>
          <w:highlight w:val="none"/>
        </w:rPr>
      </w:pPr>
      <w:r>
        <w:rPr>
          <w:rFonts w:hint="eastAsia"/>
          <w:highlight w:val="none"/>
        </w:rPr>
        <w:t>21.1 投标有效期为从投标截止之日算起的日历天数，具体见专用条款中投标有效期的天数要求。在此期限内，所有投标文件均保持有效；</w:t>
      </w:r>
    </w:p>
    <w:p>
      <w:pPr>
        <w:tabs>
          <w:tab w:val="clear" w:pos="426"/>
        </w:tabs>
        <w:rPr>
          <w:highlight w:val="none"/>
        </w:rPr>
      </w:pPr>
      <w:r>
        <w:rPr>
          <w:rFonts w:hint="eastAsia"/>
          <w:highlight w:val="none"/>
        </w:rPr>
        <w:t>21.2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22条关于投标保证金的退还与没收的规定仍然适用；</w:t>
      </w:r>
    </w:p>
    <w:p>
      <w:pPr>
        <w:tabs>
          <w:tab w:val="clear" w:pos="426"/>
        </w:tabs>
        <w:rPr>
          <w:highlight w:val="none"/>
        </w:rPr>
      </w:pPr>
      <w:r>
        <w:rPr>
          <w:rFonts w:hint="eastAsia"/>
          <w:highlight w:val="none"/>
        </w:rPr>
        <w:t>21</w:t>
      </w:r>
      <w:r>
        <w:rPr>
          <w:highlight w:val="none"/>
        </w:rPr>
        <w:t>.3</w:t>
      </w:r>
      <w:r>
        <w:rPr>
          <w:rFonts w:hint="eastAsia"/>
          <w:highlight w:val="none"/>
        </w:rPr>
        <w:t xml:space="preserve"> 中标单位的投标书有效期，截止于完成本招标文件规定的全部项目内容，并通过竣工验收及保修结束。</w:t>
      </w:r>
    </w:p>
    <w:p>
      <w:pPr>
        <w:tabs>
          <w:tab w:val="clear" w:pos="426"/>
        </w:tabs>
        <w:rPr>
          <w:highlight w:val="none"/>
        </w:rPr>
      </w:pPr>
      <w:bookmarkStart w:id="212" w:name="_Toc100052384"/>
      <w:bookmarkStart w:id="213" w:name="_Toc73517659"/>
      <w:bookmarkStart w:id="214" w:name="_Toc73518137"/>
      <w:bookmarkStart w:id="215" w:name="_Toc60631640"/>
      <w:bookmarkStart w:id="216" w:name="_Toc73521567"/>
      <w:bookmarkStart w:id="217" w:name="_Toc60560645"/>
      <w:bookmarkStart w:id="218" w:name="_Toc73521655"/>
      <w:r>
        <w:rPr>
          <w:rFonts w:hint="eastAsia"/>
          <w:highlight w:val="none"/>
        </w:rPr>
        <w:t>22．投标</w:t>
      </w:r>
      <w:bookmarkEnd w:id="212"/>
      <w:bookmarkEnd w:id="213"/>
      <w:bookmarkEnd w:id="214"/>
      <w:bookmarkEnd w:id="215"/>
      <w:bookmarkEnd w:id="216"/>
      <w:bookmarkEnd w:id="217"/>
      <w:bookmarkEnd w:id="218"/>
      <w:r>
        <w:rPr>
          <w:rFonts w:hint="eastAsia"/>
          <w:highlight w:val="none"/>
        </w:rPr>
        <w:t>保证金</w:t>
      </w:r>
    </w:p>
    <w:p>
      <w:pPr>
        <w:tabs>
          <w:tab w:val="clear" w:pos="426"/>
        </w:tabs>
        <w:rPr>
          <w:highlight w:val="none"/>
        </w:rPr>
      </w:pPr>
      <w:bookmarkStart w:id="219" w:name="_Toc73521568"/>
      <w:bookmarkStart w:id="220" w:name="_Toc100052385"/>
      <w:bookmarkStart w:id="221" w:name="_Toc73521656"/>
      <w:bookmarkStart w:id="222" w:name="_Toc60560646"/>
      <w:bookmarkStart w:id="223" w:name="_Toc60631641"/>
      <w:bookmarkStart w:id="224" w:name="_Toc73517660"/>
      <w:bookmarkStart w:id="225" w:name="_Toc73518138"/>
      <w:r>
        <w:rPr>
          <w:rFonts w:hint="eastAsia"/>
          <w:highlight w:val="none"/>
        </w:rPr>
        <w:t>22.1投标保证金的缴纳：</w:t>
      </w:r>
    </w:p>
    <w:p>
      <w:pPr>
        <w:tabs>
          <w:tab w:val="clear" w:pos="426"/>
        </w:tabs>
        <w:rPr>
          <w:highlight w:val="none"/>
        </w:rPr>
      </w:pPr>
      <w:r>
        <w:rPr>
          <w:rFonts w:hint="eastAsia"/>
          <w:highlight w:val="none"/>
        </w:rPr>
        <w:t>22.1.1缴纳投标保证金的方式：参与投标前须缴纳壹万元保证金，落标或中标项目完成后返还，参与投标前未缴纳的，其投标将不予受理。</w:t>
      </w:r>
    </w:p>
    <w:p>
      <w:pPr>
        <w:tabs>
          <w:tab w:val="clear" w:pos="426"/>
        </w:tabs>
        <w:rPr>
          <w:highlight w:val="none"/>
        </w:rPr>
      </w:pPr>
      <w:r>
        <w:rPr>
          <w:rFonts w:hint="eastAsia"/>
          <w:highlight w:val="none"/>
        </w:rPr>
        <w:t>22.1.2 若为重大项目，采购代理机构可自行决定另外收取投标保证金，不受22</w:t>
      </w:r>
      <w:r>
        <w:rPr>
          <w:highlight w:val="none"/>
        </w:rPr>
        <w:t>.1</w:t>
      </w:r>
      <w:r>
        <w:rPr>
          <w:rFonts w:hint="eastAsia"/>
          <w:highlight w:val="none"/>
        </w:rPr>
        <w:t>.1款限制。是否另外收取投标保证金，请见本招标文件专用条款《对通用条款的补充内容》中的相关要求。</w:t>
      </w:r>
    </w:p>
    <w:p>
      <w:pPr>
        <w:tabs>
          <w:tab w:val="clear" w:pos="426"/>
        </w:tabs>
        <w:rPr>
          <w:szCs w:val="21"/>
          <w:highlight w:val="none"/>
        </w:rPr>
      </w:pPr>
      <w:r>
        <w:rPr>
          <w:rFonts w:hint="eastAsia"/>
          <w:szCs w:val="21"/>
          <w:highlight w:val="none"/>
        </w:rPr>
        <w:t>22.2</w:t>
      </w:r>
      <w:r>
        <w:rPr>
          <w:rFonts w:hint="eastAsia"/>
          <w:highlight w:val="none"/>
        </w:rPr>
        <w:t>投标保证金是为了保护采购代理机构和采购单位免因投标人的行为而蒙受损失。采购代理机构和采购单位因投标人的行为受到损害时可根据本通用条款第</w:t>
      </w:r>
      <w:r>
        <w:rPr>
          <w:rFonts w:hint="eastAsia"/>
          <w:szCs w:val="21"/>
          <w:highlight w:val="none"/>
        </w:rPr>
        <w:t>22.3款</w:t>
      </w:r>
      <w:r>
        <w:rPr>
          <w:rFonts w:hint="eastAsia"/>
          <w:highlight w:val="none"/>
        </w:rPr>
        <w:t>的规定没收投标人的投标保证金。</w:t>
      </w:r>
    </w:p>
    <w:p>
      <w:pPr>
        <w:tabs>
          <w:tab w:val="clear" w:pos="426"/>
        </w:tabs>
        <w:rPr>
          <w:highlight w:val="none"/>
        </w:rPr>
      </w:pPr>
      <w:r>
        <w:rPr>
          <w:rFonts w:hint="eastAsia"/>
          <w:highlight w:val="none"/>
        </w:rPr>
        <w:t>22.3如下列任何情况发生时，投标保证金将被没收。</w:t>
      </w:r>
    </w:p>
    <w:p>
      <w:pPr>
        <w:tabs>
          <w:tab w:val="clear" w:pos="426"/>
        </w:tabs>
        <w:rPr>
          <w:highlight w:val="none"/>
        </w:rPr>
      </w:pPr>
      <w:r>
        <w:rPr>
          <w:rFonts w:hint="eastAsia"/>
          <w:highlight w:val="none"/>
        </w:rPr>
        <w:t>1）投标人在招标文件中规定的投标有效期内撤回其投标；</w:t>
      </w:r>
    </w:p>
    <w:p>
      <w:pPr>
        <w:tabs>
          <w:tab w:val="clear" w:pos="426"/>
        </w:tabs>
        <w:rPr>
          <w:highlight w:val="none"/>
        </w:rPr>
      </w:pPr>
      <w:r>
        <w:rPr>
          <w:rFonts w:hint="eastAsia"/>
          <w:highlight w:val="none"/>
        </w:rPr>
        <w:t>2）中标人在规定期限内未能根据本项通用条款第47条规定签订合同；</w:t>
      </w:r>
    </w:p>
    <w:p>
      <w:pPr>
        <w:tabs>
          <w:tab w:val="clear" w:pos="426"/>
        </w:tabs>
        <w:rPr>
          <w:highlight w:val="none"/>
        </w:rPr>
      </w:pPr>
      <w:r>
        <w:rPr>
          <w:rFonts w:hint="eastAsia"/>
          <w:highlight w:val="none"/>
        </w:rPr>
        <w:t>3）投标人提供虚假投标文件或虚假补充文件：</w:t>
      </w:r>
    </w:p>
    <w:p>
      <w:pPr>
        <w:tabs>
          <w:tab w:val="clear" w:pos="426"/>
        </w:tabs>
        <w:rPr>
          <w:highlight w:val="none"/>
        </w:rPr>
      </w:pPr>
      <w:r>
        <w:rPr>
          <w:rFonts w:hint="eastAsia"/>
          <w:highlight w:val="none"/>
        </w:rPr>
        <w:t>4）投标人以谋取中标为目的的技术规格模糊响应（如有意照搬照抄招标文件的技术要求）或虚假响应的；</w:t>
      </w:r>
    </w:p>
    <w:p>
      <w:pPr>
        <w:tabs>
          <w:tab w:val="clear" w:pos="426"/>
        </w:tabs>
        <w:rPr>
          <w:highlight w:val="none"/>
        </w:rPr>
      </w:pPr>
      <w:r>
        <w:rPr>
          <w:rFonts w:hint="eastAsia"/>
          <w:highlight w:val="none"/>
        </w:rPr>
        <w:t>5）投标人质疑投诉提供虚假情况。</w:t>
      </w:r>
    </w:p>
    <w:p>
      <w:pPr>
        <w:tabs>
          <w:tab w:val="clear" w:pos="426"/>
        </w:tabs>
        <w:rPr>
          <w:highlight w:val="none"/>
        </w:rPr>
      </w:pPr>
      <w:r>
        <w:rPr>
          <w:rFonts w:hint="eastAsia"/>
          <w:highlight w:val="none"/>
        </w:rPr>
        <w:t>22.4投标保证金账户信息：</w:t>
      </w:r>
    </w:p>
    <w:p>
      <w:pPr>
        <w:tabs>
          <w:tab w:val="clear" w:pos="426"/>
        </w:tabs>
        <w:rPr>
          <w:b/>
          <w:highlight w:val="none"/>
        </w:rPr>
      </w:pPr>
      <w:r>
        <w:rPr>
          <w:rFonts w:hint="eastAsia"/>
          <w:b/>
          <w:highlight w:val="none"/>
        </w:rPr>
        <w:t>账户名称：深圳市政府采购中心</w:t>
      </w:r>
    </w:p>
    <w:p>
      <w:pPr>
        <w:tabs>
          <w:tab w:val="clear" w:pos="426"/>
        </w:tabs>
        <w:rPr>
          <w:b/>
          <w:highlight w:val="none"/>
        </w:rPr>
      </w:pPr>
      <w:r>
        <w:rPr>
          <w:rFonts w:hint="eastAsia"/>
          <w:b/>
          <w:highlight w:val="none"/>
        </w:rPr>
        <w:t>账</w:t>
      </w:r>
      <w:r>
        <w:rPr>
          <w:b/>
          <w:highlight w:val="none"/>
        </w:rPr>
        <w:t xml:space="preserve">    号：0012100200549</w:t>
      </w:r>
    </w:p>
    <w:p>
      <w:pPr>
        <w:tabs>
          <w:tab w:val="clear" w:pos="426"/>
        </w:tabs>
        <w:rPr>
          <w:b/>
          <w:highlight w:val="none"/>
        </w:rPr>
      </w:pPr>
      <w:r>
        <w:rPr>
          <w:rFonts w:hint="eastAsia"/>
          <w:b/>
          <w:highlight w:val="none"/>
        </w:rPr>
        <w:t>开户银行：平安银行股份有限公司深圳分行营业部</w:t>
      </w:r>
    </w:p>
    <w:p>
      <w:pPr>
        <w:tabs>
          <w:tab w:val="clear" w:pos="426"/>
        </w:tabs>
        <w:rPr>
          <w:b/>
          <w:highlight w:val="none"/>
        </w:rPr>
      </w:pPr>
      <w:r>
        <w:rPr>
          <w:rFonts w:hint="eastAsia"/>
          <w:b/>
          <w:highlight w:val="none"/>
        </w:rPr>
        <w:t>行</w:t>
      </w:r>
      <w:r>
        <w:rPr>
          <w:b/>
          <w:highlight w:val="none"/>
        </w:rPr>
        <w:t xml:space="preserve">    号：307584021015</w:t>
      </w:r>
    </w:p>
    <w:p>
      <w:pPr>
        <w:tabs>
          <w:tab w:val="clear" w:pos="426"/>
        </w:tabs>
        <w:rPr>
          <w:highlight w:val="none"/>
        </w:rPr>
      </w:pPr>
      <w:r>
        <w:rPr>
          <w:rFonts w:hint="eastAsia"/>
          <w:highlight w:val="none"/>
        </w:rPr>
        <w:t>23．投标人的替代方案</w:t>
      </w:r>
      <w:bookmarkEnd w:id="219"/>
      <w:bookmarkEnd w:id="220"/>
      <w:bookmarkEnd w:id="221"/>
      <w:bookmarkEnd w:id="222"/>
      <w:bookmarkEnd w:id="223"/>
      <w:bookmarkEnd w:id="224"/>
      <w:bookmarkEnd w:id="225"/>
    </w:p>
    <w:p>
      <w:pPr>
        <w:tabs>
          <w:tab w:val="clear" w:pos="426"/>
        </w:tabs>
        <w:rPr>
          <w:highlight w:val="none"/>
        </w:rPr>
      </w:pPr>
      <w:r>
        <w:rPr>
          <w:rFonts w:hint="eastAsia"/>
          <w:highlight w:val="none"/>
        </w:rPr>
        <w:t>23.1投标人所提交的投标文件应完全满足招标文件（包括图纸和技术规范所示的基本技术设计）的要求。除非招标的项目明确允许投标人提交替代方案，否则投标人有关替代方案的条款将不予考虑。</w:t>
      </w:r>
    </w:p>
    <w:p>
      <w:pPr>
        <w:tabs>
          <w:tab w:val="clear" w:pos="426"/>
        </w:tabs>
        <w:rPr>
          <w:bCs/>
          <w:sz w:val="30"/>
          <w:szCs w:val="30"/>
          <w:highlight w:val="none"/>
        </w:rPr>
      </w:pPr>
      <w:r>
        <w:rPr>
          <w:rFonts w:hint="eastAsia"/>
          <w:highlight w:val="none"/>
        </w:rPr>
        <w:t>23.2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226" w:name="_Toc100052391"/>
      <w:bookmarkStart w:id="227" w:name="_Toc73521662"/>
      <w:bookmarkStart w:id="228" w:name="_Toc73521574"/>
      <w:bookmarkStart w:id="229" w:name="_Toc73518144"/>
      <w:bookmarkStart w:id="230" w:name="_Toc73517666"/>
      <w:bookmarkStart w:id="231" w:name="_Toc101074881"/>
    </w:p>
    <w:p>
      <w:pPr>
        <w:tabs>
          <w:tab w:val="clear" w:pos="426"/>
        </w:tabs>
        <w:rPr>
          <w:highlight w:val="none"/>
        </w:rPr>
      </w:pPr>
      <w:bookmarkStart w:id="232" w:name="_Toc135666815"/>
      <w:bookmarkStart w:id="233" w:name="_Toc157847820"/>
      <w:bookmarkStart w:id="234" w:name="_Toc201401576"/>
      <w:bookmarkStart w:id="235" w:name="_Toc188869280"/>
      <w:bookmarkStart w:id="236" w:name="_Toc143658455"/>
      <w:bookmarkStart w:id="237" w:name="_Toc148954859"/>
      <w:bookmarkStart w:id="238" w:name="_Toc148329801"/>
      <w:bookmarkStart w:id="239" w:name="_Toc148413300"/>
      <w:bookmarkStart w:id="240" w:name="_Toc134852021"/>
      <w:bookmarkStart w:id="241" w:name="_Toc148780238"/>
      <w:bookmarkStart w:id="242" w:name="_Toc187729580"/>
      <w:bookmarkStart w:id="243" w:name="_Toc163530302"/>
      <w:bookmarkStart w:id="244" w:name="_Toc201401384"/>
      <w:bookmarkStart w:id="245" w:name="_Toc135666628"/>
      <w:bookmarkStart w:id="246" w:name="_Toc201997835"/>
      <w:bookmarkStart w:id="247" w:name="_Toc148954464"/>
      <w:bookmarkStart w:id="248" w:name="_Toc148779952"/>
      <w:bookmarkStart w:id="249" w:name="_Toc148778157"/>
      <w:bookmarkStart w:id="250" w:name="_Toc98817934"/>
      <w:r>
        <w:rPr>
          <w:rFonts w:hint="eastAsia"/>
          <w:highlight w:val="none"/>
        </w:rPr>
        <w:t>24． 投标文件的密封、标记</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Pr>
          <w:rFonts w:hint="eastAsia"/>
          <w:highlight w:val="none"/>
        </w:rPr>
        <w:t>和装订</w:t>
      </w:r>
    </w:p>
    <w:p>
      <w:pPr>
        <w:widowControl w:val="0"/>
        <w:shd w:val="clear" w:color="auto" w:fill="auto"/>
        <w:tabs>
          <w:tab w:val="clear" w:pos="426"/>
        </w:tabs>
        <w:autoSpaceDE w:val="0"/>
        <w:autoSpaceDN w:val="0"/>
        <w:rPr>
          <w:rFonts w:cs="黑体"/>
          <w:bCs/>
          <w:szCs w:val="21"/>
          <w:highlight w:val="none"/>
        </w:rPr>
      </w:pPr>
      <w:r>
        <w:rPr>
          <w:rFonts w:hint="eastAsia"/>
          <w:highlight w:val="none"/>
        </w:rPr>
        <w:t xml:space="preserve">24.1 </w:t>
      </w:r>
      <w:r>
        <w:rPr>
          <w:rFonts w:hint="eastAsia" w:cs="黑体"/>
          <w:bCs/>
          <w:szCs w:val="21"/>
          <w:highlight w:val="none"/>
        </w:rPr>
        <w:t>为方便开标唱标，投标人应单独提交一个密封信封，并在信封上标明“开标信封”的字样，内容包括开标一览表(报价表)、法定代表人证明书、法定代表人授权委托书、被授权人身份证复印件、</w:t>
      </w:r>
      <w:r>
        <w:rPr>
          <w:rFonts w:hint="eastAsia"/>
          <w:szCs w:val="21"/>
          <w:highlight w:val="none"/>
        </w:rPr>
        <w:t>投标文件电子光盘</w:t>
      </w:r>
      <w:r>
        <w:rPr>
          <w:rFonts w:hint="eastAsia" w:cs="黑体"/>
          <w:bCs/>
          <w:szCs w:val="21"/>
          <w:highlight w:val="none"/>
        </w:rPr>
        <w:t>，若本项目（或包组）接受联合体投标，则联合体投标，应将各方共同签署的《联合投标协议》和《投标联合体授权主体方协议书》一并提交。开标信封是投标文件的组成部分。</w:t>
      </w:r>
    </w:p>
    <w:p>
      <w:pPr>
        <w:tabs>
          <w:tab w:val="clear" w:pos="426"/>
        </w:tabs>
        <w:rPr>
          <w:color w:val="000000"/>
          <w:szCs w:val="21"/>
          <w:highlight w:val="none"/>
        </w:rPr>
      </w:pPr>
      <w:r>
        <w:rPr>
          <w:highlight w:val="none"/>
        </w:rPr>
        <w:t>24.2 投标文件为纸质投标文件，含正本和副本，投标文件应标明项目编号、招标项目名称及“正本”或“副本”。投标文件的所有内容应按A4篇幅装订成一册，装订应牢固不可拆卸。装订好的投标文件密封包装在一个外密封袋中，并在外密封袋上注明：</w:t>
      </w:r>
    </w:p>
    <w:p>
      <w:pPr>
        <w:tabs>
          <w:tab w:val="clear" w:pos="426"/>
        </w:tabs>
        <w:rPr>
          <w:highlight w:val="none"/>
        </w:rPr>
      </w:pPr>
      <w:r>
        <w:rPr>
          <w:rFonts w:hint="eastAsia"/>
          <w:highlight w:val="none"/>
        </w:rPr>
        <w:t xml:space="preserve">投标文件 </w:t>
      </w:r>
    </w:p>
    <w:p>
      <w:pPr>
        <w:tabs>
          <w:tab w:val="clear" w:pos="426"/>
        </w:tabs>
        <w:rPr>
          <w:highlight w:val="none"/>
        </w:rPr>
      </w:pPr>
      <w:r>
        <w:rPr>
          <w:rFonts w:hint="eastAsia"/>
          <w:highlight w:val="none"/>
        </w:rPr>
        <w:t>招标项目编号：</w:t>
      </w:r>
    </w:p>
    <w:p>
      <w:pPr>
        <w:tabs>
          <w:tab w:val="clear" w:pos="426"/>
        </w:tabs>
        <w:rPr>
          <w:highlight w:val="none"/>
        </w:rPr>
      </w:pPr>
      <w:r>
        <w:rPr>
          <w:rFonts w:hint="eastAsia"/>
          <w:highlight w:val="none"/>
        </w:rPr>
        <w:t>项目名称：</w:t>
      </w:r>
    </w:p>
    <w:p>
      <w:pPr>
        <w:tabs>
          <w:tab w:val="clear" w:pos="426"/>
        </w:tabs>
        <w:rPr>
          <w:highlight w:val="none"/>
        </w:rPr>
      </w:pPr>
      <w:r>
        <w:rPr>
          <w:rFonts w:hint="eastAsia"/>
          <w:highlight w:val="none"/>
        </w:rPr>
        <w:t>投标人名称（盖章）：</w:t>
      </w:r>
    </w:p>
    <w:p>
      <w:pPr>
        <w:tabs>
          <w:tab w:val="clear" w:pos="426"/>
        </w:tabs>
        <w:rPr>
          <w:highlight w:val="none"/>
        </w:rPr>
      </w:pPr>
      <w:r>
        <w:rPr>
          <w:rFonts w:hint="eastAsia"/>
          <w:highlight w:val="none"/>
        </w:rPr>
        <w:t>投标截止时间：</w:t>
      </w:r>
      <w:r>
        <w:rPr>
          <w:rFonts w:hint="eastAsia"/>
          <w:highlight w:val="none"/>
          <w:u w:val="single"/>
        </w:rPr>
        <w:t xml:space="preserve">       年      月      日      时      分（前不得开封）</w:t>
      </w:r>
      <w:r>
        <w:rPr>
          <w:rFonts w:hint="eastAsia"/>
          <w:highlight w:val="none"/>
        </w:rPr>
        <w:t>。</w:t>
      </w:r>
    </w:p>
    <w:p>
      <w:pPr>
        <w:tabs>
          <w:tab w:val="clear" w:pos="426"/>
        </w:tabs>
        <w:rPr>
          <w:highlight w:val="none"/>
        </w:rPr>
      </w:pPr>
      <w:r>
        <w:rPr>
          <w:rFonts w:hint="eastAsia"/>
          <w:highlight w:val="none"/>
        </w:rPr>
        <w:t>24.3  所有投标文件的密封袋的封口处均应加盖投标人公章。</w:t>
      </w:r>
    </w:p>
    <w:p>
      <w:pPr>
        <w:tabs>
          <w:tab w:val="clear" w:pos="426"/>
        </w:tabs>
        <w:rPr>
          <w:highlight w:val="none"/>
        </w:rPr>
      </w:pPr>
      <w:r>
        <w:rPr>
          <w:rFonts w:hint="eastAsia"/>
          <w:highlight w:val="none"/>
        </w:rPr>
        <w:t>24.4  对于因标书标识不清、装订不牢、密封不严等导致的不利后果由该投标人自负。</w:t>
      </w:r>
    </w:p>
    <w:p>
      <w:pPr>
        <w:tabs>
          <w:tab w:val="clear" w:pos="426"/>
        </w:tabs>
        <w:rPr>
          <w:color w:val="000000"/>
          <w:szCs w:val="21"/>
          <w:highlight w:val="none"/>
        </w:rPr>
      </w:pPr>
      <w:r>
        <w:rPr>
          <w:rFonts w:hint="eastAsia"/>
          <w:color w:val="000000"/>
          <w:szCs w:val="21"/>
          <w:highlight w:val="none"/>
        </w:rPr>
        <w:t>24.5  投标方应将投标文件按24.1-24.2中的规定进行密封和标记后，按专用条款中采购公告注明的地址送至采购代理机构。</w:t>
      </w:r>
    </w:p>
    <w:p>
      <w:pPr>
        <w:tabs>
          <w:tab w:val="clear" w:pos="426"/>
        </w:tabs>
        <w:rPr>
          <w:color w:val="000000"/>
          <w:szCs w:val="21"/>
          <w:highlight w:val="none"/>
        </w:rPr>
      </w:pPr>
      <w:r>
        <w:rPr>
          <w:rFonts w:hint="eastAsia"/>
          <w:color w:val="000000"/>
          <w:szCs w:val="21"/>
          <w:highlight w:val="none"/>
        </w:rPr>
        <w:t>24.6  邮寄、电报、电话、传真形式的投标概不接受。</w:t>
      </w:r>
    </w:p>
    <w:p>
      <w:pPr>
        <w:tabs>
          <w:tab w:val="clear" w:pos="426"/>
        </w:tabs>
        <w:rPr>
          <w:b/>
          <w:color w:val="000000"/>
          <w:szCs w:val="21"/>
          <w:highlight w:val="none"/>
        </w:rPr>
      </w:pPr>
      <w:r>
        <w:rPr>
          <w:rFonts w:hint="eastAsia"/>
          <w:b/>
          <w:color w:val="000000"/>
          <w:szCs w:val="21"/>
          <w:highlight w:val="none"/>
        </w:rPr>
        <w:t xml:space="preserve">24.7  </w:t>
      </w:r>
      <w:r>
        <w:rPr>
          <w:rFonts w:hint="eastAsia"/>
          <w:b/>
          <w:bCs/>
          <w:color w:val="000000"/>
          <w:szCs w:val="21"/>
          <w:highlight w:val="none"/>
        </w:rPr>
        <w:t>投标文件电子版：电子光盘一张（投标文件正本盖章后的彩色扫描件，扫描件要求为PDF格式），请将该光盘放在开标信封中，并在光盘上标明项目编号、项目名称及投标人名称。</w:t>
      </w:r>
    </w:p>
    <w:p>
      <w:pPr>
        <w:tabs>
          <w:tab w:val="clear" w:pos="426"/>
        </w:tabs>
        <w:rPr>
          <w:color w:val="000000"/>
          <w:szCs w:val="21"/>
          <w:highlight w:val="none"/>
        </w:rPr>
      </w:pPr>
      <w:r>
        <w:rPr>
          <w:rFonts w:hint="eastAsia"/>
          <w:color w:val="000000"/>
          <w:szCs w:val="21"/>
          <w:highlight w:val="none"/>
        </w:rPr>
        <w:t>25． 投标截止时间</w:t>
      </w:r>
    </w:p>
    <w:p>
      <w:pPr>
        <w:tabs>
          <w:tab w:val="clear" w:pos="426"/>
        </w:tabs>
        <w:ind w:firstLine="424" w:firstLineChars="202"/>
        <w:rPr>
          <w:szCs w:val="21"/>
          <w:highlight w:val="none"/>
        </w:rPr>
      </w:pPr>
      <w:r>
        <w:rPr>
          <w:rFonts w:hint="eastAsia"/>
          <w:szCs w:val="21"/>
          <w:highlight w:val="none"/>
        </w:rPr>
        <w:t>采购代理机构在投标人须知第24</w:t>
      </w:r>
      <w:r>
        <w:rPr>
          <w:szCs w:val="21"/>
          <w:highlight w:val="none"/>
        </w:rPr>
        <w:t>.</w:t>
      </w:r>
      <w:r>
        <w:rPr>
          <w:rFonts w:hint="eastAsia"/>
          <w:szCs w:val="21"/>
          <w:highlight w:val="none"/>
        </w:rPr>
        <w:t>5条规定的地址收到投标书的时间不得迟于“投标人须知前附表”第</w:t>
      </w:r>
      <w:r>
        <w:rPr>
          <w:szCs w:val="21"/>
          <w:highlight w:val="none"/>
        </w:rPr>
        <w:t>19</w:t>
      </w:r>
      <w:r>
        <w:rPr>
          <w:rFonts w:hint="eastAsia"/>
          <w:szCs w:val="21"/>
          <w:highlight w:val="none"/>
        </w:rPr>
        <w:t>项所规定的时间。</w:t>
      </w:r>
    </w:p>
    <w:p>
      <w:pPr>
        <w:tabs>
          <w:tab w:val="clear" w:pos="426"/>
        </w:tabs>
        <w:rPr>
          <w:color w:val="000000"/>
          <w:szCs w:val="21"/>
          <w:highlight w:val="none"/>
        </w:rPr>
      </w:pPr>
      <w:r>
        <w:rPr>
          <w:rFonts w:hint="eastAsia"/>
          <w:color w:val="000000"/>
          <w:szCs w:val="21"/>
          <w:highlight w:val="none"/>
        </w:rPr>
        <w:t>26．迟交的投标书</w:t>
      </w:r>
    </w:p>
    <w:p>
      <w:pPr>
        <w:tabs>
          <w:tab w:val="clear" w:pos="426"/>
        </w:tabs>
        <w:ind w:firstLine="424" w:firstLineChars="202"/>
        <w:rPr>
          <w:color w:val="000000"/>
          <w:szCs w:val="21"/>
          <w:highlight w:val="none"/>
        </w:rPr>
      </w:pPr>
      <w:r>
        <w:rPr>
          <w:rFonts w:hint="eastAsia"/>
          <w:color w:val="000000"/>
          <w:szCs w:val="21"/>
          <w:highlight w:val="none"/>
        </w:rPr>
        <w:t>按照本通用条款第25条规定，采购代理机构将拒绝并原封退回在其规定的投标截止期后收到的任何投标书。</w:t>
      </w:r>
    </w:p>
    <w:p>
      <w:pPr>
        <w:tabs>
          <w:tab w:val="clear" w:pos="426"/>
        </w:tabs>
        <w:rPr>
          <w:highlight w:val="none"/>
        </w:rPr>
      </w:pPr>
      <w:r>
        <w:rPr>
          <w:rFonts w:hint="eastAsia"/>
          <w:highlight w:val="none"/>
        </w:rPr>
        <w:t>27． 投标文件的提交和截标时投标文件的数量要求</w:t>
      </w:r>
    </w:p>
    <w:p>
      <w:pPr>
        <w:tabs>
          <w:tab w:val="clear" w:pos="426"/>
        </w:tabs>
        <w:rPr>
          <w:highlight w:val="none"/>
        </w:rPr>
      </w:pPr>
      <w:r>
        <w:rPr>
          <w:rFonts w:hint="eastAsia"/>
          <w:highlight w:val="none"/>
        </w:rPr>
        <w:t>27.1  投标截止时间和地点。投标人应根据“专用条款”的规定，在投标截止时间前将投标文件密封送达指定地点。未及时送达指定地点及不符合密封、标记、签章、装订要求的投标文件采购代理机构将拒绝接收。</w:t>
      </w:r>
    </w:p>
    <w:p>
      <w:pPr>
        <w:tabs>
          <w:tab w:val="clear" w:pos="426"/>
        </w:tabs>
        <w:rPr>
          <w:highlight w:val="none"/>
        </w:rPr>
      </w:pPr>
      <w:r>
        <w:rPr>
          <w:rFonts w:hint="eastAsia"/>
          <w:highlight w:val="none"/>
        </w:rPr>
        <w:t xml:space="preserve">27.2  </w:t>
      </w:r>
      <w:r>
        <w:rPr>
          <w:highlight w:val="none"/>
        </w:rPr>
        <w:t>截标时</w:t>
      </w:r>
      <w:r>
        <w:rPr>
          <w:rFonts w:hint="eastAsia"/>
          <w:highlight w:val="none"/>
        </w:rPr>
        <w:t>递</w:t>
      </w:r>
      <w:r>
        <w:rPr>
          <w:highlight w:val="none"/>
        </w:rPr>
        <w:t>交标书的投标人数</w:t>
      </w:r>
      <w:r>
        <w:rPr>
          <w:rFonts w:hint="eastAsia"/>
          <w:highlight w:val="none"/>
        </w:rPr>
        <w:t>量未达到法定家数的，采购代理机构将按法律法规的规定暂停</w:t>
      </w:r>
      <w:r>
        <w:rPr>
          <w:highlight w:val="none"/>
        </w:rPr>
        <w:t>开标和评标程序</w:t>
      </w:r>
      <w:r>
        <w:rPr>
          <w:rFonts w:hint="eastAsia"/>
          <w:highlight w:val="none"/>
        </w:rPr>
        <w:t>。如导致招标失败，采购人或采购代理机构将不负担因此给</w:t>
      </w:r>
      <w:r>
        <w:rPr>
          <w:highlight w:val="none"/>
        </w:rPr>
        <w:t>投标人</w:t>
      </w:r>
      <w:r>
        <w:rPr>
          <w:rFonts w:hint="eastAsia"/>
          <w:highlight w:val="none"/>
        </w:rPr>
        <w:t>造成的损失。</w:t>
      </w:r>
    </w:p>
    <w:p>
      <w:pPr>
        <w:tabs>
          <w:tab w:val="clear" w:pos="426"/>
        </w:tabs>
        <w:rPr>
          <w:highlight w:val="none"/>
        </w:rPr>
      </w:pPr>
      <w:bookmarkStart w:id="251" w:name="_Toc143658458"/>
      <w:bookmarkStart w:id="252" w:name="_Toc148329804"/>
      <w:bookmarkStart w:id="253" w:name="_Toc135666818"/>
      <w:bookmarkStart w:id="254" w:name="_Toc148779955"/>
      <w:bookmarkStart w:id="255" w:name="_Toc148778160"/>
      <w:bookmarkStart w:id="256" w:name="_Toc148413303"/>
      <w:bookmarkStart w:id="257" w:name="_Toc148954862"/>
      <w:bookmarkStart w:id="258" w:name="_Toc148954467"/>
      <w:bookmarkStart w:id="259" w:name="_Toc148780241"/>
      <w:bookmarkStart w:id="260" w:name="_Toc157847823"/>
      <w:bookmarkStart w:id="261" w:name="_Toc163530305"/>
      <w:bookmarkStart w:id="262" w:name="_Toc187729583"/>
      <w:bookmarkStart w:id="263" w:name="_Toc188869283"/>
      <w:bookmarkStart w:id="264" w:name="_Toc201401386"/>
      <w:bookmarkStart w:id="265" w:name="_Toc201401578"/>
      <w:bookmarkStart w:id="266" w:name="_Toc201997837"/>
      <w:bookmarkStart w:id="267" w:name="_Toc135666631"/>
      <w:bookmarkStart w:id="268" w:name="_Toc98817937"/>
      <w:bookmarkStart w:id="269" w:name="_Toc134852024"/>
      <w:r>
        <w:rPr>
          <w:rFonts w:hint="eastAsia"/>
          <w:highlight w:val="none"/>
        </w:rPr>
        <w:t>28．  投标文件的修改或撤回</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pPr>
        <w:tabs>
          <w:tab w:val="clear" w:pos="426"/>
        </w:tabs>
        <w:rPr>
          <w:highlight w:val="none"/>
        </w:rPr>
      </w:pPr>
      <w:r>
        <w:rPr>
          <w:rFonts w:hint="eastAsia"/>
          <w:highlight w:val="none"/>
        </w:rPr>
        <w:t>28.1  投标人已提交投标文件，规定的投标</w:t>
      </w:r>
      <w:r>
        <w:rPr>
          <w:highlight w:val="none"/>
        </w:rPr>
        <w:t>截止</w:t>
      </w:r>
      <w:r>
        <w:rPr>
          <w:rFonts w:hint="eastAsia"/>
          <w:highlight w:val="none"/>
        </w:rPr>
        <w:t>时间还未到，投标人可提出对其投标文件的修改或撤回。投标人须提交由投标人代表签名的修改或撤回的书面通知。</w:t>
      </w:r>
    </w:p>
    <w:p>
      <w:pPr>
        <w:tabs>
          <w:tab w:val="clear" w:pos="426"/>
        </w:tabs>
        <w:rPr>
          <w:highlight w:val="none"/>
        </w:rPr>
      </w:pPr>
      <w:r>
        <w:rPr>
          <w:rFonts w:hint="eastAsia"/>
          <w:highlight w:val="none"/>
        </w:rPr>
        <w:t>28.2  采购代理机构收到由投标人代表签名的修改或撤回的书面通知并确认后，投标人可对其投标文件进行修改，或是撤回其投标。</w:t>
      </w:r>
    </w:p>
    <w:p>
      <w:pPr>
        <w:tabs>
          <w:tab w:val="clear" w:pos="426"/>
        </w:tabs>
        <w:rPr>
          <w:highlight w:val="none"/>
        </w:rPr>
      </w:pPr>
      <w:bookmarkStart w:id="270" w:name="_Toc188869284"/>
      <w:r>
        <w:rPr>
          <w:rFonts w:hint="eastAsia"/>
          <w:highlight w:val="none"/>
        </w:rPr>
        <w:t>28.3  投标人的修改文件应按照本招标文件的规定进行编制、密封、标记和提交，并在密封袋上注明“投标修改”。</w:t>
      </w:r>
    </w:p>
    <w:p>
      <w:pPr>
        <w:tabs>
          <w:tab w:val="clear" w:pos="426"/>
        </w:tabs>
        <w:rPr>
          <w:highlight w:val="none"/>
        </w:rPr>
      </w:pPr>
      <w:r>
        <w:rPr>
          <w:rFonts w:hint="eastAsia"/>
          <w:highlight w:val="none"/>
        </w:rPr>
        <w:t>28.4  投标截止时间之后至投标文件有效期终止之前，投标人不得要求撤回其投标。在此期间撤回投标的，其投标担保将会被没收。</w:t>
      </w:r>
    </w:p>
    <w:p>
      <w:pPr>
        <w:tabs>
          <w:tab w:val="clear" w:pos="426"/>
        </w:tabs>
        <w:rPr>
          <w:highlight w:val="none"/>
        </w:rPr>
      </w:pPr>
      <w:r>
        <w:rPr>
          <w:rFonts w:hint="eastAsia"/>
          <w:highlight w:val="none"/>
        </w:rPr>
        <w:t>28.5  评标结束后，不论中标与否，投标人均不得收回投标文件。</w:t>
      </w:r>
    </w:p>
    <w:bookmarkEnd w:id="270"/>
    <w:p>
      <w:pPr>
        <w:pStyle w:val="5"/>
        <w:tabs>
          <w:tab w:val="clear" w:pos="426"/>
        </w:tabs>
        <w:rPr>
          <w:highlight w:val="none"/>
        </w:rPr>
      </w:pPr>
      <w:bookmarkStart w:id="271" w:name="_Toc398220532"/>
      <w:bookmarkStart w:id="272" w:name="_Toc432592824"/>
      <w:bookmarkStart w:id="273" w:name="_Toc5875397"/>
      <w:r>
        <w:rPr>
          <w:rFonts w:hint="eastAsia"/>
          <w:highlight w:val="none"/>
        </w:rPr>
        <w:t>第四章 开标</w:t>
      </w:r>
      <w:bookmarkEnd w:id="226"/>
      <w:bookmarkEnd w:id="227"/>
      <w:bookmarkEnd w:id="228"/>
      <w:bookmarkEnd w:id="229"/>
      <w:bookmarkEnd w:id="230"/>
      <w:bookmarkEnd w:id="231"/>
      <w:bookmarkEnd w:id="271"/>
      <w:bookmarkEnd w:id="272"/>
      <w:bookmarkEnd w:id="273"/>
    </w:p>
    <w:p>
      <w:pPr>
        <w:tabs>
          <w:tab w:val="clear" w:pos="426"/>
        </w:tabs>
        <w:rPr>
          <w:highlight w:val="none"/>
        </w:rPr>
      </w:pPr>
      <w:bookmarkStart w:id="274" w:name="_Toc201401388"/>
      <w:bookmarkStart w:id="275" w:name="_Toc201401580"/>
      <w:bookmarkStart w:id="276" w:name="_Toc201997841"/>
      <w:bookmarkStart w:id="277" w:name="_Toc135666820"/>
      <w:bookmarkStart w:id="278" w:name="_Toc148329806"/>
      <w:bookmarkStart w:id="279" w:name="_Toc148413305"/>
      <w:bookmarkStart w:id="280" w:name="_Toc148778162"/>
      <w:bookmarkStart w:id="281" w:name="_Toc148779957"/>
      <w:bookmarkStart w:id="282" w:name="_Toc148780243"/>
      <w:bookmarkStart w:id="283" w:name="_Toc148954469"/>
      <w:bookmarkStart w:id="284" w:name="_Toc148954864"/>
      <w:bookmarkStart w:id="285" w:name="_Toc143658460"/>
      <w:bookmarkStart w:id="286" w:name="_Toc157847825"/>
      <w:bookmarkStart w:id="287" w:name="_Toc163530307"/>
      <w:bookmarkStart w:id="288" w:name="_Toc187729585"/>
      <w:bookmarkStart w:id="289" w:name="_Toc188869286"/>
      <w:bookmarkStart w:id="290" w:name="_Toc98817939"/>
      <w:bookmarkStart w:id="291" w:name="_Toc134852027"/>
      <w:bookmarkStart w:id="292" w:name="_Toc135666633"/>
      <w:bookmarkStart w:id="293" w:name="_Toc73517668"/>
      <w:bookmarkStart w:id="294" w:name="_Toc73518146"/>
      <w:bookmarkStart w:id="295" w:name="_Toc73521576"/>
      <w:bookmarkStart w:id="296" w:name="_Toc73521664"/>
      <w:bookmarkStart w:id="297" w:name="_Toc100052393"/>
      <w:bookmarkStart w:id="298" w:name="_Toc101074882"/>
      <w:r>
        <w:rPr>
          <w:rFonts w:hint="eastAsia"/>
          <w:highlight w:val="none"/>
        </w:rPr>
        <w:t>29．　开标</w:t>
      </w:r>
      <w:bookmarkEnd w:id="274"/>
      <w:bookmarkEnd w:id="275"/>
      <w:bookmarkEnd w:id="276"/>
    </w:p>
    <w:p>
      <w:pPr>
        <w:tabs>
          <w:tab w:val="clear" w:pos="426"/>
        </w:tabs>
        <w:rPr>
          <w:highlight w:val="none"/>
        </w:rPr>
      </w:pPr>
      <w:bookmarkStart w:id="299" w:name="_Toc201997842"/>
      <w:bookmarkStart w:id="300" w:name="_Toc201401581"/>
      <w:bookmarkStart w:id="301" w:name="_Toc201401389"/>
      <w:r>
        <w:rPr>
          <w:rFonts w:hint="eastAsia"/>
          <w:highlight w:val="none"/>
        </w:rPr>
        <w:t>29.1  采购人在“投标须知前附表”中规定的时间、地点组织公开开标。邀请所有投标人代表参加。不参加开标会的投标人，视为其认可开标程序和结果。</w:t>
      </w:r>
      <w:bookmarkEnd w:id="299"/>
      <w:bookmarkEnd w:id="300"/>
      <w:bookmarkEnd w:id="301"/>
    </w:p>
    <w:p>
      <w:pPr>
        <w:tabs>
          <w:tab w:val="clear" w:pos="426"/>
        </w:tabs>
        <w:rPr>
          <w:highlight w:val="none"/>
        </w:rPr>
      </w:pPr>
      <w:bookmarkStart w:id="302" w:name="_Toc201401582"/>
      <w:bookmarkStart w:id="303" w:name="_Toc201997843"/>
      <w:bookmarkStart w:id="304" w:name="_Toc201401390"/>
      <w:r>
        <w:rPr>
          <w:rFonts w:hint="eastAsia"/>
          <w:highlight w:val="none"/>
        </w:rPr>
        <w:t>29.2  参加开标会议的投标人只委派一名代表，且必须是本单位法定代表人或授权代表，参加会议人员须提供相应的授权委托书。</w:t>
      </w:r>
    </w:p>
    <w:bookmarkEnd w:id="302"/>
    <w:bookmarkEnd w:id="303"/>
    <w:bookmarkEnd w:id="304"/>
    <w:p>
      <w:pPr>
        <w:tabs>
          <w:tab w:val="clear" w:pos="426"/>
        </w:tabs>
        <w:rPr>
          <w:highlight w:val="none"/>
        </w:rPr>
      </w:pPr>
      <w:r>
        <w:rPr>
          <w:rFonts w:hint="eastAsia"/>
          <w:highlight w:val="none"/>
        </w:rPr>
        <w:t>29.3  开标会由采购代理机构主持，开标程序如下：</w:t>
      </w:r>
    </w:p>
    <w:p>
      <w:pPr>
        <w:tabs>
          <w:tab w:val="clear" w:pos="426"/>
        </w:tabs>
        <w:rPr>
          <w:highlight w:val="none"/>
        </w:rPr>
      </w:pPr>
      <w:r>
        <w:rPr>
          <w:rFonts w:hint="eastAsia"/>
          <w:highlight w:val="none"/>
        </w:rPr>
        <w:t xml:space="preserve">29.3.1  采购代理机构核对法人代表或其授权代表身份证明，若不能提供相应的身份证明或不相符，则不能参与开标会议； </w:t>
      </w:r>
    </w:p>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Pr>
        <w:tabs>
          <w:tab w:val="clear" w:pos="426"/>
        </w:tabs>
        <w:rPr>
          <w:color w:val="000000"/>
          <w:szCs w:val="21"/>
          <w:highlight w:val="none"/>
        </w:rPr>
      </w:pPr>
      <w:r>
        <w:rPr>
          <w:rFonts w:hint="eastAsia"/>
          <w:color w:val="000000"/>
          <w:szCs w:val="21"/>
          <w:highlight w:val="none"/>
        </w:rPr>
        <w:t>29.3.2  采购代理机构将按“采购公告”规定的时间和地点组织公开开标。投标人应委派代表参加，参加开标的代表应签名报到以证明出席。</w:t>
      </w:r>
    </w:p>
    <w:p>
      <w:pPr>
        <w:tabs>
          <w:tab w:val="clear" w:pos="426"/>
        </w:tabs>
        <w:rPr>
          <w:color w:val="000000"/>
          <w:szCs w:val="21"/>
          <w:highlight w:val="none"/>
        </w:rPr>
      </w:pPr>
      <w:r>
        <w:rPr>
          <w:rFonts w:hint="eastAsia"/>
          <w:color w:val="000000"/>
          <w:szCs w:val="21"/>
          <w:highlight w:val="none"/>
        </w:rPr>
        <w:t>29.3.3  开标时，采购代理机构将当众宣读投标人名称、修改和撤回投标的通知、开标一览表（以招标文件规定的开标一览表内容为准）。投标文件中开标一览表内容与投标报价明细表内容不一致的，以开标一览表为准。</w:t>
      </w:r>
    </w:p>
    <w:p>
      <w:pPr>
        <w:tabs>
          <w:tab w:val="clear" w:pos="426"/>
        </w:tabs>
        <w:ind w:firstLine="411" w:firstLineChars="196"/>
        <w:rPr>
          <w:color w:val="000000"/>
          <w:szCs w:val="21"/>
          <w:highlight w:val="none"/>
        </w:rPr>
      </w:pPr>
      <w:r>
        <w:rPr>
          <w:rFonts w:hint="eastAsia"/>
          <w:color w:val="000000"/>
          <w:szCs w:val="21"/>
          <w:highlight w:val="none"/>
        </w:rPr>
        <w:t>除了按照本通用条款第26条规定原封退回的投标之外，开标时将不得拒绝任何投标书。</w:t>
      </w:r>
    </w:p>
    <w:p>
      <w:pPr>
        <w:tabs>
          <w:tab w:val="clear" w:pos="426"/>
        </w:tabs>
        <w:rPr>
          <w:color w:val="000000"/>
          <w:szCs w:val="21"/>
          <w:highlight w:val="none"/>
        </w:rPr>
      </w:pPr>
      <w:r>
        <w:rPr>
          <w:color w:val="000000"/>
          <w:szCs w:val="21"/>
          <w:highlight w:val="none"/>
        </w:rPr>
        <w:t>2</w:t>
      </w:r>
      <w:r>
        <w:rPr>
          <w:rFonts w:hint="eastAsia"/>
          <w:color w:val="000000"/>
          <w:szCs w:val="21"/>
          <w:highlight w:val="none"/>
        </w:rPr>
        <w:t>9</w:t>
      </w:r>
      <w:r>
        <w:rPr>
          <w:color w:val="000000"/>
          <w:szCs w:val="21"/>
          <w:highlight w:val="none"/>
        </w:rPr>
        <w:t>.3</w:t>
      </w:r>
      <w:r>
        <w:rPr>
          <w:rFonts w:hint="eastAsia"/>
          <w:color w:val="000000"/>
          <w:szCs w:val="21"/>
          <w:highlight w:val="none"/>
        </w:rPr>
        <w:t>.4 开标时，采购代理机构仅拆封开标信封。如投标人未单独密封包装开标信封，采购代理机构有权拆封投标文件。</w:t>
      </w:r>
    </w:p>
    <w:p>
      <w:pPr>
        <w:tabs>
          <w:tab w:val="clear" w:pos="426"/>
        </w:tabs>
        <w:rPr>
          <w:color w:val="000000"/>
          <w:szCs w:val="21"/>
          <w:highlight w:val="none"/>
        </w:rPr>
      </w:pPr>
      <w:r>
        <w:rPr>
          <w:color w:val="000000"/>
          <w:szCs w:val="21"/>
          <w:highlight w:val="none"/>
        </w:rPr>
        <w:t>2</w:t>
      </w:r>
      <w:r>
        <w:rPr>
          <w:rFonts w:hint="eastAsia"/>
          <w:color w:val="000000"/>
          <w:szCs w:val="21"/>
          <w:highlight w:val="none"/>
        </w:rPr>
        <w:t>9</w:t>
      </w:r>
      <w:r>
        <w:rPr>
          <w:color w:val="000000"/>
          <w:szCs w:val="21"/>
          <w:highlight w:val="none"/>
        </w:rPr>
        <w:t>.</w:t>
      </w:r>
      <w:r>
        <w:rPr>
          <w:rFonts w:hint="eastAsia"/>
          <w:color w:val="000000"/>
          <w:szCs w:val="21"/>
          <w:highlight w:val="none"/>
        </w:rPr>
        <w:t>3.5按照投标人须知第</w:t>
      </w:r>
      <w:r>
        <w:rPr>
          <w:color w:val="000000"/>
          <w:szCs w:val="21"/>
          <w:highlight w:val="none"/>
        </w:rPr>
        <w:t>2</w:t>
      </w:r>
      <w:r>
        <w:rPr>
          <w:rFonts w:hint="eastAsia"/>
          <w:color w:val="000000"/>
          <w:szCs w:val="21"/>
          <w:highlight w:val="none"/>
        </w:rPr>
        <w:t>8条规定，提交了可接受的“撤回”通知的投标将不予开封。</w:t>
      </w:r>
    </w:p>
    <w:p>
      <w:pPr>
        <w:tabs>
          <w:tab w:val="clear" w:pos="426"/>
        </w:tabs>
        <w:rPr>
          <w:color w:val="000000"/>
          <w:szCs w:val="21"/>
          <w:highlight w:val="none"/>
        </w:rPr>
      </w:pPr>
      <w:r>
        <w:rPr>
          <w:color w:val="000000"/>
          <w:szCs w:val="21"/>
          <w:highlight w:val="none"/>
        </w:rPr>
        <w:t>2</w:t>
      </w:r>
      <w:r>
        <w:rPr>
          <w:rFonts w:hint="eastAsia"/>
          <w:color w:val="000000"/>
          <w:szCs w:val="21"/>
          <w:highlight w:val="none"/>
        </w:rPr>
        <w:t>9</w:t>
      </w:r>
      <w:r>
        <w:rPr>
          <w:color w:val="000000"/>
          <w:szCs w:val="21"/>
          <w:highlight w:val="none"/>
        </w:rPr>
        <w:t>.</w:t>
      </w:r>
      <w:r>
        <w:rPr>
          <w:rFonts w:hint="eastAsia"/>
          <w:color w:val="000000"/>
          <w:szCs w:val="21"/>
          <w:highlight w:val="none"/>
        </w:rPr>
        <w:t>3.6 无论如何在开标时没有启封和读出的投标书在评标时将不予考虑。撤回的投标书将原封退回投标人。</w:t>
      </w:r>
    </w:p>
    <w:p>
      <w:pPr>
        <w:tabs>
          <w:tab w:val="clear" w:pos="426"/>
        </w:tabs>
        <w:rPr>
          <w:color w:val="000000"/>
          <w:szCs w:val="21"/>
          <w:highlight w:val="none"/>
        </w:rPr>
      </w:pPr>
      <w:r>
        <w:rPr>
          <w:color w:val="000000"/>
          <w:szCs w:val="21"/>
          <w:highlight w:val="none"/>
        </w:rPr>
        <w:t>2</w:t>
      </w:r>
      <w:r>
        <w:rPr>
          <w:rFonts w:hint="eastAsia"/>
          <w:color w:val="000000"/>
          <w:szCs w:val="21"/>
          <w:highlight w:val="none"/>
        </w:rPr>
        <w:t>9.3.7采购代理机构将做开标记录，开标记录包括按本通用条款第</w:t>
      </w:r>
      <w:r>
        <w:rPr>
          <w:color w:val="000000"/>
          <w:szCs w:val="21"/>
          <w:highlight w:val="none"/>
        </w:rPr>
        <w:t>2</w:t>
      </w:r>
      <w:r>
        <w:rPr>
          <w:rFonts w:hint="eastAsia"/>
          <w:color w:val="000000"/>
          <w:szCs w:val="21"/>
          <w:highlight w:val="none"/>
        </w:rPr>
        <w:t>9</w:t>
      </w:r>
      <w:r>
        <w:rPr>
          <w:color w:val="000000"/>
          <w:szCs w:val="21"/>
          <w:highlight w:val="none"/>
        </w:rPr>
        <w:t>.</w:t>
      </w:r>
      <w:r>
        <w:rPr>
          <w:rFonts w:hint="eastAsia"/>
          <w:color w:val="000000"/>
          <w:szCs w:val="21"/>
          <w:highlight w:val="none"/>
        </w:rPr>
        <w:t>3.3的规定在开标时宣读的全部内容。</w:t>
      </w:r>
    </w:p>
    <w:p>
      <w:pPr>
        <w:tabs>
          <w:tab w:val="clear" w:pos="426"/>
        </w:tabs>
        <w:rPr>
          <w:highlight w:val="none"/>
        </w:rPr>
      </w:pPr>
      <w:r>
        <w:rPr>
          <w:rFonts w:hint="eastAsia"/>
          <w:highlight w:val="none"/>
        </w:rPr>
        <w:t>29.3.8  供应商在开标过程中知道或者应知其权益受到损害时必须现场明确提出，未明确提出的，即视为认可开标结果。</w:t>
      </w:r>
    </w:p>
    <w:p>
      <w:pPr>
        <w:pStyle w:val="5"/>
        <w:tabs>
          <w:tab w:val="clear" w:pos="426"/>
        </w:tabs>
        <w:rPr>
          <w:highlight w:val="none"/>
        </w:rPr>
      </w:pPr>
      <w:bookmarkStart w:id="305" w:name="_Toc5875398"/>
      <w:bookmarkStart w:id="306" w:name="_Toc432592825"/>
      <w:bookmarkStart w:id="307" w:name="_Toc398220533"/>
      <w:r>
        <w:rPr>
          <w:rFonts w:hint="eastAsia"/>
          <w:highlight w:val="none"/>
        </w:rPr>
        <w:t>第五章 评标</w:t>
      </w:r>
      <w:bookmarkEnd w:id="293"/>
      <w:bookmarkEnd w:id="294"/>
      <w:bookmarkEnd w:id="295"/>
      <w:bookmarkEnd w:id="296"/>
      <w:r>
        <w:rPr>
          <w:rFonts w:hint="eastAsia"/>
          <w:highlight w:val="none"/>
        </w:rPr>
        <w:t>要求</w:t>
      </w:r>
      <w:bookmarkEnd w:id="297"/>
      <w:bookmarkEnd w:id="298"/>
      <w:bookmarkEnd w:id="305"/>
      <w:bookmarkEnd w:id="306"/>
      <w:bookmarkEnd w:id="307"/>
    </w:p>
    <w:p>
      <w:pPr>
        <w:tabs>
          <w:tab w:val="clear" w:pos="426"/>
        </w:tabs>
        <w:rPr>
          <w:highlight w:val="none"/>
        </w:rPr>
      </w:pPr>
      <w:bookmarkStart w:id="308" w:name="bt评标会议"/>
      <w:bookmarkEnd w:id="308"/>
      <w:bookmarkStart w:id="309" w:name="_Toc73517669"/>
      <w:bookmarkStart w:id="310" w:name="_Toc73518147"/>
      <w:bookmarkStart w:id="311" w:name="_Toc73521577"/>
      <w:bookmarkStart w:id="312" w:name="_Toc73521665"/>
      <w:bookmarkStart w:id="313" w:name="_Toc100052394"/>
      <w:r>
        <w:rPr>
          <w:rFonts w:hint="eastAsia"/>
          <w:highlight w:val="none"/>
        </w:rPr>
        <w:t>30．评标委员会组成</w:t>
      </w:r>
    </w:p>
    <w:p>
      <w:pPr>
        <w:tabs>
          <w:tab w:val="clear" w:pos="426"/>
        </w:tabs>
        <w:rPr>
          <w:highlight w:val="none"/>
        </w:rPr>
      </w:pPr>
      <w:r>
        <w:rPr>
          <w:rFonts w:hint="eastAsia"/>
          <w:highlight w:val="none"/>
        </w:rPr>
        <w:t>30.1开标结束后召开评标会议，评标委员会由采购代理机构依法组建，负责评标活动。</w:t>
      </w:r>
    </w:p>
    <w:p>
      <w:pPr>
        <w:tabs>
          <w:tab w:val="clear" w:pos="426"/>
        </w:tabs>
        <w:rPr>
          <w:highlight w:val="none"/>
        </w:rPr>
      </w:pPr>
      <w:r>
        <w:rPr>
          <w:rFonts w:hint="eastAsia"/>
          <w:highlight w:val="none"/>
        </w:rPr>
        <w:t>评标委员会的组成及行为规范执行《关于印发</w:t>
      </w:r>
      <w:r>
        <w:rPr>
          <w:highlight w:val="none"/>
        </w:rPr>
        <w:t>&lt;</w:t>
      </w:r>
      <w:r>
        <w:rPr>
          <w:rFonts w:hint="eastAsia"/>
          <w:highlight w:val="none"/>
        </w:rPr>
        <w:t>深圳市政府采购评标委员会和评标方法暂行规定</w:t>
      </w:r>
      <w:r>
        <w:rPr>
          <w:highlight w:val="none"/>
        </w:rPr>
        <w:t>&gt;</w:t>
      </w:r>
      <w:r>
        <w:rPr>
          <w:rFonts w:hint="eastAsia"/>
          <w:highlight w:val="none"/>
        </w:rPr>
        <w:t>的通知》</w:t>
      </w:r>
      <w:r>
        <w:rPr>
          <w:highlight w:val="none"/>
        </w:rPr>
        <w:t>(</w:t>
      </w:r>
      <w:r>
        <w:rPr>
          <w:rFonts w:hint="eastAsia"/>
          <w:highlight w:val="none"/>
        </w:rPr>
        <w:t>深财购</w:t>
      </w:r>
      <w:r>
        <w:rPr>
          <w:highlight w:val="none"/>
        </w:rPr>
        <w:t>[2005]5</w:t>
      </w:r>
      <w:r>
        <w:rPr>
          <w:rFonts w:hint="eastAsia"/>
          <w:highlight w:val="none"/>
        </w:rPr>
        <w:t>号</w:t>
      </w:r>
      <w:r>
        <w:rPr>
          <w:highlight w:val="none"/>
        </w:rPr>
        <w:t>)</w:t>
      </w:r>
      <w:r>
        <w:rPr>
          <w:rFonts w:hint="eastAsia"/>
          <w:highlight w:val="none"/>
        </w:rPr>
        <w:t>，评标委员会由采购单位代表和有关技术、经济等方面的专家组成，成员人数为</w:t>
      </w:r>
      <w:r>
        <w:rPr>
          <w:highlight w:val="none"/>
        </w:rPr>
        <w:t>5</w:t>
      </w:r>
      <w:r>
        <w:rPr>
          <w:rFonts w:hint="eastAsia"/>
          <w:highlight w:val="none"/>
        </w:rPr>
        <w:t>人以上（含</w:t>
      </w:r>
      <w:r>
        <w:rPr>
          <w:highlight w:val="none"/>
        </w:rPr>
        <w:t>5</w:t>
      </w:r>
      <w:r>
        <w:rPr>
          <w:rFonts w:hint="eastAsia"/>
          <w:highlight w:val="none"/>
        </w:rPr>
        <w:t>人）单数，其中技术、经济等方面的专家不少于成员总数的三分之二。</w:t>
      </w:r>
    </w:p>
    <w:p>
      <w:pPr>
        <w:tabs>
          <w:tab w:val="clear" w:pos="426"/>
        </w:tabs>
        <w:rPr>
          <w:highlight w:val="none"/>
        </w:rPr>
      </w:pPr>
      <w:r>
        <w:rPr>
          <w:rFonts w:hint="eastAsia"/>
          <w:highlight w:val="none"/>
        </w:rPr>
        <w:t>为保证评委人选的专业性，以及评标中的公平公正性，评标委员会成员从深圳市财政委员会评标专家库中随机抽取。</w:t>
      </w:r>
    </w:p>
    <w:p>
      <w:pPr>
        <w:tabs>
          <w:tab w:val="clear" w:pos="426"/>
        </w:tabs>
        <w:rPr>
          <w:highlight w:val="none"/>
        </w:rPr>
      </w:pPr>
      <w:r>
        <w:rPr>
          <w:rFonts w:hint="eastAsia"/>
          <w:highlight w:val="none"/>
        </w:rPr>
        <w:t>采购单位代表须持本单位签发的《评标授权书》参加评标。</w:t>
      </w:r>
    </w:p>
    <w:p>
      <w:pPr>
        <w:tabs>
          <w:tab w:val="clear" w:pos="426"/>
        </w:tabs>
        <w:rPr>
          <w:highlight w:val="none"/>
        </w:rPr>
      </w:pPr>
      <w:r>
        <w:rPr>
          <w:rFonts w:hint="eastAsia"/>
          <w:highlight w:val="none"/>
        </w:rPr>
        <w:t>采购单位无代表参与评标，应在开标前一天提交《采购单位不派评委参与项目评标承诺书》给采购代理机构。</w:t>
      </w:r>
    </w:p>
    <w:p>
      <w:pPr>
        <w:tabs>
          <w:tab w:val="clear" w:pos="426"/>
        </w:tabs>
        <w:rPr>
          <w:sz w:val="24"/>
          <w:highlight w:val="none"/>
        </w:rPr>
      </w:pPr>
      <w:r>
        <w:rPr>
          <w:rFonts w:hint="eastAsia"/>
          <w:highlight w:val="none"/>
        </w:rPr>
        <w:t>注：《评标授权书》《采购单位不派评委参与项目评标承诺书》模板可以从“深圳市政府采购中心网站”（</w:t>
      </w:r>
      <w:r>
        <w:rPr>
          <w:highlight w:val="none"/>
        </w:rPr>
        <w:t>http://</w:t>
      </w:r>
      <w:r>
        <w:rPr>
          <w:rFonts w:hint="eastAsia"/>
          <w:highlight w:val="none"/>
        </w:rPr>
        <w:t>www</w:t>
      </w:r>
      <w:r>
        <w:rPr>
          <w:highlight w:val="none"/>
        </w:rPr>
        <w:t>.szzfcg.cn/</w:t>
      </w:r>
      <w:r>
        <w:rPr>
          <w:rFonts w:hint="eastAsia"/>
          <w:highlight w:val="none"/>
        </w:rPr>
        <w:t>）采购单位页面下“采购”环节“通用表格”处下载</w:t>
      </w:r>
      <w:r>
        <w:rPr>
          <w:rFonts w:hint="eastAsia"/>
          <w:sz w:val="24"/>
          <w:highlight w:val="none"/>
        </w:rPr>
        <w:t>。</w:t>
      </w:r>
    </w:p>
    <w:p>
      <w:pPr>
        <w:tabs>
          <w:tab w:val="clear" w:pos="426"/>
        </w:tabs>
        <w:rPr>
          <w:highlight w:val="none"/>
        </w:rPr>
      </w:pPr>
      <w:r>
        <w:rPr>
          <w:rFonts w:hint="eastAsia"/>
          <w:highlight w:val="none"/>
        </w:rPr>
        <w:t>30.2评标定标应当遵循公平、公正、科学、择优的原则。</w:t>
      </w:r>
    </w:p>
    <w:p>
      <w:pPr>
        <w:tabs>
          <w:tab w:val="clear" w:pos="426"/>
        </w:tabs>
        <w:rPr>
          <w:highlight w:val="none"/>
        </w:rPr>
      </w:pPr>
      <w:r>
        <w:rPr>
          <w:rFonts w:hint="eastAsia"/>
          <w:highlight w:val="none"/>
        </w:rPr>
        <w:t>30.3评标活动依法进行，任何单位和个人不得非法干预评标过程和结果。</w:t>
      </w:r>
    </w:p>
    <w:p>
      <w:pPr>
        <w:tabs>
          <w:tab w:val="clear" w:pos="426"/>
        </w:tabs>
        <w:rPr>
          <w:highlight w:val="none"/>
        </w:rPr>
      </w:pPr>
      <w:r>
        <w:rPr>
          <w:rFonts w:hint="eastAsia"/>
          <w:highlight w:val="none"/>
        </w:rPr>
        <w:t>30.4评标过程中不允许违背评标程序或采用招标文件未载明的评标方法或评标因素进行评标。</w:t>
      </w:r>
    </w:p>
    <w:p>
      <w:pPr>
        <w:tabs>
          <w:tab w:val="clear" w:pos="426"/>
        </w:tabs>
        <w:rPr>
          <w:highlight w:val="none"/>
        </w:rPr>
      </w:pPr>
      <w:r>
        <w:rPr>
          <w:rFonts w:hint="eastAsia"/>
          <w:highlight w:val="none"/>
        </w:rPr>
        <w:t>30.5 开标后，直到授予中标人合同为止，凡属于对投标文件的审查、澄清、评价和比较的有关资料以及中标候选人的推荐情况、与评标有关的其他任何情况均严格保密。</w:t>
      </w:r>
    </w:p>
    <w:p>
      <w:pPr>
        <w:tabs>
          <w:tab w:val="clear" w:pos="426"/>
        </w:tabs>
        <w:rPr>
          <w:highlight w:val="none"/>
        </w:rPr>
      </w:pPr>
      <w:r>
        <w:rPr>
          <w:rFonts w:hint="eastAsia"/>
          <w:highlight w:val="none"/>
        </w:rPr>
        <w:t>31．向评标委员会提供的资料</w:t>
      </w:r>
    </w:p>
    <w:p>
      <w:pPr>
        <w:tabs>
          <w:tab w:val="clear" w:pos="426"/>
        </w:tabs>
        <w:rPr>
          <w:highlight w:val="none"/>
        </w:rPr>
      </w:pPr>
      <w:r>
        <w:rPr>
          <w:rFonts w:hint="eastAsia"/>
          <w:highlight w:val="none"/>
        </w:rPr>
        <w:t>31.1公开发布的招标文件，包括图纸、服务清单、答疑文件等；</w:t>
      </w:r>
    </w:p>
    <w:p>
      <w:pPr>
        <w:tabs>
          <w:tab w:val="clear" w:pos="426"/>
        </w:tabs>
        <w:rPr>
          <w:highlight w:val="none"/>
        </w:rPr>
      </w:pPr>
      <w:r>
        <w:rPr>
          <w:rFonts w:hint="eastAsia"/>
          <w:highlight w:val="none"/>
        </w:rPr>
        <w:t>31.2其他评标必须的资料。</w:t>
      </w:r>
    </w:p>
    <w:p>
      <w:pPr>
        <w:tabs>
          <w:tab w:val="clear" w:pos="426"/>
        </w:tabs>
        <w:rPr>
          <w:highlight w:val="none"/>
        </w:rPr>
      </w:pPr>
      <w:r>
        <w:rPr>
          <w:rFonts w:hint="eastAsia"/>
          <w:highlight w:val="none"/>
        </w:rPr>
        <w:t>31.3评标委员会应当认真研究招标文件，至少应了解熟悉以下内容：</w:t>
      </w:r>
    </w:p>
    <w:p>
      <w:pPr>
        <w:tabs>
          <w:tab w:val="clear" w:pos="426"/>
        </w:tabs>
        <w:rPr>
          <w:highlight w:val="none"/>
        </w:rPr>
      </w:pPr>
      <w:r>
        <w:rPr>
          <w:rFonts w:hint="eastAsia"/>
          <w:highlight w:val="none"/>
        </w:rPr>
        <w:t>（1）招标的目的；</w:t>
      </w:r>
    </w:p>
    <w:p>
      <w:pPr>
        <w:tabs>
          <w:tab w:val="clear" w:pos="426"/>
        </w:tabs>
        <w:rPr>
          <w:highlight w:val="none"/>
        </w:rPr>
      </w:pPr>
      <w:r>
        <w:rPr>
          <w:rFonts w:hint="eastAsia"/>
          <w:highlight w:val="none"/>
        </w:rPr>
        <w:t>（2）招标项目需求的范围和性质；</w:t>
      </w:r>
    </w:p>
    <w:p>
      <w:pPr>
        <w:tabs>
          <w:tab w:val="clear" w:pos="426"/>
        </w:tabs>
        <w:rPr>
          <w:highlight w:val="none"/>
        </w:rPr>
      </w:pPr>
      <w:r>
        <w:rPr>
          <w:rFonts w:hint="eastAsia"/>
          <w:highlight w:val="none"/>
        </w:rPr>
        <w:t>（3）招标文件规定的投标人的资格、财政预算限额、商务条款；</w:t>
      </w:r>
    </w:p>
    <w:p>
      <w:pPr>
        <w:tabs>
          <w:tab w:val="clear" w:pos="426"/>
        </w:tabs>
        <w:rPr>
          <w:highlight w:val="none"/>
        </w:rPr>
      </w:pPr>
      <w:r>
        <w:rPr>
          <w:rFonts w:hint="eastAsia"/>
          <w:highlight w:val="none"/>
        </w:rPr>
        <w:t>（4）招标文件规定的评标程序、评标方法和评标因素；</w:t>
      </w:r>
    </w:p>
    <w:p>
      <w:pPr>
        <w:tabs>
          <w:tab w:val="clear" w:pos="426"/>
        </w:tabs>
        <w:rPr>
          <w:highlight w:val="none"/>
        </w:rPr>
      </w:pPr>
      <w:r>
        <w:rPr>
          <w:rFonts w:hint="eastAsia"/>
          <w:highlight w:val="none"/>
        </w:rPr>
        <w:t>（5）招标文件所列示的投标文件“资格、符合性评审条款”。</w:t>
      </w:r>
    </w:p>
    <w:p>
      <w:pPr>
        <w:tabs>
          <w:tab w:val="clear" w:pos="426"/>
        </w:tabs>
        <w:rPr>
          <w:highlight w:val="none"/>
        </w:rPr>
      </w:pPr>
      <w:r>
        <w:rPr>
          <w:rFonts w:hint="eastAsia"/>
          <w:highlight w:val="none"/>
        </w:rPr>
        <w:t>32．独立评标</w:t>
      </w:r>
    </w:p>
    <w:p>
      <w:pPr>
        <w:tabs>
          <w:tab w:val="clear" w:pos="426"/>
        </w:tabs>
        <w:rPr>
          <w:szCs w:val="21"/>
          <w:highlight w:val="none"/>
        </w:rPr>
      </w:pPr>
      <w:r>
        <w:rPr>
          <w:rFonts w:hint="eastAsia"/>
          <w:highlight w:val="none"/>
        </w:rPr>
        <w:t>32.1评标委员会成员的评标活动应当独立进行，并应遵循投标文件初审、澄清有关问题、比较与评价、确定中标候选供应商、编写评标报告的工作程序。</w:t>
      </w:r>
      <w:bookmarkEnd w:id="309"/>
      <w:bookmarkEnd w:id="310"/>
      <w:bookmarkEnd w:id="311"/>
      <w:bookmarkEnd w:id="312"/>
      <w:bookmarkEnd w:id="313"/>
      <w:bookmarkStart w:id="314" w:name="bt错误的修正"/>
      <w:bookmarkEnd w:id="314"/>
      <w:bookmarkStart w:id="315" w:name="bt评标过程的保密"/>
      <w:bookmarkEnd w:id="315"/>
    </w:p>
    <w:p>
      <w:pPr>
        <w:pStyle w:val="5"/>
        <w:tabs>
          <w:tab w:val="clear" w:pos="426"/>
        </w:tabs>
        <w:rPr>
          <w:highlight w:val="none"/>
        </w:rPr>
      </w:pPr>
      <w:bookmarkStart w:id="316" w:name="_Toc100052397"/>
      <w:bookmarkStart w:id="317" w:name="_Toc101074883"/>
      <w:bookmarkStart w:id="318" w:name="_Toc398220534"/>
      <w:bookmarkStart w:id="319" w:name="_Toc432592826"/>
      <w:bookmarkStart w:id="320" w:name="_Toc5875399"/>
      <w:r>
        <w:rPr>
          <w:rFonts w:hint="eastAsia"/>
          <w:highlight w:val="none"/>
        </w:rPr>
        <w:t>第六章 评标程序</w:t>
      </w:r>
      <w:bookmarkStart w:id="321" w:name="bt投标文件的审查"/>
      <w:bookmarkEnd w:id="321"/>
      <w:bookmarkStart w:id="322" w:name="_Toc73517671"/>
      <w:bookmarkStart w:id="323" w:name="_Toc73518149"/>
      <w:bookmarkStart w:id="324" w:name="_Toc73521579"/>
      <w:bookmarkStart w:id="325" w:name="_Toc73521667"/>
      <w:r>
        <w:rPr>
          <w:rFonts w:hint="eastAsia"/>
          <w:highlight w:val="none"/>
        </w:rPr>
        <w:t>及评标方法</w:t>
      </w:r>
      <w:bookmarkEnd w:id="316"/>
      <w:bookmarkEnd w:id="317"/>
      <w:bookmarkEnd w:id="318"/>
      <w:bookmarkEnd w:id="319"/>
      <w:bookmarkEnd w:id="320"/>
    </w:p>
    <w:p>
      <w:pPr>
        <w:tabs>
          <w:tab w:val="clear" w:pos="426"/>
        </w:tabs>
        <w:rPr>
          <w:highlight w:val="none"/>
        </w:rPr>
      </w:pPr>
      <w:bookmarkStart w:id="326" w:name="_Toc100052398"/>
      <w:r>
        <w:rPr>
          <w:rFonts w:hint="eastAsia"/>
          <w:highlight w:val="none"/>
        </w:rPr>
        <w:t>33．投标文件初审</w:t>
      </w:r>
      <w:bookmarkEnd w:id="326"/>
    </w:p>
    <w:bookmarkEnd w:id="322"/>
    <w:bookmarkEnd w:id="323"/>
    <w:bookmarkEnd w:id="324"/>
    <w:bookmarkEnd w:id="325"/>
    <w:p>
      <w:pPr>
        <w:widowControl w:val="0"/>
        <w:shd w:val="clear" w:color="auto" w:fill="auto"/>
        <w:tabs>
          <w:tab w:val="clear" w:pos="426"/>
        </w:tabs>
        <w:autoSpaceDE w:val="0"/>
        <w:autoSpaceDN w:val="0"/>
        <w:rPr>
          <w:rFonts w:cs="黑体"/>
          <w:b/>
          <w:bCs/>
          <w:szCs w:val="21"/>
          <w:highlight w:val="none"/>
        </w:rPr>
      </w:pPr>
      <w:r>
        <w:rPr>
          <w:rFonts w:hint="eastAsia"/>
          <w:highlight w:val="none"/>
        </w:rPr>
        <w:t xml:space="preserve">33.1 </w:t>
      </w:r>
      <w:r>
        <w:rPr>
          <w:rFonts w:hint="eastAsia"/>
          <w:szCs w:val="21"/>
          <w:highlight w:val="none"/>
          <w:lang w:eastAsia="zh-TW"/>
        </w:rPr>
        <w:t>评标委员会将</w:t>
      </w:r>
      <w:r>
        <w:rPr>
          <w:rFonts w:hint="eastAsia"/>
          <w:szCs w:val="21"/>
          <w:highlight w:val="none"/>
        </w:rPr>
        <w:t>依法对投标文件进行初审。</w:t>
      </w:r>
      <w:r>
        <w:rPr>
          <w:rFonts w:hint="eastAsia"/>
          <w:highlight w:val="none"/>
        </w:rPr>
        <w:t>投标文件初审包括资格性审查和符合性审查，资格性审查：依据法律法规和招标文件的规定，对投标文件中的资格证明、投标保证金等进行审查，以确定投标人是否具备投标资格。符合性审查：依据招标文件的规定，从投标文件的有效性、完整性和对招标文件的响应程度进行审查，以确定是否对招标文件的实质性要求作出响应。</w:t>
      </w:r>
    </w:p>
    <w:p>
      <w:pPr>
        <w:tabs>
          <w:tab w:val="clear" w:pos="426"/>
        </w:tabs>
        <w:rPr>
          <w:b/>
          <w:highlight w:val="none"/>
        </w:rPr>
      </w:pPr>
      <w:r>
        <w:rPr>
          <w:rFonts w:hint="eastAsia"/>
          <w:highlight w:val="none"/>
        </w:rPr>
        <w:t>33.2 投标文件初审内容请详见“</w:t>
      </w:r>
      <w:r>
        <w:rPr>
          <w:rFonts w:hint="eastAsia"/>
          <w:b/>
          <w:highlight w:val="none"/>
        </w:rPr>
        <w:t>资格、符合性评审条款</w:t>
      </w:r>
      <w:r>
        <w:rPr>
          <w:rFonts w:hint="eastAsia"/>
          <w:highlight w:val="none"/>
        </w:rPr>
        <w:t>”。投标人若有一条审查不通过则按无效标处理。评标委员会对投标单位打√为通过审查，打×为未通过审查。</w:t>
      </w:r>
    </w:p>
    <w:p>
      <w:pPr>
        <w:tabs>
          <w:tab w:val="clear" w:pos="426"/>
        </w:tabs>
        <w:rPr>
          <w:highlight w:val="none"/>
        </w:rPr>
      </w:pPr>
      <w:r>
        <w:rPr>
          <w:highlight w:val="none"/>
        </w:rPr>
        <w:t>33.3 投标文件初审中关于供应商家数的计算</w:t>
      </w:r>
    </w:p>
    <w:p>
      <w:pPr>
        <w:tabs>
          <w:tab w:val="clear" w:pos="426"/>
        </w:tabs>
        <w:rPr>
          <w:highlight w:val="none"/>
        </w:rPr>
      </w:pPr>
      <w:r>
        <w:rPr>
          <w:highlight w:val="none"/>
        </w:rP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tabs>
          <w:tab w:val="clear" w:pos="426"/>
        </w:tabs>
        <w:rPr>
          <w:highlight w:val="none"/>
        </w:rPr>
      </w:pPr>
      <w:r>
        <w:rPr>
          <w:highlight w:val="none"/>
        </w:rP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tabs>
          <w:tab w:val="clear" w:pos="426"/>
        </w:tabs>
        <w:rPr>
          <w:highlight w:val="none"/>
        </w:rPr>
      </w:pPr>
      <w:r>
        <w:rPr>
          <w:highlight w:val="none"/>
        </w:rPr>
        <w:t>33.3.3非单一产品采购项目，采购人应当根据采购项目技术构成、产品价格比重等合理确定核心产品，并在招标文件中载明。多家投标人提供的核心产品品牌相同的，按前两款规定处理。</w:t>
      </w:r>
    </w:p>
    <w:p>
      <w:pPr>
        <w:tabs>
          <w:tab w:val="clear" w:pos="426"/>
        </w:tabs>
        <w:rPr>
          <w:highlight w:val="none"/>
        </w:rPr>
      </w:pPr>
      <w:r>
        <w:rPr>
          <w:highlight w:val="none"/>
        </w:rPr>
        <w:t>33.3.4公开招标以外采购方式以及政府采购服务和工程涉及采购货物的项目，也按此方法计算供应商家数。</w:t>
      </w:r>
    </w:p>
    <w:p>
      <w:pPr>
        <w:tabs>
          <w:tab w:val="clear" w:pos="426"/>
        </w:tabs>
        <w:rPr>
          <w:b/>
          <w:bCs/>
          <w:highlight w:val="none"/>
        </w:rPr>
      </w:pPr>
      <w:r>
        <w:rPr>
          <w:rFonts w:hint="eastAsia"/>
          <w:highlight w:val="none"/>
        </w:rPr>
        <w:t>33.4 对不属于投标文件“</w:t>
      </w:r>
      <w:r>
        <w:rPr>
          <w:rFonts w:hint="eastAsia"/>
          <w:b/>
          <w:highlight w:val="none"/>
        </w:rPr>
        <w:t>资格、符合性评审条款</w:t>
      </w:r>
      <w:r>
        <w:rPr>
          <w:rFonts w:hint="eastAsia"/>
          <w:highlight w:val="none"/>
        </w:rPr>
        <w:t>”要所列不符合的情形，除法律法规另有规定外，不得作为废标的理由。</w:t>
      </w:r>
    </w:p>
    <w:p>
      <w:pPr>
        <w:tabs>
          <w:tab w:val="clear" w:pos="426"/>
        </w:tabs>
        <w:rPr>
          <w:highlight w:val="none"/>
        </w:rPr>
      </w:pPr>
      <w:bookmarkStart w:id="327" w:name="_Toc100052399"/>
      <w:r>
        <w:rPr>
          <w:rFonts w:hint="eastAsia"/>
          <w:highlight w:val="none"/>
        </w:rPr>
        <w:t>34．澄清有关问题</w:t>
      </w:r>
      <w:bookmarkEnd w:id="327"/>
    </w:p>
    <w:p>
      <w:pPr>
        <w:tabs>
          <w:tab w:val="clear" w:pos="426"/>
        </w:tabs>
        <w:rPr>
          <w:highlight w:val="none"/>
        </w:rPr>
      </w:pPr>
      <w:bookmarkStart w:id="328" w:name="bt投标文件的澄清"/>
      <w:bookmarkEnd w:id="328"/>
      <w:bookmarkStart w:id="329" w:name="bt废标"/>
      <w:bookmarkEnd w:id="329"/>
      <w:bookmarkStart w:id="330" w:name="bt投标文件的评估和比较"/>
      <w:bookmarkEnd w:id="330"/>
      <w:bookmarkStart w:id="331" w:name="_Toc73518153"/>
      <w:bookmarkStart w:id="332" w:name="_Toc73521583"/>
      <w:bookmarkStart w:id="333" w:name="_Toc73521671"/>
      <w:bookmarkStart w:id="334" w:name="_Toc73517675"/>
      <w:r>
        <w:rPr>
          <w:rFonts w:hint="eastAsia"/>
          <w:highlight w:val="none"/>
        </w:rPr>
        <w:t>为了有助于投标文件的审查、评价和比较，对投标文件含义不明确、同类问题表述不一致或者有明显文字和计算错误的内容，评标委员会可以用书面形式(应当由评标委员会签字)要求投标人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pPr>
        <w:tabs>
          <w:tab w:val="clear" w:pos="426"/>
        </w:tabs>
        <w:rPr>
          <w:highlight w:val="none"/>
        </w:rPr>
      </w:pPr>
      <w:bookmarkStart w:id="335" w:name="_Toc73517673"/>
      <w:bookmarkStart w:id="336" w:name="_Toc73518151"/>
      <w:bookmarkStart w:id="337" w:name="_Toc73521581"/>
      <w:bookmarkStart w:id="338" w:name="_Toc73521669"/>
      <w:bookmarkStart w:id="339" w:name="_Toc100052400"/>
      <w:r>
        <w:rPr>
          <w:rFonts w:hint="eastAsia"/>
          <w:highlight w:val="none"/>
        </w:rPr>
        <w:t>35．错误的修正</w:t>
      </w:r>
      <w:bookmarkEnd w:id="335"/>
      <w:bookmarkEnd w:id="336"/>
      <w:bookmarkEnd w:id="337"/>
      <w:bookmarkEnd w:id="338"/>
      <w:bookmarkEnd w:id="339"/>
    </w:p>
    <w:p>
      <w:pPr>
        <w:tabs>
          <w:tab w:val="clear" w:pos="426"/>
        </w:tabs>
        <w:rPr>
          <w:highlight w:val="none"/>
        </w:rPr>
      </w:pPr>
      <w:r>
        <w:rPr>
          <w:rFonts w:hint="eastAsia"/>
          <w:highlight w:val="none"/>
        </w:rPr>
        <w:t>35</w:t>
      </w:r>
      <w:r>
        <w:rPr>
          <w:highlight w:val="none"/>
        </w:rPr>
        <w:t xml:space="preserve">.1 </w:t>
      </w:r>
      <w:r>
        <w:rPr>
          <w:rFonts w:hint="eastAsia"/>
          <w:highlight w:val="none"/>
        </w:rPr>
        <w:t>评标委员会将审查投标文件是否完整、总体编排是否有序、文件签署是否合格、投标人是否提交了投标保证金、有无计算上的错误等。</w:t>
      </w:r>
    </w:p>
    <w:p>
      <w:pPr>
        <w:tabs>
          <w:tab w:val="clear" w:pos="426"/>
        </w:tabs>
        <w:rPr>
          <w:highlight w:val="none"/>
        </w:rPr>
      </w:pPr>
      <w:r>
        <w:rPr>
          <w:rFonts w:hint="eastAsia"/>
          <w:highlight w:val="none"/>
        </w:rPr>
        <w:t>35.2  算术错误将按以下方法更正（次序排先者优先）：</w:t>
      </w:r>
    </w:p>
    <w:p>
      <w:pPr>
        <w:tabs>
          <w:tab w:val="clear" w:pos="426"/>
        </w:tabs>
        <w:rPr>
          <w:highlight w:val="none"/>
        </w:rPr>
      </w:pPr>
      <w:r>
        <w:rPr>
          <w:rFonts w:hint="eastAsia"/>
          <w:highlight w:val="none"/>
        </w:rPr>
        <w:t>35.2.1投标文件中开标一览表（报价表）内容与投标文件中相应内容不一致的，以开标一览表（报价表）为准；</w:t>
      </w:r>
    </w:p>
    <w:p>
      <w:pPr>
        <w:tabs>
          <w:tab w:val="clear" w:pos="426"/>
        </w:tabs>
        <w:rPr>
          <w:highlight w:val="none"/>
        </w:rPr>
      </w:pPr>
      <w:r>
        <w:rPr>
          <w:rFonts w:hint="eastAsia"/>
          <w:highlight w:val="none"/>
        </w:rPr>
        <w:t>35.2.2大写金额和小写金额不一致的，以大写金额为准；</w:t>
      </w:r>
    </w:p>
    <w:p>
      <w:pPr>
        <w:tabs>
          <w:tab w:val="clear" w:pos="426"/>
        </w:tabs>
        <w:rPr>
          <w:highlight w:val="none"/>
        </w:rPr>
      </w:pPr>
      <w:r>
        <w:rPr>
          <w:rFonts w:hint="eastAsia"/>
          <w:highlight w:val="none"/>
        </w:rPr>
        <w:t>35.2.3单价金额小数点或者百分比有明显错位的，以开标一览表的总价为准，并修改单价；</w:t>
      </w:r>
    </w:p>
    <w:p>
      <w:pPr>
        <w:tabs>
          <w:tab w:val="clear" w:pos="426"/>
        </w:tabs>
        <w:rPr>
          <w:highlight w:val="none"/>
        </w:rPr>
      </w:pPr>
      <w:r>
        <w:rPr>
          <w:rFonts w:hint="eastAsia"/>
          <w:highlight w:val="none"/>
        </w:rPr>
        <w:t>35.2.4总价金额与按单价汇总金额不一致的，以单价金额计算结果为准；</w:t>
      </w:r>
    </w:p>
    <w:p>
      <w:pPr>
        <w:tabs>
          <w:tab w:val="clear" w:pos="426"/>
        </w:tabs>
        <w:rPr>
          <w:highlight w:val="none"/>
        </w:rPr>
      </w:pPr>
      <w:r>
        <w:rPr>
          <w:rFonts w:hint="eastAsia"/>
          <w:highlight w:val="none"/>
        </w:rPr>
        <w:t>35.2.5 对不同文字文本投标文件的解释发生异议的，以中文文本为准。</w:t>
      </w:r>
    </w:p>
    <w:p>
      <w:pPr>
        <w:tabs>
          <w:tab w:val="clear" w:pos="426"/>
        </w:tabs>
        <w:rPr>
          <w:highlight w:val="none"/>
        </w:rPr>
      </w:pPr>
      <w:r>
        <w:rPr>
          <w:rFonts w:hint="eastAsia"/>
          <w:highlight w:val="none"/>
        </w:rPr>
        <w:t>35</w:t>
      </w:r>
      <w:r>
        <w:rPr>
          <w:highlight w:val="none"/>
        </w:rPr>
        <w:t xml:space="preserve">.3  </w:t>
      </w:r>
      <w:r>
        <w:rPr>
          <w:rFonts w:hint="eastAsia"/>
          <w:highlight w:val="none"/>
        </w:rPr>
        <w:t>对于投标文件中不构成实质性偏差的不正规、不一致或不规则，给评审带来不便，评标委员会可以接受。</w:t>
      </w:r>
    </w:p>
    <w:p>
      <w:pPr>
        <w:tabs>
          <w:tab w:val="clear" w:pos="426"/>
        </w:tabs>
        <w:rPr>
          <w:highlight w:val="none"/>
        </w:rPr>
      </w:pPr>
      <w:r>
        <w:rPr>
          <w:rFonts w:hint="eastAsia"/>
          <w:highlight w:val="none"/>
        </w:rPr>
        <w:t>35.4  投标人的投标报价是可变动价格的，或包含了价格调整要求的，或投标报价中提供</w:t>
      </w:r>
      <w:r>
        <w:rPr>
          <w:highlight w:val="none"/>
        </w:rPr>
        <w:t>两个</w:t>
      </w:r>
      <w:r>
        <w:rPr>
          <w:rFonts w:hint="eastAsia"/>
          <w:highlight w:val="none"/>
        </w:rPr>
        <w:t>（含两个）以上的</w:t>
      </w:r>
      <w:r>
        <w:rPr>
          <w:highlight w:val="none"/>
        </w:rPr>
        <w:t>报价</w:t>
      </w:r>
      <w:r>
        <w:rPr>
          <w:rFonts w:hint="eastAsia"/>
          <w:highlight w:val="none"/>
        </w:rPr>
        <w:t>（</w:t>
      </w:r>
      <w:r>
        <w:rPr>
          <w:highlight w:val="none"/>
        </w:rPr>
        <w:t>招标文件规定提交备选投标方案的除外</w:t>
      </w:r>
      <w:r>
        <w:rPr>
          <w:rFonts w:hint="eastAsia"/>
          <w:highlight w:val="none"/>
        </w:rPr>
        <w:t>），或严重漏项，评标委员会无法进行判断的，评标委员会可以作无效标处理。</w:t>
      </w:r>
    </w:p>
    <w:p>
      <w:pPr>
        <w:tabs>
          <w:tab w:val="clear" w:pos="426"/>
        </w:tabs>
        <w:rPr>
          <w:highlight w:val="none"/>
        </w:rPr>
      </w:pPr>
      <w:r>
        <w:rPr>
          <w:rFonts w:hint="eastAsia"/>
          <w:highlight w:val="none"/>
        </w:rPr>
        <w:t>35.5根据上述修正错误的原则及方法调整或修正投标文件的投标报价，投标人同意后，调整后的投标报价对投标人起约束作用。</w:t>
      </w:r>
      <w:r>
        <w:rPr>
          <w:rFonts w:hint="eastAsia"/>
          <w:b/>
          <w:bCs/>
          <w:highlight w:val="none"/>
        </w:rPr>
        <w:t>如果投标人不接受修正后的报价，则其投标将被拒绝并且其投标保证金也将被没收，并不影响评标工作。</w:t>
      </w:r>
    </w:p>
    <w:p>
      <w:pPr>
        <w:tabs>
          <w:tab w:val="clear" w:pos="426"/>
        </w:tabs>
        <w:rPr>
          <w:highlight w:val="none"/>
        </w:rPr>
      </w:pPr>
      <w:bookmarkStart w:id="340" w:name="_Toc100052401"/>
      <w:r>
        <w:rPr>
          <w:rFonts w:hint="eastAsia"/>
          <w:highlight w:val="none"/>
        </w:rPr>
        <w:t>36．投标文件的</w:t>
      </w:r>
      <w:bookmarkEnd w:id="331"/>
      <w:bookmarkEnd w:id="332"/>
      <w:bookmarkEnd w:id="333"/>
      <w:bookmarkEnd w:id="334"/>
      <w:r>
        <w:rPr>
          <w:rFonts w:hint="eastAsia"/>
          <w:highlight w:val="none"/>
        </w:rPr>
        <w:t>比较与评价</w:t>
      </w:r>
      <w:bookmarkEnd w:id="340"/>
    </w:p>
    <w:p>
      <w:pPr>
        <w:tabs>
          <w:tab w:val="clear" w:pos="426"/>
        </w:tabs>
        <w:rPr>
          <w:highlight w:val="none"/>
        </w:rPr>
      </w:pPr>
      <w:r>
        <w:rPr>
          <w:rFonts w:hint="eastAsia"/>
          <w:highlight w:val="none"/>
        </w:rPr>
        <w:t>36.1评标委员会将按照《深圳经济特区政府采购条例》及《深圳市政府采购评标委员会和评标方法暂行规定》，参照相关法律、法规、规定，仅对通过资格性审查和符合性审查的投标文件进行综合比较与评价。</w:t>
      </w:r>
    </w:p>
    <w:p>
      <w:pPr>
        <w:tabs>
          <w:tab w:val="clear" w:pos="426"/>
        </w:tabs>
        <w:rPr>
          <w:highlight w:val="none"/>
        </w:rPr>
      </w:pPr>
      <w:r>
        <w:rPr>
          <w:rFonts w:hint="eastAsia"/>
          <w:bCs/>
          <w:highlight w:val="none"/>
        </w:rPr>
        <w:t xml:space="preserve">36.2  </w:t>
      </w:r>
      <w:r>
        <w:rPr>
          <w:rFonts w:hint="eastAsia"/>
          <w:highlight w:val="none"/>
        </w:rPr>
        <w:t>评标委员会应当根据招标文件，审查并逐项列出投标文件的全部投标偏离。投标偏离分为重大偏离和细微偏离。</w:t>
      </w:r>
    </w:p>
    <w:p>
      <w:pPr>
        <w:tabs>
          <w:tab w:val="clear" w:pos="426"/>
        </w:tabs>
        <w:rPr>
          <w:highlight w:val="none"/>
        </w:rPr>
      </w:pPr>
      <w:r>
        <w:rPr>
          <w:rFonts w:hint="eastAsia"/>
          <w:highlight w:val="none"/>
        </w:rPr>
        <w:t>36.3 评标委员会应当对投标人的投标文件进行分析和比较。</w:t>
      </w:r>
    </w:p>
    <w:p>
      <w:pPr>
        <w:tabs>
          <w:tab w:val="clear" w:pos="426"/>
        </w:tabs>
        <w:rPr>
          <w:highlight w:val="none"/>
        </w:rPr>
      </w:pPr>
      <w:r>
        <w:rPr>
          <w:rFonts w:hint="eastAsia"/>
          <w:highlight w:val="none"/>
        </w:rPr>
        <w:t>36.4  评标委员会应当根据招标文件规定，对投标文件中的每项评审内容进行评审。</w:t>
      </w:r>
    </w:p>
    <w:p>
      <w:pPr>
        <w:tabs>
          <w:tab w:val="clear" w:pos="426"/>
        </w:tabs>
        <w:rPr>
          <w:kern w:val="10"/>
          <w:highlight w:val="none"/>
        </w:rPr>
      </w:pPr>
      <w:r>
        <w:rPr>
          <w:rFonts w:hint="eastAsia"/>
          <w:kern w:val="10"/>
          <w:highlight w:val="none"/>
        </w:rPr>
        <w:t>36.5  投标文件存在重大偏离的，应作废标处理。下列情况属于重大偏离：</w:t>
      </w:r>
    </w:p>
    <w:p>
      <w:pPr>
        <w:tabs>
          <w:tab w:val="clear" w:pos="426"/>
        </w:tabs>
        <w:rPr>
          <w:kern w:val="10"/>
          <w:highlight w:val="none"/>
        </w:rPr>
      </w:pPr>
      <w:r>
        <w:rPr>
          <w:rFonts w:hint="eastAsia"/>
          <w:kern w:val="10"/>
          <w:highlight w:val="none"/>
        </w:rPr>
        <w:t>36.5.1  投标人以他人的名义投标或出现下列串通投标、弄虚作假投标嫌疑的：</w:t>
      </w:r>
    </w:p>
    <w:p>
      <w:pPr>
        <w:tabs>
          <w:tab w:val="clear" w:pos="426"/>
        </w:tabs>
        <w:rPr>
          <w:kern w:val="10"/>
          <w:highlight w:val="none"/>
        </w:rPr>
      </w:pPr>
      <w:r>
        <w:rPr>
          <w:rFonts w:hint="eastAsia"/>
          <w:kern w:val="10"/>
          <w:highlight w:val="none"/>
        </w:rPr>
        <w:t xml:space="preserve">36.5.1.1  </w:t>
      </w:r>
      <w:r>
        <w:rPr>
          <w:kern w:val="10"/>
          <w:highlight w:val="none"/>
        </w:rPr>
        <w:t>不同投标人的投标文件内容存在非正常一致</w:t>
      </w:r>
      <w:r>
        <w:rPr>
          <w:rFonts w:hint="eastAsia"/>
          <w:kern w:val="10"/>
          <w:highlight w:val="none"/>
        </w:rPr>
        <w:t>的</w:t>
      </w:r>
      <w:r>
        <w:rPr>
          <w:kern w:val="10"/>
          <w:highlight w:val="none"/>
        </w:rPr>
        <w:t>；</w:t>
      </w:r>
    </w:p>
    <w:p>
      <w:pPr>
        <w:tabs>
          <w:tab w:val="clear" w:pos="426"/>
        </w:tabs>
        <w:rPr>
          <w:kern w:val="10"/>
          <w:highlight w:val="none"/>
        </w:rPr>
      </w:pPr>
      <w:r>
        <w:rPr>
          <w:rFonts w:hint="eastAsia"/>
          <w:kern w:val="10"/>
          <w:highlight w:val="none"/>
        </w:rPr>
        <w:t xml:space="preserve">36.5.1.2  </w:t>
      </w:r>
      <w:r>
        <w:rPr>
          <w:kern w:val="10"/>
          <w:highlight w:val="none"/>
        </w:rPr>
        <w:t>不同投标人的投标文件错漏之处一致的；</w:t>
      </w:r>
    </w:p>
    <w:p>
      <w:pPr>
        <w:tabs>
          <w:tab w:val="clear" w:pos="426"/>
        </w:tabs>
        <w:rPr>
          <w:kern w:val="10"/>
          <w:highlight w:val="none"/>
        </w:rPr>
      </w:pPr>
      <w:r>
        <w:rPr>
          <w:rFonts w:hint="eastAsia"/>
          <w:kern w:val="10"/>
          <w:highlight w:val="none"/>
        </w:rPr>
        <w:t xml:space="preserve">36.5.1.3  </w:t>
      </w:r>
      <w:r>
        <w:rPr>
          <w:kern w:val="10"/>
          <w:highlight w:val="none"/>
        </w:rPr>
        <w:t>不同投标人的投标报价或者报价组成异常一致或者呈规律性变化的；</w:t>
      </w:r>
    </w:p>
    <w:p>
      <w:pPr>
        <w:tabs>
          <w:tab w:val="clear" w:pos="426"/>
        </w:tabs>
        <w:rPr>
          <w:kern w:val="10"/>
          <w:highlight w:val="none"/>
        </w:rPr>
      </w:pPr>
      <w:r>
        <w:rPr>
          <w:rFonts w:hint="eastAsia"/>
          <w:kern w:val="10"/>
          <w:highlight w:val="none"/>
        </w:rPr>
        <w:t xml:space="preserve">36.5.1.4  </w:t>
      </w:r>
      <w:r>
        <w:rPr>
          <w:kern w:val="10"/>
          <w:highlight w:val="none"/>
        </w:rPr>
        <w:t>不同投标人的投标文件由同一单位或者同一个人编制的；</w:t>
      </w:r>
    </w:p>
    <w:p>
      <w:pPr>
        <w:tabs>
          <w:tab w:val="clear" w:pos="426"/>
        </w:tabs>
        <w:rPr>
          <w:kern w:val="10"/>
          <w:highlight w:val="none"/>
        </w:rPr>
      </w:pPr>
      <w:r>
        <w:rPr>
          <w:rFonts w:hint="eastAsia"/>
          <w:kern w:val="10"/>
          <w:highlight w:val="none"/>
        </w:rPr>
        <w:t xml:space="preserve">36.5.1.5  </w:t>
      </w:r>
      <w:r>
        <w:rPr>
          <w:kern w:val="10"/>
          <w:highlight w:val="none"/>
        </w:rPr>
        <w:t>不同投标人的投标文件载明的</w:t>
      </w:r>
      <w:r>
        <w:rPr>
          <w:rFonts w:hint="eastAsia"/>
          <w:kern w:val="10"/>
          <w:highlight w:val="none"/>
        </w:rPr>
        <w:t>项目负责人与主要技术人员</w:t>
      </w:r>
      <w:r>
        <w:rPr>
          <w:kern w:val="10"/>
          <w:highlight w:val="none"/>
        </w:rPr>
        <w:t>出现同一人的；</w:t>
      </w:r>
    </w:p>
    <w:p>
      <w:pPr>
        <w:tabs>
          <w:tab w:val="clear" w:pos="426"/>
        </w:tabs>
        <w:rPr>
          <w:kern w:val="10"/>
          <w:highlight w:val="none"/>
        </w:rPr>
      </w:pPr>
      <w:r>
        <w:rPr>
          <w:rFonts w:hint="eastAsia"/>
          <w:kern w:val="10"/>
          <w:highlight w:val="none"/>
        </w:rPr>
        <w:t xml:space="preserve">36.5.1.6  </w:t>
      </w:r>
      <w:r>
        <w:rPr>
          <w:kern w:val="10"/>
          <w:highlight w:val="none"/>
        </w:rPr>
        <w:t>不同投标人的投标文件相互混装的；</w:t>
      </w:r>
    </w:p>
    <w:p>
      <w:pPr>
        <w:tabs>
          <w:tab w:val="clear" w:pos="426"/>
        </w:tabs>
        <w:rPr>
          <w:kern w:val="10"/>
          <w:highlight w:val="none"/>
        </w:rPr>
      </w:pPr>
      <w:r>
        <w:rPr>
          <w:rFonts w:hint="eastAsia"/>
          <w:kern w:val="10"/>
          <w:highlight w:val="none"/>
        </w:rPr>
        <w:t xml:space="preserve">36.5.1.7  </w:t>
      </w:r>
      <w:r>
        <w:rPr>
          <w:kern w:val="10"/>
          <w:highlight w:val="none"/>
        </w:rPr>
        <w:t>不同投标人委托同一人投标的</w:t>
      </w:r>
      <w:r>
        <w:rPr>
          <w:rFonts w:hint="eastAsia"/>
          <w:kern w:val="10"/>
          <w:highlight w:val="none"/>
        </w:rPr>
        <w:t>；</w:t>
      </w:r>
    </w:p>
    <w:p>
      <w:pPr>
        <w:tabs>
          <w:tab w:val="clear" w:pos="426"/>
        </w:tabs>
        <w:rPr>
          <w:kern w:val="10"/>
          <w:highlight w:val="none"/>
        </w:rPr>
      </w:pPr>
      <w:r>
        <w:rPr>
          <w:rFonts w:hint="eastAsia"/>
          <w:kern w:val="10"/>
          <w:highlight w:val="none"/>
        </w:rPr>
        <w:t>36.5.1.8  不同投标人聘请同一人为其投标提供技术或者经济咨询服务的，但招标工程本身要求采用专有技术的除外；</w:t>
      </w:r>
    </w:p>
    <w:p>
      <w:pPr>
        <w:tabs>
          <w:tab w:val="clear" w:pos="426"/>
        </w:tabs>
        <w:rPr>
          <w:kern w:val="10"/>
          <w:highlight w:val="none"/>
        </w:rPr>
      </w:pPr>
      <w:r>
        <w:rPr>
          <w:rFonts w:hint="eastAsia"/>
          <w:kern w:val="10"/>
          <w:highlight w:val="none"/>
        </w:rPr>
        <w:t xml:space="preserve">36.5.1.9  </w:t>
      </w:r>
      <w:r>
        <w:rPr>
          <w:kern w:val="10"/>
          <w:highlight w:val="none"/>
        </w:rPr>
        <w:t>评标委员会认定的其他串通投标情形。</w:t>
      </w:r>
    </w:p>
    <w:p>
      <w:pPr>
        <w:tabs>
          <w:tab w:val="clear" w:pos="426"/>
        </w:tabs>
        <w:rPr>
          <w:highlight w:val="none"/>
        </w:rPr>
      </w:pPr>
      <w:r>
        <w:rPr>
          <w:rFonts w:hint="eastAsia"/>
          <w:kern w:val="10"/>
          <w:highlight w:val="none"/>
        </w:rPr>
        <w:t xml:space="preserve">36.5.2 </w:t>
      </w:r>
      <w:r>
        <w:rPr>
          <w:rFonts w:hint="eastAsia"/>
          <w:highlight w:val="none"/>
        </w:rPr>
        <w:t xml:space="preserve"> 投标文件不满足招标文件规定的任何一项实质性要求的；</w:t>
      </w:r>
    </w:p>
    <w:p>
      <w:pPr>
        <w:tabs>
          <w:tab w:val="clear" w:pos="426"/>
        </w:tabs>
        <w:rPr>
          <w:highlight w:val="none"/>
        </w:rPr>
      </w:pPr>
      <w:r>
        <w:rPr>
          <w:rFonts w:hint="eastAsia"/>
          <w:bCs/>
          <w:kern w:val="10"/>
          <w:highlight w:val="none"/>
        </w:rPr>
        <w:t xml:space="preserve">36.5.3 </w:t>
      </w:r>
      <w:r>
        <w:rPr>
          <w:rFonts w:hint="eastAsia"/>
          <w:highlight w:val="none"/>
        </w:rPr>
        <w:t xml:space="preserve"> 投标文件对招标文件规定的非实质性要求的偏离，超出允许偏离的最大范围或最高项数的；</w:t>
      </w:r>
    </w:p>
    <w:p>
      <w:pPr>
        <w:tabs>
          <w:tab w:val="clear" w:pos="426"/>
        </w:tabs>
        <w:rPr>
          <w:highlight w:val="none"/>
        </w:rPr>
      </w:pPr>
      <w:r>
        <w:rPr>
          <w:kern w:val="10"/>
          <w:highlight w:val="none"/>
        </w:rPr>
        <w:t>3</w:t>
      </w:r>
      <w:r>
        <w:rPr>
          <w:rFonts w:hint="eastAsia"/>
          <w:kern w:val="10"/>
          <w:highlight w:val="none"/>
        </w:rPr>
        <w:t>6</w:t>
      </w:r>
      <w:r>
        <w:rPr>
          <w:kern w:val="10"/>
          <w:highlight w:val="none"/>
        </w:rPr>
        <w:t>.5.</w:t>
      </w:r>
      <w:r>
        <w:rPr>
          <w:rFonts w:hint="eastAsia"/>
          <w:kern w:val="10"/>
          <w:highlight w:val="none"/>
        </w:rPr>
        <w:t xml:space="preserve">4 </w:t>
      </w:r>
      <w:r>
        <w:rPr>
          <w:rFonts w:hint="eastAsia"/>
          <w:highlight w:val="none"/>
        </w:rPr>
        <w:t xml:space="preserve"> 评标委员会根据招标文件的规定对投标文件的投标价格进行调整，投标人不接受调整方式的，或不接受调整后的价格的；</w:t>
      </w:r>
    </w:p>
    <w:p>
      <w:pPr>
        <w:tabs>
          <w:tab w:val="clear" w:pos="426"/>
        </w:tabs>
        <w:rPr>
          <w:kern w:val="10"/>
          <w:highlight w:val="none"/>
        </w:rPr>
      </w:pPr>
      <w:r>
        <w:rPr>
          <w:rFonts w:hint="eastAsia"/>
          <w:kern w:val="10"/>
          <w:highlight w:val="none"/>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pPr>
        <w:tabs>
          <w:tab w:val="clear" w:pos="426"/>
        </w:tabs>
        <w:rPr>
          <w:kern w:val="10"/>
          <w:highlight w:val="none"/>
        </w:rPr>
      </w:pPr>
      <w:r>
        <w:rPr>
          <w:rFonts w:hint="eastAsia"/>
          <w:kern w:val="10"/>
          <w:highlight w:val="none"/>
        </w:rPr>
        <w:t>36.7 评标委员会应书面要求存在细微偏离的投标人在评标结束前予以补正。拒不补正的，在详细评审时可以对细微偏离按照不利于该投标人的原则进行调整，且投标人不得因此提出任何异议。</w:t>
      </w:r>
    </w:p>
    <w:p>
      <w:pPr>
        <w:tabs>
          <w:tab w:val="clear" w:pos="426"/>
        </w:tabs>
        <w:rPr>
          <w:highlight w:val="none"/>
        </w:rPr>
      </w:pPr>
      <w:r>
        <w:rPr>
          <w:rFonts w:hint="eastAsia"/>
          <w:highlight w:val="none"/>
        </w:rPr>
        <w:t>37.实地考察、演示或设备测试</w:t>
      </w:r>
    </w:p>
    <w:p>
      <w:pPr>
        <w:tabs>
          <w:tab w:val="clear" w:pos="426"/>
        </w:tabs>
        <w:rPr>
          <w:highlight w:val="none"/>
        </w:rPr>
      </w:pPr>
      <w:r>
        <w:rPr>
          <w:rFonts w:hint="eastAsia"/>
          <w:highlight w:val="none"/>
        </w:rPr>
        <w:t>37.1在招标过程中，评标委员会有权决定是否对本项目投标人进行现场勘察或实地考察或检验有关证明材料的原件。投标人应随时做好接受检查的准备。</w:t>
      </w:r>
    </w:p>
    <w:p>
      <w:pPr>
        <w:tabs>
          <w:tab w:val="clear" w:pos="426"/>
        </w:tabs>
        <w:rPr>
          <w:highlight w:val="none"/>
        </w:rPr>
      </w:pPr>
      <w:r>
        <w:rPr>
          <w:rFonts w:hint="eastAsia"/>
          <w:highlight w:val="none"/>
        </w:rPr>
        <w:t>37.2若招标文件要求进行现场演示或设备测试的，投标人应做好相应准备。</w:t>
      </w:r>
    </w:p>
    <w:p>
      <w:pPr>
        <w:tabs>
          <w:tab w:val="clear" w:pos="426"/>
        </w:tabs>
        <w:rPr>
          <w:highlight w:val="none"/>
        </w:rPr>
      </w:pPr>
      <w:bookmarkStart w:id="341" w:name="_Toc100052402"/>
      <w:r>
        <w:rPr>
          <w:rFonts w:hint="eastAsia"/>
          <w:highlight w:val="none"/>
        </w:rPr>
        <w:t>38．评标方法</w:t>
      </w:r>
      <w:bookmarkEnd w:id="341"/>
    </w:p>
    <w:p>
      <w:pPr>
        <w:tabs>
          <w:tab w:val="clear" w:pos="426"/>
        </w:tabs>
        <w:rPr>
          <w:szCs w:val="21"/>
          <w:highlight w:val="none"/>
        </w:rPr>
      </w:pPr>
      <w:r>
        <w:rPr>
          <w:rFonts w:hint="eastAsia"/>
          <w:szCs w:val="21"/>
          <w:highlight w:val="none"/>
        </w:rPr>
        <w:t>38.1</w:t>
      </w:r>
      <w:r>
        <w:rPr>
          <w:rFonts w:hint="eastAsia"/>
          <w:highlight w:val="none"/>
        </w:rPr>
        <w:t>根据《转发财政部关于加强政府采购货物和服务项目价格评审管理的通知》（深财购[2007]9号）和《关于印发&lt;深圳市政府采购评标委员会和评标方法暂行规定&gt;的通知》(深财购[2005]5号)《</w:t>
      </w:r>
      <w:r>
        <w:rPr>
          <w:highlight w:val="none"/>
        </w:rPr>
        <w:t>深圳市政府采购评标定标分离管理暂行办法</w:t>
      </w:r>
      <w:r>
        <w:rPr>
          <w:rFonts w:hint="eastAsia"/>
          <w:highlight w:val="none"/>
        </w:rPr>
        <w:t>》的有关要求，</w:t>
      </w:r>
      <w:r>
        <w:rPr>
          <w:rFonts w:hint="eastAsia"/>
          <w:szCs w:val="21"/>
          <w:highlight w:val="none"/>
        </w:rPr>
        <w:t>项目评标方法根据是否是评定分离项目进行选择。</w:t>
      </w:r>
    </w:p>
    <w:p>
      <w:pPr>
        <w:tabs>
          <w:tab w:val="clear" w:pos="426"/>
        </w:tabs>
        <w:rPr>
          <w:highlight w:val="none"/>
        </w:rPr>
      </w:pPr>
      <w:r>
        <w:rPr>
          <w:rFonts w:hint="eastAsia"/>
          <w:highlight w:val="none"/>
        </w:rPr>
        <w:t>38.2非评定分离项目</w:t>
      </w:r>
    </w:p>
    <w:p>
      <w:pPr>
        <w:tabs>
          <w:tab w:val="clear" w:pos="426"/>
        </w:tabs>
        <w:rPr>
          <w:highlight w:val="none"/>
        </w:rPr>
      </w:pPr>
      <w:r>
        <w:rPr>
          <w:rFonts w:hint="eastAsia"/>
          <w:highlight w:val="none"/>
        </w:rPr>
        <w:t>非评定分离项目评分方法为最低评标价法、综合评标法、性价比法及法律、法规允许的其它评标办法。</w:t>
      </w:r>
    </w:p>
    <w:p>
      <w:pPr>
        <w:tabs>
          <w:tab w:val="clear" w:pos="426"/>
        </w:tabs>
        <w:rPr>
          <w:b/>
          <w:highlight w:val="none"/>
        </w:rPr>
      </w:pPr>
      <w:r>
        <w:rPr>
          <w:rFonts w:hint="eastAsia"/>
          <w:highlight w:val="none"/>
        </w:rPr>
        <w:t>38.2.1</w:t>
      </w:r>
      <w:bookmarkStart w:id="342" w:name="评标方法2"/>
      <w:r>
        <w:rPr>
          <w:rFonts w:hint="eastAsia"/>
          <w:highlight w:val="none"/>
        </w:rPr>
        <w:t>最低评标价法</w:t>
      </w:r>
    </w:p>
    <w:p>
      <w:pPr>
        <w:tabs>
          <w:tab w:val="clear" w:pos="426"/>
        </w:tabs>
        <w:rPr>
          <w:highlight w:val="none"/>
        </w:rPr>
      </w:pPr>
      <w:r>
        <w:rPr>
          <w:rFonts w:hint="eastAsia"/>
          <w:highlight w:val="none"/>
        </w:rPr>
        <w:t>最低价法是指以价格因素确定中标候选供应商的评标方法，即在满足招标文件实质性要求前提下，以报价最低的投标人作为中标候选供应商或中标人的评标方法；</w:t>
      </w:r>
    </w:p>
    <w:p>
      <w:pPr>
        <w:tabs>
          <w:tab w:val="clear" w:pos="426"/>
        </w:tabs>
        <w:rPr>
          <w:b/>
          <w:highlight w:val="none"/>
        </w:rPr>
      </w:pPr>
      <w:r>
        <w:rPr>
          <w:rFonts w:hint="eastAsia"/>
          <w:highlight w:val="none"/>
        </w:rPr>
        <w:t>38.2.2</w:t>
      </w:r>
      <w:bookmarkStart w:id="343" w:name="_Hlk5289489"/>
      <w:r>
        <w:rPr>
          <w:rFonts w:hint="eastAsia"/>
          <w:highlight w:val="none"/>
        </w:rPr>
        <w:t>综合评分法</w:t>
      </w:r>
      <w:bookmarkEnd w:id="342"/>
      <w:bookmarkEnd w:id="343"/>
    </w:p>
    <w:p>
      <w:pPr>
        <w:tabs>
          <w:tab w:val="clear" w:pos="426"/>
        </w:tabs>
        <w:rPr>
          <w:highlight w:val="none"/>
        </w:rPr>
      </w:pPr>
      <w:bookmarkStart w:id="344" w:name="评标方法3"/>
      <w:r>
        <w:rPr>
          <w:rFonts w:hint="eastAsia"/>
          <w:highlight w:val="none"/>
        </w:rPr>
        <w:t>综合评分法是指投标文件满足招标文件全部实质性要求，且按照评审因素的量化指标评审得分最高的投标人为中标候选人的评标方法。</w:t>
      </w:r>
    </w:p>
    <w:p>
      <w:pPr>
        <w:tabs>
          <w:tab w:val="clear" w:pos="426"/>
        </w:tabs>
        <w:rPr>
          <w:b/>
          <w:bCs/>
          <w:highlight w:val="none"/>
        </w:rPr>
      </w:pPr>
      <w:r>
        <w:rPr>
          <w:rFonts w:hint="eastAsia"/>
          <w:highlight w:val="none"/>
        </w:rPr>
        <w:t>38.2.3</w:t>
      </w:r>
      <w:r>
        <w:rPr>
          <w:rFonts w:hint="eastAsia"/>
          <w:bCs/>
          <w:highlight w:val="none"/>
        </w:rPr>
        <w:t>性价比法</w:t>
      </w:r>
    </w:p>
    <w:p>
      <w:pPr>
        <w:tabs>
          <w:tab w:val="clear" w:pos="426"/>
        </w:tabs>
        <w:rPr>
          <w:highlight w:val="none"/>
        </w:rPr>
      </w:pPr>
      <w:r>
        <w:rPr>
          <w:rFonts w:hint="eastAsia"/>
          <w:highlight w:val="none"/>
        </w:rPr>
        <w:t>性价比法是指除价格因素外，经对投标文件进行评审，计算出评分因素的总分，除以投标报价，以商数最高的投标人作为中标候选供应商或中标人的评标方法。</w:t>
      </w:r>
    </w:p>
    <w:p>
      <w:pPr>
        <w:tabs>
          <w:tab w:val="clear" w:pos="426"/>
        </w:tabs>
        <w:rPr>
          <w:highlight w:val="none"/>
        </w:rPr>
      </w:pPr>
      <w:r>
        <w:rPr>
          <w:rFonts w:hint="eastAsia"/>
          <w:highlight w:val="none"/>
        </w:rPr>
        <w:t>38.3评定分离项目</w:t>
      </w:r>
    </w:p>
    <w:p>
      <w:pPr>
        <w:tabs>
          <w:tab w:val="clear" w:pos="426"/>
        </w:tabs>
        <w:rPr>
          <w:highlight w:val="none"/>
        </w:rPr>
      </w:pPr>
      <w:r>
        <w:rPr>
          <w:rFonts w:hint="eastAsia"/>
          <w:highlight w:val="none"/>
        </w:rPr>
        <w:t>评定分离项目，评审委员会应当按照综合评分法、定性评审法、最低价法或者法律、法规及规章规定的其他评审方法对投标文件进行评审。</w:t>
      </w:r>
    </w:p>
    <w:p>
      <w:pPr>
        <w:tabs>
          <w:tab w:val="clear" w:pos="426"/>
        </w:tabs>
        <w:rPr>
          <w:b/>
          <w:highlight w:val="none"/>
        </w:rPr>
      </w:pPr>
      <w:r>
        <w:rPr>
          <w:rFonts w:hint="eastAsia"/>
          <w:highlight w:val="none"/>
        </w:rPr>
        <w:t>38.3.1综合评分法</w:t>
      </w:r>
    </w:p>
    <w:p>
      <w:pPr>
        <w:tabs>
          <w:tab w:val="clear" w:pos="426"/>
        </w:tabs>
        <w:rPr>
          <w:highlight w:val="none"/>
        </w:rPr>
      </w:pPr>
      <w:bookmarkStart w:id="345" w:name="_Hlk5289498"/>
      <w:r>
        <w:rPr>
          <w:rFonts w:hint="eastAsia"/>
          <w:highlight w:val="none"/>
        </w:rPr>
        <w:t>综合评分法是指投标文件满足招标文件全部实质性要求，且按照评审因素的量化指标评审得分排名前列的的投标人为中标候选人的评标方法。</w:t>
      </w:r>
      <w:bookmarkEnd w:id="345"/>
    </w:p>
    <w:p>
      <w:pPr>
        <w:tabs>
          <w:tab w:val="clear" w:pos="426"/>
        </w:tabs>
        <w:rPr>
          <w:color w:val="1D1D1D"/>
          <w:sz w:val="18"/>
          <w:szCs w:val="18"/>
          <w:highlight w:val="none"/>
          <w:shd w:val="clear" w:color="auto" w:fill="FFFFFF"/>
        </w:rPr>
      </w:pPr>
      <w:r>
        <w:rPr>
          <w:rFonts w:hint="eastAsia"/>
          <w:highlight w:val="none"/>
        </w:rPr>
        <w:t>38.3.2</w:t>
      </w:r>
      <w:r>
        <w:rPr>
          <w:rFonts w:hint="eastAsia"/>
          <w:bCs/>
          <w:highlight w:val="none"/>
        </w:rPr>
        <w:t>定性评审法</w:t>
      </w:r>
    </w:p>
    <w:p>
      <w:pPr>
        <w:tabs>
          <w:tab w:val="clear" w:pos="426"/>
        </w:tabs>
        <w:rPr>
          <w:highlight w:val="none"/>
        </w:rPr>
      </w:pPr>
      <w:r>
        <w:rPr>
          <w:rFonts w:hint="eastAsia"/>
          <w:highlight w:val="none"/>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废标或者无效标的投标人，均推荐为候选中标人。</w:t>
      </w:r>
    </w:p>
    <w:p>
      <w:pPr>
        <w:tabs>
          <w:tab w:val="clear" w:pos="426"/>
        </w:tabs>
        <w:rPr>
          <w:highlight w:val="none"/>
        </w:rPr>
      </w:pPr>
      <w:r>
        <w:rPr>
          <w:rFonts w:hint="eastAsia"/>
          <w:highlight w:val="none"/>
        </w:rPr>
        <w:t>38.3.3最低价法</w:t>
      </w:r>
    </w:p>
    <w:p>
      <w:pPr>
        <w:tabs>
          <w:tab w:val="clear" w:pos="426"/>
        </w:tabs>
        <w:rPr>
          <w:highlight w:val="none"/>
        </w:rPr>
      </w:pPr>
      <w:r>
        <w:rPr>
          <w:rFonts w:hint="eastAsia"/>
          <w:highlight w:val="none"/>
        </w:rPr>
        <w:t>最低价法是指以价格为主要因素确定候选中标人的评审方法。</w:t>
      </w:r>
    </w:p>
    <w:p>
      <w:pPr>
        <w:tabs>
          <w:tab w:val="clear" w:pos="426"/>
        </w:tabs>
        <w:rPr>
          <w:highlight w:val="none"/>
        </w:rPr>
      </w:pPr>
      <w:r>
        <w:rPr>
          <w:rFonts w:hint="eastAsia"/>
          <w:highlight w:val="none"/>
        </w:rPr>
        <w:t>38.4本项目采用的评标方法</w:t>
      </w:r>
      <w:bookmarkEnd w:id="344"/>
      <w:r>
        <w:rPr>
          <w:rFonts w:hint="eastAsia"/>
          <w:highlight w:val="none"/>
        </w:rPr>
        <w:t>见本项目招标文件专用条款的相关内容。</w:t>
      </w:r>
    </w:p>
    <w:p>
      <w:pPr>
        <w:pStyle w:val="5"/>
        <w:tabs>
          <w:tab w:val="clear" w:pos="426"/>
        </w:tabs>
        <w:rPr>
          <w:highlight w:val="none"/>
        </w:rPr>
      </w:pPr>
      <w:bookmarkStart w:id="346" w:name="_Toc432592827"/>
      <w:bookmarkStart w:id="347" w:name="_Toc5875400"/>
      <w:bookmarkStart w:id="348" w:name="_Toc398220535"/>
      <w:r>
        <w:rPr>
          <w:rFonts w:hint="eastAsia"/>
          <w:highlight w:val="none"/>
        </w:rPr>
        <w:t>第七章 定标及公示</w:t>
      </w:r>
      <w:bookmarkEnd w:id="346"/>
      <w:bookmarkEnd w:id="347"/>
      <w:bookmarkEnd w:id="348"/>
    </w:p>
    <w:p>
      <w:pPr>
        <w:tabs>
          <w:tab w:val="clear" w:pos="426"/>
        </w:tabs>
        <w:rPr>
          <w:highlight w:val="none"/>
        </w:rPr>
      </w:pPr>
      <w:r>
        <w:rPr>
          <w:rFonts w:hint="eastAsia"/>
          <w:highlight w:val="none"/>
        </w:rPr>
        <w:t>39．定标方法</w:t>
      </w:r>
    </w:p>
    <w:p>
      <w:pPr>
        <w:tabs>
          <w:tab w:val="clear" w:pos="426"/>
        </w:tabs>
        <w:rPr>
          <w:highlight w:val="none"/>
        </w:rPr>
      </w:pPr>
      <w:r>
        <w:rPr>
          <w:rFonts w:hint="eastAsia"/>
          <w:highlight w:val="none"/>
        </w:rPr>
        <w:t>39</w:t>
      </w:r>
      <w:r>
        <w:rPr>
          <w:highlight w:val="none"/>
        </w:rPr>
        <w:t>.</w:t>
      </w:r>
      <w:r>
        <w:rPr>
          <w:rFonts w:hint="eastAsia"/>
          <w:highlight w:val="none"/>
        </w:rPr>
        <w:t>1项目定标方法根据是否是评定分离项目进行选择。</w:t>
      </w:r>
    </w:p>
    <w:p>
      <w:pPr>
        <w:tabs>
          <w:tab w:val="clear" w:pos="426"/>
        </w:tabs>
        <w:rPr>
          <w:highlight w:val="none"/>
        </w:rPr>
      </w:pPr>
      <w:r>
        <w:rPr>
          <w:rFonts w:hint="eastAsia"/>
          <w:highlight w:val="none"/>
        </w:rPr>
        <w:t>39</w:t>
      </w:r>
      <w:r>
        <w:rPr>
          <w:highlight w:val="none"/>
        </w:rPr>
        <w:t>.</w:t>
      </w:r>
      <w:r>
        <w:rPr>
          <w:rFonts w:hint="eastAsia"/>
          <w:highlight w:val="none"/>
        </w:rPr>
        <w:t>2非评定分离项目</w:t>
      </w:r>
    </w:p>
    <w:p>
      <w:pPr>
        <w:tabs>
          <w:tab w:val="clear" w:pos="426"/>
        </w:tabs>
        <w:rPr>
          <w:highlight w:val="none"/>
        </w:rPr>
      </w:pPr>
      <w:r>
        <w:rPr>
          <w:rFonts w:hint="eastAsia"/>
          <w:highlight w:val="none"/>
        </w:rPr>
        <w:t>评标委员会依据本项目招标文件所约定的评标方法进行评审和比较，向采购代理机构提交书面评标报告，并根据评标方法比较评价结果从优到劣进行排序，并推荐中标候选人或确定中标人；</w:t>
      </w:r>
    </w:p>
    <w:p>
      <w:pPr>
        <w:tabs>
          <w:tab w:val="clear" w:pos="426"/>
        </w:tabs>
        <w:rPr>
          <w:highlight w:val="none"/>
        </w:rPr>
      </w:pPr>
      <w:r>
        <w:rPr>
          <w:rFonts w:hint="eastAsia"/>
          <w:highlight w:val="none"/>
        </w:rPr>
        <w:t>39</w:t>
      </w:r>
      <w:r>
        <w:rPr>
          <w:highlight w:val="none"/>
        </w:rPr>
        <w:t>.</w:t>
      </w:r>
      <w:r>
        <w:rPr>
          <w:rFonts w:hint="eastAsia"/>
          <w:highlight w:val="none"/>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人的中标资格，按顺序由排在后面的供应商递补，以此类推。对是否满足实质性要求或报价是否合理或是否低于成本，评委会意见不一致时，按少数服从多数原则作出决定。</w:t>
      </w:r>
    </w:p>
    <w:p>
      <w:pPr>
        <w:tabs>
          <w:tab w:val="clear" w:pos="426"/>
        </w:tabs>
        <w:rPr>
          <w:highlight w:val="none"/>
        </w:rPr>
      </w:pPr>
      <w:r>
        <w:rPr>
          <w:rFonts w:hint="eastAsia"/>
          <w:highlight w:val="none"/>
        </w:rPr>
        <w:t>39</w:t>
      </w:r>
      <w:r>
        <w:rPr>
          <w:highlight w:val="none"/>
        </w:rPr>
        <w:t>.</w:t>
      </w:r>
      <w:r>
        <w:rPr>
          <w:rFonts w:hint="eastAsia"/>
          <w:highlight w:val="none"/>
        </w:rPr>
        <w:t>2.2</w:t>
      </w:r>
      <w:r>
        <w:rPr>
          <w:highlight w:val="none"/>
        </w:rPr>
        <w:t>采用综合评</w:t>
      </w:r>
      <w:r>
        <w:rPr>
          <w:rFonts w:hint="eastAsia"/>
          <w:highlight w:val="none"/>
        </w:rPr>
        <w:t>分</w:t>
      </w:r>
      <w:r>
        <w:rPr>
          <w:highlight w:val="none"/>
        </w:rPr>
        <w:t>法的，按评审后得分由高到低顺序排列。得分相同的，按投标报价由低到高顺序排列。得分且投标报价相同的，按技术指标优劣顺序排列。</w:t>
      </w:r>
      <w:r>
        <w:rPr>
          <w:rFonts w:hint="eastAsia"/>
          <w:b/>
          <w:szCs w:val="21"/>
          <w:highlight w:val="none"/>
        </w:rPr>
        <w:t>得分且投标报价相同的且技术指标或服务方案优劣相同的，</w:t>
      </w:r>
      <w:r>
        <w:rPr>
          <w:rFonts w:cs="Times New Roman"/>
          <w:b/>
          <w:bCs/>
          <w:kern w:val="2"/>
          <w:szCs w:val="21"/>
          <w:highlight w:val="none"/>
        </w:rPr>
        <w:t>采取随机抽取方式确定中标人推荐资格</w:t>
      </w:r>
      <w:r>
        <w:rPr>
          <w:rFonts w:hint="eastAsia" w:cs="Times New Roman"/>
          <w:b/>
          <w:bCs/>
          <w:kern w:val="2"/>
          <w:szCs w:val="21"/>
          <w:highlight w:val="none"/>
        </w:rPr>
        <w:t>。</w:t>
      </w:r>
      <w:r>
        <w:rPr>
          <w:rFonts w:hint="eastAsia"/>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tabs>
          <w:tab w:val="clear" w:pos="426"/>
        </w:tabs>
        <w:rPr>
          <w:highlight w:val="none"/>
        </w:rPr>
      </w:pPr>
      <w:r>
        <w:rPr>
          <w:rFonts w:hint="eastAsia"/>
          <w:highlight w:val="none"/>
        </w:rPr>
        <w:t>39</w:t>
      </w:r>
      <w:r>
        <w:rPr>
          <w:highlight w:val="none"/>
        </w:rPr>
        <w:t>.</w:t>
      </w:r>
      <w:r>
        <w:rPr>
          <w:rFonts w:hint="eastAsia"/>
          <w:highlight w:val="none"/>
        </w:rPr>
        <w:t>2.3</w:t>
      </w:r>
      <w:r>
        <w:rPr>
          <w:highlight w:val="none"/>
        </w:rPr>
        <w:t>采用</w:t>
      </w:r>
      <w:r>
        <w:rPr>
          <w:rFonts w:hint="eastAsia"/>
          <w:highlight w:val="none"/>
        </w:rPr>
        <w:t>性价比</w:t>
      </w:r>
      <w:r>
        <w:rPr>
          <w:highlight w:val="none"/>
        </w:rPr>
        <w:t>法的</w:t>
      </w:r>
      <w:r>
        <w:rPr>
          <w:rFonts w:hint="eastAsia"/>
          <w:highlight w:val="none"/>
        </w:rPr>
        <w:t>，按商数得分由高到低顺序排列。商数得分相同的，按投标报价由低到高顺序排列。商数得分且投标报价相同的，按技术指标优劣顺序排列。</w:t>
      </w:r>
    </w:p>
    <w:p>
      <w:pPr>
        <w:tabs>
          <w:tab w:val="clear" w:pos="426"/>
        </w:tabs>
        <w:rPr>
          <w:highlight w:val="none"/>
        </w:rPr>
      </w:pPr>
      <w:r>
        <w:rPr>
          <w:rFonts w:hint="eastAsia"/>
          <w:highlight w:val="none"/>
        </w:rPr>
        <w:t>39</w:t>
      </w:r>
      <w:r>
        <w:rPr>
          <w:highlight w:val="none"/>
        </w:rPr>
        <w:t>.</w:t>
      </w:r>
      <w:r>
        <w:rPr>
          <w:rFonts w:hint="eastAsia"/>
          <w:highlight w:val="none"/>
        </w:rPr>
        <w:t>3评定分离项目</w:t>
      </w:r>
    </w:p>
    <w:p>
      <w:pPr>
        <w:tabs>
          <w:tab w:val="clear" w:pos="426"/>
        </w:tabs>
        <w:rPr>
          <w:highlight w:val="none"/>
        </w:rPr>
      </w:pPr>
      <w:r>
        <w:rPr>
          <w:rFonts w:hint="eastAsia"/>
          <w:highlight w:val="none"/>
        </w:rPr>
        <w:t>适用评定分离的政府采购项目，采购人应当根据不同的项目选用自定法、抽签法、竞价法或者法律、法规及规章规定的其他定标方法确定中标人。</w:t>
      </w:r>
    </w:p>
    <w:p>
      <w:pPr>
        <w:tabs>
          <w:tab w:val="clear" w:pos="426"/>
        </w:tabs>
        <w:rPr>
          <w:highlight w:val="none"/>
        </w:rPr>
      </w:pPr>
      <w:r>
        <w:rPr>
          <w:rFonts w:hint="eastAsia"/>
          <w:highlight w:val="none"/>
        </w:rPr>
        <w:t>39</w:t>
      </w:r>
      <w:r>
        <w:rPr>
          <w:highlight w:val="none"/>
        </w:rPr>
        <w:t>.</w:t>
      </w:r>
      <w:r>
        <w:rPr>
          <w:rFonts w:hint="eastAsia"/>
          <w:highlight w:val="none"/>
        </w:rPr>
        <w:t>3.1自定法是指采购人组织定标委员会，由定标委员会在候选中标人中确定中标人。</w:t>
      </w:r>
    </w:p>
    <w:p>
      <w:pPr>
        <w:tabs>
          <w:tab w:val="clear" w:pos="426"/>
        </w:tabs>
        <w:rPr>
          <w:highlight w:val="none"/>
        </w:rPr>
      </w:pPr>
      <w:r>
        <w:rPr>
          <w:rFonts w:hint="eastAsia"/>
          <w:highlight w:val="none"/>
        </w:rPr>
        <w:t>39</w:t>
      </w:r>
      <w:r>
        <w:rPr>
          <w:highlight w:val="none"/>
        </w:rPr>
        <w:t>.</w:t>
      </w:r>
      <w:r>
        <w:rPr>
          <w:rFonts w:hint="eastAsia"/>
          <w:highlight w:val="none"/>
        </w:rPr>
        <w:t>3.2 抽签法是指候选中标人产生后，由采购人委托采购代理机构按照随机抽签的方式在候选中标人中确定中标人。 </w:t>
      </w:r>
    </w:p>
    <w:p>
      <w:pPr>
        <w:tabs>
          <w:tab w:val="clear" w:pos="426"/>
        </w:tabs>
        <w:rPr>
          <w:highlight w:val="none"/>
        </w:rPr>
      </w:pPr>
      <w:r>
        <w:rPr>
          <w:rFonts w:hint="eastAsia"/>
          <w:highlight w:val="none"/>
        </w:rPr>
        <w:t>39</w:t>
      </w:r>
      <w:r>
        <w:rPr>
          <w:highlight w:val="none"/>
        </w:rPr>
        <w:t>.</w:t>
      </w:r>
      <w:r>
        <w:rPr>
          <w:rFonts w:hint="eastAsia"/>
          <w:highlight w:val="none"/>
        </w:rPr>
        <w:t>3.3竞价法是指候选中标人产生后，由采购人委托采购代理机构组织候选中标人进行二次竞价，最终报价最低的为中标人</w:t>
      </w:r>
    </w:p>
    <w:p>
      <w:pPr>
        <w:tabs>
          <w:tab w:val="clear" w:pos="426"/>
        </w:tabs>
        <w:rPr>
          <w:color w:val="FF0000"/>
          <w:highlight w:val="none"/>
        </w:rPr>
      </w:pPr>
      <w:r>
        <w:rPr>
          <w:rFonts w:hint="eastAsia"/>
          <w:highlight w:val="none"/>
        </w:rPr>
        <w:t>39.4本项目采用的定标方法见本项目招标文件专用条款的相关内容。</w:t>
      </w:r>
    </w:p>
    <w:p>
      <w:pPr>
        <w:tabs>
          <w:tab w:val="clear" w:pos="426"/>
        </w:tabs>
        <w:rPr>
          <w:highlight w:val="none"/>
        </w:rPr>
      </w:pPr>
      <w:bookmarkStart w:id="349" w:name="_Toc100052404"/>
      <w:r>
        <w:rPr>
          <w:rFonts w:hint="eastAsia"/>
          <w:highlight w:val="none"/>
        </w:rPr>
        <w:t>40．编写评标报告</w:t>
      </w:r>
      <w:bookmarkEnd w:id="349"/>
    </w:p>
    <w:p>
      <w:pPr>
        <w:tabs>
          <w:tab w:val="clear" w:pos="426"/>
        </w:tabs>
        <w:rPr>
          <w:highlight w:val="none"/>
        </w:rPr>
      </w:pPr>
      <w:r>
        <w:rPr>
          <w:rFonts w:hint="eastAsia"/>
          <w:highlight w:val="none"/>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tabs>
          <w:tab w:val="clear" w:pos="426"/>
        </w:tabs>
        <w:rPr>
          <w:highlight w:val="none"/>
        </w:rPr>
      </w:pPr>
      <w:bookmarkStart w:id="350" w:name="_Toc100052405"/>
      <w:bookmarkStart w:id="351" w:name="_Toc73517681"/>
      <w:bookmarkStart w:id="352" w:name="_Toc73518159"/>
      <w:bookmarkStart w:id="353" w:name="_Toc73521588"/>
      <w:bookmarkStart w:id="354" w:name="_Toc73521676"/>
      <w:r>
        <w:rPr>
          <w:rFonts w:hint="eastAsia"/>
          <w:highlight w:val="none"/>
        </w:rPr>
        <w:t>41．中标公告</w:t>
      </w:r>
      <w:bookmarkEnd w:id="350"/>
    </w:p>
    <w:p>
      <w:pPr>
        <w:tabs>
          <w:tab w:val="clear" w:pos="426"/>
        </w:tabs>
        <w:rPr>
          <w:highlight w:val="none"/>
        </w:rPr>
      </w:pPr>
      <w:r>
        <w:rPr>
          <w:rFonts w:hint="eastAsia"/>
          <w:highlight w:val="none"/>
        </w:rPr>
        <w:t>41.1为体现“公开、公平、公正”的原则，评标结束后，采购代理机构将在“深圳政府采购网”（</w:t>
      </w:r>
      <w:r>
        <w:rPr>
          <w:highlight w:val="none"/>
        </w:rPr>
        <w:fldChar w:fldCharType="begin"/>
      </w:r>
      <w:r>
        <w:rPr>
          <w:highlight w:val="none"/>
        </w:rPr>
        <w:instrText xml:space="preserve"> HYPERLINK "http://www.szfb.gov.cn:8080/" </w:instrText>
      </w:r>
      <w:r>
        <w:rPr>
          <w:highlight w:val="none"/>
        </w:rPr>
        <w:fldChar w:fldCharType="separate"/>
      </w:r>
      <w:r>
        <w:rPr>
          <w:color w:val="0000FF"/>
          <w:highlight w:val="none"/>
          <w:u w:val="single"/>
        </w:rPr>
        <w:t>http://www.szzfcg.cn/</w:t>
      </w:r>
      <w:r>
        <w:rPr>
          <w:color w:val="0000FF"/>
          <w:highlight w:val="none"/>
          <w:u w:val="single"/>
        </w:rPr>
        <w:fldChar w:fldCharType="end"/>
      </w:r>
      <w:r>
        <w:rPr>
          <w:rFonts w:hint="eastAsia"/>
          <w:highlight w:val="none"/>
        </w:rPr>
        <w:t>）及采购代理机构官网：（</w:t>
      </w:r>
      <w:r>
        <w:rPr>
          <w:highlight w:val="none"/>
        </w:rPr>
        <w:t>http://www.szsszx.com/</w:t>
      </w:r>
      <w:r>
        <w:rPr>
          <w:rFonts w:hint="eastAsia"/>
          <w:highlight w:val="none"/>
        </w:rPr>
        <w:t>）上发布中标结果公告，公示期为72小时。供应商如对评标结果有异议，请于公示期内，以书面的形式向我公司反映。若在公示期内未提出异议，则视为认同该评标结果。</w:t>
      </w:r>
    </w:p>
    <w:p>
      <w:pPr>
        <w:tabs>
          <w:tab w:val="clear" w:pos="426"/>
        </w:tabs>
        <w:rPr>
          <w:highlight w:val="none"/>
        </w:rPr>
      </w:pPr>
      <w:r>
        <w:rPr>
          <w:rFonts w:hint="eastAsia"/>
          <w:highlight w:val="none"/>
        </w:rPr>
        <w:t>41.2质疑投诉人应保证质疑投诉内容的真实性和可靠性，并承担相应的法律责任。</w:t>
      </w:r>
    </w:p>
    <w:p>
      <w:pPr>
        <w:tabs>
          <w:tab w:val="clear" w:pos="426"/>
        </w:tabs>
        <w:rPr>
          <w:highlight w:val="none"/>
        </w:rPr>
      </w:pPr>
      <w:bookmarkStart w:id="355" w:name="_Toc100052406"/>
      <w:r>
        <w:rPr>
          <w:rFonts w:hint="eastAsia"/>
          <w:highlight w:val="none"/>
        </w:rPr>
        <w:t>42．中标通知书</w:t>
      </w:r>
      <w:bookmarkEnd w:id="355"/>
    </w:p>
    <w:bookmarkEnd w:id="351"/>
    <w:bookmarkEnd w:id="352"/>
    <w:bookmarkEnd w:id="353"/>
    <w:bookmarkEnd w:id="354"/>
    <w:p>
      <w:pPr>
        <w:tabs>
          <w:tab w:val="clear" w:pos="426"/>
        </w:tabs>
        <w:rPr>
          <w:highlight w:val="none"/>
        </w:rPr>
      </w:pPr>
      <w:r>
        <w:rPr>
          <w:rFonts w:hint="eastAsia"/>
          <w:highlight w:val="none"/>
        </w:rPr>
        <w:t>42</w:t>
      </w:r>
      <w:r>
        <w:rPr>
          <w:highlight w:val="none"/>
        </w:rPr>
        <w:t>.</w:t>
      </w:r>
      <w:r>
        <w:rPr>
          <w:rFonts w:hint="eastAsia"/>
          <w:highlight w:val="none"/>
        </w:rPr>
        <w:t>1中标公告公布后,公示期内无人投诉,请中标人凭单位证明及本人身份证到采购代理机构领取《中标通知书》。</w:t>
      </w:r>
    </w:p>
    <w:p>
      <w:pPr>
        <w:tabs>
          <w:tab w:val="clear" w:pos="426"/>
        </w:tabs>
        <w:rPr>
          <w:highlight w:val="none"/>
        </w:rPr>
      </w:pPr>
      <w:r>
        <w:rPr>
          <w:rFonts w:hint="eastAsia"/>
          <w:highlight w:val="none"/>
        </w:rPr>
        <w:t>42</w:t>
      </w:r>
      <w:r>
        <w:rPr>
          <w:highlight w:val="none"/>
        </w:rPr>
        <w:t>.2</w:t>
      </w:r>
      <w:r>
        <w:rPr>
          <w:rFonts w:hint="eastAsia"/>
          <w:highlight w:val="none"/>
        </w:rPr>
        <w:t>中标通知书是合同的重要组成部分。</w:t>
      </w:r>
    </w:p>
    <w:p>
      <w:pPr>
        <w:tabs>
          <w:tab w:val="clear" w:pos="426"/>
        </w:tabs>
        <w:rPr>
          <w:highlight w:val="none"/>
        </w:rPr>
      </w:pPr>
      <w:r>
        <w:rPr>
          <w:rFonts w:hint="eastAsia"/>
          <w:highlight w:val="none"/>
        </w:rPr>
        <w:t>42.3因质疑投诉或其它原因导致项目结果变更或采购终止的，我公司有权收回中标通知书或终止采购合同。</w:t>
      </w:r>
    </w:p>
    <w:p>
      <w:pPr>
        <w:pStyle w:val="5"/>
        <w:tabs>
          <w:tab w:val="clear" w:pos="426"/>
        </w:tabs>
        <w:rPr>
          <w:highlight w:val="none"/>
        </w:rPr>
      </w:pPr>
      <w:bookmarkStart w:id="356" w:name="bt合同的授予"/>
      <w:bookmarkEnd w:id="356"/>
      <w:bookmarkStart w:id="357" w:name="_Toc432592828"/>
      <w:bookmarkStart w:id="358" w:name="_Toc398220536"/>
      <w:bookmarkStart w:id="359" w:name="_Toc5875401"/>
      <w:bookmarkStart w:id="360" w:name="_Toc73517678"/>
      <w:bookmarkStart w:id="361" w:name="_Toc73518156"/>
      <w:bookmarkStart w:id="362" w:name="_Toc100052407"/>
      <w:bookmarkStart w:id="363" w:name="_Toc101074884"/>
      <w:r>
        <w:rPr>
          <w:rFonts w:hint="eastAsia"/>
          <w:highlight w:val="none"/>
        </w:rPr>
        <w:t>第八章 公开招标失败的后续处理</w:t>
      </w:r>
      <w:bookmarkEnd w:id="357"/>
      <w:bookmarkEnd w:id="358"/>
      <w:bookmarkEnd w:id="359"/>
    </w:p>
    <w:p>
      <w:pPr>
        <w:tabs>
          <w:tab w:val="clear" w:pos="426"/>
        </w:tabs>
        <w:rPr>
          <w:highlight w:val="none"/>
        </w:rPr>
      </w:pPr>
      <w:r>
        <w:rPr>
          <w:rFonts w:hint="eastAsia"/>
          <w:highlight w:val="none"/>
        </w:rPr>
        <w:t>43．公开招标失败的处理</w:t>
      </w:r>
    </w:p>
    <w:p>
      <w:pPr>
        <w:tabs>
          <w:tab w:val="clear" w:pos="426"/>
        </w:tabs>
        <w:rPr>
          <w:highlight w:val="none"/>
        </w:rPr>
      </w:pPr>
      <w:r>
        <w:rPr>
          <w:rFonts w:hint="eastAsia"/>
          <w:szCs w:val="21"/>
          <w:highlight w:val="none"/>
        </w:rPr>
        <w:t>43.1本项目公开招标过程中若由于投标截止后</w:t>
      </w:r>
      <w:r>
        <w:rPr>
          <w:rFonts w:hint="eastAsia"/>
          <w:highlight w:val="none"/>
        </w:rPr>
        <w:t>实际递交</w:t>
      </w:r>
      <w:r>
        <w:rPr>
          <w:highlight w:val="none"/>
        </w:rPr>
        <w:t>投标</w:t>
      </w:r>
      <w:r>
        <w:rPr>
          <w:rFonts w:hint="eastAsia"/>
          <w:highlight w:val="none"/>
        </w:rPr>
        <w:t>文件的供应商数量不足、经评标委员会评审对招标文件作实质响应的供应商不足等原因造成公开招标失败，可由采购代理机构重新组织采购。</w:t>
      </w:r>
    </w:p>
    <w:p>
      <w:pPr>
        <w:tabs>
          <w:tab w:val="clear" w:pos="426"/>
        </w:tabs>
        <w:rPr>
          <w:highlight w:val="none"/>
        </w:rPr>
      </w:pPr>
      <w:r>
        <w:rPr>
          <w:rFonts w:hint="eastAsia"/>
          <w:highlight w:val="none"/>
        </w:rPr>
        <w:t>43.2对公开招标失败的项目，评标委员会在出具该项目招标失败结论的同时，提出重新采购组织形式的建议，以及进一步完善招标文件的资格、技术、商务要求的修改建议。</w:t>
      </w:r>
    </w:p>
    <w:p>
      <w:pPr>
        <w:tabs>
          <w:tab w:val="clear" w:pos="426"/>
        </w:tabs>
        <w:rPr>
          <w:highlight w:val="none"/>
        </w:rPr>
      </w:pPr>
      <w:r>
        <w:rPr>
          <w:rFonts w:hint="eastAsia"/>
          <w:highlight w:val="none"/>
        </w:rPr>
        <w:t>43.3重新组织采购有以下两种组织形式：</w:t>
      </w:r>
    </w:p>
    <w:p>
      <w:pPr>
        <w:tabs>
          <w:tab w:val="clear" w:pos="426"/>
        </w:tabs>
        <w:rPr>
          <w:highlight w:val="none"/>
        </w:rPr>
      </w:pPr>
      <w:r>
        <w:rPr>
          <w:rFonts w:hint="eastAsia"/>
          <w:highlight w:val="none"/>
        </w:rPr>
        <w:t>（1）由采购代理机构重新组织公开招标；</w:t>
      </w:r>
    </w:p>
    <w:p>
      <w:pPr>
        <w:tabs>
          <w:tab w:val="clear" w:pos="426"/>
        </w:tabs>
        <w:rPr>
          <w:highlight w:val="none"/>
        </w:rPr>
      </w:pPr>
      <w:r>
        <w:rPr>
          <w:rFonts w:hint="eastAsia"/>
          <w:highlight w:val="none"/>
        </w:rPr>
        <w:t>（2）根据实际情况需要向政府采购监督管理部门提出非公开招标方式申请，经政府采购监督管理部门批准公开招标失败采购项目可转为竞争性谈判或单一来源谈判方式采购。</w:t>
      </w:r>
    </w:p>
    <w:p>
      <w:pPr>
        <w:tabs>
          <w:tab w:val="clear" w:pos="426"/>
        </w:tabs>
        <w:rPr>
          <w:highlight w:val="none"/>
        </w:rPr>
      </w:pPr>
      <w:r>
        <w:rPr>
          <w:rFonts w:hint="eastAsia"/>
          <w:highlight w:val="none"/>
        </w:rPr>
        <w:t>43.4公开招标失败的采购项目重新组织公开招标，采购代理机构要重新按公开招标流程发布采购公告和招标文件、组成评标委员会等组织采购活动。</w:t>
      </w:r>
    </w:p>
    <w:p>
      <w:pPr>
        <w:tabs>
          <w:tab w:val="clear" w:pos="426"/>
        </w:tabs>
        <w:rPr>
          <w:highlight w:val="none"/>
        </w:rPr>
      </w:pPr>
      <w:r>
        <w:rPr>
          <w:rFonts w:hint="eastAsia"/>
          <w:highlight w:val="none"/>
        </w:rPr>
        <w:t>43.5公开招标失败的采购项目经政府采购监督管理部门批准转为竞争性谈判或单一来源谈判方式采购的，可不另行制作谈判文件，采购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pPr>
        <w:tabs>
          <w:tab w:val="clear" w:pos="426"/>
        </w:tabs>
        <w:rPr>
          <w:highlight w:val="none"/>
        </w:rPr>
      </w:pPr>
      <w:r>
        <w:rPr>
          <w:rFonts w:hint="eastAsia"/>
          <w:highlight w:val="none"/>
        </w:rPr>
        <w:t>44．公开招标失败项目转为竞争性谈判方式采购的</w:t>
      </w:r>
    </w:p>
    <w:p>
      <w:pPr>
        <w:tabs>
          <w:tab w:val="clear" w:pos="426"/>
        </w:tabs>
        <w:rPr>
          <w:highlight w:val="none"/>
        </w:rPr>
      </w:pPr>
      <w:r>
        <w:rPr>
          <w:rFonts w:hint="eastAsia"/>
          <w:highlight w:val="none"/>
        </w:rPr>
        <w:t>44.1谈判文件</w:t>
      </w:r>
    </w:p>
    <w:p>
      <w:pPr>
        <w:tabs>
          <w:tab w:val="clear" w:pos="426"/>
        </w:tabs>
        <w:rPr>
          <w:highlight w:val="none"/>
        </w:rPr>
      </w:pPr>
      <w:r>
        <w:rPr>
          <w:rFonts w:hint="eastAsia"/>
          <w:highlight w:val="none"/>
        </w:rPr>
        <w:t>44.1.1公开招标失败项目转为竞争性谈判方式采购的，原招标文件转为谈判文件。</w:t>
      </w:r>
    </w:p>
    <w:p>
      <w:pPr>
        <w:tabs>
          <w:tab w:val="clear" w:pos="426"/>
        </w:tabs>
        <w:rPr>
          <w:highlight w:val="none"/>
        </w:rPr>
      </w:pPr>
      <w:r>
        <w:rPr>
          <w:rFonts w:hint="eastAsia"/>
          <w:highlight w:val="none"/>
        </w:rPr>
        <w:t>44.2谈判小组</w:t>
      </w:r>
    </w:p>
    <w:p>
      <w:pPr>
        <w:tabs>
          <w:tab w:val="clear" w:pos="426"/>
        </w:tabs>
        <w:rPr>
          <w:highlight w:val="none"/>
        </w:rPr>
      </w:pPr>
      <w:r>
        <w:rPr>
          <w:rFonts w:hint="eastAsia"/>
          <w:highlight w:val="none"/>
        </w:rPr>
        <w:t>44.2.1公开招标失败项目转为竞争性谈判方式采购后，评标委员会转为谈判小组；专家可重新抽取也可继续采用评标委员会内专家。</w:t>
      </w:r>
    </w:p>
    <w:p>
      <w:pPr>
        <w:tabs>
          <w:tab w:val="clear" w:pos="426"/>
        </w:tabs>
        <w:rPr>
          <w:b/>
          <w:highlight w:val="none"/>
        </w:rPr>
      </w:pPr>
      <w:r>
        <w:rPr>
          <w:rFonts w:hint="eastAsia"/>
          <w:szCs w:val="21"/>
          <w:highlight w:val="none"/>
        </w:rPr>
        <w:t>44.2.2</w:t>
      </w:r>
      <w:r>
        <w:rPr>
          <w:rFonts w:hint="eastAsia"/>
          <w:highlight w:val="none"/>
        </w:rPr>
        <w:t>谈判前，谈判小组将对各供应商的谈判应答文件进行审查，</w:t>
      </w:r>
      <w:r>
        <w:rPr>
          <w:rFonts w:hint="eastAsia"/>
          <w:bCs/>
          <w:highlight w:val="none"/>
        </w:rPr>
        <w:t>当谈判应答文件出现下列情况之一的将视为无效，按无效标或废标处理，不得进入谈判，</w:t>
      </w:r>
      <w:r>
        <w:rPr>
          <w:rFonts w:hint="eastAsia"/>
          <w:b/>
          <w:highlight w:val="none"/>
        </w:rPr>
        <w:t>具体内容见原招标文件中“资格、符合性评审</w:t>
      </w:r>
      <w:r>
        <w:rPr>
          <w:rFonts w:hint="eastAsia"/>
          <w:b/>
          <w:bCs/>
          <w:highlight w:val="none"/>
        </w:rPr>
        <w:t>”</w:t>
      </w:r>
      <w:r>
        <w:rPr>
          <w:rFonts w:hint="eastAsia"/>
          <w:b/>
          <w:highlight w:val="none"/>
        </w:rPr>
        <w:t>部分以及谈判邀请中相应的变动部分。</w:t>
      </w:r>
    </w:p>
    <w:p>
      <w:pPr>
        <w:tabs>
          <w:tab w:val="clear" w:pos="426"/>
        </w:tabs>
        <w:rPr>
          <w:highlight w:val="none"/>
        </w:rPr>
      </w:pPr>
      <w:r>
        <w:rPr>
          <w:rFonts w:hint="eastAsia"/>
          <w:highlight w:val="none"/>
        </w:rPr>
        <w:t>44.3谈判程序</w:t>
      </w:r>
    </w:p>
    <w:p>
      <w:pPr>
        <w:tabs>
          <w:tab w:val="clear" w:pos="426"/>
        </w:tabs>
        <w:rPr>
          <w:highlight w:val="none"/>
        </w:rPr>
      </w:pPr>
      <w:r>
        <w:rPr>
          <w:rFonts w:hint="eastAsia"/>
          <w:highlight w:val="none"/>
        </w:rPr>
        <w:t>44.3.1参加谈判的供应商和谈判小组成员填写谈判登记表，并交验证明文件（法定代表人证明书、法人授权委托书、被授权的谈判代表身份证原件）。</w:t>
      </w:r>
    </w:p>
    <w:p>
      <w:pPr>
        <w:tabs>
          <w:tab w:val="clear" w:pos="426"/>
        </w:tabs>
        <w:rPr>
          <w:highlight w:val="none"/>
        </w:rPr>
      </w:pPr>
      <w:r>
        <w:rPr>
          <w:rFonts w:hint="eastAsia"/>
          <w:highlight w:val="none"/>
        </w:rPr>
        <w:t>44.3</w:t>
      </w:r>
      <w:r>
        <w:rPr>
          <w:highlight w:val="none"/>
        </w:rPr>
        <w:t>.2</w:t>
      </w:r>
      <w:r>
        <w:rPr>
          <w:rFonts w:hint="eastAsia"/>
          <w:highlight w:val="none"/>
        </w:rPr>
        <w:t>谈判小组主持人宣布谈判规则和谈判纪律。</w:t>
      </w:r>
    </w:p>
    <w:p>
      <w:pPr>
        <w:tabs>
          <w:tab w:val="clear" w:pos="426"/>
        </w:tabs>
        <w:rPr>
          <w:highlight w:val="none"/>
        </w:rPr>
      </w:pPr>
      <w:r>
        <w:rPr>
          <w:rFonts w:hint="eastAsia"/>
          <w:highlight w:val="none"/>
        </w:rPr>
        <w:t>44.3</w:t>
      </w:r>
      <w:r>
        <w:rPr>
          <w:highlight w:val="none"/>
        </w:rPr>
        <w:t>.3</w:t>
      </w:r>
      <w:r>
        <w:rPr>
          <w:rFonts w:hint="eastAsia"/>
          <w:highlight w:val="none"/>
        </w:rPr>
        <w:t>在谈判中，谈判小组将就以下谈判内容跟供应商进行谈判：</w:t>
      </w:r>
    </w:p>
    <w:p>
      <w:pPr>
        <w:tabs>
          <w:tab w:val="clear" w:pos="426"/>
        </w:tabs>
        <w:rPr>
          <w:highlight w:val="none"/>
        </w:rPr>
      </w:pPr>
      <w:r>
        <w:rPr>
          <w:rFonts w:hint="eastAsia"/>
          <w:highlight w:val="none"/>
        </w:rPr>
        <w:t>（</w:t>
      </w:r>
      <w:r>
        <w:rPr>
          <w:highlight w:val="none"/>
        </w:rPr>
        <w:t>1</w:t>
      </w:r>
      <w:r>
        <w:rPr>
          <w:rFonts w:hint="eastAsia"/>
          <w:highlight w:val="none"/>
        </w:rPr>
        <w:t>）项目方案；</w:t>
      </w:r>
    </w:p>
    <w:p>
      <w:pPr>
        <w:tabs>
          <w:tab w:val="clear" w:pos="426"/>
        </w:tabs>
        <w:rPr>
          <w:highlight w:val="none"/>
        </w:rPr>
      </w:pPr>
      <w:r>
        <w:rPr>
          <w:rFonts w:hint="eastAsia"/>
          <w:highlight w:val="none"/>
        </w:rPr>
        <w:t>（2）报价；</w:t>
      </w:r>
    </w:p>
    <w:p>
      <w:pPr>
        <w:tabs>
          <w:tab w:val="clear" w:pos="426"/>
        </w:tabs>
        <w:rPr>
          <w:highlight w:val="none"/>
        </w:rPr>
      </w:pPr>
      <w:r>
        <w:rPr>
          <w:rFonts w:hint="eastAsia"/>
          <w:highlight w:val="none"/>
        </w:rPr>
        <w:t>（3）其它相关事项。</w:t>
      </w:r>
    </w:p>
    <w:p>
      <w:pPr>
        <w:tabs>
          <w:tab w:val="clear" w:pos="426"/>
        </w:tabs>
        <w:rPr>
          <w:highlight w:val="none"/>
        </w:rPr>
      </w:pPr>
      <w:r>
        <w:rPr>
          <w:rFonts w:hint="eastAsia"/>
          <w:highlight w:val="none"/>
        </w:rPr>
        <w:t>原招标文件或谈判邀请文件有实质性变动的，谈判小组应当通过采购代理机构通知所有参加谈判的供应商。</w:t>
      </w:r>
    </w:p>
    <w:p>
      <w:pPr>
        <w:tabs>
          <w:tab w:val="clear" w:pos="426"/>
        </w:tabs>
        <w:rPr>
          <w:highlight w:val="none"/>
        </w:rPr>
      </w:pPr>
      <w:r>
        <w:rPr>
          <w:rFonts w:hint="eastAsia"/>
          <w:highlight w:val="none"/>
        </w:rPr>
        <w:t>44.3.4谈判小组可以用书面形式要求各供应商对其谈判应答文件含义不明确的内容作必要的澄清或者说明，重要问题供应商应以书面形式进行澄清、说明。</w:t>
      </w:r>
    </w:p>
    <w:p>
      <w:pPr>
        <w:tabs>
          <w:tab w:val="clear" w:pos="426"/>
        </w:tabs>
        <w:rPr>
          <w:highlight w:val="none"/>
        </w:rPr>
      </w:pPr>
      <w:r>
        <w:rPr>
          <w:rFonts w:hint="eastAsia"/>
          <w:highlight w:val="none"/>
        </w:rPr>
        <w:t>44.3</w:t>
      </w:r>
      <w:r>
        <w:rPr>
          <w:highlight w:val="none"/>
        </w:rPr>
        <w:t>.</w:t>
      </w:r>
      <w:r>
        <w:rPr>
          <w:rFonts w:hint="eastAsia"/>
          <w:highlight w:val="none"/>
        </w:rPr>
        <w:t>5 允许供应商在谈判结束之前根据谈判小组提出的内容进行澄清、修改或完善，或对项目方案进行相应的调整。</w:t>
      </w:r>
    </w:p>
    <w:p>
      <w:pPr>
        <w:tabs>
          <w:tab w:val="clear" w:pos="426"/>
        </w:tabs>
        <w:rPr>
          <w:highlight w:val="none"/>
        </w:rPr>
      </w:pPr>
      <w:r>
        <w:rPr>
          <w:rFonts w:hint="eastAsia"/>
          <w:highlight w:val="none"/>
        </w:rPr>
        <w:t>44.3</w:t>
      </w:r>
      <w:r>
        <w:rPr>
          <w:highlight w:val="none"/>
        </w:rPr>
        <w:t>.</w:t>
      </w:r>
      <w:r>
        <w:rPr>
          <w:rFonts w:hint="eastAsia"/>
          <w:highlight w:val="none"/>
        </w:rPr>
        <w:t>6供应商对谈判应答文件进行修改，都应形成文字材料，并经供应商谈判授权人签字认可。</w:t>
      </w:r>
    </w:p>
    <w:p>
      <w:pPr>
        <w:tabs>
          <w:tab w:val="clear" w:pos="426"/>
        </w:tabs>
        <w:rPr>
          <w:highlight w:val="none"/>
        </w:rPr>
      </w:pPr>
      <w:r>
        <w:rPr>
          <w:rFonts w:hint="eastAsia"/>
          <w:highlight w:val="none"/>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pPr>
        <w:tabs>
          <w:tab w:val="clear" w:pos="426"/>
        </w:tabs>
        <w:rPr>
          <w:szCs w:val="21"/>
          <w:highlight w:val="none"/>
        </w:rPr>
      </w:pPr>
      <w:r>
        <w:rPr>
          <w:rFonts w:hint="eastAsia"/>
          <w:szCs w:val="21"/>
          <w:highlight w:val="none"/>
        </w:rPr>
        <w:t>44.3.8有下列情形之一的，该供应商的谈判结果</w:t>
      </w:r>
      <w:r>
        <w:rPr>
          <w:rFonts w:hint="eastAsia"/>
          <w:bCs/>
          <w:highlight w:val="none"/>
        </w:rPr>
        <w:t>按无效标或废标处理</w:t>
      </w:r>
      <w:r>
        <w:rPr>
          <w:rFonts w:hint="eastAsia"/>
          <w:szCs w:val="21"/>
          <w:highlight w:val="none"/>
        </w:rPr>
        <w:t>，</w:t>
      </w:r>
      <w:r>
        <w:rPr>
          <w:rFonts w:hint="eastAsia"/>
          <w:highlight w:val="none"/>
        </w:rPr>
        <w:t>具体内容见原招标文件中不符合“</w:t>
      </w:r>
      <w:r>
        <w:rPr>
          <w:rFonts w:hint="eastAsia"/>
          <w:b/>
          <w:highlight w:val="none"/>
        </w:rPr>
        <w:t>资格、符合性评审条款</w:t>
      </w:r>
      <w:r>
        <w:rPr>
          <w:rFonts w:hint="eastAsia"/>
          <w:highlight w:val="none"/>
        </w:rPr>
        <w:t>”部分以及谈判邀请中相应的变动部分。</w:t>
      </w:r>
    </w:p>
    <w:p>
      <w:pPr>
        <w:tabs>
          <w:tab w:val="clear" w:pos="426"/>
        </w:tabs>
        <w:rPr>
          <w:highlight w:val="none"/>
        </w:rPr>
      </w:pPr>
      <w:r>
        <w:rPr>
          <w:rFonts w:hint="eastAsia"/>
          <w:highlight w:val="none"/>
        </w:rPr>
        <w:t>44.3</w:t>
      </w:r>
      <w:r>
        <w:rPr>
          <w:highlight w:val="none"/>
        </w:rPr>
        <w:t>.</w:t>
      </w:r>
      <w:r>
        <w:rPr>
          <w:rFonts w:hint="eastAsia"/>
          <w:highlight w:val="none"/>
        </w:rPr>
        <w:t>9谈判结束后，谈判小组根据供应商提供的谈判应答文件、谈判过程中产生的相关资料，对供应商谈判应答文件进行评估与比较，提出书面评审意见。</w:t>
      </w:r>
    </w:p>
    <w:p>
      <w:pPr>
        <w:tabs>
          <w:tab w:val="clear" w:pos="426"/>
        </w:tabs>
        <w:rPr>
          <w:highlight w:val="none"/>
        </w:rPr>
      </w:pPr>
      <w:r>
        <w:rPr>
          <w:rFonts w:hint="eastAsia"/>
          <w:highlight w:val="none"/>
        </w:rPr>
        <w:t>44.3.10谈判小组将对谈判过程进行记录，以存档备查。</w:t>
      </w:r>
    </w:p>
    <w:p>
      <w:pPr>
        <w:tabs>
          <w:tab w:val="clear" w:pos="426"/>
        </w:tabs>
        <w:rPr>
          <w:highlight w:val="none"/>
        </w:rPr>
      </w:pPr>
      <w:r>
        <w:rPr>
          <w:rFonts w:hint="eastAsia"/>
          <w:highlight w:val="none"/>
        </w:rPr>
        <w:t>44.4评标方法和定标原则</w:t>
      </w:r>
    </w:p>
    <w:p>
      <w:pPr>
        <w:tabs>
          <w:tab w:val="clear" w:pos="426"/>
        </w:tabs>
        <w:rPr>
          <w:highlight w:val="none"/>
        </w:rPr>
      </w:pPr>
      <w:r>
        <w:rPr>
          <w:rFonts w:hint="eastAsia"/>
          <w:highlight w:val="none"/>
        </w:rPr>
        <w:t>44.4.1根据《深圳市政府采购评标委员会和评标方法暂行规定》（深财购[2005]5号），竞争性谈判采购项目的评标方法要比照</w:t>
      </w:r>
      <w:r>
        <w:rPr>
          <w:rFonts w:hint="eastAsia"/>
          <w:b/>
          <w:highlight w:val="none"/>
        </w:rPr>
        <w:t>最低评标价法规定执行</w:t>
      </w:r>
      <w:r>
        <w:rPr>
          <w:rFonts w:hint="eastAsia"/>
          <w:highlight w:val="none"/>
        </w:rPr>
        <w:t>。如确因实际情况需要采用其他评标方法的，应报经同级政府采购监督管理部门批准。</w:t>
      </w:r>
      <w:r>
        <w:rPr>
          <w:rFonts w:hint="eastAsia"/>
          <w:b/>
          <w:highlight w:val="none"/>
        </w:rPr>
        <w:t>原招标文件若采用</w:t>
      </w:r>
      <w:r>
        <w:rPr>
          <w:rFonts w:hint="eastAsia"/>
          <w:b/>
          <w:bCs/>
          <w:highlight w:val="none"/>
        </w:rPr>
        <w:t>最低评标价法以外的评标方法，转为竞争性谈判后，评标方法应采用</w:t>
      </w:r>
      <w:r>
        <w:rPr>
          <w:rFonts w:hint="eastAsia"/>
          <w:b/>
          <w:highlight w:val="none"/>
        </w:rPr>
        <w:t>最低评标价法。</w:t>
      </w:r>
    </w:p>
    <w:p>
      <w:pPr>
        <w:tabs>
          <w:tab w:val="clear" w:pos="426"/>
        </w:tabs>
        <w:rPr>
          <w:highlight w:val="none"/>
        </w:rPr>
      </w:pPr>
      <w:r>
        <w:rPr>
          <w:rFonts w:hint="eastAsia"/>
          <w:szCs w:val="21"/>
          <w:highlight w:val="none"/>
        </w:rPr>
        <w:t>44.4.2对公开招标失败转为竞争性谈判方式采购的项目，谈判小组</w:t>
      </w:r>
      <w:r>
        <w:rPr>
          <w:rFonts w:hint="eastAsia"/>
          <w:highlight w:val="none"/>
        </w:rPr>
        <w:t>对谈判应答文件进行评审和比较，综合各家供应商最终的方案、服务和投资等谈判结果并按本通用条款第</w:t>
      </w:r>
      <w:r>
        <w:rPr>
          <w:rFonts w:hint="eastAsia"/>
          <w:bCs/>
          <w:szCs w:val="21"/>
          <w:highlight w:val="none"/>
        </w:rPr>
        <w:t>37.1.1款</w:t>
      </w:r>
      <w:r>
        <w:rPr>
          <w:rFonts w:hint="eastAsia"/>
          <w:highlight w:val="none"/>
        </w:rPr>
        <w:t>的</w:t>
      </w:r>
      <w:r>
        <w:rPr>
          <w:rFonts w:hint="eastAsia"/>
          <w:b/>
          <w:bCs/>
          <w:highlight w:val="none"/>
        </w:rPr>
        <w:t>最低评标价法</w:t>
      </w:r>
      <w:r>
        <w:rPr>
          <w:rFonts w:hint="eastAsia"/>
          <w:highlight w:val="none"/>
        </w:rPr>
        <w:t>进行评审。</w:t>
      </w:r>
    </w:p>
    <w:p>
      <w:pPr>
        <w:tabs>
          <w:tab w:val="clear" w:pos="426"/>
        </w:tabs>
        <w:rPr>
          <w:highlight w:val="none"/>
        </w:rPr>
      </w:pPr>
      <w:r>
        <w:rPr>
          <w:rFonts w:hint="eastAsia"/>
          <w:highlight w:val="none"/>
        </w:rPr>
        <w:t>44.4.3若要采用其他评标方法的，必须报经政府采购监督管理部门批准，谈判小组按批准的评标方法进行评审。谈判邀请文件中应注明批准的评标方法。</w:t>
      </w:r>
    </w:p>
    <w:p>
      <w:pPr>
        <w:tabs>
          <w:tab w:val="clear" w:pos="426"/>
        </w:tabs>
        <w:rPr>
          <w:highlight w:val="none"/>
        </w:rPr>
      </w:pPr>
      <w:r>
        <w:rPr>
          <w:rFonts w:hint="eastAsia"/>
          <w:highlight w:val="none"/>
        </w:rPr>
        <w:t>44.4.4谈判小组向采购代理机构提交书面评标报告，并推荐中标候选人或确定中标人。</w:t>
      </w:r>
    </w:p>
    <w:p>
      <w:pPr>
        <w:tabs>
          <w:tab w:val="clear" w:pos="426"/>
        </w:tabs>
        <w:rPr>
          <w:highlight w:val="none"/>
        </w:rPr>
      </w:pPr>
      <w:r>
        <w:rPr>
          <w:rFonts w:hint="eastAsia"/>
          <w:highlight w:val="none"/>
        </w:rPr>
        <w:t>45．公开招标失败项目转为单一来源谈判方式采购</w:t>
      </w:r>
    </w:p>
    <w:p>
      <w:pPr>
        <w:tabs>
          <w:tab w:val="clear" w:pos="426"/>
        </w:tabs>
        <w:rPr>
          <w:highlight w:val="none"/>
        </w:rPr>
      </w:pPr>
      <w:r>
        <w:rPr>
          <w:rFonts w:hint="eastAsia"/>
          <w:highlight w:val="none"/>
        </w:rPr>
        <w:t>45.1谈判文件</w:t>
      </w:r>
    </w:p>
    <w:p>
      <w:pPr>
        <w:tabs>
          <w:tab w:val="clear" w:pos="426"/>
        </w:tabs>
        <w:rPr>
          <w:highlight w:val="none"/>
        </w:rPr>
      </w:pPr>
      <w:r>
        <w:rPr>
          <w:rFonts w:hint="eastAsia"/>
          <w:highlight w:val="none"/>
        </w:rPr>
        <w:t>45.1.1公开招标失败项目转为单一来源谈判方式采购的，原招标文件转为谈判文件。</w:t>
      </w:r>
    </w:p>
    <w:p>
      <w:pPr>
        <w:tabs>
          <w:tab w:val="clear" w:pos="426"/>
        </w:tabs>
        <w:rPr>
          <w:highlight w:val="none"/>
        </w:rPr>
      </w:pPr>
      <w:r>
        <w:rPr>
          <w:rFonts w:hint="eastAsia"/>
          <w:highlight w:val="none"/>
        </w:rPr>
        <w:t>45.2谈判小组</w:t>
      </w:r>
    </w:p>
    <w:p>
      <w:pPr>
        <w:tabs>
          <w:tab w:val="clear" w:pos="426"/>
        </w:tabs>
        <w:rPr>
          <w:highlight w:val="none"/>
        </w:rPr>
      </w:pPr>
      <w:r>
        <w:rPr>
          <w:rFonts w:hint="eastAsia"/>
          <w:highlight w:val="none"/>
        </w:rPr>
        <w:t>45.2.1公开招标失败项目转为单一来源谈判方式采购后，评标委员会转为谈判小组，专家可重新抽取也可继续采用评标委员会内专家。</w:t>
      </w:r>
    </w:p>
    <w:p>
      <w:pPr>
        <w:tabs>
          <w:tab w:val="clear" w:pos="426"/>
        </w:tabs>
        <w:rPr>
          <w:highlight w:val="none"/>
        </w:rPr>
      </w:pPr>
      <w:r>
        <w:rPr>
          <w:rFonts w:hint="eastAsia"/>
          <w:szCs w:val="21"/>
          <w:highlight w:val="none"/>
        </w:rPr>
        <w:t>45.2.2</w:t>
      </w:r>
      <w:r>
        <w:rPr>
          <w:rFonts w:hint="eastAsia"/>
          <w:highlight w:val="none"/>
        </w:rPr>
        <w:t>谈判前，谈判小组将对单一来源供应商的谈判应答文件进行审查，</w:t>
      </w:r>
      <w:r>
        <w:rPr>
          <w:rFonts w:hint="eastAsia"/>
          <w:bCs/>
          <w:highlight w:val="none"/>
        </w:rPr>
        <w:t>当谈判应答文件出现下列情况之一的将视为无效，按无效标或废标处理，不得进入谈判，</w:t>
      </w:r>
      <w:r>
        <w:rPr>
          <w:rFonts w:hint="eastAsia"/>
          <w:b/>
          <w:highlight w:val="none"/>
        </w:rPr>
        <w:t>具体内容见原招标文件中“资格、符合性评审条款</w:t>
      </w:r>
      <w:r>
        <w:rPr>
          <w:rFonts w:hint="eastAsia"/>
          <w:b/>
          <w:bCs/>
          <w:highlight w:val="none"/>
        </w:rPr>
        <w:t>”</w:t>
      </w:r>
      <w:r>
        <w:rPr>
          <w:rFonts w:hint="eastAsia"/>
          <w:b/>
          <w:highlight w:val="none"/>
        </w:rPr>
        <w:t>部分以及谈判邀请中相应的变动部分。</w:t>
      </w:r>
    </w:p>
    <w:p>
      <w:pPr>
        <w:tabs>
          <w:tab w:val="clear" w:pos="426"/>
        </w:tabs>
        <w:rPr>
          <w:highlight w:val="none"/>
        </w:rPr>
      </w:pPr>
      <w:r>
        <w:rPr>
          <w:rFonts w:hint="eastAsia"/>
          <w:highlight w:val="none"/>
        </w:rPr>
        <w:t>45.3谈判程序</w:t>
      </w:r>
    </w:p>
    <w:p>
      <w:pPr>
        <w:tabs>
          <w:tab w:val="clear" w:pos="426"/>
        </w:tabs>
        <w:rPr>
          <w:highlight w:val="none"/>
        </w:rPr>
      </w:pPr>
      <w:r>
        <w:rPr>
          <w:rFonts w:hint="eastAsia"/>
          <w:highlight w:val="none"/>
        </w:rPr>
        <w:t>45.3.1参加谈判的供应商和谈判小组成员填写谈判登记表，并交验证明文件（法定代表人证明书、法人授权委托书、被授权的谈判代表身份证原件）。</w:t>
      </w:r>
    </w:p>
    <w:p>
      <w:pPr>
        <w:tabs>
          <w:tab w:val="clear" w:pos="426"/>
        </w:tabs>
        <w:rPr>
          <w:highlight w:val="none"/>
        </w:rPr>
      </w:pPr>
      <w:r>
        <w:rPr>
          <w:rFonts w:hint="eastAsia"/>
          <w:highlight w:val="none"/>
        </w:rPr>
        <w:t>45.3</w:t>
      </w:r>
      <w:r>
        <w:rPr>
          <w:highlight w:val="none"/>
        </w:rPr>
        <w:t>.2</w:t>
      </w:r>
      <w:r>
        <w:rPr>
          <w:rFonts w:hint="eastAsia"/>
          <w:highlight w:val="none"/>
        </w:rPr>
        <w:t>谈判小组主持人宣布谈判规则和谈判纪律。</w:t>
      </w:r>
    </w:p>
    <w:p>
      <w:pPr>
        <w:tabs>
          <w:tab w:val="clear" w:pos="426"/>
        </w:tabs>
        <w:rPr>
          <w:highlight w:val="none"/>
        </w:rPr>
      </w:pPr>
      <w:r>
        <w:rPr>
          <w:rFonts w:hint="eastAsia"/>
          <w:highlight w:val="none"/>
        </w:rPr>
        <w:t>45.3</w:t>
      </w:r>
      <w:r>
        <w:rPr>
          <w:highlight w:val="none"/>
        </w:rPr>
        <w:t>.3</w:t>
      </w:r>
      <w:r>
        <w:rPr>
          <w:rFonts w:hint="eastAsia"/>
          <w:highlight w:val="none"/>
        </w:rPr>
        <w:t>在谈判中，谈判小组将就以下谈判内容跟供应商进行谈判：</w:t>
      </w:r>
    </w:p>
    <w:p>
      <w:pPr>
        <w:tabs>
          <w:tab w:val="clear" w:pos="426"/>
        </w:tabs>
        <w:rPr>
          <w:highlight w:val="none"/>
        </w:rPr>
      </w:pPr>
      <w:r>
        <w:rPr>
          <w:rFonts w:hint="eastAsia"/>
          <w:highlight w:val="none"/>
        </w:rPr>
        <w:t>（</w:t>
      </w:r>
      <w:r>
        <w:rPr>
          <w:highlight w:val="none"/>
        </w:rPr>
        <w:t>1</w:t>
      </w:r>
      <w:r>
        <w:rPr>
          <w:rFonts w:hint="eastAsia"/>
          <w:highlight w:val="none"/>
        </w:rPr>
        <w:t>）项目方案；</w:t>
      </w:r>
    </w:p>
    <w:p>
      <w:pPr>
        <w:tabs>
          <w:tab w:val="clear" w:pos="426"/>
        </w:tabs>
        <w:rPr>
          <w:highlight w:val="none"/>
        </w:rPr>
      </w:pPr>
      <w:r>
        <w:rPr>
          <w:rFonts w:hint="eastAsia"/>
          <w:highlight w:val="none"/>
        </w:rPr>
        <w:t>（2）报价；</w:t>
      </w:r>
    </w:p>
    <w:p>
      <w:pPr>
        <w:tabs>
          <w:tab w:val="clear" w:pos="426"/>
        </w:tabs>
        <w:rPr>
          <w:highlight w:val="none"/>
        </w:rPr>
      </w:pPr>
      <w:r>
        <w:rPr>
          <w:rFonts w:hint="eastAsia"/>
          <w:highlight w:val="none"/>
        </w:rPr>
        <w:t>（3）其它相关事项。</w:t>
      </w:r>
    </w:p>
    <w:p>
      <w:pPr>
        <w:tabs>
          <w:tab w:val="clear" w:pos="426"/>
        </w:tabs>
        <w:rPr>
          <w:highlight w:val="none"/>
        </w:rPr>
      </w:pPr>
      <w:r>
        <w:rPr>
          <w:rFonts w:hint="eastAsia"/>
          <w:highlight w:val="none"/>
        </w:rPr>
        <w:t>原招标文件或谈判邀请文件有实质性变动的，谈判小组应当通过采购代理机构通知供应商。</w:t>
      </w:r>
    </w:p>
    <w:p>
      <w:pPr>
        <w:tabs>
          <w:tab w:val="clear" w:pos="426"/>
        </w:tabs>
        <w:rPr>
          <w:highlight w:val="none"/>
        </w:rPr>
      </w:pPr>
      <w:r>
        <w:rPr>
          <w:rFonts w:hint="eastAsia"/>
          <w:highlight w:val="none"/>
        </w:rPr>
        <w:t>45.3.4谈判小组可以用书面形式要求供应商对其谈判应答文件含义不明确的内容作必要的澄清或者说明，重要问题供应商应以书面形式进行澄清、说明。</w:t>
      </w:r>
    </w:p>
    <w:p>
      <w:pPr>
        <w:tabs>
          <w:tab w:val="clear" w:pos="426"/>
        </w:tabs>
        <w:rPr>
          <w:highlight w:val="none"/>
        </w:rPr>
      </w:pPr>
      <w:r>
        <w:rPr>
          <w:rFonts w:hint="eastAsia"/>
          <w:highlight w:val="none"/>
        </w:rPr>
        <w:t>45.3</w:t>
      </w:r>
      <w:r>
        <w:rPr>
          <w:highlight w:val="none"/>
        </w:rPr>
        <w:t>.</w:t>
      </w:r>
      <w:r>
        <w:rPr>
          <w:rFonts w:hint="eastAsia"/>
          <w:highlight w:val="none"/>
        </w:rPr>
        <w:t>5 允许供应商在谈判结束之前根据谈判小组提出的内容进行澄清、修改或完善，或对项目方案进行相应的调整。</w:t>
      </w:r>
    </w:p>
    <w:p>
      <w:pPr>
        <w:tabs>
          <w:tab w:val="clear" w:pos="426"/>
        </w:tabs>
        <w:rPr>
          <w:highlight w:val="none"/>
        </w:rPr>
      </w:pPr>
      <w:r>
        <w:rPr>
          <w:rFonts w:hint="eastAsia"/>
          <w:highlight w:val="none"/>
        </w:rPr>
        <w:t>45.3</w:t>
      </w:r>
      <w:r>
        <w:rPr>
          <w:highlight w:val="none"/>
        </w:rPr>
        <w:t>.</w:t>
      </w:r>
      <w:r>
        <w:rPr>
          <w:rFonts w:hint="eastAsia"/>
          <w:highlight w:val="none"/>
        </w:rPr>
        <w:t>6供应商对谈判应答文件进行修改，都应形成文字材料，并经供应商谈判授权人签字认可。</w:t>
      </w:r>
    </w:p>
    <w:p>
      <w:pPr>
        <w:tabs>
          <w:tab w:val="clear" w:pos="426"/>
        </w:tabs>
        <w:rPr>
          <w:highlight w:val="none"/>
        </w:rPr>
      </w:pPr>
      <w:r>
        <w:rPr>
          <w:rFonts w:hint="eastAsia"/>
          <w:highlight w:val="none"/>
        </w:rPr>
        <w:t>45.3.7谈判小组与单一来源供应商进行谈判。供应商有两次更改机会；供应商应在规定的时间内提出最后更改及书面承诺。</w:t>
      </w:r>
    </w:p>
    <w:p>
      <w:pPr>
        <w:tabs>
          <w:tab w:val="clear" w:pos="426"/>
        </w:tabs>
        <w:rPr>
          <w:szCs w:val="21"/>
          <w:highlight w:val="none"/>
        </w:rPr>
      </w:pPr>
      <w:r>
        <w:rPr>
          <w:rFonts w:hint="eastAsia"/>
          <w:szCs w:val="21"/>
          <w:highlight w:val="none"/>
        </w:rPr>
        <w:t>45.3.8有下列情形之一的，供应商的谈判结果作废标处理，</w:t>
      </w:r>
      <w:r>
        <w:rPr>
          <w:rFonts w:hint="eastAsia"/>
          <w:highlight w:val="none"/>
        </w:rPr>
        <w:t>具体内容见原招标文件中不符合“</w:t>
      </w:r>
      <w:r>
        <w:rPr>
          <w:rFonts w:hint="eastAsia"/>
          <w:b/>
          <w:highlight w:val="none"/>
        </w:rPr>
        <w:t>资格、符合性评审条款</w:t>
      </w:r>
      <w:r>
        <w:rPr>
          <w:rFonts w:hint="eastAsia"/>
          <w:highlight w:val="none"/>
        </w:rPr>
        <w:t>”部分以及谈判邀请中相应的变动部分。</w:t>
      </w:r>
    </w:p>
    <w:p>
      <w:pPr>
        <w:tabs>
          <w:tab w:val="clear" w:pos="426"/>
        </w:tabs>
        <w:rPr>
          <w:highlight w:val="none"/>
        </w:rPr>
      </w:pPr>
      <w:r>
        <w:rPr>
          <w:rFonts w:hint="eastAsia"/>
          <w:highlight w:val="none"/>
        </w:rPr>
        <w:t>45.3</w:t>
      </w:r>
      <w:r>
        <w:rPr>
          <w:highlight w:val="none"/>
        </w:rPr>
        <w:t>.</w:t>
      </w:r>
      <w:r>
        <w:rPr>
          <w:rFonts w:hint="eastAsia"/>
          <w:highlight w:val="none"/>
        </w:rPr>
        <w:t>9谈判结束后，谈判小组根据供应商提供的谈判应答文件、谈判过程中产生的相关资料，对供应商谈判应答文件进行评估与比较，提出书面评审意见。</w:t>
      </w:r>
    </w:p>
    <w:p>
      <w:pPr>
        <w:tabs>
          <w:tab w:val="clear" w:pos="426"/>
        </w:tabs>
        <w:rPr>
          <w:highlight w:val="none"/>
        </w:rPr>
      </w:pPr>
      <w:r>
        <w:rPr>
          <w:rFonts w:hint="eastAsia"/>
          <w:highlight w:val="none"/>
        </w:rPr>
        <w:t>45.3.10谈判小组将对谈判过程进行记录，以存档备查。</w:t>
      </w:r>
    </w:p>
    <w:p>
      <w:pPr>
        <w:tabs>
          <w:tab w:val="clear" w:pos="426"/>
        </w:tabs>
        <w:rPr>
          <w:highlight w:val="none"/>
        </w:rPr>
      </w:pPr>
      <w:r>
        <w:rPr>
          <w:rFonts w:hint="eastAsia"/>
          <w:highlight w:val="none"/>
        </w:rPr>
        <w:t>45.4评标方法和定标原则</w:t>
      </w:r>
    </w:p>
    <w:p>
      <w:pPr>
        <w:tabs>
          <w:tab w:val="clear" w:pos="426"/>
        </w:tabs>
        <w:rPr>
          <w:highlight w:val="none"/>
        </w:rPr>
      </w:pPr>
      <w:r>
        <w:rPr>
          <w:rFonts w:hint="eastAsia"/>
          <w:szCs w:val="21"/>
          <w:highlight w:val="none"/>
        </w:rPr>
        <w:t>45.4.1</w:t>
      </w:r>
      <w:r>
        <w:rPr>
          <w:rFonts w:hint="eastAsia"/>
          <w:b/>
          <w:szCs w:val="21"/>
          <w:highlight w:val="none"/>
        </w:rPr>
        <w:t>单一来源谈判采用最低评标价法。</w:t>
      </w:r>
      <w:r>
        <w:rPr>
          <w:rFonts w:hint="eastAsia"/>
          <w:highlight w:val="none"/>
        </w:rPr>
        <w:t>原招标文件若采用</w:t>
      </w:r>
      <w:r>
        <w:rPr>
          <w:rFonts w:hint="eastAsia"/>
          <w:bCs/>
          <w:highlight w:val="none"/>
        </w:rPr>
        <w:t>最低评标价法以外的评标方法，转为单一来源谈判后，评标方法改为</w:t>
      </w:r>
      <w:r>
        <w:rPr>
          <w:rFonts w:hint="eastAsia"/>
          <w:szCs w:val="21"/>
          <w:highlight w:val="none"/>
        </w:rPr>
        <w:t>最低评标价法。谈判小组</w:t>
      </w:r>
      <w:r>
        <w:rPr>
          <w:rFonts w:hint="eastAsia"/>
          <w:highlight w:val="none"/>
        </w:rPr>
        <w:t>对谈判应答文件进行评审和比较，对供应商最终的方案、服务和投资等谈判结果按本通用条款第37.1.1的</w:t>
      </w:r>
      <w:r>
        <w:rPr>
          <w:rFonts w:hint="eastAsia"/>
          <w:b/>
          <w:bCs/>
          <w:highlight w:val="none"/>
        </w:rPr>
        <w:t>最低评标价法</w:t>
      </w:r>
      <w:r>
        <w:rPr>
          <w:rFonts w:hint="eastAsia"/>
          <w:highlight w:val="none"/>
        </w:rPr>
        <w:t>进行评审。</w:t>
      </w:r>
    </w:p>
    <w:p>
      <w:pPr>
        <w:tabs>
          <w:tab w:val="clear" w:pos="426"/>
        </w:tabs>
        <w:rPr>
          <w:szCs w:val="21"/>
          <w:highlight w:val="none"/>
        </w:rPr>
      </w:pPr>
      <w:r>
        <w:rPr>
          <w:rFonts w:hint="eastAsia"/>
          <w:highlight w:val="none"/>
        </w:rPr>
        <w:t>45.4.2谈判小组向采购代理机构提交书面评标报告，并推荐中标候选人或确定中标人。</w:t>
      </w:r>
    </w:p>
    <w:bookmarkEnd w:id="360"/>
    <w:bookmarkEnd w:id="361"/>
    <w:bookmarkEnd w:id="362"/>
    <w:bookmarkEnd w:id="363"/>
    <w:p>
      <w:pPr>
        <w:pStyle w:val="5"/>
        <w:tabs>
          <w:tab w:val="clear" w:pos="426"/>
        </w:tabs>
        <w:rPr>
          <w:sz w:val="28"/>
          <w:szCs w:val="28"/>
          <w:highlight w:val="none"/>
        </w:rPr>
      </w:pPr>
      <w:bookmarkStart w:id="364" w:name="_Toc398220537"/>
      <w:bookmarkStart w:id="365" w:name="_Toc5875402"/>
      <w:bookmarkStart w:id="366" w:name="_Toc432592829"/>
      <w:r>
        <w:rPr>
          <w:rFonts w:hint="eastAsia"/>
          <w:highlight w:val="none"/>
        </w:rPr>
        <w:t>第九章 合同的授予与备案</w:t>
      </w:r>
      <w:bookmarkEnd w:id="364"/>
      <w:bookmarkEnd w:id="365"/>
      <w:bookmarkEnd w:id="366"/>
    </w:p>
    <w:p>
      <w:pPr>
        <w:tabs>
          <w:tab w:val="clear" w:pos="426"/>
        </w:tabs>
        <w:rPr>
          <w:highlight w:val="none"/>
        </w:rPr>
      </w:pPr>
      <w:bookmarkStart w:id="367" w:name="_33._合同授予标准"/>
      <w:bookmarkEnd w:id="367"/>
      <w:bookmarkStart w:id="368" w:name="_Toc201401407"/>
      <w:bookmarkStart w:id="369" w:name="_Toc201401599"/>
      <w:bookmarkStart w:id="370" w:name="_Toc201997860"/>
      <w:r>
        <w:rPr>
          <w:rFonts w:hint="eastAsia"/>
          <w:highlight w:val="none"/>
        </w:rPr>
        <w:t xml:space="preserve">46．  </w:t>
      </w:r>
      <w:bookmarkEnd w:id="368"/>
      <w:bookmarkEnd w:id="369"/>
      <w:r>
        <w:rPr>
          <w:rFonts w:hint="eastAsia"/>
          <w:highlight w:val="none"/>
        </w:rPr>
        <w:t>履约担保</w:t>
      </w:r>
      <w:bookmarkEnd w:id="370"/>
    </w:p>
    <w:p>
      <w:pPr>
        <w:tabs>
          <w:tab w:val="clear" w:pos="426"/>
        </w:tabs>
        <w:rPr>
          <w:highlight w:val="none"/>
        </w:rPr>
      </w:pPr>
      <w:r>
        <w:rPr>
          <w:rFonts w:hint="eastAsia"/>
          <w:highlight w:val="none"/>
        </w:rPr>
        <w:t>46.1  本项目履约担保的相关要求：详见“投标须知前附表”。</w:t>
      </w:r>
    </w:p>
    <w:p>
      <w:pPr>
        <w:tabs>
          <w:tab w:val="clear" w:pos="426"/>
        </w:tabs>
        <w:rPr>
          <w:highlight w:val="none"/>
        </w:rPr>
      </w:pPr>
      <w:r>
        <w:rPr>
          <w:rFonts w:hint="eastAsia"/>
          <w:highlight w:val="none"/>
        </w:rPr>
        <w:t>46.2  在签订合同前，中标人应按规定向采购人提交履约担保，采用履约保函形式的可参照使用本招标文件提供的格式。</w:t>
      </w:r>
    </w:p>
    <w:p>
      <w:pPr>
        <w:tabs>
          <w:tab w:val="clear" w:pos="426"/>
        </w:tabs>
        <w:rPr>
          <w:highlight w:val="none"/>
        </w:rPr>
      </w:pPr>
      <w:r>
        <w:rPr>
          <w:rFonts w:hint="eastAsia"/>
          <w:highlight w:val="none"/>
        </w:rPr>
        <w:t>46.3  联合体中标的，其履约担保由联合体牵头人提交，并应符合本节第42.1条、第45.2条的规定。</w:t>
      </w:r>
    </w:p>
    <w:p>
      <w:pPr>
        <w:tabs>
          <w:tab w:val="clear" w:pos="426"/>
        </w:tabs>
        <w:rPr>
          <w:highlight w:val="none"/>
        </w:rPr>
      </w:pPr>
      <w:r>
        <w:rPr>
          <w:rFonts w:hint="eastAsia"/>
          <w:highlight w:val="none"/>
        </w:rPr>
        <w:t>46.4  如果中标人拒不提交本节第42.1条、第42.2条要求的履约担保的，采购人可取消其中标资格，并没收其投标担保。</w:t>
      </w:r>
    </w:p>
    <w:p>
      <w:pPr>
        <w:tabs>
          <w:tab w:val="clear" w:pos="426"/>
        </w:tabs>
        <w:rPr>
          <w:highlight w:val="none"/>
        </w:rPr>
      </w:pPr>
      <w:bookmarkStart w:id="371" w:name="_Toc201401408"/>
      <w:bookmarkStart w:id="372" w:name="_Toc201997862"/>
      <w:bookmarkStart w:id="373" w:name="_Toc201401600"/>
      <w:r>
        <w:rPr>
          <w:rFonts w:hint="eastAsia"/>
          <w:highlight w:val="none"/>
        </w:rPr>
        <w:t>47．  签订合同</w:t>
      </w:r>
      <w:bookmarkEnd w:id="371"/>
      <w:bookmarkEnd w:id="372"/>
      <w:bookmarkEnd w:id="373"/>
    </w:p>
    <w:p>
      <w:pPr>
        <w:tabs>
          <w:tab w:val="clear" w:pos="426"/>
        </w:tabs>
        <w:rPr>
          <w:highlight w:val="none"/>
        </w:rPr>
      </w:pPr>
      <w:r>
        <w:rPr>
          <w:rFonts w:hint="eastAsia"/>
          <w:highlight w:val="none"/>
        </w:rPr>
        <w:t>47.1  采购人和中标人应当按“投标须知前附表”的规定，依据招标文件和中标人的投标文件订立书面合同。</w:t>
      </w:r>
    </w:p>
    <w:p>
      <w:pPr>
        <w:tabs>
          <w:tab w:val="clear" w:pos="426"/>
        </w:tabs>
        <w:rPr>
          <w:highlight w:val="none"/>
        </w:rPr>
      </w:pPr>
      <w:r>
        <w:rPr>
          <w:rFonts w:hint="eastAsia"/>
          <w:highlight w:val="none"/>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pPr>
        <w:pStyle w:val="5"/>
        <w:tabs>
          <w:tab w:val="clear" w:pos="426"/>
        </w:tabs>
        <w:rPr>
          <w:highlight w:val="none"/>
        </w:rPr>
      </w:pPr>
      <w:bookmarkStart w:id="374" w:name="_Toc432592830"/>
      <w:bookmarkStart w:id="375" w:name="_Toc398220538"/>
      <w:bookmarkStart w:id="376" w:name="_Toc5875403"/>
      <w:r>
        <w:rPr>
          <w:rFonts w:hint="eastAsia"/>
          <w:highlight w:val="none"/>
        </w:rPr>
        <w:t>第十章 质疑受理</w:t>
      </w:r>
      <w:bookmarkEnd w:id="374"/>
      <w:bookmarkEnd w:id="375"/>
      <w:bookmarkEnd w:id="376"/>
    </w:p>
    <w:p>
      <w:pPr>
        <w:tabs>
          <w:tab w:val="clear" w:pos="426"/>
        </w:tabs>
        <w:rPr>
          <w:highlight w:val="none"/>
        </w:rPr>
      </w:pPr>
      <w:r>
        <w:rPr>
          <w:rFonts w:hint="eastAsia"/>
          <w:highlight w:val="none"/>
        </w:rPr>
        <w:t>48.质疑受理机构</w:t>
      </w:r>
    </w:p>
    <w:p>
      <w:pPr>
        <w:tabs>
          <w:tab w:val="clear" w:pos="426"/>
        </w:tabs>
        <w:rPr>
          <w:sz w:val="22"/>
          <w:szCs w:val="22"/>
          <w:highlight w:val="none"/>
        </w:rPr>
      </w:pPr>
      <w:r>
        <w:rPr>
          <w:rFonts w:hint="eastAsia"/>
          <w:highlight w:val="none"/>
        </w:rPr>
        <w:t>采购代理机构及采购人</w:t>
      </w:r>
      <w:r>
        <w:rPr>
          <w:highlight w:val="none"/>
        </w:rPr>
        <w:t>负责受理和答复质疑</w:t>
      </w:r>
      <w:r>
        <w:rPr>
          <w:sz w:val="22"/>
          <w:szCs w:val="22"/>
          <w:highlight w:val="none"/>
        </w:rPr>
        <w:t>。</w:t>
      </w:r>
    </w:p>
    <w:p>
      <w:pPr>
        <w:tabs>
          <w:tab w:val="clear" w:pos="426"/>
        </w:tabs>
        <w:rPr>
          <w:highlight w:val="none"/>
        </w:rPr>
      </w:pPr>
      <w:r>
        <w:rPr>
          <w:rFonts w:hint="eastAsia"/>
          <w:highlight w:val="none"/>
        </w:rPr>
        <w:t>49.质疑处理原则</w:t>
      </w:r>
    </w:p>
    <w:p>
      <w:pPr>
        <w:tabs>
          <w:tab w:val="clear" w:pos="426"/>
        </w:tabs>
        <w:rPr>
          <w:highlight w:val="none"/>
        </w:rPr>
      </w:pPr>
      <w:r>
        <w:rPr>
          <w:rFonts w:hint="eastAsia"/>
          <w:highlight w:val="none"/>
        </w:rPr>
        <w:t>49.1</w:t>
      </w:r>
      <w:r>
        <w:rPr>
          <w:highlight w:val="none"/>
        </w:rPr>
        <w:t>质疑处理遵循公平、公正、规范、高效的原则。</w:t>
      </w:r>
    </w:p>
    <w:p>
      <w:pPr>
        <w:tabs>
          <w:tab w:val="clear" w:pos="426"/>
        </w:tabs>
        <w:rPr>
          <w:highlight w:val="none"/>
        </w:rPr>
      </w:pPr>
      <w:r>
        <w:rPr>
          <w:rFonts w:hint="eastAsia"/>
          <w:highlight w:val="none"/>
        </w:rPr>
        <w:t>49.2</w:t>
      </w:r>
      <w:r>
        <w:rPr>
          <w:highlight w:val="none"/>
        </w:rPr>
        <w:t>供应商质疑实行实名制和“谁质疑，谁举证”的原则，质疑应有具体的事项及事实根据。</w:t>
      </w:r>
    </w:p>
    <w:p>
      <w:pPr>
        <w:tabs>
          <w:tab w:val="clear" w:pos="426"/>
        </w:tabs>
        <w:rPr>
          <w:highlight w:val="none"/>
        </w:rPr>
      </w:pPr>
      <w:r>
        <w:rPr>
          <w:rFonts w:hint="eastAsia"/>
          <w:highlight w:val="none"/>
        </w:rPr>
        <w:t>50.质疑受理的时效和范围</w:t>
      </w:r>
    </w:p>
    <w:p>
      <w:pPr>
        <w:tabs>
          <w:tab w:val="clear" w:pos="426"/>
        </w:tabs>
        <w:rPr>
          <w:highlight w:val="none"/>
        </w:rPr>
      </w:pPr>
      <w:r>
        <w:rPr>
          <w:rFonts w:hint="eastAsia"/>
          <w:highlight w:val="none"/>
        </w:rPr>
        <w:t>50.1供应商认为采购文件、采购过程和中标、成交结果使自己权益受到损害的，可以在知道或者应知其权益受到损害之日起七个工作日内，以书面形式向采购代理机构提出质疑。</w:t>
      </w:r>
    </w:p>
    <w:p>
      <w:pPr>
        <w:tabs>
          <w:tab w:val="clear" w:pos="426"/>
        </w:tabs>
        <w:rPr>
          <w:highlight w:val="none"/>
        </w:rPr>
      </w:pPr>
      <w:r>
        <w:rPr>
          <w:rFonts w:hint="eastAsia"/>
          <w:highlight w:val="none"/>
        </w:rPr>
        <w:t>50.2供应商对采购文件有疑问的，采购代理机构及采购人按答疑程序处理；供应商对采购文件有异议的，按质疑程序处理。</w:t>
      </w:r>
    </w:p>
    <w:p>
      <w:pPr>
        <w:tabs>
          <w:tab w:val="clear" w:pos="426"/>
        </w:tabs>
        <w:rPr>
          <w:highlight w:val="none"/>
        </w:rPr>
      </w:pPr>
      <w:r>
        <w:rPr>
          <w:rFonts w:hint="eastAsia"/>
          <w:highlight w:val="none"/>
        </w:rPr>
        <w:t>51.质疑条件</w:t>
      </w:r>
    </w:p>
    <w:p>
      <w:pPr>
        <w:tabs>
          <w:tab w:val="clear" w:pos="426"/>
        </w:tabs>
        <w:rPr>
          <w:highlight w:val="none"/>
        </w:rPr>
      </w:pPr>
      <w:r>
        <w:rPr>
          <w:rFonts w:hint="eastAsia"/>
          <w:highlight w:val="none"/>
        </w:rPr>
        <w:t>51.1提出质疑的应是直接参与相应采购项目的供应商。以联合体形式参与的，由联合体共同提出；</w:t>
      </w:r>
    </w:p>
    <w:p>
      <w:pPr>
        <w:tabs>
          <w:tab w:val="clear" w:pos="426"/>
        </w:tabs>
        <w:rPr>
          <w:highlight w:val="none"/>
        </w:rPr>
      </w:pPr>
      <w:r>
        <w:rPr>
          <w:rFonts w:hint="eastAsia"/>
          <w:highlight w:val="none"/>
        </w:rPr>
        <w:t>51.2提供质疑的项目名称和编号、质疑供应商的单位名称、详细地址、邮政编码、联系人及联系电话等基本情况；</w:t>
      </w:r>
    </w:p>
    <w:p>
      <w:pPr>
        <w:tabs>
          <w:tab w:val="clear" w:pos="426"/>
        </w:tabs>
        <w:rPr>
          <w:highlight w:val="none"/>
        </w:rPr>
      </w:pPr>
      <w:r>
        <w:rPr>
          <w:rFonts w:hint="eastAsia"/>
          <w:highlight w:val="none"/>
        </w:rPr>
        <w:t>51.3有质疑的具体事项、请求及理由，并附相关证据材料；</w:t>
      </w:r>
    </w:p>
    <w:p>
      <w:pPr>
        <w:tabs>
          <w:tab w:val="clear" w:pos="426"/>
        </w:tabs>
        <w:rPr>
          <w:highlight w:val="none"/>
        </w:rPr>
      </w:pPr>
      <w:r>
        <w:rPr>
          <w:rFonts w:hint="eastAsia"/>
          <w:highlight w:val="none"/>
        </w:rPr>
        <w:t>51.4质疑书加盖公章，被授权人进行质疑的同时提交法人授权委托书；</w:t>
      </w:r>
    </w:p>
    <w:p>
      <w:pPr>
        <w:tabs>
          <w:tab w:val="clear" w:pos="426"/>
        </w:tabs>
        <w:rPr>
          <w:highlight w:val="none"/>
        </w:rPr>
      </w:pPr>
      <w:r>
        <w:rPr>
          <w:rFonts w:hint="eastAsia"/>
          <w:highlight w:val="none"/>
        </w:rPr>
        <w:t>51.5质疑材料中有外文资料的，应一并附上中文译本，并以中文译本为准。</w:t>
      </w:r>
    </w:p>
    <w:p>
      <w:pPr>
        <w:tabs>
          <w:tab w:val="clear" w:pos="426"/>
        </w:tabs>
        <w:rPr>
          <w:highlight w:val="none"/>
        </w:rPr>
      </w:pPr>
      <w:r>
        <w:rPr>
          <w:rFonts w:hint="eastAsia"/>
          <w:highlight w:val="none"/>
        </w:rPr>
        <w:t>51.6质疑不得超过质疑受理的时效和范围。</w:t>
      </w:r>
    </w:p>
    <w:p>
      <w:pPr>
        <w:tabs>
          <w:tab w:val="clear" w:pos="426"/>
        </w:tabs>
        <w:rPr>
          <w:highlight w:val="none"/>
        </w:rPr>
      </w:pPr>
      <w:r>
        <w:rPr>
          <w:rFonts w:hint="eastAsia"/>
          <w:highlight w:val="none"/>
        </w:rPr>
        <w:t>不符合上述条件的，我采购代理机构不予受理。</w:t>
      </w:r>
    </w:p>
    <w:p>
      <w:pPr>
        <w:tabs>
          <w:tab w:val="clear" w:pos="426"/>
        </w:tabs>
        <w:rPr>
          <w:highlight w:val="none"/>
        </w:rPr>
      </w:pPr>
      <w:r>
        <w:rPr>
          <w:rFonts w:hint="eastAsia"/>
          <w:highlight w:val="none"/>
        </w:rPr>
        <w:t>52.受理质疑办理程序</w:t>
      </w:r>
    </w:p>
    <w:p>
      <w:pPr>
        <w:tabs>
          <w:tab w:val="clear" w:pos="426"/>
        </w:tabs>
        <w:rPr>
          <w:highlight w:val="none"/>
        </w:rPr>
      </w:pPr>
      <w:r>
        <w:rPr>
          <w:rFonts w:hint="eastAsia"/>
          <w:highlight w:val="none"/>
        </w:rPr>
        <w:t>52.1先与质疑供应商进行沟通，以消除因误解或对采购规则和程序的不了解而引起的质疑。对沟通情况满意的，供应商撤回质疑，质疑处理程序终止。</w:t>
      </w:r>
    </w:p>
    <w:p>
      <w:pPr>
        <w:tabs>
          <w:tab w:val="clear" w:pos="426"/>
        </w:tabs>
        <w:rPr>
          <w:highlight w:val="none"/>
        </w:rPr>
      </w:pPr>
      <w:r>
        <w:rPr>
          <w:rFonts w:hint="eastAsia"/>
          <w:highlight w:val="none"/>
        </w:rPr>
        <w:t>52.2处理质疑一般进行书面审查；必要时听取各方当事人的陈述和申辩、进行相关调查；组织原评标委员会或谈判小组进行复议。</w:t>
      </w:r>
    </w:p>
    <w:p>
      <w:pPr>
        <w:tabs>
          <w:tab w:val="clear" w:pos="426"/>
        </w:tabs>
        <w:rPr>
          <w:highlight w:val="none"/>
        </w:rPr>
      </w:pPr>
      <w:r>
        <w:rPr>
          <w:rFonts w:hint="eastAsia"/>
          <w:highlight w:val="none"/>
        </w:rPr>
        <w:t>52.3在质疑处理期间，采购代理机构视情形决定暂停采购活动。</w:t>
      </w:r>
    </w:p>
    <w:p>
      <w:pPr>
        <w:tabs>
          <w:tab w:val="clear" w:pos="426"/>
        </w:tabs>
        <w:rPr>
          <w:highlight w:val="none"/>
        </w:rPr>
      </w:pPr>
      <w:r>
        <w:rPr>
          <w:rFonts w:hint="eastAsia"/>
          <w:highlight w:val="none"/>
        </w:rPr>
        <w:t>52.4采购代理机构原则上在质疑受理之日起十个工作日内书面答复质疑供应商。答复函以直接领取、传真或邮寄方式送达。</w:t>
      </w:r>
    </w:p>
    <w:p>
      <w:pPr>
        <w:tabs>
          <w:tab w:val="clear" w:pos="426"/>
        </w:tabs>
        <w:rPr>
          <w:highlight w:val="none"/>
        </w:rPr>
      </w:pPr>
      <w:r>
        <w:rPr>
          <w:rFonts w:hint="eastAsia"/>
          <w:highlight w:val="none"/>
        </w:rPr>
        <w:t>52.5供应商向采购代理机构提出质疑后，在质疑处理期限内，不得同时向其他方面提起同一质疑。质疑供应商如已就同一事项提起投诉、提请行政复议或诉讼的，质疑程序终止。</w:t>
      </w:r>
    </w:p>
    <w:p>
      <w:pPr>
        <w:tabs>
          <w:tab w:val="clear" w:pos="426"/>
        </w:tabs>
        <w:rPr>
          <w:highlight w:val="none"/>
        </w:rPr>
      </w:pPr>
      <w:r>
        <w:rPr>
          <w:rFonts w:hint="eastAsia"/>
          <w:highlight w:val="none"/>
        </w:rPr>
        <w:t>53.相关责任与义务</w:t>
      </w:r>
    </w:p>
    <w:p>
      <w:pPr>
        <w:tabs>
          <w:tab w:val="clear" w:pos="426"/>
        </w:tabs>
        <w:rPr>
          <w:highlight w:val="none"/>
        </w:rPr>
      </w:pPr>
      <w:r>
        <w:rPr>
          <w:rFonts w:hint="eastAsia"/>
          <w:highlight w:val="none"/>
        </w:rPr>
        <w:t>53.1采购单位、评标专家和相关供应商等当事人应积极配合采购代理机构进行质疑调查，如实反映情况，及时提供证明材料。</w:t>
      </w:r>
    </w:p>
    <w:p>
      <w:pPr>
        <w:tabs>
          <w:tab w:val="clear" w:pos="426"/>
        </w:tabs>
        <w:rPr>
          <w:highlight w:val="none"/>
        </w:rPr>
      </w:pPr>
      <w:r>
        <w:rPr>
          <w:rFonts w:hint="eastAsia"/>
          <w:highlight w:val="none"/>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pPr>
        <w:tabs>
          <w:tab w:val="clear" w:pos="426"/>
        </w:tabs>
        <w:rPr>
          <w:highlight w:val="none"/>
        </w:rPr>
      </w:pPr>
      <w:r>
        <w:rPr>
          <w:rFonts w:hint="eastAsia"/>
          <w:highlight w:val="none"/>
        </w:rPr>
        <w:t>53.2.1捏造事实或提供虚假证明材料的；</w:t>
      </w:r>
    </w:p>
    <w:p>
      <w:pPr>
        <w:tabs>
          <w:tab w:val="clear" w:pos="426"/>
        </w:tabs>
        <w:rPr>
          <w:highlight w:val="none"/>
        </w:rPr>
      </w:pPr>
      <w:r>
        <w:rPr>
          <w:rFonts w:hint="eastAsia"/>
          <w:highlight w:val="none"/>
        </w:rPr>
        <w:t>53.2.2假冒他人名义进行质疑的；</w:t>
      </w:r>
    </w:p>
    <w:p>
      <w:pPr>
        <w:tabs>
          <w:tab w:val="clear" w:pos="426"/>
        </w:tabs>
        <w:rPr>
          <w:highlight w:val="none"/>
        </w:rPr>
      </w:pPr>
      <w:r>
        <w:rPr>
          <w:rFonts w:hint="eastAsia"/>
          <w:highlight w:val="none"/>
        </w:rPr>
        <w:t>53.2.3拒不配合进行有关调查、情节严重的。</w:t>
      </w:r>
    </w:p>
    <w:p>
      <w:pPr>
        <w:tabs>
          <w:tab w:val="clear" w:pos="426"/>
        </w:tabs>
        <w:rPr>
          <w:b/>
          <w:highlight w:val="none"/>
        </w:rPr>
      </w:pPr>
      <w:bookmarkStart w:id="377" w:name="_Toc201401601"/>
      <w:bookmarkStart w:id="378" w:name="_Toc201997863"/>
      <w:bookmarkStart w:id="379" w:name="_Toc201401409"/>
      <w:r>
        <w:rPr>
          <w:rFonts w:hint="eastAsia"/>
          <w:highlight w:val="none"/>
        </w:rPr>
        <w:t xml:space="preserve">54．  </w:t>
      </w:r>
      <w:r>
        <w:rPr>
          <w:rFonts w:hint="eastAsia"/>
          <w:b/>
          <w:highlight w:val="none"/>
        </w:rPr>
        <w:t>其他</w:t>
      </w:r>
      <w:bookmarkEnd w:id="377"/>
      <w:bookmarkEnd w:id="378"/>
      <w:bookmarkEnd w:id="379"/>
    </w:p>
    <w:p>
      <w:pPr>
        <w:tabs>
          <w:tab w:val="clear" w:pos="426"/>
        </w:tabs>
        <w:rPr>
          <w:highlight w:val="none"/>
        </w:rPr>
      </w:pPr>
      <w:r>
        <w:rPr>
          <w:rFonts w:hint="eastAsia"/>
          <w:highlight w:val="none"/>
        </w:rPr>
        <w:t>54.1  本招标文件的解释权归采购代理机构所有，采购代理机构在征得采购人或相关主管部门同意后，有权在法律允许范围内调整本次招标活动的细节及保留最终解释权。</w:t>
      </w:r>
    </w:p>
    <w:p>
      <w:pPr>
        <w:tabs>
          <w:tab w:val="clear" w:pos="426"/>
        </w:tabs>
        <w:rPr>
          <w:highlight w:val="none"/>
        </w:rPr>
      </w:pPr>
      <w:r>
        <w:rPr>
          <w:rFonts w:hint="eastAsia"/>
          <w:highlight w:val="none"/>
        </w:rPr>
        <w:t>54.2 采购代理机构向投标人提供的资料和数据，是采购代理机构现有的能供投标人利用的资料，采购代理机构对投标人由此而作出的推论、理解和结论概不负责。</w:t>
      </w:r>
    </w:p>
    <w:p>
      <w:pPr>
        <w:tabs>
          <w:tab w:val="clear" w:pos="426"/>
        </w:tabs>
        <w:rPr>
          <w:highlight w:val="none"/>
        </w:rPr>
      </w:pPr>
      <w:r>
        <w:rPr>
          <w:rFonts w:hint="eastAsia"/>
          <w:highlight w:val="none"/>
        </w:rPr>
        <w:t>54.3 如果投标人实质上不符合投标资格，即使已购买招标文件、参加投标并缴纳各种费用，采购代理机构或采购人可以随时取消其投标或中标资格，采购代理机构或采购人对该投标人的一切损失概不责任。</w:t>
      </w:r>
    </w:p>
    <w:p>
      <w:pPr>
        <w:tabs>
          <w:tab w:val="clear" w:pos="426"/>
        </w:tabs>
        <w:rPr>
          <w:highlight w:val="none"/>
        </w:rPr>
      </w:pPr>
      <w:r>
        <w:rPr>
          <w:rFonts w:hint="eastAsia"/>
          <w:highlight w:val="none"/>
        </w:rPr>
        <w:t>54.4 中标无效的，发出的中标通知书和签订的合同自始没有法律约束力，但不影响合同中存在的有关解决争议方法的条款的效力。</w:t>
      </w:r>
    </w:p>
    <w:p>
      <w:pPr>
        <w:tabs>
          <w:tab w:val="clear" w:pos="426"/>
        </w:tabs>
        <w:rPr>
          <w:highlight w:val="none"/>
        </w:rPr>
      </w:pPr>
      <w:r>
        <w:rPr>
          <w:rFonts w:hint="eastAsia"/>
          <w:highlight w:val="none"/>
        </w:rPr>
        <w:t>54.5 本招标文件所有的附件与本招标文件具有同等效力。</w:t>
      </w:r>
    </w:p>
    <w:p>
      <w:pPr>
        <w:tabs>
          <w:tab w:val="clear" w:pos="426"/>
        </w:tabs>
        <w:rPr>
          <w:highlight w:val="none"/>
        </w:rPr>
      </w:pPr>
    </w:p>
    <w:p>
      <w:pPr>
        <w:pStyle w:val="42"/>
        <w:tabs>
          <w:tab w:val="clear" w:pos="426"/>
        </w:tabs>
        <w:rPr>
          <w:highlight w:val="none"/>
        </w:rPr>
      </w:pPr>
      <w:r>
        <w:rPr>
          <w:rFonts w:ascii="宋体" w:hAnsi="宋体"/>
          <w:highlight w:val="none"/>
        </w:rPr>
        <w:br w:type="page"/>
      </w:r>
      <w:bookmarkStart w:id="380" w:name="_Toc5875404"/>
      <w:r>
        <w:rPr>
          <w:rFonts w:hint="eastAsia"/>
          <w:highlight w:val="none"/>
        </w:rPr>
        <w:t>招标代理服务取费说明</w:t>
      </w:r>
      <w:bookmarkEnd w:id="380"/>
    </w:p>
    <w:p>
      <w:pPr>
        <w:tabs>
          <w:tab w:val="clear" w:pos="426"/>
        </w:tabs>
        <w:spacing w:line="300" w:lineRule="auto"/>
        <w:ind w:firstLine="440" w:firstLineChars="200"/>
        <w:rPr>
          <w:sz w:val="22"/>
          <w:highlight w:val="none"/>
        </w:rPr>
      </w:pPr>
    </w:p>
    <w:p>
      <w:pPr>
        <w:tabs>
          <w:tab w:val="clear" w:pos="426"/>
        </w:tabs>
        <w:spacing w:line="300" w:lineRule="auto"/>
        <w:ind w:firstLine="440" w:firstLineChars="200"/>
        <w:rPr>
          <w:sz w:val="22"/>
          <w:highlight w:val="none"/>
        </w:rPr>
      </w:pPr>
      <w:r>
        <w:rPr>
          <w:rFonts w:hint="eastAsia"/>
          <w:sz w:val="22"/>
          <w:highlight w:val="none"/>
        </w:rPr>
        <w:t>根据《深圳市财政委员会关于规范深圳市社会采购代理机构管理有关事项的补充通知》（深财购〔</w:t>
      </w:r>
      <w:r>
        <w:rPr>
          <w:sz w:val="22"/>
          <w:highlight w:val="none"/>
        </w:rPr>
        <w:t>2018〕27号）</w:t>
      </w:r>
      <w:r>
        <w:rPr>
          <w:rFonts w:hint="eastAsia"/>
          <w:sz w:val="22"/>
          <w:highlight w:val="none"/>
        </w:rPr>
        <w:t xml:space="preserve">的规定，招标代理服务收费将以项目中标金额为计算基数，按差额定率累进法计算，并向中标人收取，收费标准如下表所列： </w:t>
      </w:r>
    </w:p>
    <w:p>
      <w:pPr>
        <w:tabs>
          <w:tab w:val="clear" w:pos="426"/>
        </w:tabs>
        <w:spacing w:line="300" w:lineRule="auto"/>
        <w:ind w:firstLine="440" w:firstLineChars="200"/>
        <w:rPr>
          <w:sz w:val="22"/>
          <w:highlight w:val="none"/>
        </w:rPr>
      </w:pPr>
      <w:r>
        <w:rPr>
          <w:rFonts w:hint="eastAsia"/>
          <w:sz w:val="22"/>
          <w:highlight w:val="none"/>
        </w:rPr>
        <w:t>招标代理服务收费标准</w:t>
      </w:r>
    </w:p>
    <w:tbl>
      <w:tblPr>
        <w:tblStyle w:val="4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6"/>
        <w:gridCol w:w="1845"/>
        <w:gridCol w:w="1845"/>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jc w:val="center"/>
        </w:trPr>
        <w:tc>
          <w:tcPr>
            <w:tcW w:w="2986" w:type="dxa"/>
            <w:vAlign w:val="center"/>
          </w:tcPr>
          <w:p>
            <w:pPr>
              <w:tabs>
                <w:tab w:val="clear" w:pos="426"/>
              </w:tabs>
              <w:spacing w:line="240" w:lineRule="auto"/>
              <w:jc w:val="right"/>
              <w:rPr>
                <w:sz w:val="22"/>
                <w:highlight w:val="none"/>
              </w:rPr>
            </w:pPr>
            <w:r>
              <w:rPr>
                <w:rFonts w:hint="eastAsia"/>
                <w:sz w:val="22"/>
                <w:highlight w:val="none"/>
              </w:rPr>
              <w:t>项目类型</w:t>
            </w:r>
          </w:p>
          <w:p>
            <w:pPr>
              <w:tabs>
                <w:tab w:val="clear" w:pos="426"/>
              </w:tabs>
              <w:spacing w:line="240" w:lineRule="auto"/>
              <w:jc w:val="center"/>
              <w:rPr>
                <w:sz w:val="22"/>
                <w:highlight w:val="none"/>
              </w:rPr>
            </w:pPr>
            <w:r>
              <w:rPr>
                <w:rFonts w:hint="eastAsia"/>
                <w:sz w:val="22"/>
                <w:highlight w:val="none"/>
              </w:rPr>
              <w:t>费率</w:t>
            </w:r>
          </w:p>
          <w:p>
            <w:pPr>
              <w:tabs>
                <w:tab w:val="clear" w:pos="426"/>
              </w:tabs>
              <w:spacing w:line="240" w:lineRule="auto"/>
              <w:rPr>
                <w:sz w:val="22"/>
                <w:highlight w:val="none"/>
              </w:rPr>
            </w:pPr>
            <w:r>
              <w:rPr>
                <w:rFonts w:hint="eastAsia"/>
                <w:sz w:val="22"/>
                <w:highlight w:val="none"/>
              </w:rPr>
              <w:t>中标金额</w:t>
            </w:r>
          </w:p>
        </w:tc>
        <w:tc>
          <w:tcPr>
            <w:tcW w:w="1845" w:type="dxa"/>
            <w:vAlign w:val="center"/>
          </w:tcPr>
          <w:p>
            <w:pPr>
              <w:tabs>
                <w:tab w:val="clear" w:pos="426"/>
              </w:tabs>
              <w:spacing w:line="240" w:lineRule="auto"/>
              <w:jc w:val="center"/>
              <w:rPr>
                <w:sz w:val="22"/>
                <w:highlight w:val="none"/>
              </w:rPr>
            </w:pPr>
            <w:r>
              <w:rPr>
                <w:rFonts w:hint="eastAsia"/>
                <w:sz w:val="22"/>
                <w:highlight w:val="none"/>
              </w:rPr>
              <w:t>货物采购</w:t>
            </w:r>
          </w:p>
        </w:tc>
        <w:tc>
          <w:tcPr>
            <w:tcW w:w="1845" w:type="dxa"/>
            <w:vAlign w:val="center"/>
          </w:tcPr>
          <w:p>
            <w:pPr>
              <w:tabs>
                <w:tab w:val="clear" w:pos="426"/>
              </w:tabs>
              <w:spacing w:line="240" w:lineRule="auto"/>
              <w:jc w:val="center"/>
              <w:rPr>
                <w:sz w:val="22"/>
                <w:highlight w:val="none"/>
              </w:rPr>
            </w:pPr>
            <w:r>
              <w:rPr>
                <w:rFonts w:hint="eastAsia"/>
                <w:sz w:val="22"/>
                <w:highlight w:val="none"/>
              </w:rPr>
              <w:t>服务采购</w:t>
            </w:r>
          </w:p>
        </w:tc>
        <w:tc>
          <w:tcPr>
            <w:tcW w:w="1846" w:type="dxa"/>
            <w:vAlign w:val="center"/>
          </w:tcPr>
          <w:p>
            <w:pPr>
              <w:tabs>
                <w:tab w:val="clear" w:pos="426"/>
              </w:tabs>
              <w:spacing w:line="240" w:lineRule="auto"/>
              <w:jc w:val="center"/>
              <w:rPr>
                <w:sz w:val="22"/>
                <w:highlight w:val="none"/>
              </w:rPr>
            </w:pPr>
            <w:r>
              <w:rPr>
                <w:rFonts w:hint="eastAsia"/>
                <w:sz w:val="22"/>
                <w:highlight w:val="none"/>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100万元以下</w:t>
            </w:r>
          </w:p>
        </w:tc>
        <w:tc>
          <w:tcPr>
            <w:tcW w:w="1845" w:type="dxa"/>
            <w:vAlign w:val="center"/>
          </w:tcPr>
          <w:p>
            <w:pPr>
              <w:spacing w:line="240" w:lineRule="auto"/>
              <w:jc w:val="center"/>
              <w:rPr>
                <w:color w:val="000000"/>
                <w:sz w:val="22"/>
                <w:szCs w:val="22"/>
                <w:highlight w:val="none"/>
              </w:rPr>
            </w:pPr>
            <w:r>
              <w:rPr>
                <w:rFonts w:hint="eastAsia"/>
                <w:color w:val="000000"/>
                <w:sz w:val="22"/>
                <w:szCs w:val="22"/>
                <w:highlight w:val="none"/>
              </w:rPr>
              <w:t>1.500%</w:t>
            </w:r>
          </w:p>
        </w:tc>
        <w:tc>
          <w:tcPr>
            <w:tcW w:w="1845" w:type="dxa"/>
            <w:vAlign w:val="center"/>
          </w:tcPr>
          <w:p>
            <w:pPr>
              <w:spacing w:line="240" w:lineRule="auto"/>
              <w:jc w:val="center"/>
              <w:rPr>
                <w:color w:val="000000"/>
                <w:sz w:val="22"/>
                <w:szCs w:val="22"/>
                <w:highlight w:val="none"/>
              </w:rPr>
            </w:pPr>
            <w:r>
              <w:rPr>
                <w:rFonts w:hint="eastAsia"/>
                <w:color w:val="000000"/>
                <w:sz w:val="22"/>
                <w:szCs w:val="22"/>
                <w:highlight w:val="none"/>
              </w:rPr>
              <w:t>1.500%</w:t>
            </w:r>
          </w:p>
        </w:tc>
        <w:tc>
          <w:tcPr>
            <w:tcW w:w="1846" w:type="dxa"/>
            <w:vAlign w:val="center"/>
          </w:tcPr>
          <w:p>
            <w:pPr>
              <w:spacing w:line="240" w:lineRule="auto"/>
              <w:jc w:val="center"/>
              <w:rPr>
                <w:color w:val="000000"/>
                <w:sz w:val="22"/>
                <w:szCs w:val="22"/>
                <w:highlight w:val="none"/>
              </w:rPr>
            </w:pPr>
            <w:r>
              <w:rPr>
                <w:rFonts w:hint="eastAsia"/>
                <w:color w:val="000000"/>
                <w:sz w:val="22"/>
                <w:szCs w:val="22"/>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100万元（含）-500万元</w:t>
            </w:r>
          </w:p>
        </w:tc>
        <w:tc>
          <w:tcPr>
            <w:tcW w:w="1845" w:type="dxa"/>
            <w:vAlign w:val="center"/>
          </w:tcPr>
          <w:p>
            <w:pPr>
              <w:spacing w:line="240" w:lineRule="auto"/>
              <w:jc w:val="center"/>
              <w:rPr>
                <w:color w:val="000000"/>
                <w:sz w:val="22"/>
                <w:szCs w:val="22"/>
                <w:highlight w:val="none"/>
              </w:rPr>
            </w:pPr>
            <w:r>
              <w:rPr>
                <w:rFonts w:hint="eastAsia"/>
                <w:color w:val="000000"/>
                <w:sz w:val="22"/>
                <w:szCs w:val="22"/>
                <w:highlight w:val="none"/>
              </w:rPr>
              <w:t>1.100%</w:t>
            </w:r>
          </w:p>
        </w:tc>
        <w:tc>
          <w:tcPr>
            <w:tcW w:w="1845" w:type="dxa"/>
            <w:vAlign w:val="center"/>
          </w:tcPr>
          <w:p>
            <w:pPr>
              <w:spacing w:line="240" w:lineRule="auto"/>
              <w:jc w:val="center"/>
              <w:rPr>
                <w:color w:val="000000"/>
                <w:sz w:val="22"/>
                <w:szCs w:val="22"/>
                <w:highlight w:val="none"/>
              </w:rPr>
            </w:pPr>
            <w:r>
              <w:rPr>
                <w:rFonts w:hint="eastAsia"/>
                <w:color w:val="000000"/>
                <w:sz w:val="22"/>
                <w:szCs w:val="22"/>
                <w:highlight w:val="none"/>
              </w:rPr>
              <w:t>0.800%</w:t>
            </w:r>
          </w:p>
        </w:tc>
        <w:tc>
          <w:tcPr>
            <w:tcW w:w="1846" w:type="dxa"/>
            <w:vAlign w:val="center"/>
          </w:tcPr>
          <w:p>
            <w:pPr>
              <w:spacing w:line="240" w:lineRule="auto"/>
              <w:jc w:val="center"/>
              <w:rPr>
                <w:color w:val="000000"/>
                <w:sz w:val="22"/>
                <w:szCs w:val="22"/>
                <w:highlight w:val="none"/>
              </w:rPr>
            </w:pPr>
            <w:r>
              <w:rPr>
                <w:rFonts w:hint="eastAsia"/>
                <w:color w:val="000000"/>
                <w:sz w:val="22"/>
                <w:szCs w:val="22"/>
                <w:highlight w:val="none"/>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500万元（含）-1000万元</w:t>
            </w:r>
          </w:p>
        </w:tc>
        <w:tc>
          <w:tcPr>
            <w:tcW w:w="1845" w:type="dxa"/>
            <w:vAlign w:val="center"/>
          </w:tcPr>
          <w:p>
            <w:pPr>
              <w:spacing w:line="240" w:lineRule="auto"/>
              <w:jc w:val="center"/>
              <w:rPr>
                <w:color w:val="000000"/>
                <w:sz w:val="22"/>
                <w:szCs w:val="22"/>
                <w:highlight w:val="none"/>
              </w:rPr>
            </w:pPr>
            <w:r>
              <w:rPr>
                <w:rFonts w:hint="eastAsia"/>
                <w:color w:val="000000"/>
                <w:sz w:val="22"/>
                <w:szCs w:val="22"/>
                <w:highlight w:val="none"/>
              </w:rPr>
              <w:t>0.800%</w:t>
            </w:r>
          </w:p>
        </w:tc>
        <w:tc>
          <w:tcPr>
            <w:tcW w:w="1845" w:type="dxa"/>
            <w:vAlign w:val="center"/>
          </w:tcPr>
          <w:p>
            <w:pPr>
              <w:spacing w:line="240" w:lineRule="auto"/>
              <w:jc w:val="center"/>
              <w:rPr>
                <w:color w:val="000000"/>
                <w:sz w:val="22"/>
                <w:szCs w:val="22"/>
                <w:highlight w:val="none"/>
              </w:rPr>
            </w:pPr>
            <w:r>
              <w:rPr>
                <w:rFonts w:hint="eastAsia"/>
                <w:color w:val="000000"/>
                <w:sz w:val="22"/>
                <w:szCs w:val="22"/>
                <w:highlight w:val="none"/>
              </w:rPr>
              <w:t>0.450%</w:t>
            </w:r>
          </w:p>
        </w:tc>
        <w:tc>
          <w:tcPr>
            <w:tcW w:w="1846" w:type="dxa"/>
            <w:vAlign w:val="center"/>
          </w:tcPr>
          <w:p>
            <w:pPr>
              <w:spacing w:line="240" w:lineRule="auto"/>
              <w:jc w:val="center"/>
              <w:rPr>
                <w:color w:val="000000"/>
                <w:sz w:val="22"/>
                <w:szCs w:val="22"/>
                <w:highlight w:val="none"/>
              </w:rPr>
            </w:pPr>
            <w:r>
              <w:rPr>
                <w:rFonts w:hint="eastAsia"/>
                <w:color w:val="000000"/>
                <w:sz w:val="22"/>
                <w:szCs w:val="22"/>
                <w:highlight w:val="none"/>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1000万元（含）-5000万元</w:t>
            </w:r>
          </w:p>
        </w:tc>
        <w:tc>
          <w:tcPr>
            <w:tcW w:w="1845" w:type="dxa"/>
            <w:vAlign w:val="center"/>
          </w:tcPr>
          <w:p>
            <w:pPr>
              <w:spacing w:line="240" w:lineRule="auto"/>
              <w:jc w:val="center"/>
              <w:rPr>
                <w:color w:val="000000"/>
                <w:sz w:val="22"/>
                <w:szCs w:val="22"/>
                <w:highlight w:val="none"/>
              </w:rPr>
            </w:pPr>
            <w:r>
              <w:rPr>
                <w:rFonts w:hint="eastAsia"/>
                <w:color w:val="000000"/>
                <w:sz w:val="22"/>
                <w:szCs w:val="22"/>
                <w:highlight w:val="none"/>
              </w:rPr>
              <w:t>0.500%</w:t>
            </w:r>
          </w:p>
        </w:tc>
        <w:tc>
          <w:tcPr>
            <w:tcW w:w="1845" w:type="dxa"/>
            <w:vAlign w:val="center"/>
          </w:tcPr>
          <w:p>
            <w:pPr>
              <w:spacing w:line="240" w:lineRule="auto"/>
              <w:jc w:val="center"/>
              <w:rPr>
                <w:color w:val="000000"/>
                <w:sz w:val="22"/>
                <w:szCs w:val="22"/>
                <w:highlight w:val="none"/>
              </w:rPr>
            </w:pPr>
            <w:r>
              <w:rPr>
                <w:rFonts w:hint="eastAsia"/>
                <w:color w:val="000000"/>
                <w:sz w:val="22"/>
                <w:szCs w:val="22"/>
                <w:highlight w:val="none"/>
              </w:rPr>
              <w:t>0.250%</w:t>
            </w:r>
          </w:p>
        </w:tc>
        <w:tc>
          <w:tcPr>
            <w:tcW w:w="1846" w:type="dxa"/>
            <w:vAlign w:val="center"/>
          </w:tcPr>
          <w:p>
            <w:pPr>
              <w:spacing w:line="240" w:lineRule="auto"/>
              <w:jc w:val="center"/>
              <w:rPr>
                <w:color w:val="000000"/>
                <w:sz w:val="22"/>
                <w:szCs w:val="22"/>
                <w:highlight w:val="none"/>
              </w:rPr>
            </w:pPr>
            <w:r>
              <w:rPr>
                <w:rFonts w:hint="eastAsia"/>
                <w:color w:val="000000"/>
                <w:sz w:val="22"/>
                <w:szCs w:val="22"/>
                <w:highlight w:val="none"/>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5000万元（含）-1亿元</w:t>
            </w:r>
          </w:p>
        </w:tc>
        <w:tc>
          <w:tcPr>
            <w:tcW w:w="1845" w:type="dxa"/>
            <w:vAlign w:val="center"/>
          </w:tcPr>
          <w:p>
            <w:pPr>
              <w:spacing w:line="240" w:lineRule="auto"/>
              <w:jc w:val="center"/>
              <w:rPr>
                <w:sz w:val="22"/>
                <w:szCs w:val="22"/>
                <w:highlight w:val="none"/>
              </w:rPr>
            </w:pPr>
            <w:r>
              <w:rPr>
                <w:rFonts w:hint="eastAsia"/>
                <w:sz w:val="22"/>
                <w:szCs w:val="22"/>
                <w:highlight w:val="none"/>
              </w:rPr>
              <w:t>0.250%</w:t>
            </w:r>
          </w:p>
        </w:tc>
        <w:tc>
          <w:tcPr>
            <w:tcW w:w="1845" w:type="dxa"/>
            <w:vAlign w:val="center"/>
          </w:tcPr>
          <w:p>
            <w:pPr>
              <w:spacing w:line="240" w:lineRule="auto"/>
              <w:jc w:val="center"/>
              <w:rPr>
                <w:sz w:val="22"/>
                <w:szCs w:val="22"/>
                <w:highlight w:val="none"/>
              </w:rPr>
            </w:pPr>
            <w:r>
              <w:rPr>
                <w:rFonts w:hint="eastAsia"/>
                <w:sz w:val="22"/>
                <w:szCs w:val="22"/>
                <w:highlight w:val="none"/>
              </w:rPr>
              <w:t>0.100%</w:t>
            </w:r>
          </w:p>
        </w:tc>
        <w:tc>
          <w:tcPr>
            <w:tcW w:w="1846" w:type="dxa"/>
            <w:vAlign w:val="center"/>
          </w:tcPr>
          <w:p>
            <w:pPr>
              <w:spacing w:line="240" w:lineRule="auto"/>
              <w:jc w:val="center"/>
              <w:rPr>
                <w:sz w:val="22"/>
                <w:szCs w:val="22"/>
                <w:highlight w:val="none"/>
              </w:rPr>
            </w:pPr>
            <w:r>
              <w:rPr>
                <w:rFonts w:hint="eastAsia"/>
                <w:sz w:val="22"/>
                <w:szCs w:val="22"/>
                <w:highlight w:val="none"/>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1亿元（含）-5亿元</w:t>
            </w:r>
          </w:p>
        </w:tc>
        <w:tc>
          <w:tcPr>
            <w:tcW w:w="1845" w:type="dxa"/>
            <w:vAlign w:val="center"/>
          </w:tcPr>
          <w:p>
            <w:pPr>
              <w:spacing w:line="240" w:lineRule="auto"/>
              <w:jc w:val="center"/>
              <w:rPr>
                <w:sz w:val="22"/>
                <w:szCs w:val="22"/>
                <w:highlight w:val="none"/>
              </w:rPr>
            </w:pPr>
            <w:r>
              <w:rPr>
                <w:rFonts w:hint="eastAsia"/>
                <w:sz w:val="22"/>
                <w:szCs w:val="22"/>
                <w:highlight w:val="none"/>
              </w:rPr>
              <w:t>0.050%</w:t>
            </w:r>
          </w:p>
        </w:tc>
        <w:tc>
          <w:tcPr>
            <w:tcW w:w="1845" w:type="dxa"/>
            <w:vAlign w:val="center"/>
          </w:tcPr>
          <w:p>
            <w:pPr>
              <w:spacing w:line="240" w:lineRule="auto"/>
              <w:jc w:val="center"/>
              <w:rPr>
                <w:sz w:val="22"/>
                <w:szCs w:val="22"/>
                <w:highlight w:val="none"/>
              </w:rPr>
            </w:pPr>
            <w:r>
              <w:rPr>
                <w:rFonts w:hint="eastAsia"/>
                <w:sz w:val="22"/>
                <w:szCs w:val="22"/>
                <w:highlight w:val="none"/>
              </w:rPr>
              <w:t>0.050%</w:t>
            </w:r>
          </w:p>
        </w:tc>
        <w:tc>
          <w:tcPr>
            <w:tcW w:w="1846" w:type="dxa"/>
            <w:vAlign w:val="center"/>
          </w:tcPr>
          <w:p>
            <w:pPr>
              <w:spacing w:line="240" w:lineRule="auto"/>
              <w:jc w:val="center"/>
              <w:rPr>
                <w:sz w:val="22"/>
                <w:szCs w:val="22"/>
                <w:highlight w:val="none"/>
              </w:rPr>
            </w:pPr>
            <w:r>
              <w:rPr>
                <w:rFonts w:hint="eastAsia"/>
                <w:sz w:val="22"/>
                <w:szCs w:val="22"/>
                <w:highlight w:val="none"/>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5亿元（含）-10亿元</w:t>
            </w:r>
          </w:p>
        </w:tc>
        <w:tc>
          <w:tcPr>
            <w:tcW w:w="1845" w:type="dxa"/>
            <w:vAlign w:val="center"/>
          </w:tcPr>
          <w:p>
            <w:pPr>
              <w:spacing w:line="240" w:lineRule="auto"/>
              <w:jc w:val="center"/>
              <w:rPr>
                <w:sz w:val="22"/>
                <w:szCs w:val="22"/>
                <w:highlight w:val="none"/>
              </w:rPr>
            </w:pPr>
            <w:r>
              <w:rPr>
                <w:rFonts w:hint="eastAsia"/>
                <w:sz w:val="22"/>
                <w:szCs w:val="22"/>
                <w:highlight w:val="none"/>
              </w:rPr>
              <w:t>0.035%</w:t>
            </w:r>
          </w:p>
        </w:tc>
        <w:tc>
          <w:tcPr>
            <w:tcW w:w="1845" w:type="dxa"/>
            <w:vAlign w:val="center"/>
          </w:tcPr>
          <w:p>
            <w:pPr>
              <w:spacing w:line="240" w:lineRule="auto"/>
              <w:jc w:val="center"/>
              <w:rPr>
                <w:sz w:val="22"/>
                <w:szCs w:val="22"/>
                <w:highlight w:val="none"/>
              </w:rPr>
            </w:pPr>
            <w:r>
              <w:rPr>
                <w:rFonts w:hint="eastAsia"/>
                <w:sz w:val="22"/>
                <w:szCs w:val="22"/>
                <w:highlight w:val="none"/>
              </w:rPr>
              <w:t>0.035%</w:t>
            </w:r>
          </w:p>
        </w:tc>
        <w:tc>
          <w:tcPr>
            <w:tcW w:w="1846" w:type="dxa"/>
            <w:vAlign w:val="center"/>
          </w:tcPr>
          <w:p>
            <w:pPr>
              <w:spacing w:line="240" w:lineRule="auto"/>
              <w:jc w:val="center"/>
              <w:rPr>
                <w:sz w:val="22"/>
                <w:szCs w:val="22"/>
                <w:highlight w:val="none"/>
              </w:rPr>
            </w:pPr>
            <w:r>
              <w:rPr>
                <w:rFonts w:hint="eastAsia"/>
                <w:sz w:val="22"/>
                <w:szCs w:val="22"/>
                <w:highlight w:val="none"/>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10亿元（含）-50亿元</w:t>
            </w:r>
          </w:p>
        </w:tc>
        <w:tc>
          <w:tcPr>
            <w:tcW w:w="1845" w:type="dxa"/>
            <w:vAlign w:val="center"/>
          </w:tcPr>
          <w:p>
            <w:pPr>
              <w:spacing w:line="240" w:lineRule="auto"/>
              <w:jc w:val="center"/>
              <w:rPr>
                <w:sz w:val="22"/>
                <w:szCs w:val="22"/>
                <w:highlight w:val="none"/>
              </w:rPr>
            </w:pPr>
            <w:r>
              <w:rPr>
                <w:rFonts w:hint="eastAsia"/>
                <w:sz w:val="22"/>
                <w:szCs w:val="22"/>
                <w:highlight w:val="none"/>
              </w:rPr>
              <w:t>0.008%</w:t>
            </w:r>
          </w:p>
        </w:tc>
        <w:tc>
          <w:tcPr>
            <w:tcW w:w="1845" w:type="dxa"/>
            <w:vAlign w:val="center"/>
          </w:tcPr>
          <w:p>
            <w:pPr>
              <w:spacing w:line="240" w:lineRule="auto"/>
              <w:jc w:val="center"/>
              <w:rPr>
                <w:sz w:val="22"/>
                <w:szCs w:val="22"/>
                <w:highlight w:val="none"/>
              </w:rPr>
            </w:pPr>
            <w:r>
              <w:rPr>
                <w:rFonts w:hint="eastAsia"/>
                <w:sz w:val="22"/>
                <w:szCs w:val="22"/>
                <w:highlight w:val="none"/>
              </w:rPr>
              <w:t>0.008%</w:t>
            </w:r>
          </w:p>
        </w:tc>
        <w:tc>
          <w:tcPr>
            <w:tcW w:w="1846" w:type="dxa"/>
            <w:vAlign w:val="center"/>
          </w:tcPr>
          <w:p>
            <w:pPr>
              <w:spacing w:line="240" w:lineRule="auto"/>
              <w:jc w:val="center"/>
              <w:rPr>
                <w:sz w:val="22"/>
                <w:szCs w:val="22"/>
                <w:highlight w:val="none"/>
              </w:rPr>
            </w:pPr>
            <w:r>
              <w:rPr>
                <w:rFonts w:hint="eastAsia"/>
                <w:sz w:val="22"/>
                <w:szCs w:val="22"/>
                <w:highlight w:val="none"/>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50亿元（含）-100亿元</w:t>
            </w:r>
          </w:p>
        </w:tc>
        <w:tc>
          <w:tcPr>
            <w:tcW w:w="1845" w:type="dxa"/>
            <w:vAlign w:val="center"/>
          </w:tcPr>
          <w:p>
            <w:pPr>
              <w:spacing w:line="240" w:lineRule="auto"/>
              <w:jc w:val="center"/>
              <w:rPr>
                <w:sz w:val="22"/>
                <w:szCs w:val="22"/>
                <w:highlight w:val="none"/>
              </w:rPr>
            </w:pPr>
            <w:r>
              <w:rPr>
                <w:rFonts w:hint="eastAsia"/>
                <w:sz w:val="22"/>
                <w:szCs w:val="22"/>
                <w:highlight w:val="none"/>
              </w:rPr>
              <w:t>0.006%</w:t>
            </w:r>
          </w:p>
        </w:tc>
        <w:tc>
          <w:tcPr>
            <w:tcW w:w="1845" w:type="dxa"/>
            <w:vAlign w:val="center"/>
          </w:tcPr>
          <w:p>
            <w:pPr>
              <w:spacing w:line="240" w:lineRule="auto"/>
              <w:jc w:val="center"/>
              <w:rPr>
                <w:sz w:val="22"/>
                <w:szCs w:val="22"/>
                <w:highlight w:val="none"/>
              </w:rPr>
            </w:pPr>
            <w:r>
              <w:rPr>
                <w:rFonts w:hint="eastAsia"/>
                <w:sz w:val="22"/>
                <w:szCs w:val="22"/>
                <w:highlight w:val="none"/>
              </w:rPr>
              <w:t>0.006%</w:t>
            </w:r>
          </w:p>
        </w:tc>
        <w:tc>
          <w:tcPr>
            <w:tcW w:w="1846" w:type="dxa"/>
            <w:vAlign w:val="center"/>
          </w:tcPr>
          <w:p>
            <w:pPr>
              <w:spacing w:line="240" w:lineRule="auto"/>
              <w:jc w:val="center"/>
              <w:rPr>
                <w:sz w:val="22"/>
                <w:szCs w:val="22"/>
                <w:highlight w:val="none"/>
              </w:rPr>
            </w:pPr>
            <w:r>
              <w:rPr>
                <w:rFonts w:hint="eastAsia"/>
                <w:sz w:val="22"/>
                <w:szCs w:val="22"/>
                <w:highlight w:val="none"/>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100亿元（含）以上</w:t>
            </w:r>
          </w:p>
        </w:tc>
        <w:tc>
          <w:tcPr>
            <w:tcW w:w="1845" w:type="dxa"/>
            <w:vAlign w:val="center"/>
          </w:tcPr>
          <w:p>
            <w:pPr>
              <w:spacing w:line="240" w:lineRule="auto"/>
              <w:jc w:val="center"/>
              <w:rPr>
                <w:sz w:val="22"/>
                <w:szCs w:val="22"/>
                <w:highlight w:val="none"/>
              </w:rPr>
            </w:pPr>
            <w:r>
              <w:rPr>
                <w:rFonts w:hint="eastAsia"/>
                <w:sz w:val="22"/>
                <w:szCs w:val="22"/>
                <w:highlight w:val="none"/>
              </w:rPr>
              <w:t>0.004%</w:t>
            </w:r>
          </w:p>
        </w:tc>
        <w:tc>
          <w:tcPr>
            <w:tcW w:w="1845" w:type="dxa"/>
            <w:vAlign w:val="center"/>
          </w:tcPr>
          <w:p>
            <w:pPr>
              <w:spacing w:line="240" w:lineRule="auto"/>
              <w:jc w:val="center"/>
              <w:rPr>
                <w:sz w:val="22"/>
                <w:szCs w:val="22"/>
                <w:highlight w:val="none"/>
              </w:rPr>
            </w:pPr>
            <w:r>
              <w:rPr>
                <w:rFonts w:hint="eastAsia"/>
                <w:sz w:val="22"/>
                <w:szCs w:val="22"/>
                <w:highlight w:val="none"/>
              </w:rPr>
              <w:t>0.004%</w:t>
            </w:r>
          </w:p>
        </w:tc>
        <w:tc>
          <w:tcPr>
            <w:tcW w:w="1846" w:type="dxa"/>
            <w:vAlign w:val="center"/>
          </w:tcPr>
          <w:p>
            <w:pPr>
              <w:spacing w:line="240" w:lineRule="auto"/>
              <w:jc w:val="center"/>
              <w:rPr>
                <w:sz w:val="22"/>
                <w:szCs w:val="22"/>
                <w:highlight w:val="none"/>
              </w:rPr>
            </w:pPr>
            <w:r>
              <w:rPr>
                <w:rFonts w:hint="eastAsia"/>
                <w:sz w:val="22"/>
                <w:szCs w:val="22"/>
                <w:highlight w:val="none"/>
              </w:rPr>
              <w:t>0.004%</w:t>
            </w:r>
          </w:p>
        </w:tc>
      </w:tr>
    </w:tbl>
    <w:p>
      <w:pPr>
        <w:tabs>
          <w:tab w:val="clear" w:pos="426"/>
        </w:tabs>
        <w:spacing w:line="300" w:lineRule="auto"/>
        <w:ind w:left="424" w:leftChars="202"/>
        <w:rPr>
          <w:sz w:val="22"/>
          <w:highlight w:val="none"/>
        </w:rPr>
      </w:pPr>
      <w:r>
        <w:rPr>
          <w:rFonts w:hint="eastAsia"/>
          <w:sz w:val="22"/>
          <w:highlight w:val="none"/>
        </w:rPr>
        <w:t>以某5000万项目货物类招标为例：</w:t>
      </w:r>
    </w:p>
    <w:p>
      <w:pPr>
        <w:tabs>
          <w:tab w:val="clear" w:pos="426"/>
        </w:tabs>
        <w:spacing w:line="300" w:lineRule="auto"/>
        <w:ind w:left="424" w:leftChars="202"/>
        <w:rPr>
          <w:sz w:val="22"/>
          <w:highlight w:val="none"/>
        </w:rPr>
      </w:pPr>
      <w:r>
        <w:rPr>
          <w:rFonts w:hint="eastAsia"/>
          <w:sz w:val="22"/>
          <w:highlight w:val="none"/>
        </w:rPr>
        <w:t>其计算基准价</w:t>
      </w:r>
      <w:r>
        <w:rPr>
          <w:sz w:val="22"/>
          <w:highlight w:val="none"/>
        </w:rPr>
        <w:t>为</w:t>
      </w:r>
      <w:r>
        <w:rPr>
          <w:rFonts w:hint="eastAsia"/>
          <w:sz w:val="22"/>
          <w:highlight w:val="none"/>
        </w:rPr>
        <w:t>中标价5000万元</w:t>
      </w:r>
      <w:r>
        <w:rPr>
          <w:sz w:val="22"/>
          <w:highlight w:val="none"/>
        </w:rPr>
        <w:t>，则招标代理</w:t>
      </w:r>
      <w:r>
        <w:rPr>
          <w:rFonts w:hint="eastAsia"/>
          <w:sz w:val="22"/>
          <w:highlight w:val="none"/>
        </w:rPr>
        <w:t>服务</w:t>
      </w:r>
      <w:r>
        <w:rPr>
          <w:sz w:val="22"/>
          <w:highlight w:val="none"/>
        </w:rPr>
        <w:t>费计算为：</w:t>
      </w:r>
    </w:p>
    <w:p>
      <w:pPr>
        <w:tabs>
          <w:tab w:val="clear" w:pos="426"/>
        </w:tabs>
        <w:spacing w:line="300" w:lineRule="auto"/>
        <w:ind w:left="424" w:leftChars="202"/>
        <w:rPr>
          <w:sz w:val="22"/>
          <w:highlight w:val="none"/>
        </w:rPr>
      </w:pPr>
      <w:r>
        <w:rPr>
          <w:rFonts w:hint="eastAsia"/>
          <w:sz w:val="22"/>
          <w:highlight w:val="none"/>
        </w:rPr>
        <w:t>100万元×1.5%=1.5万元</w:t>
      </w:r>
    </w:p>
    <w:p>
      <w:pPr>
        <w:tabs>
          <w:tab w:val="clear" w:pos="426"/>
        </w:tabs>
        <w:spacing w:line="300" w:lineRule="auto"/>
        <w:ind w:left="424" w:leftChars="202"/>
        <w:rPr>
          <w:sz w:val="22"/>
          <w:highlight w:val="none"/>
        </w:rPr>
      </w:pPr>
      <w:r>
        <w:rPr>
          <w:rFonts w:hint="eastAsia"/>
          <w:sz w:val="22"/>
          <w:highlight w:val="none"/>
        </w:rPr>
        <w:t xml:space="preserve">（500-100）万元×1.1%=4.4万元 </w:t>
      </w:r>
    </w:p>
    <w:p>
      <w:pPr>
        <w:tabs>
          <w:tab w:val="clear" w:pos="426"/>
        </w:tabs>
        <w:spacing w:line="300" w:lineRule="auto"/>
        <w:ind w:left="424" w:leftChars="202"/>
        <w:rPr>
          <w:sz w:val="22"/>
          <w:highlight w:val="none"/>
        </w:rPr>
      </w:pPr>
      <w:r>
        <w:rPr>
          <w:rFonts w:hint="eastAsia"/>
          <w:sz w:val="22"/>
          <w:highlight w:val="none"/>
        </w:rPr>
        <w:t xml:space="preserve">（1000-500）万元×0.8%=4万元 </w:t>
      </w:r>
    </w:p>
    <w:p>
      <w:pPr>
        <w:tabs>
          <w:tab w:val="clear" w:pos="426"/>
        </w:tabs>
        <w:spacing w:line="300" w:lineRule="auto"/>
        <w:ind w:left="424" w:leftChars="202"/>
        <w:rPr>
          <w:sz w:val="22"/>
          <w:highlight w:val="none"/>
        </w:rPr>
      </w:pPr>
      <w:r>
        <w:rPr>
          <w:rFonts w:hint="eastAsia"/>
          <w:sz w:val="22"/>
          <w:highlight w:val="none"/>
        </w:rPr>
        <w:t>（5000-1000）万元×0.5%=20万元</w:t>
      </w:r>
    </w:p>
    <w:p>
      <w:pPr>
        <w:tabs>
          <w:tab w:val="clear" w:pos="426"/>
        </w:tabs>
        <w:spacing w:line="300" w:lineRule="auto"/>
        <w:ind w:left="424" w:leftChars="202"/>
        <w:rPr>
          <w:sz w:val="22"/>
          <w:highlight w:val="none"/>
        </w:rPr>
      </w:pPr>
      <w:r>
        <w:rPr>
          <w:rFonts w:hint="eastAsia"/>
          <w:sz w:val="22"/>
          <w:highlight w:val="none"/>
        </w:rPr>
        <w:t>因此，该项目招标代理服务费为：</w:t>
      </w:r>
      <w:r>
        <w:rPr>
          <w:sz w:val="22"/>
          <w:highlight w:val="none"/>
        </w:rPr>
        <w:t>1.5万元+4.4万元+4万元+20万元=29.9万元</w:t>
      </w:r>
    </w:p>
    <w:p>
      <w:pPr>
        <w:tabs>
          <w:tab w:val="clear" w:pos="426"/>
        </w:tabs>
        <w:rPr>
          <w:highlight w:val="none"/>
        </w:rPr>
      </w:pPr>
    </w:p>
    <w:p>
      <w:pPr>
        <w:pStyle w:val="33"/>
        <w:tabs>
          <w:tab w:val="clear" w:pos="426"/>
        </w:tabs>
        <w:rPr>
          <w:highlight w:val="none"/>
        </w:rPr>
      </w:pPr>
    </w:p>
    <w:sectPr>
      <w:pgSz w:w="11906" w:h="16838"/>
      <w:pgMar w:top="1134" w:right="1134" w:bottom="1134" w:left="1418" w:header="851" w:footer="992" w:gutter="0"/>
      <w:cols w:space="425"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Helvetica">
    <w:altName w:val="Arial"/>
    <w:panose1 w:val="020B05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文鼎粗黑">
    <w:altName w:val="新宋体"/>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Style w:val="49"/>
      </w:rPr>
    </w:pPr>
    <w:r>
      <w:rPr>
        <w:rStyle w:val="49"/>
      </w:rPr>
      <w:fldChar w:fldCharType="begin"/>
    </w:r>
    <w:r>
      <w:rPr>
        <w:rStyle w:val="49"/>
      </w:rPr>
      <w:instrText xml:space="preserve">PAGE  </w:instrText>
    </w:r>
    <w:r>
      <w:rPr>
        <w:rStyle w:val="49"/>
      </w:rPr>
      <w:fldChar w:fldCharType="separate"/>
    </w:r>
    <w:r>
      <w:rPr>
        <w:rStyle w:val="49"/>
      </w:rPr>
      <w:t>59</w:t>
    </w:r>
    <w:r>
      <w:rPr>
        <w:rStyle w:val="49"/>
      </w:rP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rPr>
        <w:lang w:val="zh-CN"/>
      </w:rPr>
      <w:fldChar w:fldCharType="begin"/>
    </w:r>
    <w:r>
      <w:rPr>
        <w:lang w:val="zh-CN"/>
      </w:rPr>
      <w:instrText xml:space="preserve"> PAGE   \* MERGEFORMAT </w:instrText>
    </w:r>
    <w:r>
      <w:rPr>
        <w:lang w:val="zh-CN"/>
      </w:rPr>
      <w:fldChar w:fldCharType="separate"/>
    </w:r>
    <w:r>
      <w:rPr>
        <w:lang w:val="zh-CN"/>
      </w:rPr>
      <w:t>24</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rPr>
        <w:lang w:val="zh-CN"/>
      </w:rPr>
      <w:fldChar w:fldCharType="begin"/>
    </w:r>
    <w:r>
      <w:rPr>
        <w:lang w:val="zh-CN"/>
      </w:rPr>
      <w:instrText xml:space="preserve"> PAGE   \* MERGEFORMAT </w:instrText>
    </w:r>
    <w:r>
      <w:rPr>
        <w:lang w:val="zh-CN"/>
      </w:rPr>
      <w:fldChar w:fldCharType="separate"/>
    </w:r>
    <w:r>
      <w:rPr>
        <w:lang w:val="zh-CN"/>
      </w:rPr>
      <w:t>14</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spacing w:line="240" w:lineRule="auto"/>
    </w:pPr>
    <w:r>
      <w:rPr>
        <w:rFonts w:hint="eastAsia"/>
      </w:rPr>
      <w:t>深圳市深水水务咨询有限公司政府采购招标文件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Fonts w:hint="eastAsia"/>
      </w:rPr>
      <w:t>深圳市深水水务咨询有限公司政府采购招标文件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tentative="0">
      <w:start w:val="1"/>
      <w:numFmt w:val="bullet"/>
      <w:pStyle w:val="12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000000A"/>
    <w:multiLevelType w:val="multilevel"/>
    <w:tmpl w:val="0000000A"/>
    <w:lvl w:ilvl="0" w:tentative="0">
      <w:start w:val="1"/>
      <w:numFmt w:val="bullet"/>
      <w:pStyle w:val="210"/>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00DB0158"/>
    <w:multiLevelType w:val="multilevel"/>
    <w:tmpl w:val="00DB0158"/>
    <w:lvl w:ilvl="0" w:tentative="0">
      <w:start w:val="1"/>
      <w:numFmt w:val="bullet"/>
      <w:pStyle w:val="92"/>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3">
    <w:nsid w:val="01D320DE"/>
    <w:multiLevelType w:val="multilevel"/>
    <w:tmpl w:val="01D320DE"/>
    <w:lvl w:ilvl="0" w:tentative="0">
      <w:start w:val="1"/>
      <w:numFmt w:val="chineseCountingThousand"/>
      <w:pStyle w:val="133"/>
      <w:lvlText w:val="第%1章"/>
      <w:lvlJc w:val="left"/>
      <w:pPr>
        <w:tabs>
          <w:tab w:val="left" w:pos="1440"/>
        </w:tabs>
        <w:ind w:left="0" w:firstLine="0"/>
      </w:pPr>
      <w:rPr>
        <w:rFonts w:hint="eastAsia"/>
      </w:rPr>
    </w:lvl>
    <w:lvl w:ilvl="1" w:tentative="0">
      <w:start w:val="1"/>
      <w:numFmt w:val="decimal"/>
      <w:pStyle w:val="134"/>
      <w:isLgl/>
      <w:lvlText w:val="%1.%2"/>
      <w:lvlJc w:val="left"/>
      <w:pPr>
        <w:tabs>
          <w:tab w:val="left" w:pos="720"/>
        </w:tabs>
        <w:ind w:left="0" w:firstLine="0"/>
      </w:pPr>
      <w:rPr>
        <w:rFonts w:hint="eastAsia"/>
      </w:rPr>
    </w:lvl>
    <w:lvl w:ilvl="2" w:tentative="0">
      <w:start w:val="1"/>
      <w:numFmt w:val="decimal"/>
      <w:pStyle w:val="135"/>
      <w:isLgl/>
      <w:suff w:val="space"/>
      <w:lvlText w:val="%1.%2.%3"/>
      <w:lvlJc w:val="left"/>
      <w:pPr>
        <w:ind w:left="0" w:firstLine="0"/>
      </w:pPr>
      <w:rPr>
        <w:rFonts w:hint="eastAsia"/>
      </w:rPr>
    </w:lvl>
    <w:lvl w:ilvl="3" w:tentative="0">
      <w:start w:val="1"/>
      <w:numFmt w:val="decimal"/>
      <w:lvlText w:val=""/>
      <w:lvlJc w:val="left"/>
      <w:pPr>
        <w:tabs>
          <w:tab w:val="left" w:pos="360"/>
        </w:tabs>
        <w:ind w:left="0" w:firstLine="0"/>
      </w:pPr>
      <w:rPr>
        <w:rFonts w:hint="eastAsia"/>
      </w:rPr>
    </w:lvl>
    <w:lvl w:ilvl="4" w:tentative="0">
      <w:start w:val="1"/>
      <w:numFmt w:val="decimal"/>
      <w:lvlText w:val=""/>
      <w:lvlJc w:val="left"/>
      <w:pPr>
        <w:tabs>
          <w:tab w:val="left" w:pos="360"/>
        </w:tabs>
        <w:ind w:left="0" w:firstLine="0"/>
      </w:pPr>
      <w:rPr>
        <w:rFonts w:hint="eastAsia"/>
      </w:rPr>
    </w:lvl>
    <w:lvl w:ilvl="5" w:tentative="0">
      <w:start w:val="1"/>
      <w:numFmt w:val="decimal"/>
      <w:lvlText w:val=""/>
      <w:lvlJc w:val="left"/>
      <w:pPr>
        <w:tabs>
          <w:tab w:val="left" w:pos="360"/>
        </w:tabs>
        <w:ind w:left="0" w:firstLine="0"/>
      </w:pPr>
      <w:rPr>
        <w:rFonts w:hint="eastAsia"/>
      </w:rPr>
    </w:lvl>
    <w:lvl w:ilvl="6" w:tentative="0">
      <w:start w:val="1"/>
      <w:numFmt w:val="decimal"/>
      <w:lvlText w:val=""/>
      <w:lvlJc w:val="left"/>
      <w:pPr>
        <w:tabs>
          <w:tab w:val="left" w:pos="360"/>
        </w:tabs>
        <w:ind w:left="0" w:firstLine="0"/>
      </w:pPr>
      <w:rPr>
        <w:rFonts w:hint="eastAsia"/>
      </w:rPr>
    </w:lvl>
    <w:lvl w:ilvl="7" w:tentative="0">
      <w:start w:val="1"/>
      <w:numFmt w:val="decimal"/>
      <w:lvlText w:val=""/>
      <w:lvlJc w:val="left"/>
      <w:pPr>
        <w:tabs>
          <w:tab w:val="left" w:pos="360"/>
        </w:tabs>
        <w:ind w:left="0" w:firstLine="0"/>
      </w:pPr>
      <w:rPr>
        <w:rFonts w:hint="eastAsia"/>
      </w:rPr>
    </w:lvl>
    <w:lvl w:ilvl="8" w:tentative="0">
      <w:start w:val="1"/>
      <w:numFmt w:val="decimal"/>
      <w:lvlText w:val=""/>
      <w:lvlJc w:val="left"/>
      <w:pPr>
        <w:tabs>
          <w:tab w:val="left" w:pos="360"/>
        </w:tabs>
        <w:ind w:left="0" w:firstLine="0"/>
      </w:pPr>
      <w:rPr>
        <w:rFonts w:hint="eastAsia"/>
      </w:rPr>
    </w:lvl>
  </w:abstractNum>
  <w:abstractNum w:abstractNumId="4">
    <w:nsid w:val="0A3F3F51"/>
    <w:multiLevelType w:val="multilevel"/>
    <w:tmpl w:val="0A3F3F51"/>
    <w:lvl w:ilvl="0" w:tentative="0">
      <w:start w:val="1"/>
      <w:numFmt w:val="chineseCountingThousand"/>
      <w:suff w:val="nothing"/>
      <w:lvlText w:val="%1、"/>
      <w:lvlJc w:val="left"/>
      <w:pPr>
        <w:ind w:left="312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6AE5335"/>
    <w:multiLevelType w:val="multilevel"/>
    <w:tmpl w:val="16AE5335"/>
    <w:lvl w:ilvl="0" w:tentative="0">
      <w:start w:val="1"/>
      <w:numFmt w:val="decimal"/>
      <w:pStyle w:val="87"/>
      <w:lvlText w:val="图4-%1."/>
      <w:lvlJc w:val="center"/>
      <w:pPr>
        <w:tabs>
          <w:tab w:val="left" w:pos="737"/>
        </w:tabs>
        <w:ind w:left="737" w:hanging="449"/>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1A1E1C4B"/>
    <w:multiLevelType w:val="multilevel"/>
    <w:tmpl w:val="1A1E1C4B"/>
    <w:lvl w:ilvl="0" w:tentative="0">
      <w:start w:val="1"/>
      <w:numFmt w:val="chineseCountingThousand"/>
      <w:pStyle w:val="91"/>
      <w:lvlText w:val="第%1章"/>
      <w:lvlJc w:val="left"/>
      <w:pPr>
        <w:ind w:left="420" w:hanging="420"/>
      </w:pPr>
      <w:rPr>
        <w:rFonts w:hint="eastAsia"/>
      </w:rPr>
    </w:lvl>
    <w:lvl w:ilvl="1" w:tentative="0">
      <w:start w:val="1"/>
      <w:numFmt w:val="decimal"/>
      <w:lvlText w:val="1.%2"/>
      <w:lvlJc w:val="left"/>
      <w:pPr>
        <w:ind w:left="420" w:hanging="420"/>
      </w:pPr>
      <w:rPr>
        <w:rFonts w:hint="default" w:ascii="Calibri Light" w:hAnsi="Calibri Light" w:eastAsia="宋体" w:cs="Calibri"/>
        <w:sz w:val="32"/>
        <w:szCs w:val="32"/>
      </w:rPr>
    </w:lvl>
    <w:lvl w:ilvl="2" w:tentative="0">
      <w:start w:val="1"/>
      <w:numFmt w:val="decimal"/>
      <w:lvlText w:val="1.1.%3"/>
      <w:lvlJc w:val="left"/>
      <w:pPr>
        <w:ind w:left="420" w:firstLine="147"/>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E915619"/>
    <w:multiLevelType w:val="multilevel"/>
    <w:tmpl w:val="1E915619"/>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14624D4"/>
    <w:multiLevelType w:val="multilevel"/>
    <w:tmpl w:val="214624D4"/>
    <w:lvl w:ilvl="0" w:tentative="0">
      <w:start w:val="1"/>
      <w:numFmt w:val="decimal"/>
      <w:lvlText w:val="%1、"/>
      <w:lvlJc w:val="left"/>
      <w:pPr>
        <w:ind w:left="345" w:hanging="3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2FD7025"/>
    <w:multiLevelType w:val="multilevel"/>
    <w:tmpl w:val="22FD7025"/>
    <w:lvl w:ilvl="0" w:tentative="0">
      <w:start w:val="1"/>
      <w:numFmt w:val="chineseCountingThousand"/>
      <w:suff w:val="nothing"/>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4212C01"/>
    <w:multiLevelType w:val="multilevel"/>
    <w:tmpl w:val="24212C01"/>
    <w:lvl w:ilvl="0" w:tentative="0">
      <w:start w:val="1"/>
      <w:numFmt w:val="chineseCountingThousand"/>
      <w:lvlText w:val="%1、"/>
      <w:lvlJc w:val="left"/>
      <w:pPr>
        <w:tabs>
          <w:tab w:val="left" w:pos="420"/>
        </w:tabs>
        <w:ind w:left="420" w:hanging="420"/>
      </w:pPr>
      <w:rPr>
        <w:rFonts w:hint="eastAsia"/>
      </w:rPr>
    </w:lvl>
    <w:lvl w:ilvl="1" w:tentative="0">
      <w:start w:val="1"/>
      <w:numFmt w:val="decimal"/>
      <w:suff w:val="nothing"/>
      <w:lvlText w:val="%2."/>
      <w:lvlJc w:val="left"/>
      <w:pPr>
        <w:ind w:left="840" w:hanging="420"/>
      </w:pPr>
      <w:rPr>
        <w:rFonts w:hint="eastAsia" w:ascii="宋体" w:hAnsi="宋体" w:eastAsia="宋体"/>
        <w:b w:val="0"/>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1">
    <w:nsid w:val="28200F5E"/>
    <w:multiLevelType w:val="multilevel"/>
    <w:tmpl w:val="28200F5E"/>
    <w:lvl w:ilvl="0" w:tentative="0">
      <w:start w:val="1"/>
      <w:numFmt w:val="decimal"/>
      <w:pStyle w:val="95"/>
      <w:lvlText w:val="%1)"/>
      <w:lvlJc w:val="left"/>
      <w:pPr>
        <w:ind w:left="42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2">
    <w:nsid w:val="2D2470EB"/>
    <w:multiLevelType w:val="multilevel"/>
    <w:tmpl w:val="2D2470EB"/>
    <w:lvl w:ilvl="0" w:tentative="0">
      <w:start w:val="1"/>
      <w:numFmt w:val="bullet"/>
      <w:lvlText w:val=""/>
      <w:lvlJc w:val="left"/>
      <w:pPr>
        <w:ind w:left="420" w:hanging="420"/>
      </w:pPr>
      <w:rPr>
        <w:rFonts w:hint="default" w:ascii="Wingdings" w:hAnsi="Wingdings"/>
      </w:rPr>
    </w:lvl>
    <w:lvl w:ilvl="1" w:tentative="0">
      <w:start w:val="1"/>
      <w:numFmt w:val="decimal"/>
      <w:pStyle w:val="262"/>
      <w:lvlText w:val="%2)"/>
      <w:lvlJc w:val="left"/>
      <w:pPr>
        <w:ind w:left="840" w:hanging="420"/>
      </w:pPr>
      <w:rPr>
        <w:rFonts w:hint="default"/>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2DF849D3"/>
    <w:multiLevelType w:val="multilevel"/>
    <w:tmpl w:val="2DF849D3"/>
    <w:lvl w:ilvl="0" w:tentative="0">
      <w:start w:val="1"/>
      <w:numFmt w:val="chineseCountingThousand"/>
      <w:suff w:val="nothing"/>
      <w:lvlText w:val="%1、"/>
      <w:lvlJc w:val="left"/>
      <w:pPr>
        <w:ind w:left="420" w:hanging="420"/>
      </w:pPr>
      <w:rPr>
        <w:rFonts w:hint="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2E8F6958"/>
    <w:multiLevelType w:val="multilevel"/>
    <w:tmpl w:val="2E8F6958"/>
    <w:lvl w:ilvl="0" w:tentative="0">
      <w:start w:val="1"/>
      <w:numFmt w:val="decimal"/>
      <w:pStyle w:val="243"/>
      <w:lvlText w:val="%1)"/>
      <w:lvlJc w:val="left"/>
      <w:pPr>
        <w:ind w:left="620" w:hanging="420"/>
      </w:p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5">
    <w:nsid w:val="37D3508F"/>
    <w:multiLevelType w:val="multilevel"/>
    <w:tmpl w:val="37D3508F"/>
    <w:lvl w:ilvl="0" w:tentative="0">
      <w:start w:val="5"/>
      <w:numFmt w:val="decimal"/>
      <w:lvlText w:val="%1"/>
      <w:lvlJc w:val="left"/>
      <w:pPr>
        <w:tabs>
          <w:tab w:val="left" w:pos="425"/>
        </w:tabs>
        <w:ind w:left="425" w:hanging="425"/>
      </w:pPr>
      <w:rPr>
        <w:rFonts w:hint="eastAsia"/>
      </w:rPr>
    </w:lvl>
    <w:lvl w:ilvl="1" w:tentative="0">
      <w:start w:val="1"/>
      <w:numFmt w:val="decimal"/>
      <w:pStyle w:val="86"/>
      <w:lvlText w:val="%1.%2"/>
      <w:lvlJc w:val="left"/>
      <w:pPr>
        <w:tabs>
          <w:tab w:val="left" w:pos="510"/>
        </w:tabs>
        <w:ind w:left="420" w:hanging="420"/>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3C287EEF"/>
    <w:multiLevelType w:val="multilevel"/>
    <w:tmpl w:val="3C287EEF"/>
    <w:lvl w:ilvl="0" w:tentative="0">
      <w:start w:val="1"/>
      <w:numFmt w:val="decimal"/>
      <w:pStyle w:val="259"/>
      <w:lvlText w:val="%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AF300E9"/>
    <w:multiLevelType w:val="multilevel"/>
    <w:tmpl w:val="4AF300E9"/>
    <w:lvl w:ilvl="0" w:tentative="0">
      <w:start w:val="2"/>
      <w:numFmt w:val="decimal"/>
      <w:lvlText w:val="(%1)"/>
      <w:lvlJc w:val="left"/>
      <w:pPr>
        <w:tabs>
          <w:tab w:val="left" w:pos="1200"/>
        </w:tabs>
        <w:ind w:left="1200" w:hanging="360"/>
      </w:pPr>
      <w:rPr>
        <w:rFonts w:hint="default"/>
      </w:rPr>
    </w:lvl>
    <w:lvl w:ilvl="1" w:tentative="0">
      <w:start w:val="1"/>
      <w:numFmt w:val="decimal"/>
      <w:suff w:val="nothing"/>
      <w:lvlText w:val="%2．"/>
      <w:lvlJc w:val="left"/>
      <w:pPr>
        <w:ind w:left="1620" w:hanging="360"/>
      </w:pPr>
      <w:rPr>
        <w:rFonts w:hint="default" w:ascii="宋体" w:hAnsi="宋体" w:eastAsia="宋体"/>
      </w:rPr>
    </w:lvl>
    <w:lvl w:ilvl="2" w:tentative="0">
      <w:start w:val="1"/>
      <w:numFmt w:val="lowerRoman"/>
      <w:lvlText w:val="%3."/>
      <w:lvlJc w:val="right"/>
      <w:pPr>
        <w:tabs>
          <w:tab w:val="left" w:pos="2100"/>
        </w:tabs>
        <w:ind w:left="2100" w:hanging="420"/>
      </w:pPr>
      <w:rPr>
        <w:rFonts w:hint="eastAsia"/>
      </w:rPr>
    </w:lvl>
    <w:lvl w:ilvl="3" w:tentative="0">
      <w:start w:val="1"/>
      <w:numFmt w:val="decimal"/>
      <w:lvlText w:val="%4."/>
      <w:lvlJc w:val="left"/>
      <w:pPr>
        <w:tabs>
          <w:tab w:val="left" w:pos="2520"/>
        </w:tabs>
        <w:ind w:left="2520" w:hanging="420"/>
      </w:pPr>
      <w:rPr>
        <w:rFonts w:hint="eastAsia"/>
      </w:rPr>
    </w:lvl>
    <w:lvl w:ilvl="4" w:tentative="0">
      <w:start w:val="1"/>
      <w:numFmt w:val="lowerLetter"/>
      <w:lvlText w:val="%5)"/>
      <w:lvlJc w:val="left"/>
      <w:pPr>
        <w:tabs>
          <w:tab w:val="left" w:pos="2940"/>
        </w:tabs>
        <w:ind w:left="2940" w:hanging="420"/>
      </w:pPr>
      <w:rPr>
        <w:rFonts w:hint="eastAsia"/>
      </w:rPr>
    </w:lvl>
    <w:lvl w:ilvl="5" w:tentative="0">
      <w:start w:val="1"/>
      <w:numFmt w:val="lowerRoman"/>
      <w:lvlText w:val="%6."/>
      <w:lvlJc w:val="right"/>
      <w:pPr>
        <w:tabs>
          <w:tab w:val="left" w:pos="3360"/>
        </w:tabs>
        <w:ind w:left="3360" w:hanging="420"/>
      </w:pPr>
      <w:rPr>
        <w:rFonts w:hint="eastAsia"/>
      </w:rPr>
    </w:lvl>
    <w:lvl w:ilvl="6" w:tentative="0">
      <w:start w:val="1"/>
      <w:numFmt w:val="decimal"/>
      <w:lvlText w:val="%7."/>
      <w:lvlJc w:val="left"/>
      <w:pPr>
        <w:tabs>
          <w:tab w:val="left" w:pos="3780"/>
        </w:tabs>
        <w:ind w:left="3780" w:hanging="420"/>
      </w:pPr>
      <w:rPr>
        <w:rFonts w:hint="eastAsia"/>
      </w:rPr>
    </w:lvl>
    <w:lvl w:ilvl="7" w:tentative="0">
      <w:start w:val="1"/>
      <w:numFmt w:val="lowerLetter"/>
      <w:lvlText w:val="%8)"/>
      <w:lvlJc w:val="left"/>
      <w:pPr>
        <w:tabs>
          <w:tab w:val="left" w:pos="4200"/>
        </w:tabs>
        <w:ind w:left="4200" w:hanging="420"/>
      </w:pPr>
      <w:rPr>
        <w:rFonts w:hint="eastAsia"/>
      </w:rPr>
    </w:lvl>
    <w:lvl w:ilvl="8" w:tentative="0">
      <w:start w:val="1"/>
      <w:numFmt w:val="lowerRoman"/>
      <w:lvlText w:val="%9."/>
      <w:lvlJc w:val="right"/>
      <w:pPr>
        <w:tabs>
          <w:tab w:val="left" w:pos="4620"/>
        </w:tabs>
        <w:ind w:left="4620" w:hanging="420"/>
      </w:pPr>
      <w:rPr>
        <w:rFonts w:hint="eastAsia"/>
      </w:rPr>
    </w:lvl>
  </w:abstractNum>
  <w:abstractNum w:abstractNumId="18">
    <w:nsid w:val="4CAA55CD"/>
    <w:multiLevelType w:val="multilevel"/>
    <w:tmpl w:val="4CAA55CD"/>
    <w:lvl w:ilvl="0" w:tentative="0">
      <w:start w:val="1"/>
      <w:numFmt w:val="bullet"/>
      <w:pStyle w:val="13"/>
      <w:lvlText w:val=""/>
      <w:lvlJc w:val="left"/>
      <w:pPr>
        <w:ind w:left="988"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9">
    <w:nsid w:val="50AB7AD6"/>
    <w:multiLevelType w:val="singleLevel"/>
    <w:tmpl w:val="50AB7AD6"/>
    <w:lvl w:ilvl="0" w:tentative="0">
      <w:start w:val="1"/>
      <w:numFmt w:val="decimal"/>
      <w:lvlText w:val="%1)"/>
      <w:legacy w:legacy="1" w:legacySpace="0" w:legacyIndent="360"/>
      <w:lvlJc w:val="left"/>
      <w:rPr>
        <w:rFonts w:hint="eastAsia" w:ascii="宋体" w:hAnsi="宋体" w:eastAsia="宋体"/>
      </w:rPr>
    </w:lvl>
  </w:abstractNum>
  <w:abstractNum w:abstractNumId="20">
    <w:nsid w:val="570941F9"/>
    <w:multiLevelType w:val="multilevel"/>
    <w:tmpl w:val="570941F9"/>
    <w:lvl w:ilvl="0" w:tentative="0">
      <w:start w:val="1"/>
      <w:numFmt w:val="decimal"/>
      <w:pStyle w:val="138"/>
      <w:lvlText w:val="%1."/>
      <w:lvlJc w:val="left"/>
      <w:pPr>
        <w:tabs>
          <w:tab w:val="left" w:pos="900"/>
        </w:tabs>
        <w:ind w:left="90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5D4A37DC"/>
    <w:multiLevelType w:val="multilevel"/>
    <w:tmpl w:val="5D4A37DC"/>
    <w:lvl w:ilvl="0" w:tentative="0">
      <w:start w:val="1"/>
      <w:numFmt w:val="decimal"/>
      <w:pStyle w:val="249"/>
      <w:lvlText w:val="%1)"/>
      <w:lvlJc w:val="left"/>
      <w:pPr>
        <w:ind w:left="982" w:hanging="420"/>
      </w:pPr>
    </w:lvl>
    <w:lvl w:ilvl="1" w:tentative="0">
      <w:start w:val="1"/>
      <w:numFmt w:val="lowerLetter"/>
      <w:pStyle w:val="246"/>
      <w:lvlText w:val="%2)"/>
      <w:lvlJc w:val="left"/>
      <w:pPr>
        <w:ind w:left="1402" w:hanging="420"/>
      </w:pPr>
    </w:lvl>
    <w:lvl w:ilvl="2" w:tentative="0">
      <w:start w:val="1"/>
      <w:numFmt w:val="lowerRoman"/>
      <w:pStyle w:val="247"/>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2">
    <w:nsid w:val="5EDF508C"/>
    <w:multiLevelType w:val="multilevel"/>
    <w:tmpl w:val="5EDF508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5F8239D3"/>
    <w:multiLevelType w:val="singleLevel"/>
    <w:tmpl w:val="5F8239D3"/>
    <w:lvl w:ilvl="0" w:tentative="0">
      <w:start w:val="1"/>
      <w:numFmt w:val="bullet"/>
      <w:pStyle w:val="161"/>
      <w:lvlText w:val=""/>
      <w:lvlJc w:val="left"/>
      <w:pPr>
        <w:tabs>
          <w:tab w:val="left" w:pos="360"/>
        </w:tabs>
        <w:ind w:left="360" w:hanging="360"/>
      </w:pPr>
      <w:rPr>
        <w:rFonts w:hint="default" w:ascii="Wingdings" w:hAnsi="Wingdings"/>
      </w:rPr>
    </w:lvl>
  </w:abstractNum>
  <w:abstractNum w:abstractNumId="24">
    <w:nsid w:val="64253DA1"/>
    <w:multiLevelType w:val="multilevel"/>
    <w:tmpl w:val="64253DA1"/>
    <w:lvl w:ilvl="0" w:tentative="0">
      <w:start w:val="1"/>
      <w:numFmt w:val="decimal"/>
      <w:suff w:val="nothing"/>
      <w:lvlText w:val="%1"/>
      <w:lvlJc w:val="left"/>
      <w:pPr>
        <w:ind w:left="596" w:hanging="420"/>
      </w:pPr>
      <w:rPr>
        <w:rFonts w:hint="eastAsia"/>
      </w:rPr>
    </w:lvl>
    <w:lvl w:ilvl="1" w:tentative="0">
      <w:start w:val="1"/>
      <w:numFmt w:val="lowerLetter"/>
      <w:lvlText w:val="%2)"/>
      <w:lvlJc w:val="left"/>
      <w:pPr>
        <w:tabs>
          <w:tab w:val="left" w:pos="1016"/>
        </w:tabs>
        <w:ind w:left="1016" w:hanging="420"/>
      </w:pPr>
      <w:rPr>
        <w:rFonts w:hint="eastAsia"/>
      </w:rPr>
    </w:lvl>
    <w:lvl w:ilvl="2" w:tentative="0">
      <w:start w:val="1"/>
      <w:numFmt w:val="lowerRoman"/>
      <w:lvlText w:val="%3."/>
      <w:lvlJc w:val="right"/>
      <w:pPr>
        <w:tabs>
          <w:tab w:val="left" w:pos="1436"/>
        </w:tabs>
        <w:ind w:left="1436" w:hanging="420"/>
      </w:pPr>
      <w:rPr>
        <w:rFonts w:hint="eastAsia"/>
      </w:rPr>
    </w:lvl>
    <w:lvl w:ilvl="3" w:tentative="0">
      <w:start w:val="1"/>
      <w:numFmt w:val="decimal"/>
      <w:lvlText w:val="%4."/>
      <w:lvlJc w:val="left"/>
      <w:pPr>
        <w:tabs>
          <w:tab w:val="left" w:pos="1856"/>
        </w:tabs>
        <w:ind w:left="1856" w:hanging="420"/>
      </w:pPr>
      <w:rPr>
        <w:rFonts w:hint="eastAsia"/>
      </w:rPr>
    </w:lvl>
    <w:lvl w:ilvl="4" w:tentative="0">
      <w:start w:val="1"/>
      <w:numFmt w:val="lowerLetter"/>
      <w:lvlText w:val="%5)"/>
      <w:lvlJc w:val="left"/>
      <w:pPr>
        <w:tabs>
          <w:tab w:val="left" w:pos="2276"/>
        </w:tabs>
        <w:ind w:left="2276" w:hanging="420"/>
      </w:pPr>
      <w:rPr>
        <w:rFonts w:hint="eastAsia"/>
      </w:rPr>
    </w:lvl>
    <w:lvl w:ilvl="5" w:tentative="0">
      <w:start w:val="1"/>
      <w:numFmt w:val="lowerRoman"/>
      <w:lvlText w:val="%6."/>
      <w:lvlJc w:val="right"/>
      <w:pPr>
        <w:tabs>
          <w:tab w:val="left" w:pos="2696"/>
        </w:tabs>
        <w:ind w:left="2696" w:hanging="420"/>
      </w:pPr>
      <w:rPr>
        <w:rFonts w:hint="eastAsia"/>
      </w:rPr>
    </w:lvl>
    <w:lvl w:ilvl="6" w:tentative="0">
      <w:start w:val="1"/>
      <w:numFmt w:val="decimal"/>
      <w:lvlText w:val="%7."/>
      <w:lvlJc w:val="left"/>
      <w:pPr>
        <w:tabs>
          <w:tab w:val="left" w:pos="3116"/>
        </w:tabs>
        <w:ind w:left="3116" w:hanging="420"/>
      </w:pPr>
      <w:rPr>
        <w:rFonts w:hint="eastAsia"/>
      </w:rPr>
    </w:lvl>
    <w:lvl w:ilvl="7" w:tentative="0">
      <w:start w:val="1"/>
      <w:numFmt w:val="lowerLetter"/>
      <w:lvlText w:val="%8)"/>
      <w:lvlJc w:val="left"/>
      <w:pPr>
        <w:tabs>
          <w:tab w:val="left" w:pos="3536"/>
        </w:tabs>
        <w:ind w:left="3536" w:hanging="420"/>
      </w:pPr>
      <w:rPr>
        <w:rFonts w:hint="eastAsia"/>
      </w:rPr>
    </w:lvl>
    <w:lvl w:ilvl="8" w:tentative="0">
      <w:start w:val="1"/>
      <w:numFmt w:val="lowerRoman"/>
      <w:lvlText w:val="%9."/>
      <w:lvlJc w:val="right"/>
      <w:pPr>
        <w:tabs>
          <w:tab w:val="left" w:pos="3956"/>
        </w:tabs>
        <w:ind w:left="3956" w:hanging="420"/>
      </w:pPr>
      <w:rPr>
        <w:rFonts w:hint="eastAsia"/>
      </w:rPr>
    </w:lvl>
  </w:abstractNum>
  <w:abstractNum w:abstractNumId="25">
    <w:nsid w:val="682F2EA2"/>
    <w:multiLevelType w:val="multilevel"/>
    <w:tmpl w:val="682F2EA2"/>
    <w:lvl w:ilvl="0" w:tentative="0">
      <w:start w:val="1"/>
      <w:numFmt w:val="chineseCountingThousand"/>
      <w:pStyle w:val="229"/>
      <w:lvlText w:val="第%1章"/>
      <w:lvlJc w:val="left"/>
      <w:pPr>
        <w:tabs>
          <w:tab w:val="left" w:pos="340"/>
        </w:tabs>
        <w:ind w:left="0" w:firstLine="0"/>
      </w:pPr>
      <w:rPr>
        <w:rFonts w:hint="eastAsia"/>
      </w:rPr>
    </w:lvl>
    <w:lvl w:ilvl="1" w:tentative="0">
      <w:start w:val="1"/>
      <w:numFmt w:val="decimal"/>
      <w:pStyle w:val="230"/>
      <w:isLgl/>
      <w:suff w:val="space"/>
      <w:lvlText w:val="%1.%2"/>
      <w:lvlJc w:val="left"/>
      <w:pPr>
        <w:ind w:left="0" w:firstLine="0"/>
      </w:pPr>
      <w:rPr>
        <w:rFonts w:hint="eastAsia"/>
      </w:rPr>
    </w:lvl>
    <w:lvl w:ilvl="2" w:tentative="0">
      <w:start w:val="1"/>
      <w:numFmt w:val="decimal"/>
      <w:pStyle w:val="232"/>
      <w:isLgl/>
      <w:suff w:val="space"/>
      <w:lvlText w:val="%1.%2.%3"/>
      <w:lvlJc w:val="left"/>
      <w:pPr>
        <w:ind w:left="0" w:firstLine="0"/>
      </w:pPr>
      <w:rPr>
        <w:rFonts w:hint="eastAsia"/>
      </w:rPr>
    </w:lvl>
    <w:lvl w:ilvl="3" w:tentative="0">
      <w:start w:val="1"/>
      <w:numFmt w:val="decimal"/>
      <w:pStyle w:val="234"/>
      <w:isLgl/>
      <w:suff w:val="space"/>
      <w:lvlText w:val="%1.%2.%3.%4"/>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4" w:tentative="0">
      <w:start w:val="1"/>
      <w:numFmt w:val="decimal"/>
      <w:pStyle w:val="236"/>
      <w:isLgl/>
      <w:suff w:val="space"/>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6">
    <w:nsid w:val="6AFA4364"/>
    <w:multiLevelType w:val="multilevel"/>
    <w:tmpl w:val="6AFA4364"/>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D314D68"/>
    <w:multiLevelType w:val="multilevel"/>
    <w:tmpl w:val="6D314D68"/>
    <w:lvl w:ilvl="0" w:tentative="0">
      <w:start w:val="1"/>
      <w:numFmt w:val="decimal"/>
      <w:pStyle w:val="254"/>
      <w:lvlText w:val="%1)"/>
      <w:lvlJc w:val="left"/>
      <w:pPr>
        <w:ind w:left="980" w:hanging="420"/>
      </w:pPr>
      <w:rPr>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8">
    <w:nsid w:val="6F6A5181"/>
    <w:multiLevelType w:val="singleLevel"/>
    <w:tmpl w:val="6F6A5181"/>
    <w:lvl w:ilvl="0" w:tentative="0">
      <w:start w:val="2"/>
      <w:numFmt w:val="chineseCounting"/>
      <w:suff w:val="nothing"/>
      <w:lvlText w:val="（%1）"/>
      <w:lvlJc w:val="left"/>
      <w:rPr>
        <w:rFonts w:hint="eastAsia"/>
      </w:rPr>
    </w:lvl>
  </w:abstractNum>
  <w:abstractNum w:abstractNumId="29">
    <w:nsid w:val="734F656C"/>
    <w:multiLevelType w:val="multilevel"/>
    <w:tmpl w:val="734F656C"/>
    <w:lvl w:ilvl="0" w:tentative="0">
      <w:start w:val="1"/>
      <w:numFmt w:val="decimal"/>
      <w:suff w:val="nothing"/>
      <w:lvlText w:val="%1"/>
      <w:lvlJc w:val="left"/>
      <w:pPr>
        <w:ind w:left="846"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7B0E2BCA"/>
    <w:multiLevelType w:val="multilevel"/>
    <w:tmpl w:val="7B0E2BCA"/>
    <w:lvl w:ilvl="0" w:tentative="0">
      <w:start w:val="1"/>
      <w:numFmt w:val="bullet"/>
      <w:pStyle w:val="12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1">
    <w:nsid w:val="7DD51E1B"/>
    <w:multiLevelType w:val="multilevel"/>
    <w:tmpl w:val="7DD51E1B"/>
    <w:lvl w:ilvl="0" w:tentative="0">
      <w:start w:val="1"/>
      <w:numFmt w:val="decimal"/>
      <w:pStyle w:val="219"/>
      <w:suff w:val="space"/>
      <w:lvlText w:val="%1"/>
      <w:lvlJc w:val="left"/>
      <w:pPr>
        <w:ind w:left="0" w:firstLine="0"/>
      </w:pPr>
      <w:rPr>
        <w:rFonts w:hint="eastAsia"/>
      </w:rPr>
    </w:lvl>
    <w:lvl w:ilvl="1" w:tentative="0">
      <w:start w:val="1"/>
      <w:numFmt w:val="decimal"/>
      <w:pStyle w:val="221"/>
      <w:suff w:val="space"/>
      <w:lvlText w:val="%1.%2"/>
      <w:lvlJc w:val="left"/>
      <w:pPr>
        <w:ind w:left="0" w:firstLine="0"/>
      </w:pPr>
      <w:rPr>
        <w:rFonts w:hint="eastAsia"/>
      </w:rPr>
    </w:lvl>
    <w:lvl w:ilvl="2" w:tentative="0">
      <w:start w:val="1"/>
      <w:numFmt w:val="decimal"/>
      <w:pStyle w:val="223"/>
      <w:suff w:val="space"/>
      <w:lvlText w:val="%1.%2.%3"/>
      <w:lvlJc w:val="left"/>
      <w:pPr>
        <w:ind w:left="0" w:firstLine="0"/>
      </w:pPr>
      <w:rPr>
        <w:rFonts w:hint="eastAsia"/>
      </w:rPr>
    </w:lvl>
    <w:lvl w:ilvl="3" w:tentative="0">
      <w:start w:val="1"/>
      <w:numFmt w:val="decimal"/>
      <w:pStyle w:val="225"/>
      <w:suff w:val="space"/>
      <w:lvlText w:val="%1.%2.%3.%4"/>
      <w:lvlJc w:val="left"/>
      <w:pPr>
        <w:ind w:left="0" w:firstLine="0"/>
      </w:pPr>
      <w:rPr>
        <w:rFonts w:hint="eastAsia"/>
      </w:rPr>
    </w:lvl>
    <w:lvl w:ilvl="4" w:tentative="0">
      <w:start w:val="1"/>
      <w:numFmt w:val="decimal"/>
      <w:pStyle w:val="227"/>
      <w:suff w:val="space"/>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18"/>
  </w:num>
  <w:num w:numId="2">
    <w:abstractNumId w:val="15"/>
  </w:num>
  <w:num w:numId="3">
    <w:abstractNumId w:val="5"/>
  </w:num>
  <w:num w:numId="4">
    <w:abstractNumId w:val="6"/>
  </w:num>
  <w:num w:numId="5">
    <w:abstractNumId w:val="2"/>
  </w:num>
  <w:num w:numId="6">
    <w:abstractNumId w:val="11"/>
  </w:num>
  <w:num w:numId="7">
    <w:abstractNumId w:val="0"/>
  </w:num>
  <w:num w:numId="8">
    <w:abstractNumId w:val="30"/>
  </w:num>
  <w:num w:numId="9">
    <w:abstractNumId w:val="3"/>
  </w:num>
  <w:num w:numId="10">
    <w:abstractNumId w:val="20"/>
  </w:num>
  <w:num w:numId="11">
    <w:abstractNumId w:val="23"/>
  </w:num>
  <w:num w:numId="12">
    <w:abstractNumId w:val="1"/>
  </w:num>
  <w:num w:numId="13">
    <w:abstractNumId w:val="31"/>
  </w:num>
  <w:num w:numId="14">
    <w:abstractNumId w:val="25"/>
  </w:num>
  <w:num w:numId="15">
    <w:abstractNumId w:val="14"/>
  </w:num>
  <w:num w:numId="16">
    <w:abstractNumId w:val="21"/>
  </w:num>
  <w:num w:numId="17">
    <w:abstractNumId w:val="27"/>
  </w:num>
  <w:num w:numId="18">
    <w:abstractNumId w:val="16"/>
  </w:num>
  <w:num w:numId="19">
    <w:abstractNumId w:val="12"/>
  </w:num>
  <w:num w:numId="20">
    <w:abstractNumId w:val="29"/>
  </w:num>
  <w:num w:numId="21">
    <w:abstractNumId w:val="24"/>
  </w:num>
  <w:num w:numId="22">
    <w:abstractNumId w:val="7"/>
  </w:num>
  <w:num w:numId="23">
    <w:abstractNumId w:val="19"/>
  </w:num>
  <w:num w:numId="24">
    <w:abstractNumId w:val="8"/>
  </w:num>
  <w:num w:numId="25">
    <w:abstractNumId w:val="26"/>
  </w:num>
  <w:num w:numId="26">
    <w:abstractNumId w:val="22"/>
  </w:num>
  <w:num w:numId="27">
    <w:abstractNumId w:val="13"/>
  </w:num>
  <w:num w:numId="28">
    <w:abstractNumId w:val="28"/>
  </w:num>
  <w:num w:numId="29">
    <w:abstractNumId w:val="4"/>
  </w:num>
  <w:num w:numId="30">
    <w:abstractNumId w:val="9"/>
  </w:num>
  <w:num w:numId="31">
    <w:abstractNumId w:val="10"/>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C5683"/>
    <w:rsid w:val="0000037F"/>
    <w:rsid w:val="000006B9"/>
    <w:rsid w:val="00000941"/>
    <w:rsid w:val="00000AFB"/>
    <w:rsid w:val="00000DA4"/>
    <w:rsid w:val="0000145B"/>
    <w:rsid w:val="000014DA"/>
    <w:rsid w:val="0000159C"/>
    <w:rsid w:val="000015FD"/>
    <w:rsid w:val="00001AEA"/>
    <w:rsid w:val="00001BB5"/>
    <w:rsid w:val="00001CE0"/>
    <w:rsid w:val="00002C5F"/>
    <w:rsid w:val="00002F9F"/>
    <w:rsid w:val="0000306D"/>
    <w:rsid w:val="00003085"/>
    <w:rsid w:val="000036F7"/>
    <w:rsid w:val="000038EB"/>
    <w:rsid w:val="00003CC2"/>
    <w:rsid w:val="00004161"/>
    <w:rsid w:val="00004251"/>
    <w:rsid w:val="00004FCD"/>
    <w:rsid w:val="00005215"/>
    <w:rsid w:val="00005A10"/>
    <w:rsid w:val="00005AB7"/>
    <w:rsid w:val="00005AFC"/>
    <w:rsid w:val="00006D66"/>
    <w:rsid w:val="00007964"/>
    <w:rsid w:val="00010102"/>
    <w:rsid w:val="00010C00"/>
    <w:rsid w:val="000110A3"/>
    <w:rsid w:val="00011118"/>
    <w:rsid w:val="0001175B"/>
    <w:rsid w:val="00011A0C"/>
    <w:rsid w:val="000123F9"/>
    <w:rsid w:val="000124E2"/>
    <w:rsid w:val="000125F8"/>
    <w:rsid w:val="0001275D"/>
    <w:rsid w:val="00012C0A"/>
    <w:rsid w:val="00013948"/>
    <w:rsid w:val="0001457B"/>
    <w:rsid w:val="00014E10"/>
    <w:rsid w:val="00014F58"/>
    <w:rsid w:val="000151D5"/>
    <w:rsid w:val="000154D8"/>
    <w:rsid w:val="00015968"/>
    <w:rsid w:val="00015E98"/>
    <w:rsid w:val="00015F4B"/>
    <w:rsid w:val="0001610E"/>
    <w:rsid w:val="0001634A"/>
    <w:rsid w:val="00016BDA"/>
    <w:rsid w:val="00016D58"/>
    <w:rsid w:val="00017112"/>
    <w:rsid w:val="0001716B"/>
    <w:rsid w:val="0001792D"/>
    <w:rsid w:val="0001794C"/>
    <w:rsid w:val="00017C15"/>
    <w:rsid w:val="00020321"/>
    <w:rsid w:val="00020B36"/>
    <w:rsid w:val="000211EA"/>
    <w:rsid w:val="0002152F"/>
    <w:rsid w:val="000218B0"/>
    <w:rsid w:val="00022196"/>
    <w:rsid w:val="000223E5"/>
    <w:rsid w:val="00022B27"/>
    <w:rsid w:val="00022E19"/>
    <w:rsid w:val="000234B2"/>
    <w:rsid w:val="0002355C"/>
    <w:rsid w:val="0002382E"/>
    <w:rsid w:val="00023B0F"/>
    <w:rsid w:val="0002401D"/>
    <w:rsid w:val="000242CF"/>
    <w:rsid w:val="000244E1"/>
    <w:rsid w:val="000245FE"/>
    <w:rsid w:val="000252D1"/>
    <w:rsid w:val="00025673"/>
    <w:rsid w:val="00025E39"/>
    <w:rsid w:val="00026596"/>
    <w:rsid w:val="00026A09"/>
    <w:rsid w:val="0003072D"/>
    <w:rsid w:val="000307E2"/>
    <w:rsid w:val="0003148B"/>
    <w:rsid w:val="0003163D"/>
    <w:rsid w:val="00031700"/>
    <w:rsid w:val="00031E25"/>
    <w:rsid w:val="00031F18"/>
    <w:rsid w:val="00031F6E"/>
    <w:rsid w:val="00032090"/>
    <w:rsid w:val="000325A7"/>
    <w:rsid w:val="0003373D"/>
    <w:rsid w:val="00033B7B"/>
    <w:rsid w:val="000343AB"/>
    <w:rsid w:val="00034B41"/>
    <w:rsid w:val="0003503F"/>
    <w:rsid w:val="00035983"/>
    <w:rsid w:val="000359C1"/>
    <w:rsid w:val="0003617B"/>
    <w:rsid w:val="000372DD"/>
    <w:rsid w:val="000377F6"/>
    <w:rsid w:val="00037A3B"/>
    <w:rsid w:val="00037F52"/>
    <w:rsid w:val="00037F54"/>
    <w:rsid w:val="0004000A"/>
    <w:rsid w:val="0004001C"/>
    <w:rsid w:val="000401D1"/>
    <w:rsid w:val="00040D3C"/>
    <w:rsid w:val="0004120F"/>
    <w:rsid w:val="00041B72"/>
    <w:rsid w:val="00041B9A"/>
    <w:rsid w:val="00041E1A"/>
    <w:rsid w:val="00042632"/>
    <w:rsid w:val="0004282A"/>
    <w:rsid w:val="00043131"/>
    <w:rsid w:val="000436E0"/>
    <w:rsid w:val="00043A7B"/>
    <w:rsid w:val="00043A89"/>
    <w:rsid w:val="00044204"/>
    <w:rsid w:val="00044591"/>
    <w:rsid w:val="00044926"/>
    <w:rsid w:val="00044E2A"/>
    <w:rsid w:val="00045157"/>
    <w:rsid w:val="00045720"/>
    <w:rsid w:val="00045739"/>
    <w:rsid w:val="00045AD6"/>
    <w:rsid w:val="00045D2B"/>
    <w:rsid w:val="0004692C"/>
    <w:rsid w:val="000474C8"/>
    <w:rsid w:val="000500A8"/>
    <w:rsid w:val="000510B6"/>
    <w:rsid w:val="00051C09"/>
    <w:rsid w:val="00051D3E"/>
    <w:rsid w:val="00051F3F"/>
    <w:rsid w:val="000523BE"/>
    <w:rsid w:val="00052BC1"/>
    <w:rsid w:val="00053715"/>
    <w:rsid w:val="0005381C"/>
    <w:rsid w:val="000538BE"/>
    <w:rsid w:val="00053A25"/>
    <w:rsid w:val="00055014"/>
    <w:rsid w:val="000557BC"/>
    <w:rsid w:val="0005582B"/>
    <w:rsid w:val="00055892"/>
    <w:rsid w:val="00055C4B"/>
    <w:rsid w:val="000566D1"/>
    <w:rsid w:val="0005677F"/>
    <w:rsid w:val="00056E39"/>
    <w:rsid w:val="00057332"/>
    <w:rsid w:val="000601F6"/>
    <w:rsid w:val="00060279"/>
    <w:rsid w:val="000602D1"/>
    <w:rsid w:val="00060346"/>
    <w:rsid w:val="00060828"/>
    <w:rsid w:val="00060E5A"/>
    <w:rsid w:val="0006171E"/>
    <w:rsid w:val="00061BBA"/>
    <w:rsid w:val="00061DCB"/>
    <w:rsid w:val="000625CA"/>
    <w:rsid w:val="0006267A"/>
    <w:rsid w:val="00062882"/>
    <w:rsid w:val="00062BA0"/>
    <w:rsid w:val="00062C42"/>
    <w:rsid w:val="00062FE2"/>
    <w:rsid w:val="00063131"/>
    <w:rsid w:val="000638A2"/>
    <w:rsid w:val="000638E3"/>
    <w:rsid w:val="00063CD3"/>
    <w:rsid w:val="00063F40"/>
    <w:rsid w:val="00063FD9"/>
    <w:rsid w:val="0006640B"/>
    <w:rsid w:val="0006670C"/>
    <w:rsid w:val="000668A8"/>
    <w:rsid w:val="00067A02"/>
    <w:rsid w:val="00067B7F"/>
    <w:rsid w:val="00067D5E"/>
    <w:rsid w:val="00070409"/>
    <w:rsid w:val="0007051D"/>
    <w:rsid w:val="00070736"/>
    <w:rsid w:val="000709E4"/>
    <w:rsid w:val="00071878"/>
    <w:rsid w:val="00073180"/>
    <w:rsid w:val="00073340"/>
    <w:rsid w:val="000738F2"/>
    <w:rsid w:val="0007455E"/>
    <w:rsid w:val="000745AD"/>
    <w:rsid w:val="00074662"/>
    <w:rsid w:val="00074870"/>
    <w:rsid w:val="000749AF"/>
    <w:rsid w:val="00075086"/>
    <w:rsid w:val="000750DC"/>
    <w:rsid w:val="0007542D"/>
    <w:rsid w:val="00075C4A"/>
    <w:rsid w:val="0007615C"/>
    <w:rsid w:val="00077188"/>
    <w:rsid w:val="000779E7"/>
    <w:rsid w:val="000804FA"/>
    <w:rsid w:val="000809EC"/>
    <w:rsid w:val="0008103C"/>
    <w:rsid w:val="000811DA"/>
    <w:rsid w:val="000814D3"/>
    <w:rsid w:val="00081A6E"/>
    <w:rsid w:val="00082667"/>
    <w:rsid w:val="00083AAF"/>
    <w:rsid w:val="00083DC6"/>
    <w:rsid w:val="000847ED"/>
    <w:rsid w:val="00085023"/>
    <w:rsid w:val="00085592"/>
    <w:rsid w:val="00085624"/>
    <w:rsid w:val="000862AC"/>
    <w:rsid w:val="000869D8"/>
    <w:rsid w:val="00086C4F"/>
    <w:rsid w:val="0008702E"/>
    <w:rsid w:val="00087A08"/>
    <w:rsid w:val="00091179"/>
    <w:rsid w:val="0009141A"/>
    <w:rsid w:val="000914AE"/>
    <w:rsid w:val="000924E5"/>
    <w:rsid w:val="00092590"/>
    <w:rsid w:val="0009269A"/>
    <w:rsid w:val="000927D9"/>
    <w:rsid w:val="00092B27"/>
    <w:rsid w:val="00092CD0"/>
    <w:rsid w:val="00092FC7"/>
    <w:rsid w:val="00093003"/>
    <w:rsid w:val="00094AA4"/>
    <w:rsid w:val="00094EB7"/>
    <w:rsid w:val="000950A7"/>
    <w:rsid w:val="00095480"/>
    <w:rsid w:val="000954D5"/>
    <w:rsid w:val="00095778"/>
    <w:rsid w:val="0009618D"/>
    <w:rsid w:val="000961F2"/>
    <w:rsid w:val="00096AAC"/>
    <w:rsid w:val="00096DC4"/>
    <w:rsid w:val="0009709B"/>
    <w:rsid w:val="0009778F"/>
    <w:rsid w:val="000A0441"/>
    <w:rsid w:val="000A0468"/>
    <w:rsid w:val="000A05B3"/>
    <w:rsid w:val="000A05DC"/>
    <w:rsid w:val="000A0B8E"/>
    <w:rsid w:val="000A0C3E"/>
    <w:rsid w:val="000A0EF0"/>
    <w:rsid w:val="000A21E9"/>
    <w:rsid w:val="000A28E2"/>
    <w:rsid w:val="000A2927"/>
    <w:rsid w:val="000A2C6D"/>
    <w:rsid w:val="000A48A7"/>
    <w:rsid w:val="000A4FD0"/>
    <w:rsid w:val="000A599B"/>
    <w:rsid w:val="000A6EE8"/>
    <w:rsid w:val="000A6F39"/>
    <w:rsid w:val="000A709B"/>
    <w:rsid w:val="000A7241"/>
    <w:rsid w:val="000A7E36"/>
    <w:rsid w:val="000B02C2"/>
    <w:rsid w:val="000B05E2"/>
    <w:rsid w:val="000B10BA"/>
    <w:rsid w:val="000B11E0"/>
    <w:rsid w:val="000B15A6"/>
    <w:rsid w:val="000B19A9"/>
    <w:rsid w:val="000B2568"/>
    <w:rsid w:val="000B2BB0"/>
    <w:rsid w:val="000B381C"/>
    <w:rsid w:val="000B428A"/>
    <w:rsid w:val="000B44C8"/>
    <w:rsid w:val="000B4591"/>
    <w:rsid w:val="000B46FF"/>
    <w:rsid w:val="000B4BCB"/>
    <w:rsid w:val="000B5447"/>
    <w:rsid w:val="000B56CC"/>
    <w:rsid w:val="000B6961"/>
    <w:rsid w:val="000B69EB"/>
    <w:rsid w:val="000B6B59"/>
    <w:rsid w:val="000B6ECA"/>
    <w:rsid w:val="000B71D2"/>
    <w:rsid w:val="000B7228"/>
    <w:rsid w:val="000B73D3"/>
    <w:rsid w:val="000B7966"/>
    <w:rsid w:val="000B7AF7"/>
    <w:rsid w:val="000B7D06"/>
    <w:rsid w:val="000C0173"/>
    <w:rsid w:val="000C1C71"/>
    <w:rsid w:val="000C1EE4"/>
    <w:rsid w:val="000C2446"/>
    <w:rsid w:val="000C2FC5"/>
    <w:rsid w:val="000C3360"/>
    <w:rsid w:val="000C3C43"/>
    <w:rsid w:val="000C3D9C"/>
    <w:rsid w:val="000C427C"/>
    <w:rsid w:val="000C4425"/>
    <w:rsid w:val="000C52D7"/>
    <w:rsid w:val="000C580F"/>
    <w:rsid w:val="000C5F59"/>
    <w:rsid w:val="000C61EA"/>
    <w:rsid w:val="000C6975"/>
    <w:rsid w:val="000C6BA7"/>
    <w:rsid w:val="000C70F7"/>
    <w:rsid w:val="000C7B04"/>
    <w:rsid w:val="000D0132"/>
    <w:rsid w:val="000D1275"/>
    <w:rsid w:val="000D12AA"/>
    <w:rsid w:val="000D1A7D"/>
    <w:rsid w:val="000D2309"/>
    <w:rsid w:val="000D2390"/>
    <w:rsid w:val="000D23AD"/>
    <w:rsid w:val="000D2C15"/>
    <w:rsid w:val="000D350D"/>
    <w:rsid w:val="000D35B7"/>
    <w:rsid w:val="000D38F9"/>
    <w:rsid w:val="000D394A"/>
    <w:rsid w:val="000D40F0"/>
    <w:rsid w:val="000D495E"/>
    <w:rsid w:val="000D4CFC"/>
    <w:rsid w:val="000D4E09"/>
    <w:rsid w:val="000D53B3"/>
    <w:rsid w:val="000D5864"/>
    <w:rsid w:val="000D58D2"/>
    <w:rsid w:val="000D5DD9"/>
    <w:rsid w:val="000D6AF1"/>
    <w:rsid w:val="000D6B42"/>
    <w:rsid w:val="000D6DA4"/>
    <w:rsid w:val="000D7E27"/>
    <w:rsid w:val="000E0040"/>
    <w:rsid w:val="000E01F1"/>
    <w:rsid w:val="000E0227"/>
    <w:rsid w:val="000E065D"/>
    <w:rsid w:val="000E0C54"/>
    <w:rsid w:val="000E121A"/>
    <w:rsid w:val="000E121E"/>
    <w:rsid w:val="000E14A4"/>
    <w:rsid w:val="000E14C6"/>
    <w:rsid w:val="000E166A"/>
    <w:rsid w:val="000E1C23"/>
    <w:rsid w:val="000E2B5B"/>
    <w:rsid w:val="000E2F34"/>
    <w:rsid w:val="000E301B"/>
    <w:rsid w:val="000E3EAF"/>
    <w:rsid w:val="000E4DE8"/>
    <w:rsid w:val="000E60B2"/>
    <w:rsid w:val="000E682C"/>
    <w:rsid w:val="000E69FE"/>
    <w:rsid w:val="000E6C9A"/>
    <w:rsid w:val="000F05A8"/>
    <w:rsid w:val="000F0E4C"/>
    <w:rsid w:val="000F0F13"/>
    <w:rsid w:val="000F15AE"/>
    <w:rsid w:val="000F179C"/>
    <w:rsid w:val="000F1A83"/>
    <w:rsid w:val="000F1FA3"/>
    <w:rsid w:val="000F2065"/>
    <w:rsid w:val="000F2359"/>
    <w:rsid w:val="000F2A88"/>
    <w:rsid w:val="000F2D1B"/>
    <w:rsid w:val="000F353A"/>
    <w:rsid w:val="000F3ADB"/>
    <w:rsid w:val="000F3E69"/>
    <w:rsid w:val="000F3FA1"/>
    <w:rsid w:val="000F41E9"/>
    <w:rsid w:val="000F4752"/>
    <w:rsid w:val="000F480C"/>
    <w:rsid w:val="000F48D9"/>
    <w:rsid w:val="000F4B7E"/>
    <w:rsid w:val="000F4E82"/>
    <w:rsid w:val="000F51DA"/>
    <w:rsid w:val="000F5577"/>
    <w:rsid w:val="000F565B"/>
    <w:rsid w:val="000F5789"/>
    <w:rsid w:val="000F57BF"/>
    <w:rsid w:val="000F5842"/>
    <w:rsid w:val="000F5F3F"/>
    <w:rsid w:val="000F67AA"/>
    <w:rsid w:val="000F7A66"/>
    <w:rsid w:val="00100583"/>
    <w:rsid w:val="001005AD"/>
    <w:rsid w:val="001018E7"/>
    <w:rsid w:val="001019D8"/>
    <w:rsid w:val="00101C3F"/>
    <w:rsid w:val="00101DD0"/>
    <w:rsid w:val="00102555"/>
    <w:rsid w:val="00102D63"/>
    <w:rsid w:val="00102F06"/>
    <w:rsid w:val="00103DFC"/>
    <w:rsid w:val="001040E1"/>
    <w:rsid w:val="001047E8"/>
    <w:rsid w:val="00104B2A"/>
    <w:rsid w:val="00104E51"/>
    <w:rsid w:val="00104F15"/>
    <w:rsid w:val="001051A9"/>
    <w:rsid w:val="0010553F"/>
    <w:rsid w:val="00105BA0"/>
    <w:rsid w:val="00105C7A"/>
    <w:rsid w:val="001061D3"/>
    <w:rsid w:val="00106748"/>
    <w:rsid w:val="001067A8"/>
    <w:rsid w:val="0010688F"/>
    <w:rsid w:val="00106A04"/>
    <w:rsid w:val="00106AF7"/>
    <w:rsid w:val="001075B1"/>
    <w:rsid w:val="00107AB7"/>
    <w:rsid w:val="00107D54"/>
    <w:rsid w:val="00107E28"/>
    <w:rsid w:val="00110079"/>
    <w:rsid w:val="00110173"/>
    <w:rsid w:val="00110A90"/>
    <w:rsid w:val="001111F7"/>
    <w:rsid w:val="00111A14"/>
    <w:rsid w:val="001138DA"/>
    <w:rsid w:val="00114CB1"/>
    <w:rsid w:val="00115399"/>
    <w:rsid w:val="00115711"/>
    <w:rsid w:val="0011585F"/>
    <w:rsid w:val="00115A55"/>
    <w:rsid w:val="00115AD7"/>
    <w:rsid w:val="00115B7D"/>
    <w:rsid w:val="00116224"/>
    <w:rsid w:val="001165DD"/>
    <w:rsid w:val="00116971"/>
    <w:rsid w:val="001172D4"/>
    <w:rsid w:val="00117316"/>
    <w:rsid w:val="00117A19"/>
    <w:rsid w:val="001208AF"/>
    <w:rsid w:val="001212EF"/>
    <w:rsid w:val="001215C5"/>
    <w:rsid w:val="001217DC"/>
    <w:rsid w:val="0012203F"/>
    <w:rsid w:val="00122873"/>
    <w:rsid w:val="00122EAA"/>
    <w:rsid w:val="00123243"/>
    <w:rsid w:val="00123CC6"/>
    <w:rsid w:val="001241FC"/>
    <w:rsid w:val="0012517B"/>
    <w:rsid w:val="00125202"/>
    <w:rsid w:val="00125C68"/>
    <w:rsid w:val="00125C8A"/>
    <w:rsid w:val="00125E74"/>
    <w:rsid w:val="00126066"/>
    <w:rsid w:val="00126080"/>
    <w:rsid w:val="001264D8"/>
    <w:rsid w:val="00126953"/>
    <w:rsid w:val="00126AD5"/>
    <w:rsid w:val="00126B0A"/>
    <w:rsid w:val="00126C43"/>
    <w:rsid w:val="00126EEB"/>
    <w:rsid w:val="001275EA"/>
    <w:rsid w:val="00127777"/>
    <w:rsid w:val="001305BF"/>
    <w:rsid w:val="001307D9"/>
    <w:rsid w:val="00130827"/>
    <w:rsid w:val="001308A2"/>
    <w:rsid w:val="00130C56"/>
    <w:rsid w:val="00131668"/>
    <w:rsid w:val="001319AB"/>
    <w:rsid w:val="001321FC"/>
    <w:rsid w:val="001325A9"/>
    <w:rsid w:val="00132638"/>
    <w:rsid w:val="0013288F"/>
    <w:rsid w:val="00132F55"/>
    <w:rsid w:val="00132FAF"/>
    <w:rsid w:val="001330B3"/>
    <w:rsid w:val="001333A3"/>
    <w:rsid w:val="00133AF5"/>
    <w:rsid w:val="00133D2B"/>
    <w:rsid w:val="00133F4C"/>
    <w:rsid w:val="001342FB"/>
    <w:rsid w:val="00134374"/>
    <w:rsid w:val="001343C8"/>
    <w:rsid w:val="00134AF9"/>
    <w:rsid w:val="00134B47"/>
    <w:rsid w:val="00134B53"/>
    <w:rsid w:val="00134C5F"/>
    <w:rsid w:val="00134D6D"/>
    <w:rsid w:val="00135640"/>
    <w:rsid w:val="00136467"/>
    <w:rsid w:val="00136543"/>
    <w:rsid w:val="001366F0"/>
    <w:rsid w:val="00136704"/>
    <w:rsid w:val="0014046D"/>
    <w:rsid w:val="00140D6F"/>
    <w:rsid w:val="00142838"/>
    <w:rsid w:val="00143282"/>
    <w:rsid w:val="00143430"/>
    <w:rsid w:val="00143653"/>
    <w:rsid w:val="0014396D"/>
    <w:rsid w:val="00143B3A"/>
    <w:rsid w:val="00144298"/>
    <w:rsid w:val="001444E2"/>
    <w:rsid w:val="001446E6"/>
    <w:rsid w:val="00144959"/>
    <w:rsid w:val="00144B1C"/>
    <w:rsid w:val="0014521C"/>
    <w:rsid w:val="0014539A"/>
    <w:rsid w:val="0014549B"/>
    <w:rsid w:val="0014599D"/>
    <w:rsid w:val="00146A71"/>
    <w:rsid w:val="00146AE7"/>
    <w:rsid w:val="00147350"/>
    <w:rsid w:val="00147AE8"/>
    <w:rsid w:val="00147B3F"/>
    <w:rsid w:val="00150829"/>
    <w:rsid w:val="001520F3"/>
    <w:rsid w:val="00152CBF"/>
    <w:rsid w:val="001530C6"/>
    <w:rsid w:val="001530CC"/>
    <w:rsid w:val="001530FC"/>
    <w:rsid w:val="00153212"/>
    <w:rsid w:val="00153237"/>
    <w:rsid w:val="00153387"/>
    <w:rsid w:val="0015359C"/>
    <w:rsid w:val="0015366C"/>
    <w:rsid w:val="001540C3"/>
    <w:rsid w:val="00154156"/>
    <w:rsid w:val="00154BE4"/>
    <w:rsid w:val="00154CC9"/>
    <w:rsid w:val="001559C0"/>
    <w:rsid w:val="00155AB6"/>
    <w:rsid w:val="001560F0"/>
    <w:rsid w:val="00156987"/>
    <w:rsid w:val="00156D80"/>
    <w:rsid w:val="00156DC1"/>
    <w:rsid w:val="00157E23"/>
    <w:rsid w:val="00157FC3"/>
    <w:rsid w:val="0016028E"/>
    <w:rsid w:val="00160854"/>
    <w:rsid w:val="001610A3"/>
    <w:rsid w:val="00161C84"/>
    <w:rsid w:val="001623F2"/>
    <w:rsid w:val="00162651"/>
    <w:rsid w:val="001626BD"/>
    <w:rsid w:val="00162D35"/>
    <w:rsid w:val="001635AE"/>
    <w:rsid w:val="001635DB"/>
    <w:rsid w:val="0016379F"/>
    <w:rsid w:val="00163812"/>
    <w:rsid w:val="00163865"/>
    <w:rsid w:val="0016482C"/>
    <w:rsid w:val="0016483A"/>
    <w:rsid w:val="00164A38"/>
    <w:rsid w:val="00164E23"/>
    <w:rsid w:val="00164FD8"/>
    <w:rsid w:val="001650F8"/>
    <w:rsid w:val="00165222"/>
    <w:rsid w:val="001652FD"/>
    <w:rsid w:val="0016595F"/>
    <w:rsid w:val="00165A06"/>
    <w:rsid w:val="00166372"/>
    <w:rsid w:val="001663C2"/>
    <w:rsid w:val="00166A2C"/>
    <w:rsid w:val="001675AC"/>
    <w:rsid w:val="00167879"/>
    <w:rsid w:val="001678AE"/>
    <w:rsid w:val="00167E9C"/>
    <w:rsid w:val="00170BD9"/>
    <w:rsid w:val="00170E88"/>
    <w:rsid w:val="001715D2"/>
    <w:rsid w:val="0017191D"/>
    <w:rsid w:val="00171B3F"/>
    <w:rsid w:val="00171E87"/>
    <w:rsid w:val="00171FD5"/>
    <w:rsid w:val="00172369"/>
    <w:rsid w:val="00172D74"/>
    <w:rsid w:val="0017320F"/>
    <w:rsid w:val="00173374"/>
    <w:rsid w:val="0017350C"/>
    <w:rsid w:val="00173873"/>
    <w:rsid w:val="00174FBF"/>
    <w:rsid w:val="0017584B"/>
    <w:rsid w:val="00175E0B"/>
    <w:rsid w:val="00175E43"/>
    <w:rsid w:val="00176286"/>
    <w:rsid w:val="00176BC7"/>
    <w:rsid w:val="00177167"/>
    <w:rsid w:val="00180F00"/>
    <w:rsid w:val="001813D7"/>
    <w:rsid w:val="00181EFF"/>
    <w:rsid w:val="0018205E"/>
    <w:rsid w:val="00182A05"/>
    <w:rsid w:val="00182A09"/>
    <w:rsid w:val="001834DC"/>
    <w:rsid w:val="0018360E"/>
    <w:rsid w:val="00183959"/>
    <w:rsid w:val="00183C79"/>
    <w:rsid w:val="00183C8B"/>
    <w:rsid w:val="00183E75"/>
    <w:rsid w:val="00184465"/>
    <w:rsid w:val="001845CF"/>
    <w:rsid w:val="00184BF0"/>
    <w:rsid w:val="00185508"/>
    <w:rsid w:val="001857BB"/>
    <w:rsid w:val="001865BB"/>
    <w:rsid w:val="00187339"/>
    <w:rsid w:val="00187518"/>
    <w:rsid w:val="00187941"/>
    <w:rsid w:val="00190552"/>
    <w:rsid w:val="00190FB6"/>
    <w:rsid w:val="001911C7"/>
    <w:rsid w:val="001912E3"/>
    <w:rsid w:val="001913D0"/>
    <w:rsid w:val="00191B7F"/>
    <w:rsid w:val="001933A1"/>
    <w:rsid w:val="00193911"/>
    <w:rsid w:val="00194444"/>
    <w:rsid w:val="00194FD4"/>
    <w:rsid w:val="00195092"/>
    <w:rsid w:val="001952F2"/>
    <w:rsid w:val="0019560F"/>
    <w:rsid w:val="00195AC6"/>
    <w:rsid w:val="00195BE2"/>
    <w:rsid w:val="00195DED"/>
    <w:rsid w:val="00196B4E"/>
    <w:rsid w:val="00196E75"/>
    <w:rsid w:val="00197D73"/>
    <w:rsid w:val="00197F24"/>
    <w:rsid w:val="001A027A"/>
    <w:rsid w:val="001A0C05"/>
    <w:rsid w:val="001A0D2C"/>
    <w:rsid w:val="001A2025"/>
    <w:rsid w:val="001A2282"/>
    <w:rsid w:val="001A3425"/>
    <w:rsid w:val="001A35A9"/>
    <w:rsid w:val="001A37A1"/>
    <w:rsid w:val="001A398D"/>
    <w:rsid w:val="001A3AE8"/>
    <w:rsid w:val="001A41EA"/>
    <w:rsid w:val="001A422B"/>
    <w:rsid w:val="001A440A"/>
    <w:rsid w:val="001A4441"/>
    <w:rsid w:val="001A4A55"/>
    <w:rsid w:val="001A4BB5"/>
    <w:rsid w:val="001A4F44"/>
    <w:rsid w:val="001A53DF"/>
    <w:rsid w:val="001A54DC"/>
    <w:rsid w:val="001A57CF"/>
    <w:rsid w:val="001A5D61"/>
    <w:rsid w:val="001A6A4F"/>
    <w:rsid w:val="001A76B7"/>
    <w:rsid w:val="001B0C8A"/>
    <w:rsid w:val="001B112B"/>
    <w:rsid w:val="001B1339"/>
    <w:rsid w:val="001B197E"/>
    <w:rsid w:val="001B1FC5"/>
    <w:rsid w:val="001B26FF"/>
    <w:rsid w:val="001B2B6A"/>
    <w:rsid w:val="001B2CC0"/>
    <w:rsid w:val="001B32B8"/>
    <w:rsid w:val="001B4A03"/>
    <w:rsid w:val="001B4AD1"/>
    <w:rsid w:val="001B5614"/>
    <w:rsid w:val="001B5B57"/>
    <w:rsid w:val="001B6B20"/>
    <w:rsid w:val="001B783E"/>
    <w:rsid w:val="001B7BEC"/>
    <w:rsid w:val="001C006F"/>
    <w:rsid w:val="001C04B2"/>
    <w:rsid w:val="001C07C5"/>
    <w:rsid w:val="001C0D59"/>
    <w:rsid w:val="001C0DED"/>
    <w:rsid w:val="001C1FDE"/>
    <w:rsid w:val="001C2140"/>
    <w:rsid w:val="001C2493"/>
    <w:rsid w:val="001C2A9D"/>
    <w:rsid w:val="001C2C77"/>
    <w:rsid w:val="001C3021"/>
    <w:rsid w:val="001C3737"/>
    <w:rsid w:val="001C3CC2"/>
    <w:rsid w:val="001C3ECC"/>
    <w:rsid w:val="001C3F78"/>
    <w:rsid w:val="001C44BE"/>
    <w:rsid w:val="001C4592"/>
    <w:rsid w:val="001C4BD7"/>
    <w:rsid w:val="001C5839"/>
    <w:rsid w:val="001C5986"/>
    <w:rsid w:val="001C61B1"/>
    <w:rsid w:val="001C62D6"/>
    <w:rsid w:val="001C6AF5"/>
    <w:rsid w:val="001C77E1"/>
    <w:rsid w:val="001C7ADA"/>
    <w:rsid w:val="001D0A66"/>
    <w:rsid w:val="001D1872"/>
    <w:rsid w:val="001D1C05"/>
    <w:rsid w:val="001D1C72"/>
    <w:rsid w:val="001D2CC8"/>
    <w:rsid w:val="001D2F0C"/>
    <w:rsid w:val="001D2FF7"/>
    <w:rsid w:val="001D3543"/>
    <w:rsid w:val="001D3930"/>
    <w:rsid w:val="001D3A40"/>
    <w:rsid w:val="001D46EF"/>
    <w:rsid w:val="001D4AF5"/>
    <w:rsid w:val="001D58E5"/>
    <w:rsid w:val="001D5FDE"/>
    <w:rsid w:val="001D6191"/>
    <w:rsid w:val="001D6289"/>
    <w:rsid w:val="001D62D7"/>
    <w:rsid w:val="001D650B"/>
    <w:rsid w:val="001D6563"/>
    <w:rsid w:val="001D692F"/>
    <w:rsid w:val="001D6CA4"/>
    <w:rsid w:val="001D76AD"/>
    <w:rsid w:val="001D7A5C"/>
    <w:rsid w:val="001E072E"/>
    <w:rsid w:val="001E086E"/>
    <w:rsid w:val="001E08AE"/>
    <w:rsid w:val="001E174B"/>
    <w:rsid w:val="001E226F"/>
    <w:rsid w:val="001E2366"/>
    <w:rsid w:val="001E24A9"/>
    <w:rsid w:val="001E2502"/>
    <w:rsid w:val="001E292F"/>
    <w:rsid w:val="001E3202"/>
    <w:rsid w:val="001E38C5"/>
    <w:rsid w:val="001E3DD9"/>
    <w:rsid w:val="001E474D"/>
    <w:rsid w:val="001E47E9"/>
    <w:rsid w:val="001E4F0E"/>
    <w:rsid w:val="001E5210"/>
    <w:rsid w:val="001E53B7"/>
    <w:rsid w:val="001E5580"/>
    <w:rsid w:val="001E582A"/>
    <w:rsid w:val="001E5A81"/>
    <w:rsid w:val="001E5AFC"/>
    <w:rsid w:val="001E5EE8"/>
    <w:rsid w:val="001E6615"/>
    <w:rsid w:val="001E72B2"/>
    <w:rsid w:val="001E72E6"/>
    <w:rsid w:val="001F0169"/>
    <w:rsid w:val="001F0349"/>
    <w:rsid w:val="001F0B74"/>
    <w:rsid w:val="001F1A0D"/>
    <w:rsid w:val="001F1E59"/>
    <w:rsid w:val="001F20E8"/>
    <w:rsid w:val="001F2B19"/>
    <w:rsid w:val="001F2DD4"/>
    <w:rsid w:val="001F3AEE"/>
    <w:rsid w:val="001F3D85"/>
    <w:rsid w:val="001F40A5"/>
    <w:rsid w:val="001F41F6"/>
    <w:rsid w:val="001F434C"/>
    <w:rsid w:val="001F4EB8"/>
    <w:rsid w:val="001F5399"/>
    <w:rsid w:val="001F56BD"/>
    <w:rsid w:val="001F596D"/>
    <w:rsid w:val="001F6572"/>
    <w:rsid w:val="001F6F6A"/>
    <w:rsid w:val="001F6FAC"/>
    <w:rsid w:val="001F7595"/>
    <w:rsid w:val="002008FA"/>
    <w:rsid w:val="00200A7A"/>
    <w:rsid w:val="00200B34"/>
    <w:rsid w:val="00200B4C"/>
    <w:rsid w:val="002019F2"/>
    <w:rsid w:val="00201C2A"/>
    <w:rsid w:val="00201CDA"/>
    <w:rsid w:val="002021A8"/>
    <w:rsid w:val="00202326"/>
    <w:rsid w:val="00202865"/>
    <w:rsid w:val="00202E03"/>
    <w:rsid w:val="00203267"/>
    <w:rsid w:val="0020391D"/>
    <w:rsid w:val="00203C2E"/>
    <w:rsid w:val="002044BC"/>
    <w:rsid w:val="00204615"/>
    <w:rsid w:val="00204EFE"/>
    <w:rsid w:val="00205010"/>
    <w:rsid w:val="002053AE"/>
    <w:rsid w:val="00205F9C"/>
    <w:rsid w:val="00207369"/>
    <w:rsid w:val="00207767"/>
    <w:rsid w:val="0020784C"/>
    <w:rsid w:val="00207BDB"/>
    <w:rsid w:val="00207C21"/>
    <w:rsid w:val="00210771"/>
    <w:rsid w:val="00211885"/>
    <w:rsid w:val="00211AB7"/>
    <w:rsid w:val="00211C59"/>
    <w:rsid w:val="00214143"/>
    <w:rsid w:val="00214211"/>
    <w:rsid w:val="0021428F"/>
    <w:rsid w:val="00214715"/>
    <w:rsid w:val="00215229"/>
    <w:rsid w:val="00215699"/>
    <w:rsid w:val="002159DE"/>
    <w:rsid w:val="00215ADD"/>
    <w:rsid w:val="00215CE6"/>
    <w:rsid w:val="00215E99"/>
    <w:rsid w:val="002166A6"/>
    <w:rsid w:val="00216A61"/>
    <w:rsid w:val="00216BB6"/>
    <w:rsid w:val="00216C30"/>
    <w:rsid w:val="00217650"/>
    <w:rsid w:val="00217B45"/>
    <w:rsid w:val="0022048B"/>
    <w:rsid w:val="00220692"/>
    <w:rsid w:val="0022182A"/>
    <w:rsid w:val="00221C86"/>
    <w:rsid w:val="00222103"/>
    <w:rsid w:val="00222261"/>
    <w:rsid w:val="00222616"/>
    <w:rsid w:val="002236C9"/>
    <w:rsid w:val="002237D3"/>
    <w:rsid w:val="00223B07"/>
    <w:rsid w:val="00223C82"/>
    <w:rsid w:val="0022436A"/>
    <w:rsid w:val="00224E52"/>
    <w:rsid w:val="00225736"/>
    <w:rsid w:val="0022590D"/>
    <w:rsid w:val="00225E64"/>
    <w:rsid w:val="002260CB"/>
    <w:rsid w:val="002267CE"/>
    <w:rsid w:val="00227488"/>
    <w:rsid w:val="002278B8"/>
    <w:rsid w:val="00227D49"/>
    <w:rsid w:val="00227FC7"/>
    <w:rsid w:val="00230422"/>
    <w:rsid w:val="00230479"/>
    <w:rsid w:val="00231431"/>
    <w:rsid w:val="00231740"/>
    <w:rsid w:val="002319E6"/>
    <w:rsid w:val="0023244F"/>
    <w:rsid w:val="002325A8"/>
    <w:rsid w:val="00232B18"/>
    <w:rsid w:val="00232EED"/>
    <w:rsid w:val="00233C2A"/>
    <w:rsid w:val="002341F6"/>
    <w:rsid w:val="0023440D"/>
    <w:rsid w:val="002347B1"/>
    <w:rsid w:val="00234A18"/>
    <w:rsid w:val="00234DDE"/>
    <w:rsid w:val="002351B7"/>
    <w:rsid w:val="00235307"/>
    <w:rsid w:val="00235A21"/>
    <w:rsid w:val="00235D25"/>
    <w:rsid w:val="00235E13"/>
    <w:rsid w:val="00236A66"/>
    <w:rsid w:val="00236E72"/>
    <w:rsid w:val="00236F13"/>
    <w:rsid w:val="0023706D"/>
    <w:rsid w:val="002372F4"/>
    <w:rsid w:val="0024029A"/>
    <w:rsid w:val="002407C8"/>
    <w:rsid w:val="00240EC2"/>
    <w:rsid w:val="002417F8"/>
    <w:rsid w:val="00241FC8"/>
    <w:rsid w:val="00242200"/>
    <w:rsid w:val="00242328"/>
    <w:rsid w:val="00242CBE"/>
    <w:rsid w:val="002440FD"/>
    <w:rsid w:val="0024472B"/>
    <w:rsid w:val="002458CC"/>
    <w:rsid w:val="00245C4C"/>
    <w:rsid w:val="00246221"/>
    <w:rsid w:val="00246447"/>
    <w:rsid w:val="00246CCD"/>
    <w:rsid w:val="002471BC"/>
    <w:rsid w:val="00247870"/>
    <w:rsid w:val="002478E5"/>
    <w:rsid w:val="00247AF9"/>
    <w:rsid w:val="0025073C"/>
    <w:rsid w:val="00250C89"/>
    <w:rsid w:val="00250F42"/>
    <w:rsid w:val="00250FD2"/>
    <w:rsid w:val="00251A8F"/>
    <w:rsid w:val="00252702"/>
    <w:rsid w:val="00253EA0"/>
    <w:rsid w:val="00254B44"/>
    <w:rsid w:val="00254E99"/>
    <w:rsid w:val="00255BAF"/>
    <w:rsid w:val="00256999"/>
    <w:rsid w:val="0025753B"/>
    <w:rsid w:val="00257AAE"/>
    <w:rsid w:val="0026027A"/>
    <w:rsid w:val="00260423"/>
    <w:rsid w:val="00260533"/>
    <w:rsid w:val="002606FF"/>
    <w:rsid w:val="00260A23"/>
    <w:rsid w:val="00260ED8"/>
    <w:rsid w:val="00261513"/>
    <w:rsid w:val="002615F8"/>
    <w:rsid w:val="002616E6"/>
    <w:rsid w:val="00261A54"/>
    <w:rsid w:val="00261D37"/>
    <w:rsid w:val="00261E00"/>
    <w:rsid w:val="00263081"/>
    <w:rsid w:val="00263607"/>
    <w:rsid w:val="00263874"/>
    <w:rsid w:val="00263D34"/>
    <w:rsid w:val="00263EF1"/>
    <w:rsid w:val="00264059"/>
    <w:rsid w:val="0026411A"/>
    <w:rsid w:val="00264FC8"/>
    <w:rsid w:val="002654E8"/>
    <w:rsid w:val="002656E1"/>
    <w:rsid w:val="00265728"/>
    <w:rsid w:val="00265CFF"/>
    <w:rsid w:val="00266406"/>
    <w:rsid w:val="00267334"/>
    <w:rsid w:val="002674E3"/>
    <w:rsid w:val="00267755"/>
    <w:rsid w:val="002705FE"/>
    <w:rsid w:val="002706F0"/>
    <w:rsid w:val="002713DB"/>
    <w:rsid w:val="002715AC"/>
    <w:rsid w:val="00272219"/>
    <w:rsid w:val="00272D7E"/>
    <w:rsid w:val="00273278"/>
    <w:rsid w:val="00273AFD"/>
    <w:rsid w:val="002741A0"/>
    <w:rsid w:val="002746D8"/>
    <w:rsid w:val="00275343"/>
    <w:rsid w:val="00275608"/>
    <w:rsid w:val="00275641"/>
    <w:rsid w:val="00276AE0"/>
    <w:rsid w:val="00276D6A"/>
    <w:rsid w:val="0027753A"/>
    <w:rsid w:val="00277E64"/>
    <w:rsid w:val="00280042"/>
    <w:rsid w:val="00280AB5"/>
    <w:rsid w:val="00280B32"/>
    <w:rsid w:val="0028218E"/>
    <w:rsid w:val="002821E9"/>
    <w:rsid w:val="002823AE"/>
    <w:rsid w:val="00282613"/>
    <w:rsid w:val="00282A2B"/>
    <w:rsid w:val="0028318B"/>
    <w:rsid w:val="00283C90"/>
    <w:rsid w:val="00283FE7"/>
    <w:rsid w:val="00284346"/>
    <w:rsid w:val="00284387"/>
    <w:rsid w:val="00285523"/>
    <w:rsid w:val="0028553F"/>
    <w:rsid w:val="002857C6"/>
    <w:rsid w:val="0028608C"/>
    <w:rsid w:val="002868A6"/>
    <w:rsid w:val="002868BE"/>
    <w:rsid w:val="0028710F"/>
    <w:rsid w:val="002872C3"/>
    <w:rsid w:val="0028796D"/>
    <w:rsid w:val="002903E2"/>
    <w:rsid w:val="0029077C"/>
    <w:rsid w:val="002908A7"/>
    <w:rsid w:val="002913FD"/>
    <w:rsid w:val="00291826"/>
    <w:rsid w:val="00291D71"/>
    <w:rsid w:val="00292115"/>
    <w:rsid w:val="00292F66"/>
    <w:rsid w:val="0029315D"/>
    <w:rsid w:val="00293534"/>
    <w:rsid w:val="00293777"/>
    <w:rsid w:val="00293B16"/>
    <w:rsid w:val="0029421A"/>
    <w:rsid w:val="0029449E"/>
    <w:rsid w:val="00294C8B"/>
    <w:rsid w:val="0029504D"/>
    <w:rsid w:val="0029570C"/>
    <w:rsid w:val="002966DE"/>
    <w:rsid w:val="00296F46"/>
    <w:rsid w:val="00296F84"/>
    <w:rsid w:val="00296F8A"/>
    <w:rsid w:val="002A13CA"/>
    <w:rsid w:val="002A180F"/>
    <w:rsid w:val="002A1873"/>
    <w:rsid w:val="002A1AE1"/>
    <w:rsid w:val="002A2857"/>
    <w:rsid w:val="002A2D7B"/>
    <w:rsid w:val="002A367A"/>
    <w:rsid w:val="002A36DF"/>
    <w:rsid w:val="002A3B40"/>
    <w:rsid w:val="002A40BC"/>
    <w:rsid w:val="002A4404"/>
    <w:rsid w:val="002A4ACC"/>
    <w:rsid w:val="002A51E9"/>
    <w:rsid w:val="002A52E3"/>
    <w:rsid w:val="002A5425"/>
    <w:rsid w:val="002A547D"/>
    <w:rsid w:val="002A556E"/>
    <w:rsid w:val="002A5B44"/>
    <w:rsid w:val="002A5CA0"/>
    <w:rsid w:val="002A5DA4"/>
    <w:rsid w:val="002A6022"/>
    <w:rsid w:val="002A63AF"/>
    <w:rsid w:val="002A6AD1"/>
    <w:rsid w:val="002A6FBE"/>
    <w:rsid w:val="002A70E7"/>
    <w:rsid w:val="002A7869"/>
    <w:rsid w:val="002A7BB5"/>
    <w:rsid w:val="002A7F5B"/>
    <w:rsid w:val="002B0D78"/>
    <w:rsid w:val="002B0F46"/>
    <w:rsid w:val="002B0FBD"/>
    <w:rsid w:val="002B1202"/>
    <w:rsid w:val="002B1821"/>
    <w:rsid w:val="002B2078"/>
    <w:rsid w:val="002B22D4"/>
    <w:rsid w:val="002B232E"/>
    <w:rsid w:val="002B2334"/>
    <w:rsid w:val="002B291F"/>
    <w:rsid w:val="002B2E6C"/>
    <w:rsid w:val="002B3178"/>
    <w:rsid w:val="002B3C14"/>
    <w:rsid w:val="002B3C46"/>
    <w:rsid w:val="002B3F66"/>
    <w:rsid w:val="002B3FD0"/>
    <w:rsid w:val="002B43FA"/>
    <w:rsid w:val="002B5C84"/>
    <w:rsid w:val="002B6421"/>
    <w:rsid w:val="002B6B22"/>
    <w:rsid w:val="002B7969"/>
    <w:rsid w:val="002C06D1"/>
    <w:rsid w:val="002C12CD"/>
    <w:rsid w:val="002C1A12"/>
    <w:rsid w:val="002C2417"/>
    <w:rsid w:val="002C2DB8"/>
    <w:rsid w:val="002C3051"/>
    <w:rsid w:val="002C3066"/>
    <w:rsid w:val="002C4063"/>
    <w:rsid w:val="002C41DC"/>
    <w:rsid w:val="002C423C"/>
    <w:rsid w:val="002C4822"/>
    <w:rsid w:val="002C4EB6"/>
    <w:rsid w:val="002C5A63"/>
    <w:rsid w:val="002C63F6"/>
    <w:rsid w:val="002C7445"/>
    <w:rsid w:val="002C754B"/>
    <w:rsid w:val="002C75AC"/>
    <w:rsid w:val="002C762E"/>
    <w:rsid w:val="002C79D7"/>
    <w:rsid w:val="002D0356"/>
    <w:rsid w:val="002D06E7"/>
    <w:rsid w:val="002D07C0"/>
    <w:rsid w:val="002D0904"/>
    <w:rsid w:val="002D0905"/>
    <w:rsid w:val="002D0919"/>
    <w:rsid w:val="002D0C19"/>
    <w:rsid w:val="002D0FC6"/>
    <w:rsid w:val="002D1101"/>
    <w:rsid w:val="002D138C"/>
    <w:rsid w:val="002D14B7"/>
    <w:rsid w:val="002D18BC"/>
    <w:rsid w:val="002D192F"/>
    <w:rsid w:val="002D1A3D"/>
    <w:rsid w:val="002D2441"/>
    <w:rsid w:val="002D3A8A"/>
    <w:rsid w:val="002D3B3F"/>
    <w:rsid w:val="002D3CC7"/>
    <w:rsid w:val="002D3EC8"/>
    <w:rsid w:val="002D4325"/>
    <w:rsid w:val="002D45BF"/>
    <w:rsid w:val="002D4A85"/>
    <w:rsid w:val="002D5DC4"/>
    <w:rsid w:val="002D64DF"/>
    <w:rsid w:val="002D71F8"/>
    <w:rsid w:val="002D7674"/>
    <w:rsid w:val="002D7A6A"/>
    <w:rsid w:val="002D7BC0"/>
    <w:rsid w:val="002E000C"/>
    <w:rsid w:val="002E0376"/>
    <w:rsid w:val="002E0BB3"/>
    <w:rsid w:val="002E1280"/>
    <w:rsid w:val="002E13E0"/>
    <w:rsid w:val="002E1950"/>
    <w:rsid w:val="002E22A2"/>
    <w:rsid w:val="002E2864"/>
    <w:rsid w:val="002E2900"/>
    <w:rsid w:val="002E2D4A"/>
    <w:rsid w:val="002E2F6A"/>
    <w:rsid w:val="002E38DB"/>
    <w:rsid w:val="002E3D09"/>
    <w:rsid w:val="002E3D8D"/>
    <w:rsid w:val="002E4095"/>
    <w:rsid w:val="002E4F35"/>
    <w:rsid w:val="002E5256"/>
    <w:rsid w:val="002E5271"/>
    <w:rsid w:val="002E538F"/>
    <w:rsid w:val="002E539A"/>
    <w:rsid w:val="002E55DD"/>
    <w:rsid w:val="002E5995"/>
    <w:rsid w:val="002E5E77"/>
    <w:rsid w:val="002E5F31"/>
    <w:rsid w:val="002E686B"/>
    <w:rsid w:val="002E748D"/>
    <w:rsid w:val="002E7B71"/>
    <w:rsid w:val="002E7C98"/>
    <w:rsid w:val="002E7EA2"/>
    <w:rsid w:val="002F0F75"/>
    <w:rsid w:val="002F0FA6"/>
    <w:rsid w:val="002F117A"/>
    <w:rsid w:val="002F127D"/>
    <w:rsid w:val="002F12EB"/>
    <w:rsid w:val="002F14F5"/>
    <w:rsid w:val="002F1528"/>
    <w:rsid w:val="002F214C"/>
    <w:rsid w:val="002F2B7A"/>
    <w:rsid w:val="002F2F6C"/>
    <w:rsid w:val="002F2FF4"/>
    <w:rsid w:val="002F3102"/>
    <w:rsid w:val="002F3105"/>
    <w:rsid w:val="002F3388"/>
    <w:rsid w:val="002F37D0"/>
    <w:rsid w:val="002F4604"/>
    <w:rsid w:val="002F4675"/>
    <w:rsid w:val="002F485F"/>
    <w:rsid w:val="002F493D"/>
    <w:rsid w:val="002F49C5"/>
    <w:rsid w:val="002F54F6"/>
    <w:rsid w:val="002F554B"/>
    <w:rsid w:val="002F5836"/>
    <w:rsid w:val="002F5892"/>
    <w:rsid w:val="002F5EB8"/>
    <w:rsid w:val="002F6071"/>
    <w:rsid w:val="002F6F94"/>
    <w:rsid w:val="002F72FF"/>
    <w:rsid w:val="002F750F"/>
    <w:rsid w:val="002F79CC"/>
    <w:rsid w:val="002F7BE7"/>
    <w:rsid w:val="002F7C59"/>
    <w:rsid w:val="002F7F8F"/>
    <w:rsid w:val="0030000F"/>
    <w:rsid w:val="00300149"/>
    <w:rsid w:val="00300264"/>
    <w:rsid w:val="003014B1"/>
    <w:rsid w:val="003019D9"/>
    <w:rsid w:val="0030242B"/>
    <w:rsid w:val="00302595"/>
    <w:rsid w:val="00302850"/>
    <w:rsid w:val="00303041"/>
    <w:rsid w:val="003030F5"/>
    <w:rsid w:val="0030349E"/>
    <w:rsid w:val="003036F3"/>
    <w:rsid w:val="0030463E"/>
    <w:rsid w:val="00304AB6"/>
    <w:rsid w:val="00304ED6"/>
    <w:rsid w:val="003064BF"/>
    <w:rsid w:val="00306521"/>
    <w:rsid w:val="00307223"/>
    <w:rsid w:val="00307B47"/>
    <w:rsid w:val="00307CCA"/>
    <w:rsid w:val="0031034B"/>
    <w:rsid w:val="003107C6"/>
    <w:rsid w:val="00310825"/>
    <w:rsid w:val="0031239E"/>
    <w:rsid w:val="003123BD"/>
    <w:rsid w:val="00312AB8"/>
    <w:rsid w:val="00312FB7"/>
    <w:rsid w:val="00313100"/>
    <w:rsid w:val="00313197"/>
    <w:rsid w:val="0031398C"/>
    <w:rsid w:val="00313B82"/>
    <w:rsid w:val="00313D9B"/>
    <w:rsid w:val="00313F79"/>
    <w:rsid w:val="003142D0"/>
    <w:rsid w:val="00314A3B"/>
    <w:rsid w:val="00315212"/>
    <w:rsid w:val="00315A06"/>
    <w:rsid w:val="00315CD2"/>
    <w:rsid w:val="00316600"/>
    <w:rsid w:val="003166C1"/>
    <w:rsid w:val="00316A8B"/>
    <w:rsid w:val="00316BF6"/>
    <w:rsid w:val="0031733B"/>
    <w:rsid w:val="0031751A"/>
    <w:rsid w:val="00317E87"/>
    <w:rsid w:val="0032081F"/>
    <w:rsid w:val="00322121"/>
    <w:rsid w:val="003221EB"/>
    <w:rsid w:val="00322425"/>
    <w:rsid w:val="003225FB"/>
    <w:rsid w:val="003232FE"/>
    <w:rsid w:val="003235CB"/>
    <w:rsid w:val="00323759"/>
    <w:rsid w:val="00323A7C"/>
    <w:rsid w:val="00323C32"/>
    <w:rsid w:val="00323ECF"/>
    <w:rsid w:val="00323FC7"/>
    <w:rsid w:val="00324A1D"/>
    <w:rsid w:val="00325742"/>
    <w:rsid w:val="00325B63"/>
    <w:rsid w:val="00326196"/>
    <w:rsid w:val="00326240"/>
    <w:rsid w:val="00326C33"/>
    <w:rsid w:val="003277FF"/>
    <w:rsid w:val="003278A1"/>
    <w:rsid w:val="00327909"/>
    <w:rsid w:val="00327AB3"/>
    <w:rsid w:val="00327D16"/>
    <w:rsid w:val="00330D77"/>
    <w:rsid w:val="00330FEB"/>
    <w:rsid w:val="00331120"/>
    <w:rsid w:val="00331E0F"/>
    <w:rsid w:val="00331E9D"/>
    <w:rsid w:val="003327DF"/>
    <w:rsid w:val="00332FCC"/>
    <w:rsid w:val="0033371C"/>
    <w:rsid w:val="0033439F"/>
    <w:rsid w:val="0033446E"/>
    <w:rsid w:val="003369FF"/>
    <w:rsid w:val="00336A50"/>
    <w:rsid w:val="00336AEA"/>
    <w:rsid w:val="00336B35"/>
    <w:rsid w:val="0033758C"/>
    <w:rsid w:val="0033764B"/>
    <w:rsid w:val="00340778"/>
    <w:rsid w:val="00340B2C"/>
    <w:rsid w:val="00340B44"/>
    <w:rsid w:val="0034138D"/>
    <w:rsid w:val="003416BE"/>
    <w:rsid w:val="0034170C"/>
    <w:rsid w:val="00341CED"/>
    <w:rsid w:val="00342759"/>
    <w:rsid w:val="00342DC1"/>
    <w:rsid w:val="00343525"/>
    <w:rsid w:val="00343A57"/>
    <w:rsid w:val="00343BDF"/>
    <w:rsid w:val="00343F41"/>
    <w:rsid w:val="0034459F"/>
    <w:rsid w:val="00344FD2"/>
    <w:rsid w:val="00345300"/>
    <w:rsid w:val="00345424"/>
    <w:rsid w:val="003459F3"/>
    <w:rsid w:val="00345EA7"/>
    <w:rsid w:val="003461F1"/>
    <w:rsid w:val="0034652C"/>
    <w:rsid w:val="0034681A"/>
    <w:rsid w:val="003472BD"/>
    <w:rsid w:val="0034765D"/>
    <w:rsid w:val="00347CFD"/>
    <w:rsid w:val="00347D0E"/>
    <w:rsid w:val="00347F10"/>
    <w:rsid w:val="0035067B"/>
    <w:rsid w:val="00350E0D"/>
    <w:rsid w:val="003512FF"/>
    <w:rsid w:val="00351FA1"/>
    <w:rsid w:val="00351FB4"/>
    <w:rsid w:val="003524FB"/>
    <w:rsid w:val="00352B65"/>
    <w:rsid w:val="003530E5"/>
    <w:rsid w:val="0035373E"/>
    <w:rsid w:val="00353878"/>
    <w:rsid w:val="00353A00"/>
    <w:rsid w:val="003545C1"/>
    <w:rsid w:val="00354A1F"/>
    <w:rsid w:val="00355060"/>
    <w:rsid w:val="00355567"/>
    <w:rsid w:val="00355B11"/>
    <w:rsid w:val="00355C02"/>
    <w:rsid w:val="00355F4E"/>
    <w:rsid w:val="00356117"/>
    <w:rsid w:val="003562B1"/>
    <w:rsid w:val="00356A2B"/>
    <w:rsid w:val="00357DFD"/>
    <w:rsid w:val="00357E85"/>
    <w:rsid w:val="00360494"/>
    <w:rsid w:val="00360745"/>
    <w:rsid w:val="00360AE4"/>
    <w:rsid w:val="003626C0"/>
    <w:rsid w:val="003629AC"/>
    <w:rsid w:val="00362C5E"/>
    <w:rsid w:val="00362E6F"/>
    <w:rsid w:val="00362FA9"/>
    <w:rsid w:val="00363417"/>
    <w:rsid w:val="003635F2"/>
    <w:rsid w:val="003639E5"/>
    <w:rsid w:val="00363D7A"/>
    <w:rsid w:val="0036404A"/>
    <w:rsid w:val="003640A7"/>
    <w:rsid w:val="00364EA5"/>
    <w:rsid w:val="0036508D"/>
    <w:rsid w:val="003650E8"/>
    <w:rsid w:val="003651C8"/>
    <w:rsid w:val="003652EA"/>
    <w:rsid w:val="00365B48"/>
    <w:rsid w:val="00366CAC"/>
    <w:rsid w:val="00367440"/>
    <w:rsid w:val="00367894"/>
    <w:rsid w:val="003679BA"/>
    <w:rsid w:val="003700A3"/>
    <w:rsid w:val="00370217"/>
    <w:rsid w:val="003708BE"/>
    <w:rsid w:val="00370B40"/>
    <w:rsid w:val="00371690"/>
    <w:rsid w:val="0037240A"/>
    <w:rsid w:val="00373411"/>
    <w:rsid w:val="00373D40"/>
    <w:rsid w:val="00374251"/>
    <w:rsid w:val="003744B3"/>
    <w:rsid w:val="00374D41"/>
    <w:rsid w:val="00374E2C"/>
    <w:rsid w:val="00375439"/>
    <w:rsid w:val="00376121"/>
    <w:rsid w:val="00376A7A"/>
    <w:rsid w:val="00376E2B"/>
    <w:rsid w:val="003770D6"/>
    <w:rsid w:val="003771F5"/>
    <w:rsid w:val="00377540"/>
    <w:rsid w:val="00377BE4"/>
    <w:rsid w:val="00380094"/>
    <w:rsid w:val="003800F0"/>
    <w:rsid w:val="00380B3A"/>
    <w:rsid w:val="00382306"/>
    <w:rsid w:val="00382B86"/>
    <w:rsid w:val="00383071"/>
    <w:rsid w:val="003832EF"/>
    <w:rsid w:val="00383749"/>
    <w:rsid w:val="003837F4"/>
    <w:rsid w:val="003846D9"/>
    <w:rsid w:val="0038564A"/>
    <w:rsid w:val="0038576C"/>
    <w:rsid w:val="00385800"/>
    <w:rsid w:val="00385F39"/>
    <w:rsid w:val="0038743E"/>
    <w:rsid w:val="003879DF"/>
    <w:rsid w:val="00387DFA"/>
    <w:rsid w:val="0039083F"/>
    <w:rsid w:val="00391374"/>
    <w:rsid w:val="003914D5"/>
    <w:rsid w:val="00391FAB"/>
    <w:rsid w:val="0039203E"/>
    <w:rsid w:val="00392050"/>
    <w:rsid w:val="003923B4"/>
    <w:rsid w:val="00392539"/>
    <w:rsid w:val="00392677"/>
    <w:rsid w:val="003936EA"/>
    <w:rsid w:val="00393987"/>
    <w:rsid w:val="00393AED"/>
    <w:rsid w:val="003940F7"/>
    <w:rsid w:val="00394981"/>
    <w:rsid w:val="003953A8"/>
    <w:rsid w:val="00395A26"/>
    <w:rsid w:val="00395FCB"/>
    <w:rsid w:val="00396130"/>
    <w:rsid w:val="00396766"/>
    <w:rsid w:val="003968D5"/>
    <w:rsid w:val="00396D6E"/>
    <w:rsid w:val="00396FF0"/>
    <w:rsid w:val="003977E4"/>
    <w:rsid w:val="0039788E"/>
    <w:rsid w:val="00397C74"/>
    <w:rsid w:val="00397E2E"/>
    <w:rsid w:val="00397F3C"/>
    <w:rsid w:val="003A0529"/>
    <w:rsid w:val="003A0962"/>
    <w:rsid w:val="003A32D8"/>
    <w:rsid w:val="003A3551"/>
    <w:rsid w:val="003A35AE"/>
    <w:rsid w:val="003A37E9"/>
    <w:rsid w:val="003A38F0"/>
    <w:rsid w:val="003A42F3"/>
    <w:rsid w:val="003A443D"/>
    <w:rsid w:val="003A47E4"/>
    <w:rsid w:val="003A4932"/>
    <w:rsid w:val="003A4CED"/>
    <w:rsid w:val="003A6627"/>
    <w:rsid w:val="003A6A5A"/>
    <w:rsid w:val="003A7025"/>
    <w:rsid w:val="003A72E9"/>
    <w:rsid w:val="003A7E27"/>
    <w:rsid w:val="003B0173"/>
    <w:rsid w:val="003B0398"/>
    <w:rsid w:val="003B0DA5"/>
    <w:rsid w:val="003B2921"/>
    <w:rsid w:val="003B2E38"/>
    <w:rsid w:val="003B4A4A"/>
    <w:rsid w:val="003B5386"/>
    <w:rsid w:val="003B53A5"/>
    <w:rsid w:val="003B55CA"/>
    <w:rsid w:val="003B59EE"/>
    <w:rsid w:val="003B5B72"/>
    <w:rsid w:val="003B6D71"/>
    <w:rsid w:val="003B6EF2"/>
    <w:rsid w:val="003B7E7A"/>
    <w:rsid w:val="003C0463"/>
    <w:rsid w:val="003C0842"/>
    <w:rsid w:val="003C0905"/>
    <w:rsid w:val="003C0C4A"/>
    <w:rsid w:val="003C0F5F"/>
    <w:rsid w:val="003C1EAF"/>
    <w:rsid w:val="003C267B"/>
    <w:rsid w:val="003C346B"/>
    <w:rsid w:val="003C3731"/>
    <w:rsid w:val="003C39C7"/>
    <w:rsid w:val="003C3C6D"/>
    <w:rsid w:val="003C40EE"/>
    <w:rsid w:val="003C4206"/>
    <w:rsid w:val="003C42F7"/>
    <w:rsid w:val="003C479F"/>
    <w:rsid w:val="003C4884"/>
    <w:rsid w:val="003C5092"/>
    <w:rsid w:val="003C5A73"/>
    <w:rsid w:val="003C5DEF"/>
    <w:rsid w:val="003C641E"/>
    <w:rsid w:val="003C6C81"/>
    <w:rsid w:val="003C6CC1"/>
    <w:rsid w:val="003C6F33"/>
    <w:rsid w:val="003D047F"/>
    <w:rsid w:val="003D0576"/>
    <w:rsid w:val="003D0FBC"/>
    <w:rsid w:val="003D1197"/>
    <w:rsid w:val="003D1210"/>
    <w:rsid w:val="003D2333"/>
    <w:rsid w:val="003D2521"/>
    <w:rsid w:val="003D298F"/>
    <w:rsid w:val="003D2FBA"/>
    <w:rsid w:val="003D3161"/>
    <w:rsid w:val="003D3227"/>
    <w:rsid w:val="003D36B8"/>
    <w:rsid w:val="003D3A55"/>
    <w:rsid w:val="003D408F"/>
    <w:rsid w:val="003D4347"/>
    <w:rsid w:val="003D5413"/>
    <w:rsid w:val="003D54E0"/>
    <w:rsid w:val="003D5996"/>
    <w:rsid w:val="003D59E2"/>
    <w:rsid w:val="003D5BCA"/>
    <w:rsid w:val="003D5D5D"/>
    <w:rsid w:val="003D60A4"/>
    <w:rsid w:val="003D60B7"/>
    <w:rsid w:val="003D6407"/>
    <w:rsid w:val="003D647A"/>
    <w:rsid w:val="003D6B1D"/>
    <w:rsid w:val="003D6E30"/>
    <w:rsid w:val="003D70B5"/>
    <w:rsid w:val="003D79C5"/>
    <w:rsid w:val="003D7B41"/>
    <w:rsid w:val="003D7B45"/>
    <w:rsid w:val="003E03E3"/>
    <w:rsid w:val="003E05FE"/>
    <w:rsid w:val="003E0CD7"/>
    <w:rsid w:val="003E14F0"/>
    <w:rsid w:val="003E30D9"/>
    <w:rsid w:val="003E32D8"/>
    <w:rsid w:val="003E3E19"/>
    <w:rsid w:val="003E417D"/>
    <w:rsid w:val="003E427F"/>
    <w:rsid w:val="003E47DE"/>
    <w:rsid w:val="003E4CDE"/>
    <w:rsid w:val="003E4CFE"/>
    <w:rsid w:val="003E4F42"/>
    <w:rsid w:val="003E5075"/>
    <w:rsid w:val="003E5233"/>
    <w:rsid w:val="003E570A"/>
    <w:rsid w:val="003E5F95"/>
    <w:rsid w:val="003E6F0B"/>
    <w:rsid w:val="003F00D4"/>
    <w:rsid w:val="003F00DF"/>
    <w:rsid w:val="003F018C"/>
    <w:rsid w:val="003F09CB"/>
    <w:rsid w:val="003F10D3"/>
    <w:rsid w:val="003F1150"/>
    <w:rsid w:val="003F140D"/>
    <w:rsid w:val="003F143C"/>
    <w:rsid w:val="003F1548"/>
    <w:rsid w:val="003F176D"/>
    <w:rsid w:val="003F228F"/>
    <w:rsid w:val="003F22E0"/>
    <w:rsid w:val="003F274F"/>
    <w:rsid w:val="003F2B3D"/>
    <w:rsid w:val="003F3105"/>
    <w:rsid w:val="003F3328"/>
    <w:rsid w:val="003F3C34"/>
    <w:rsid w:val="003F3ED7"/>
    <w:rsid w:val="003F4172"/>
    <w:rsid w:val="003F4222"/>
    <w:rsid w:val="003F4249"/>
    <w:rsid w:val="003F4251"/>
    <w:rsid w:val="003F44CA"/>
    <w:rsid w:val="003F461D"/>
    <w:rsid w:val="003F4940"/>
    <w:rsid w:val="003F4C90"/>
    <w:rsid w:val="003F5071"/>
    <w:rsid w:val="003F5086"/>
    <w:rsid w:val="003F550A"/>
    <w:rsid w:val="003F6ECC"/>
    <w:rsid w:val="003F7EFA"/>
    <w:rsid w:val="0040013E"/>
    <w:rsid w:val="00400C90"/>
    <w:rsid w:val="004012F6"/>
    <w:rsid w:val="00401D27"/>
    <w:rsid w:val="00402D65"/>
    <w:rsid w:val="00402E02"/>
    <w:rsid w:val="00403364"/>
    <w:rsid w:val="00403971"/>
    <w:rsid w:val="0040415C"/>
    <w:rsid w:val="00404D74"/>
    <w:rsid w:val="00404E03"/>
    <w:rsid w:val="00405080"/>
    <w:rsid w:val="0040518A"/>
    <w:rsid w:val="00405693"/>
    <w:rsid w:val="004056F3"/>
    <w:rsid w:val="0040616D"/>
    <w:rsid w:val="00406215"/>
    <w:rsid w:val="00406EF0"/>
    <w:rsid w:val="0040725A"/>
    <w:rsid w:val="00411BB1"/>
    <w:rsid w:val="004126A1"/>
    <w:rsid w:val="00412FA3"/>
    <w:rsid w:val="0041450E"/>
    <w:rsid w:val="004148E1"/>
    <w:rsid w:val="00414BCB"/>
    <w:rsid w:val="00414FE4"/>
    <w:rsid w:val="00415370"/>
    <w:rsid w:val="00415762"/>
    <w:rsid w:val="00415781"/>
    <w:rsid w:val="00415800"/>
    <w:rsid w:val="00415A0B"/>
    <w:rsid w:val="00415C60"/>
    <w:rsid w:val="00415CFE"/>
    <w:rsid w:val="00415F80"/>
    <w:rsid w:val="00416353"/>
    <w:rsid w:val="00416BB6"/>
    <w:rsid w:val="00416F40"/>
    <w:rsid w:val="00417769"/>
    <w:rsid w:val="00417819"/>
    <w:rsid w:val="00420819"/>
    <w:rsid w:val="004215BB"/>
    <w:rsid w:val="0042173F"/>
    <w:rsid w:val="0042192C"/>
    <w:rsid w:val="00421EF2"/>
    <w:rsid w:val="0042241E"/>
    <w:rsid w:val="00422668"/>
    <w:rsid w:val="00422EC3"/>
    <w:rsid w:val="004230B6"/>
    <w:rsid w:val="004235A9"/>
    <w:rsid w:val="004235EE"/>
    <w:rsid w:val="00423782"/>
    <w:rsid w:val="00423AE9"/>
    <w:rsid w:val="00423C30"/>
    <w:rsid w:val="00423D94"/>
    <w:rsid w:val="00424B17"/>
    <w:rsid w:val="00424CC9"/>
    <w:rsid w:val="00424E40"/>
    <w:rsid w:val="00424E61"/>
    <w:rsid w:val="004259E2"/>
    <w:rsid w:val="00426176"/>
    <w:rsid w:val="004262D0"/>
    <w:rsid w:val="00426699"/>
    <w:rsid w:val="00426865"/>
    <w:rsid w:val="00426979"/>
    <w:rsid w:val="00426CA0"/>
    <w:rsid w:val="00427460"/>
    <w:rsid w:val="0042747D"/>
    <w:rsid w:val="004277E6"/>
    <w:rsid w:val="0043061B"/>
    <w:rsid w:val="00430622"/>
    <w:rsid w:val="004306B1"/>
    <w:rsid w:val="004311CE"/>
    <w:rsid w:val="0043166B"/>
    <w:rsid w:val="00431AC1"/>
    <w:rsid w:val="004322D7"/>
    <w:rsid w:val="00432468"/>
    <w:rsid w:val="00432796"/>
    <w:rsid w:val="00432989"/>
    <w:rsid w:val="004329C9"/>
    <w:rsid w:val="00432C23"/>
    <w:rsid w:val="00432CD5"/>
    <w:rsid w:val="00432D2B"/>
    <w:rsid w:val="00433AF2"/>
    <w:rsid w:val="00433C4C"/>
    <w:rsid w:val="00433CFE"/>
    <w:rsid w:val="00434450"/>
    <w:rsid w:val="00434AAB"/>
    <w:rsid w:val="00434F05"/>
    <w:rsid w:val="00435592"/>
    <w:rsid w:val="00435AC8"/>
    <w:rsid w:val="00435E27"/>
    <w:rsid w:val="00435F06"/>
    <w:rsid w:val="0043631C"/>
    <w:rsid w:val="004363FA"/>
    <w:rsid w:val="004364CC"/>
    <w:rsid w:val="00436B89"/>
    <w:rsid w:val="00437AC3"/>
    <w:rsid w:val="00437D2B"/>
    <w:rsid w:val="004405B0"/>
    <w:rsid w:val="00440CCD"/>
    <w:rsid w:val="00440D3E"/>
    <w:rsid w:val="004417BD"/>
    <w:rsid w:val="00441A35"/>
    <w:rsid w:val="00441FF9"/>
    <w:rsid w:val="00442A49"/>
    <w:rsid w:val="004431A8"/>
    <w:rsid w:val="004431D7"/>
    <w:rsid w:val="0044363A"/>
    <w:rsid w:val="004436E9"/>
    <w:rsid w:val="004437B2"/>
    <w:rsid w:val="0044382F"/>
    <w:rsid w:val="00443DE8"/>
    <w:rsid w:val="0044408A"/>
    <w:rsid w:val="004442EB"/>
    <w:rsid w:val="004443A5"/>
    <w:rsid w:val="004448C6"/>
    <w:rsid w:val="00444C64"/>
    <w:rsid w:val="0044507C"/>
    <w:rsid w:val="00445DF5"/>
    <w:rsid w:val="00450EB4"/>
    <w:rsid w:val="004510A4"/>
    <w:rsid w:val="004510D8"/>
    <w:rsid w:val="0045135E"/>
    <w:rsid w:val="0045137F"/>
    <w:rsid w:val="00451544"/>
    <w:rsid w:val="00452683"/>
    <w:rsid w:val="004535B0"/>
    <w:rsid w:val="00453A9A"/>
    <w:rsid w:val="00453E31"/>
    <w:rsid w:val="00454597"/>
    <w:rsid w:val="004548E6"/>
    <w:rsid w:val="0045493D"/>
    <w:rsid w:val="004552F4"/>
    <w:rsid w:val="0045541F"/>
    <w:rsid w:val="0045543A"/>
    <w:rsid w:val="0045561A"/>
    <w:rsid w:val="004556D9"/>
    <w:rsid w:val="004561F9"/>
    <w:rsid w:val="0045637C"/>
    <w:rsid w:val="004566F5"/>
    <w:rsid w:val="0045695D"/>
    <w:rsid w:val="00457E92"/>
    <w:rsid w:val="00460096"/>
    <w:rsid w:val="004610C6"/>
    <w:rsid w:val="00461BF2"/>
    <w:rsid w:val="00463416"/>
    <w:rsid w:val="00463869"/>
    <w:rsid w:val="00463CF9"/>
    <w:rsid w:val="00463EAF"/>
    <w:rsid w:val="00464A9C"/>
    <w:rsid w:val="00464E8F"/>
    <w:rsid w:val="00464F23"/>
    <w:rsid w:val="004657B3"/>
    <w:rsid w:val="004660F5"/>
    <w:rsid w:val="00466830"/>
    <w:rsid w:val="00466C93"/>
    <w:rsid w:val="00467567"/>
    <w:rsid w:val="00467BC2"/>
    <w:rsid w:val="00467C44"/>
    <w:rsid w:val="00467CFB"/>
    <w:rsid w:val="00467FF0"/>
    <w:rsid w:val="00470418"/>
    <w:rsid w:val="004705F7"/>
    <w:rsid w:val="0047068C"/>
    <w:rsid w:val="00471E81"/>
    <w:rsid w:val="004724AF"/>
    <w:rsid w:val="004724E2"/>
    <w:rsid w:val="004727C4"/>
    <w:rsid w:val="004727E8"/>
    <w:rsid w:val="00472FFE"/>
    <w:rsid w:val="0047322A"/>
    <w:rsid w:val="00473357"/>
    <w:rsid w:val="00473379"/>
    <w:rsid w:val="0047352D"/>
    <w:rsid w:val="004743CB"/>
    <w:rsid w:val="00474B50"/>
    <w:rsid w:val="00475FA8"/>
    <w:rsid w:val="0047652F"/>
    <w:rsid w:val="00476FE9"/>
    <w:rsid w:val="00477BD1"/>
    <w:rsid w:val="00477F96"/>
    <w:rsid w:val="00477FAF"/>
    <w:rsid w:val="0048027B"/>
    <w:rsid w:val="004807AC"/>
    <w:rsid w:val="00481272"/>
    <w:rsid w:val="00481638"/>
    <w:rsid w:val="004817B5"/>
    <w:rsid w:val="00481E94"/>
    <w:rsid w:val="00482199"/>
    <w:rsid w:val="0048231B"/>
    <w:rsid w:val="00482478"/>
    <w:rsid w:val="004826FF"/>
    <w:rsid w:val="00482CCF"/>
    <w:rsid w:val="004830D2"/>
    <w:rsid w:val="00483131"/>
    <w:rsid w:val="00483170"/>
    <w:rsid w:val="0048383D"/>
    <w:rsid w:val="004851E8"/>
    <w:rsid w:val="00485580"/>
    <w:rsid w:val="00485811"/>
    <w:rsid w:val="00485E3C"/>
    <w:rsid w:val="00485F89"/>
    <w:rsid w:val="00486A68"/>
    <w:rsid w:val="00486B09"/>
    <w:rsid w:val="00487CFA"/>
    <w:rsid w:val="004901CA"/>
    <w:rsid w:val="00490A10"/>
    <w:rsid w:val="00490A62"/>
    <w:rsid w:val="00490E9E"/>
    <w:rsid w:val="00491F9F"/>
    <w:rsid w:val="004920D9"/>
    <w:rsid w:val="0049242A"/>
    <w:rsid w:val="00492735"/>
    <w:rsid w:val="00492B25"/>
    <w:rsid w:val="00492EC7"/>
    <w:rsid w:val="004930B8"/>
    <w:rsid w:val="00493C96"/>
    <w:rsid w:val="00494932"/>
    <w:rsid w:val="00494FC9"/>
    <w:rsid w:val="00494FF0"/>
    <w:rsid w:val="004950F8"/>
    <w:rsid w:val="00495192"/>
    <w:rsid w:val="00495211"/>
    <w:rsid w:val="004956F2"/>
    <w:rsid w:val="00495B23"/>
    <w:rsid w:val="00496AD4"/>
    <w:rsid w:val="004970B6"/>
    <w:rsid w:val="00497B89"/>
    <w:rsid w:val="004A0324"/>
    <w:rsid w:val="004A034D"/>
    <w:rsid w:val="004A0C25"/>
    <w:rsid w:val="004A0E76"/>
    <w:rsid w:val="004A1222"/>
    <w:rsid w:val="004A15F4"/>
    <w:rsid w:val="004A1EA2"/>
    <w:rsid w:val="004A201B"/>
    <w:rsid w:val="004A27B0"/>
    <w:rsid w:val="004A2B6F"/>
    <w:rsid w:val="004A3807"/>
    <w:rsid w:val="004A3BB0"/>
    <w:rsid w:val="004A4377"/>
    <w:rsid w:val="004A4D2B"/>
    <w:rsid w:val="004A525D"/>
    <w:rsid w:val="004A52C4"/>
    <w:rsid w:val="004A57EB"/>
    <w:rsid w:val="004A5824"/>
    <w:rsid w:val="004A58D8"/>
    <w:rsid w:val="004A6211"/>
    <w:rsid w:val="004B0095"/>
    <w:rsid w:val="004B05E1"/>
    <w:rsid w:val="004B181D"/>
    <w:rsid w:val="004B1CAB"/>
    <w:rsid w:val="004B36ED"/>
    <w:rsid w:val="004B3956"/>
    <w:rsid w:val="004B398F"/>
    <w:rsid w:val="004B3A1F"/>
    <w:rsid w:val="004B3D44"/>
    <w:rsid w:val="004B3FD4"/>
    <w:rsid w:val="004B41B5"/>
    <w:rsid w:val="004B4812"/>
    <w:rsid w:val="004B493D"/>
    <w:rsid w:val="004B50AB"/>
    <w:rsid w:val="004B57A6"/>
    <w:rsid w:val="004B612E"/>
    <w:rsid w:val="004B623B"/>
    <w:rsid w:val="004B63F2"/>
    <w:rsid w:val="004B676E"/>
    <w:rsid w:val="004B677A"/>
    <w:rsid w:val="004C04A8"/>
    <w:rsid w:val="004C1315"/>
    <w:rsid w:val="004C1BAB"/>
    <w:rsid w:val="004C2155"/>
    <w:rsid w:val="004C21B7"/>
    <w:rsid w:val="004C2939"/>
    <w:rsid w:val="004C2A81"/>
    <w:rsid w:val="004C3D69"/>
    <w:rsid w:val="004C3E02"/>
    <w:rsid w:val="004C3EE4"/>
    <w:rsid w:val="004C4010"/>
    <w:rsid w:val="004C422D"/>
    <w:rsid w:val="004C4CEB"/>
    <w:rsid w:val="004C5853"/>
    <w:rsid w:val="004C5CF1"/>
    <w:rsid w:val="004C66A9"/>
    <w:rsid w:val="004C6D8E"/>
    <w:rsid w:val="004C7A27"/>
    <w:rsid w:val="004C7CAC"/>
    <w:rsid w:val="004C7CE4"/>
    <w:rsid w:val="004D000F"/>
    <w:rsid w:val="004D0551"/>
    <w:rsid w:val="004D0C22"/>
    <w:rsid w:val="004D0D3E"/>
    <w:rsid w:val="004D0FF9"/>
    <w:rsid w:val="004D28EF"/>
    <w:rsid w:val="004D2A4E"/>
    <w:rsid w:val="004D3733"/>
    <w:rsid w:val="004D3E79"/>
    <w:rsid w:val="004D3EA7"/>
    <w:rsid w:val="004D3EC0"/>
    <w:rsid w:val="004D4AE0"/>
    <w:rsid w:val="004D4D01"/>
    <w:rsid w:val="004D5A88"/>
    <w:rsid w:val="004D69A2"/>
    <w:rsid w:val="004D6D16"/>
    <w:rsid w:val="004D6D2E"/>
    <w:rsid w:val="004D75E2"/>
    <w:rsid w:val="004D7BF4"/>
    <w:rsid w:val="004D7C92"/>
    <w:rsid w:val="004E0471"/>
    <w:rsid w:val="004E0A57"/>
    <w:rsid w:val="004E0E95"/>
    <w:rsid w:val="004E0FDE"/>
    <w:rsid w:val="004E15EF"/>
    <w:rsid w:val="004E19BA"/>
    <w:rsid w:val="004E1AF8"/>
    <w:rsid w:val="004E23D0"/>
    <w:rsid w:val="004E35BF"/>
    <w:rsid w:val="004E38A2"/>
    <w:rsid w:val="004E38B2"/>
    <w:rsid w:val="004E3936"/>
    <w:rsid w:val="004E397D"/>
    <w:rsid w:val="004E3D80"/>
    <w:rsid w:val="004E41C6"/>
    <w:rsid w:val="004E45B6"/>
    <w:rsid w:val="004E503A"/>
    <w:rsid w:val="004E56EA"/>
    <w:rsid w:val="004E57F7"/>
    <w:rsid w:val="004E58E4"/>
    <w:rsid w:val="004E5D9C"/>
    <w:rsid w:val="004E675B"/>
    <w:rsid w:val="004E6B8E"/>
    <w:rsid w:val="004E6E2E"/>
    <w:rsid w:val="004E75CB"/>
    <w:rsid w:val="004E7AC8"/>
    <w:rsid w:val="004F0543"/>
    <w:rsid w:val="004F056B"/>
    <w:rsid w:val="004F0DDD"/>
    <w:rsid w:val="004F114F"/>
    <w:rsid w:val="004F1E2E"/>
    <w:rsid w:val="004F25B7"/>
    <w:rsid w:val="004F3068"/>
    <w:rsid w:val="004F49DD"/>
    <w:rsid w:val="004F4ACD"/>
    <w:rsid w:val="004F578B"/>
    <w:rsid w:val="004F5D6F"/>
    <w:rsid w:val="004F63F8"/>
    <w:rsid w:val="004F713A"/>
    <w:rsid w:val="004F728C"/>
    <w:rsid w:val="004F72AD"/>
    <w:rsid w:val="004F738C"/>
    <w:rsid w:val="004F7408"/>
    <w:rsid w:val="004F7B92"/>
    <w:rsid w:val="00500035"/>
    <w:rsid w:val="00500BDE"/>
    <w:rsid w:val="00500E97"/>
    <w:rsid w:val="00500F7A"/>
    <w:rsid w:val="005011A4"/>
    <w:rsid w:val="005012AD"/>
    <w:rsid w:val="00501CDD"/>
    <w:rsid w:val="00501F97"/>
    <w:rsid w:val="0050241C"/>
    <w:rsid w:val="005027BB"/>
    <w:rsid w:val="0050319C"/>
    <w:rsid w:val="005033A8"/>
    <w:rsid w:val="005037E1"/>
    <w:rsid w:val="00503A18"/>
    <w:rsid w:val="00503B5C"/>
    <w:rsid w:val="00503B96"/>
    <w:rsid w:val="0050456A"/>
    <w:rsid w:val="00505E1D"/>
    <w:rsid w:val="005068E1"/>
    <w:rsid w:val="00506C12"/>
    <w:rsid w:val="00506CE0"/>
    <w:rsid w:val="005070EA"/>
    <w:rsid w:val="0050728A"/>
    <w:rsid w:val="0050760D"/>
    <w:rsid w:val="005077C5"/>
    <w:rsid w:val="0050796D"/>
    <w:rsid w:val="0051082A"/>
    <w:rsid w:val="00510870"/>
    <w:rsid w:val="005110BA"/>
    <w:rsid w:val="0051168A"/>
    <w:rsid w:val="00511823"/>
    <w:rsid w:val="00511DFB"/>
    <w:rsid w:val="00512085"/>
    <w:rsid w:val="00512205"/>
    <w:rsid w:val="005122F4"/>
    <w:rsid w:val="00513FA3"/>
    <w:rsid w:val="005141DA"/>
    <w:rsid w:val="005143FB"/>
    <w:rsid w:val="00514E36"/>
    <w:rsid w:val="005156A6"/>
    <w:rsid w:val="00515ABC"/>
    <w:rsid w:val="00516393"/>
    <w:rsid w:val="00517871"/>
    <w:rsid w:val="00520B4F"/>
    <w:rsid w:val="005215EF"/>
    <w:rsid w:val="00522423"/>
    <w:rsid w:val="00522A54"/>
    <w:rsid w:val="00522CDA"/>
    <w:rsid w:val="00522DB0"/>
    <w:rsid w:val="00523306"/>
    <w:rsid w:val="0052367E"/>
    <w:rsid w:val="00523B66"/>
    <w:rsid w:val="00523F51"/>
    <w:rsid w:val="00524016"/>
    <w:rsid w:val="005244A4"/>
    <w:rsid w:val="00524595"/>
    <w:rsid w:val="00524AD7"/>
    <w:rsid w:val="00525727"/>
    <w:rsid w:val="00525B43"/>
    <w:rsid w:val="0052639A"/>
    <w:rsid w:val="00526477"/>
    <w:rsid w:val="00526691"/>
    <w:rsid w:val="00527E19"/>
    <w:rsid w:val="0053027E"/>
    <w:rsid w:val="00530755"/>
    <w:rsid w:val="0053076D"/>
    <w:rsid w:val="00530F4C"/>
    <w:rsid w:val="0053133D"/>
    <w:rsid w:val="005313F7"/>
    <w:rsid w:val="00531F39"/>
    <w:rsid w:val="00532607"/>
    <w:rsid w:val="00532767"/>
    <w:rsid w:val="005328BA"/>
    <w:rsid w:val="00532F8B"/>
    <w:rsid w:val="00533920"/>
    <w:rsid w:val="00533DC4"/>
    <w:rsid w:val="0053480E"/>
    <w:rsid w:val="00534CB1"/>
    <w:rsid w:val="00534ED5"/>
    <w:rsid w:val="00535324"/>
    <w:rsid w:val="0053540E"/>
    <w:rsid w:val="00535521"/>
    <w:rsid w:val="0053574C"/>
    <w:rsid w:val="00535969"/>
    <w:rsid w:val="00535F4E"/>
    <w:rsid w:val="005371C4"/>
    <w:rsid w:val="0053749F"/>
    <w:rsid w:val="0054125E"/>
    <w:rsid w:val="005419F2"/>
    <w:rsid w:val="0054209B"/>
    <w:rsid w:val="0054216F"/>
    <w:rsid w:val="005422EB"/>
    <w:rsid w:val="0054294B"/>
    <w:rsid w:val="00542969"/>
    <w:rsid w:val="00542D37"/>
    <w:rsid w:val="00542F18"/>
    <w:rsid w:val="00543157"/>
    <w:rsid w:val="00543397"/>
    <w:rsid w:val="005439A1"/>
    <w:rsid w:val="00543C00"/>
    <w:rsid w:val="00544492"/>
    <w:rsid w:val="00544853"/>
    <w:rsid w:val="00544984"/>
    <w:rsid w:val="005450E2"/>
    <w:rsid w:val="00545264"/>
    <w:rsid w:val="005452E2"/>
    <w:rsid w:val="0054549F"/>
    <w:rsid w:val="005456F8"/>
    <w:rsid w:val="0054750F"/>
    <w:rsid w:val="0054786F"/>
    <w:rsid w:val="00547AC8"/>
    <w:rsid w:val="00547BE4"/>
    <w:rsid w:val="0055086B"/>
    <w:rsid w:val="005508E3"/>
    <w:rsid w:val="00550A28"/>
    <w:rsid w:val="00550D43"/>
    <w:rsid w:val="00550DD7"/>
    <w:rsid w:val="005512D5"/>
    <w:rsid w:val="00551350"/>
    <w:rsid w:val="0055175A"/>
    <w:rsid w:val="00551DEC"/>
    <w:rsid w:val="00552096"/>
    <w:rsid w:val="005523F9"/>
    <w:rsid w:val="0055245B"/>
    <w:rsid w:val="0055255F"/>
    <w:rsid w:val="00552717"/>
    <w:rsid w:val="00552D55"/>
    <w:rsid w:val="00553D54"/>
    <w:rsid w:val="00553F9F"/>
    <w:rsid w:val="005545E0"/>
    <w:rsid w:val="00554CB6"/>
    <w:rsid w:val="00554FC3"/>
    <w:rsid w:val="00555523"/>
    <w:rsid w:val="0055563E"/>
    <w:rsid w:val="00555E0D"/>
    <w:rsid w:val="00556796"/>
    <w:rsid w:val="00556E02"/>
    <w:rsid w:val="0055764E"/>
    <w:rsid w:val="00557770"/>
    <w:rsid w:val="0055783F"/>
    <w:rsid w:val="00557CF4"/>
    <w:rsid w:val="00560528"/>
    <w:rsid w:val="00560A5E"/>
    <w:rsid w:val="00560D92"/>
    <w:rsid w:val="00561923"/>
    <w:rsid w:val="00561CA1"/>
    <w:rsid w:val="005630F4"/>
    <w:rsid w:val="0056310A"/>
    <w:rsid w:val="00563C49"/>
    <w:rsid w:val="00564AD0"/>
    <w:rsid w:val="00565AC1"/>
    <w:rsid w:val="00566883"/>
    <w:rsid w:val="00567907"/>
    <w:rsid w:val="00567A04"/>
    <w:rsid w:val="00567F76"/>
    <w:rsid w:val="00570239"/>
    <w:rsid w:val="005704CB"/>
    <w:rsid w:val="00570D7F"/>
    <w:rsid w:val="005710A9"/>
    <w:rsid w:val="00571D59"/>
    <w:rsid w:val="00572E3E"/>
    <w:rsid w:val="00573335"/>
    <w:rsid w:val="00573619"/>
    <w:rsid w:val="005737F5"/>
    <w:rsid w:val="00573860"/>
    <w:rsid w:val="00573EE9"/>
    <w:rsid w:val="005741C2"/>
    <w:rsid w:val="00574209"/>
    <w:rsid w:val="0057420B"/>
    <w:rsid w:val="00574401"/>
    <w:rsid w:val="0057574C"/>
    <w:rsid w:val="00575951"/>
    <w:rsid w:val="00576330"/>
    <w:rsid w:val="00576566"/>
    <w:rsid w:val="00577E70"/>
    <w:rsid w:val="00577E96"/>
    <w:rsid w:val="00577FBB"/>
    <w:rsid w:val="005800F5"/>
    <w:rsid w:val="00580280"/>
    <w:rsid w:val="0058031C"/>
    <w:rsid w:val="00580611"/>
    <w:rsid w:val="0058135A"/>
    <w:rsid w:val="005815FE"/>
    <w:rsid w:val="005817FD"/>
    <w:rsid w:val="00581EDE"/>
    <w:rsid w:val="00582C36"/>
    <w:rsid w:val="00583FDC"/>
    <w:rsid w:val="00584058"/>
    <w:rsid w:val="005847E2"/>
    <w:rsid w:val="00585571"/>
    <w:rsid w:val="005855F8"/>
    <w:rsid w:val="00585991"/>
    <w:rsid w:val="00585B91"/>
    <w:rsid w:val="00585D45"/>
    <w:rsid w:val="00586BF1"/>
    <w:rsid w:val="005872CC"/>
    <w:rsid w:val="0058745C"/>
    <w:rsid w:val="005903E4"/>
    <w:rsid w:val="00590954"/>
    <w:rsid w:val="00591256"/>
    <w:rsid w:val="005917DF"/>
    <w:rsid w:val="00592264"/>
    <w:rsid w:val="00592899"/>
    <w:rsid w:val="00592A40"/>
    <w:rsid w:val="00593386"/>
    <w:rsid w:val="00593604"/>
    <w:rsid w:val="0059424C"/>
    <w:rsid w:val="005943AE"/>
    <w:rsid w:val="0059442B"/>
    <w:rsid w:val="00594826"/>
    <w:rsid w:val="00594881"/>
    <w:rsid w:val="00594884"/>
    <w:rsid w:val="005950D6"/>
    <w:rsid w:val="00595486"/>
    <w:rsid w:val="005958D0"/>
    <w:rsid w:val="00595D8B"/>
    <w:rsid w:val="005962B6"/>
    <w:rsid w:val="005964BF"/>
    <w:rsid w:val="00596B9C"/>
    <w:rsid w:val="00596ED3"/>
    <w:rsid w:val="0059751C"/>
    <w:rsid w:val="0059786C"/>
    <w:rsid w:val="00597919"/>
    <w:rsid w:val="005A0506"/>
    <w:rsid w:val="005A0861"/>
    <w:rsid w:val="005A0B9F"/>
    <w:rsid w:val="005A0C48"/>
    <w:rsid w:val="005A0D08"/>
    <w:rsid w:val="005A0D31"/>
    <w:rsid w:val="005A2FCE"/>
    <w:rsid w:val="005A3ACA"/>
    <w:rsid w:val="005A3B1B"/>
    <w:rsid w:val="005A42FD"/>
    <w:rsid w:val="005A4707"/>
    <w:rsid w:val="005A496B"/>
    <w:rsid w:val="005A4B19"/>
    <w:rsid w:val="005A4FF1"/>
    <w:rsid w:val="005A5171"/>
    <w:rsid w:val="005A5D1A"/>
    <w:rsid w:val="005A6089"/>
    <w:rsid w:val="005A63D8"/>
    <w:rsid w:val="005A669B"/>
    <w:rsid w:val="005A6E11"/>
    <w:rsid w:val="005A73D7"/>
    <w:rsid w:val="005A7DBE"/>
    <w:rsid w:val="005B009D"/>
    <w:rsid w:val="005B021B"/>
    <w:rsid w:val="005B03F8"/>
    <w:rsid w:val="005B075B"/>
    <w:rsid w:val="005B0A62"/>
    <w:rsid w:val="005B0AEE"/>
    <w:rsid w:val="005B1082"/>
    <w:rsid w:val="005B1BEC"/>
    <w:rsid w:val="005B1DFA"/>
    <w:rsid w:val="005B1EB5"/>
    <w:rsid w:val="005B204B"/>
    <w:rsid w:val="005B2C3A"/>
    <w:rsid w:val="005B32CE"/>
    <w:rsid w:val="005B33DC"/>
    <w:rsid w:val="005B34EE"/>
    <w:rsid w:val="005B3568"/>
    <w:rsid w:val="005B3606"/>
    <w:rsid w:val="005B38B6"/>
    <w:rsid w:val="005B446E"/>
    <w:rsid w:val="005B49B6"/>
    <w:rsid w:val="005B4D55"/>
    <w:rsid w:val="005B5D5E"/>
    <w:rsid w:val="005B5FDA"/>
    <w:rsid w:val="005B68A7"/>
    <w:rsid w:val="005B6AD2"/>
    <w:rsid w:val="005B6E36"/>
    <w:rsid w:val="005B74C5"/>
    <w:rsid w:val="005B7733"/>
    <w:rsid w:val="005B7976"/>
    <w:rsid w:val="005B7A22"/>
    <w:rsid w:val="005C00C1"/>
    <w:rsid w:val="005C047D"/>
    <w:rsid w:val="005C0602"/>
    <w:rsid w:val="005C12A6"/>
    <w:rsid w:val="005C1D73"/>
    <w:rsid w:val="005C2114"/>
    <w:rsid w:val="005C2362"/>
    <w:rsid w:val="005C25DD"/>
    <w:rsid w:val="005C2AB0"/>
    <w:rsid w:val="005C2E28"/>
    <w:rsid w:val="005C3015"/>
    <w:rsid w:val="005C3069"/>
    <w:rsid w:val="005C30A3"/>
    <w:rsid w:val="005C343C"/>
    <w:rsid w:val="005C37F5"/>
    <w:rsid w:val="005C3BD3"/>
    <w:rsid w:val="005C40C7"/>
    <w:rsid w:val="005C42B0"/>
    <w:rsid w:val="005C4A96"/>
    <w:rsid w:val="005C4C7F"/>
    <w:rsid w:val="005C57C8"/>
    <w:rsid w:val="005C63FA"/>
    <w:rsid w:val="005C6F54"/>
    <w:rsid w:val="005C75D1"/>
    <w:rsid w:val="005C773A"/>
    <w:rsid w:val="005C7C28"/>
    <w:rsid w:val="005D0512"/>
    <w:rsid w:val="005D058E"/>
    <w:rsid w:val="005D082B"/>
    <w:rsid w:val="005D0976"/>
    <w:rsid w:val="005D097F"/>
    <w:rsid w:val="005D0E7C"/>
    <w:rsid w:val="005D10BA"/>
    <w:rsid w:val="005D1576"/>
    <w:rsid w:val="005D1762"/>
    <w:rsid w:val="005D1D9F"/>
    <w:rsid w:val="005D2217"/>
    <w:rsid w:val="005D2667"/>
    <w:rsid w:val="005D3EBB"/>
    <w:rsid w:val="005D42B4"/>
    <w:rsid w:val="005D4CF7"/>
    <w:rsid w:val="005D51D9"/>
    <w:rsid w:val="005D5347"/>
    <w:rsid w:val="005D570F"/>
    <w:rsid w:val="005D5CC5"/>
    <w:rsid w:val="005D5DCA"/>
    <w:rsid w:val="005D5E85"/>
    <w:rsid w:val="005D63B4"/>
    <w:rsid w:val="005D6732"/>
    <w:rsid w:val="005D787B"/>
    <w:rsid w:val="005D7E93"/>
    <w:rsid w:val="005E0949"/>
    <w:rsid w:val="005E12BE"/>
    <w:rsid w:val="005E1467"/>
    <w:rsid w:val="005E1F3C"/>
    <w:rsid w:val="005E241F"/>
    <w:rsid w:val="005E281B"/>
    <w:rsid w:val="005E3154"/>
    <w:rsid w:val="005E3DF8"/>
    <w:rsid w:val="005E43B5"/>
    <w:rsid w:val="005E4660"/>
    <w:rsid w:val="005E4F66"/>
    <w:rsid w:val="005E515C"/>
    <w:rsid w:val="005E6499"/>
    <w:rsid w:val="005E6505"/>
    <w:rsid w:val="005E75E3"/>
    <w:rsid w:val="005E7ECD"/>
    <w:rsid w:val="005F0215"/>
    <w:rsid w:val="005F1267"/>
    <w:rsid w:val="005F1D43"/>
    <w:rsid w:val="005F2AC1"/>
    <w:rsid w:val="005F2EA8"/>
    <w:rsid w:val="005F322F"/>
    <w:rsid w:val="005F3322"/>
    <w:rsid w:val="005F3751"/>
    <w:rsid w:val="005F3EC3"/>
    <w:rsid w:val="005F4136"/>
    <w:rsid w:val="005F446D"/>
    <w:rsid w:val="005F5051"/>
    <w:rsid w:val="005F584B"/>
    <w:rsid w:val="005F64C6"/>
    <w:rsid w:val="005F76FB"/>
    <w:rsid w:val="005F784D"/>
    <w:rsid w:val="005F7A0B"/>
    <w:rsid w:val="005F7DAE"/>
    <w:rsid w:val="0060081A"/>
    <w:rsid w:val="00600828"/>
    <w:rsid w:val="006008F1"/>
    <w:rsid w:val="00600C01"/>
    <w:rsid w:val="00600E1B"/>
    <w:rsid w:val="00601735"/>
    <w:rsid w:val="00601BE4"/>
    <w:rsid w:val="006025F2"/>
    <w:rsid w:val="00602AC4"/>
    <w:rsid w:val="00602B46"/>
    <w:rsid w:val="00602BD2"/>
    <w:rsid w:val="006034BF"/>
    <w:rsid w:val="006039B8"/>
    <w:rsid w:val="00604B87"/>
    <w:rsid w:val="00604CBC"/>
    <w:rsid w:val="00604E04"/>
    <w:rsid w:val="00605275"/>
    <w:rsid w:val="00605529"/>
    <w:rsid w:val="00605CAB"/>
    <w:rsid w:val="00605DAE"/>
    <w:rsid w:val="00605DB9"/>
    <w:rsid w:val="0060650E"/>
    <w:rsid w:val="006065CF"/>
    <w:rsid w:val="00606E5D"/>
    <w:rsid w:val="006075BE"/>
    <w:rsid w:val="006076EF"/>
    <w:rsid w:val="006079C8"/>
    <w:rsid w:val="00607C70"/>
    <w:rsid w:val="00610F39"/>
    <w:rsid w:val="00611079"/>
    <w:rsid w:val="00611A4C"/>
    <w:rsid w:val="00612E59"/>
    <w:rsid w:val="0061315B"/>
    <w:rsid w:val="00613648"/>
    <w:rsid w:val="00613C12"/>
    <w:rsid w:val="00613C47"/>
    <w:rsid w:val="00614071"/>
    <w:rsid w:val="00614292"/>
    <w:rsid w:val="006148AC"/>
    <w:rsid w:val="00615654"/>
    <w:rsid w:val="00616201"/>
    <w:rsid w:val="00616225"/>
    <w:rsid w:val="00616C1C"/>
    <w:rsid w:val="00616D5E"/>
    <w:rsid w:val="00616EEC"/>
    <w:rsid w:val="00617270"/>
    <w:rsid w:val="006174C5"/>
    <w:rsid w:val="00617A8B"/>
    <w:rsid w:val="00617C23"/>
    <w:rsid w:val="006200B8"/>
    <w:rsid w:val="0062040C"/>
    <w:rsid w:val="00620422"/>
    <w:rsid w:val="00620A9B"/>
    <w:rsid w:val="006219E3"/>
    <w:rsid w:val="0062224C"/>
    <w:rsid w:val="00622FEA"/>
    <w:rsid w:val="006234A7"/>
    <w:rsid w:val="006237D6"/>
    <w:rsid w:val="006237EE"/>
    <w:rsid w:val="006238B2"/>
    <w:rsid w:val="00623B67"/>
    <w:rsid w:val="00623CDF"/>
    <w:rsid w:val="00623DB1"/>
    <w:rsid w:val="00623E78"/>
    <w:rsid w:val="006241D2"/>
    <w:rsid w:val="006245F3"/>
    <w:rsid w:val="00624B63"/>
    <w:rsid w:val="00624E6F"/>
    <w:rsid w:val="0062529D"/>
    <w:rsid w:val="006252E6"/>
    <w:rsid w:val="0062552F"/>
    <w:rsid w:val="00625B47"/>
    <w:rsid w:val="006267E8"/>
    <w:rsid w:val="00626A11"/>
    <w:rsid w:val="00626BE7"/>
    <w:rsid w:val="0062726B"/>
    <w:rsid w:val="00627353"/>
    <w:rsid w:val="00627ED6"/>
    <w:rsid w:val="006304D2"/>
    <w:rsid w:val="006307EF"/>
    <w:rsid w:val="00630C76"/>
    <w:rsid w:val="006319CA"/>
    <w:rsid w:val="00633107"/>
    <w:rsid w:val="00634932"/>
    <w:rsid w:val="00634CD1"/>
    <w:rsid w:val="00634E71"/>
    <w:rsid w:val="00634EC0"/>
    <w:rsid w:val="00635233"/>
    <w:rsid w:val="0063627F"/>
    <w:rsid w:val="006362FE"/>
    <w:rsid w:val="006364D6"/>
    <w:rsid w:val="006370A6"/>
    <w:rsid w:val="00637A76"/>
    <w:rsid w:val="00637EE5"/>
    <w:rsid w:val="00640E07"/>
    <w:rsid w:val="006411E4"/>
    <w:rsid w:val="006412A5"/>
    <w:rsid w:val="0064140B"/>
    <w:rsid w:val="006419A2"/>
    <w:rsid w:val="00642012"/>
    <w:rsid w:val="0064266A"/>
    <w:rsid w:val="00642D72"/>
    <w:rsid w:val="006431BC"/>
    <w:rsid w:val="00643671"/>
    <w:rsid w:val="00643819"/>
    <w:rsid w:val="00643B4C"/>
    <w:rsid w:val="00643F85"/>
    <w:rsid w:val="006443CB"/>
    <w:rsid w:val="00644A19"/>
    <w:rsid w:val="00644B55"/>
    <w:rsid w:val="00644F80"/>
    <w:rsid w:val="00645874"/>
    <w:rsid w:val="006478DA"/>
    <w:rsid w:val="006479E0"/>
    <w:rsid w:val="00647A43"/>
    <w:rsid w:val="00647F7B"/>
    <w:rsid w:val="0065074A"/>
    <w:rsid w:val="0065116C"/>
    <w:rsid w:val="00651E96"/>
    <w:rsid w:val="00652423"/>
    <w:rsid w:val="006533F3"/>
    <w:rsid w:val="00653579"/>
    <w:rsid w:val="00653F6B"/>
    <w:rsid w:val="00653FE6"/>
    <w:rsid w:val="0065446A"/>
    <w:rsid w:val="00654C11"/>
    <w:rsid w:val="006551F6"/>
    <w:rsid w:val="0065552B"/>
    <w:rsid w:val="006558F8"/>
    <w:rsid w:val="00656662"/>
    <w:rsid w:val="006566ED"/>
    <w:rsid w:val="00656B4B"/>
    <w:rsid w:val="00660024"/>
    <w:rsid w:val="00660B46"/>
    <w:rsid w:val="00660F6F"/>
    <w:rsid w:val="00661918"/>
    <w:rsid w:val="0066199E"/>
    <w:rsid w:val="00661CD2"/>
    <w:rsid w:val="00661F08"/>
    <w:rsid w:val="00662130"/>
    <w:rsid w:val="00662453"/>
    <w:rsid w:val="00662889"/>
    <w:rsid w:val="00662A5A"/>
    <w:rsid w:val="00662B7E"/>
    <w:rsid w:val="00662F7D"/>
    <w:rsid w:val="0066318E"/>
    <w:rsid w:val="006647A9"/>
    <w:rsid w:val="00664875"/>
    <w:rsid w:val="00664938"/>
    <w:rsid w:val="006649BD"/>
    <w:rsid w:val="00664CE3"/>
    <w:rsid w:val="006650F7"/>
    <w:rsid w:val="006653D7"/>
    <w:rsid w:val="006654F3"/>
    <w:rsid w:val="00665F5E"/>
    <w:rsid w:val="00666091"/>
    <w:rsid w:val="0066657E"/>
    <w:rsid w:val="006665BA"/>
    <w:rsid w:val="006665FE"/>
    <w:rsid w:val="00666A4F"/>
    <w:rsid w:val="00666B25"/>
    <w:rsid w:val="00667106"/>
    <w:rsid w:val="00667460"/>
    <w:rsid w:val="00667FC6"/>
    <w:rsid w:val="006703AA"/>
    <w:rsid w:val="006703D9"/>
    <w:rsid w:val="00670473"/>
    <w:rsid w:val="006704B8"/>
    <w:rsid w:val="006704F6"/>
    <w:rsid w:val="006708EA"/>
    <w:rsid w:val="00670947"/>
    <w:rsid w:val="00671091"/>
    <w:rsid w:val="00671AC7"/>
    <w:rsid w:val="00671EB7"/>
    <w:rsid w:val="00672569"/>
    <w:rsid w:val="0067281B"/>
    <w:rsid w:val="0067426D"/>
    <w:rsid w:val="0067545E"/>
    <w:rsid w:val="00675611"/>
    <w:rsid w:val="00676062"/>
    <w:rsid w:val="00676C72"/>
    <w:rsid w:val="00676E43"/>
    <w:rsid w:val="00677435"/>
    <w:rsid w:val="00677C33"/>
    <w:rsid w:val="00680936"/>
    <w:rsid w:val="00680D8C"/>
    <w:rsid w:val="0068165C"/>
    <w:rsid w:val="006818B4"/>
    <w:rsid w:val="00681B25"/>
    <w:rsid w:val="00681C66"/>
    <w:rsid w:val="00681D8C"/>
    <w:rsid w:val="00681DEA"/>
    <w:rsid w:val="006820E0"/>
    <w:rsid w:val="00682221"/>
    <w:rsid w:val="006826B4"/>
    <w:rsid w:val="00682725"/>
    <w:rsid w:val="00682A2D"/>
    <w:rsid w:val="00682D87"/>
    <w:rsid w:val="00683502"/>
    <w:rsid w:val="00683A1C"/>
    <w:rsid w:val="00683C37"/>
    <w:rsid w:val="00683E4E"/>
    <w:rsid w:val="00684387"/>
    <w:rsid w:val="006845A2"/>
    <w:rsid w:val="006853A4"/>
    <w:rsid w:val="006853C3"/>
    <w:rsid w:val="006862B9"/>
    <w:rsid w:val="00686546"/>
    <w:rsid w:val="006876CE"/>
    <w:rsid w:val="006877FF"/>
    <w:rsid w:val="0068793A"/>
    <w:rsid w:val="00687B34"/>
    <w:rsid w:val="00690781"/>
    <w:rsid w:val="00690B17"/>
    <w:rsid w:val="0069128F"/>
    <w:rsid w:val="00691404"/>
    <w:rsid w:val="00691415"/>
    <w:rsid w:val="00691580"/>
    <w:rsid w:val="00691C9D"/>
    <w:rsid w:val="0069207C"/>
    <w:rsid w:val="006920A6"/>
    <w:rsid w:val="00692582"/>
    <w:rsid w:val="00692DAF"/>
    <w:rsid w:val="00692FF6"/>
    <w:rsid w:val="006935A7"/>
    <w:rsid w:val="00693652"/>
    <w:rsid w:val="006939E7"/>
    <w:rsid w:val="00693D3E"/>
    <w:rsid w:val="006942F7"/>
    <w:rsid w:val="00694475"/>
    <w:rsid w:val="00694564"/>
    <w:rsid w:val="006946B2"/>
    <w:rsid w:val="00695396"/>
    <w:rsid w:val="006954A0"/>
    <w:rsid w:val="00695620"/>
    <w:rsid w:val="00695659"/>
    <w:rsid w:val="00695D76"/>
    <w:rsid w:val="00695DCE"/>
    <w:rsid w:val="00696142"/>
    <w:rsid w:val="00696A0F"/>
    <w:rsid w:val="006971D2"/>
    <w:rsid w:val="00697AE8"/>
    <w:rsid w:val="00697F01"/>
    <w:rsid w:val="006A017C"/>
    <w:rsid w:val="006A15BA"/>
    <w:rsid w:val="006A1AAE"/>
    <w:rsid w:val="006A1D60"/>
    <w:rsid w:val="006A2150"/>
    <w:rsid w:val="006A241D"/>
    <w:rsid w:val="006A3288"/>
    <w:rsid w:val="006A35A2"/>
    <w:rsid w:val="006A3939"/>
    <w:rsid w:val="006A3C54"/>
    <w:rsid w:val="006A3CB4"/>
    <w:rsid w:val="006A43E6"/>
    <w:rsid w:val="006A45B1"/>
    <w:rsid w:val="006A470C"/>
    <w:rsid w:val="006A4893"/>
    <w:rsid w:val="006A4A1E"/>
    <w:rsid w:val="006A4D1D"/>
    <w:rsid w:val="006A4FC1"/>
    <w:rsid w:val="006A50C7"/>
    <w:rsid w:val="006A5136"/>
    <w:rsid w:val="006A53B9"/>
    <w:rsid w:val="006A5E28"/>
    <w:rsid w:val="006A5E65"/>
    <w:rsid w:val="006A692E"/>
    <w:rsid w:val="006A6A3A"/>
    <w:rsid w:val="006A6E33"/>
    <w:rsid w:val="006A6E5E"/>
    <w:rsid w:val="006A70BE"/>
    <w:rsid w:val="006A7662"/>
    <w:rsid w:val="006A786D"/>
    <w:rsid w:val="006A7F39"/>
    <w:rsid w:val="006B0121"/>
    <w:rsid w:val="006B0128"/>
    <w:rsid w:val="006B059F"/>
    <w:rsid w:val="006B0BA9"/>
    <w:rsid w:val="006B134D"/>
    <w:rsid w:val="006B182B"/>
    <w:rsid w:val="006B1A20"/>
    <w:rsid w:val="006B1C7C"/>
    <w:rsid w:val="006B1EC8"/>
    <w:rsid w:val="006B2136"/>
    <w:rsid w:val="006B3086"/>
    <w:rsid w:val="006B4547"/>
    <w:rsid w:val="006B63D8"/>
    <w:rsid w:val="006B6F32"/>
    <w:rsid w:val="006B7130"/>
    <w:rsid w:val="006B7D4A"/>
    <w:rsid w:val="006B7EF5"/>
    <w:rsid w:val="006C06F7"/>
    <w:rsid w:val="006C1294"/>
    <w:rsid w:val="006C201C"/>
    <w:rsid w:val="006C2F42"/>
    <w:rsid w:val="006C397B"/>
    <w:rsid w:val="006C408A"/>
    <w:rsid w:val="006C4150"/>
    <w:rsid w:val="006C4F75"/>
    <w:rsid w:val="006C507B"/>
    <w:rsid w:val="006C5186"/>
    <w:rsid w:val="006C51DA"/>
    <w:rsid w:val="006C5214"/>
    <w:rsid w:val="006C5683"/>
    <w:rsid w:val="006C5E33"/>
    <w:rsid w:val="006C5E48"/>
    <w:rsid w:val="006C6434"/>
    <w:rsid w:val="006C6552"/>
    <w:rsid w:val="006C65CC"/>
    <w:rsid w:val="006C6B08"/>
    <w:rsid w:val="006C6CD8"/>
    <w:rsid w:val="006C6CF4"/>
    <w:rsid w:val="006C75A8"/>
    <w:rsid w:val="006D013F"/>
    <w:rsid w:val="006D017F"/>
    <w:rsid w:val="006D0301"/>
    <w:rsid w:val="006D032D"/>
    <w:rsid w:val="006D08DF"/>
    <w:rsid w:val="006D0A14"/>
    <w:rsid w:val="006D10BF"/>
    <w:rsid w:val="006D1C72"/>
    <w:rsid w:val="006D1D3F"/>
    <w:rsid w:val="006D20B4"/>
    <w:rsid w:val="006D211A"/>
    <w:rsid w:val="006D2145"/>
    <w:rsid w:val="006D253B"/>
    <w:rsid w:val="006D3441"/>
    <w:rsid w:val="006D35DB"/>
    <w:rsid w:val="006D3C4F"/>
    <w:rsid w:val="006D3D5E"/>
    <w:rsid w:val="006D44D0"/>
    <w:rsid w:val="006D5625"/>
    <w:rsid w:val="006D57CB"/>
    <w:rsid w:val="006D5A82"/>
    <w:rsid w:val="006D5D92"/>
    <w:rsid w:val="006D60EE"/>
    <w:rsid w:val="006D6550"/>
    <w:rsid w:val="006D6CDD"/>
    <w:rsid w:val="006D719D"/>
    <w:rsid w:val="006D7444"/>
    <w:rsid w:val="006D7A4C"/>
    <w:rsid w:val="006E044C"/>
    <w:rsid w:val="006E1267"/>
    <w:rsid w:val="006E2251"/>
    <w:rsid w:val="006E2AF2"/>
    <w:rsid w:val="006E36D4"/>
    <w:rsid w:val="006E3992"/>
    <w:rsid w:val="006E3AAD"/>
    <w:rsid w:val="006E4238"/>
    <w:rsid w:val="006E4239"/>
    <w:rsid w:val="006E447A"/>
    <w:rsid w:val="006E44FC"/>
    <w:rsid w:val="006E4511"/>
    <w:rsid w:val="006E4560"/>
    <w:rsid w:val="006E665F"/>
    <w:rsid w:val="006E6948"/>
    <w:rsid w:val="006E71FE"/>
    <w:rsid w:val="006E720E"/>
    <w:rsid w:val="006E7B97"/>
    <w:rsid w:val="006E7C1C"/>
    <w:rsid w:val="006E7D23"/>
    <w:rsid w:val="006F05FD"/>
    <w:rsid w:val="006F063E"/>
    <w:rsid w:val="006F0B83"/>
    <w:rsid w:val="006F15F3"/>
    <w:rsid w:val="006F1BBB"/>
    <w:rsid w:val="006F1C92"/>
    <w:rsid w:val="006F2173"/>
    <w:rsid w:val="006F2318"/>
    <w:rsid w:val="006F2550"/>
    <w:rsid w:val="006F2CA3"/>
    <w:rsid w:val="006F3B10"/>
    <w:rsid w:val="006F3EA8"/>
    <w:rsid w:val="006F41BA"/>
    <w:rsid w:val="006F41E7"/>
    <w:rsid w:val="006F4740"/>
    <w:rsid w:val="006F49A7"/>
    <w:rsid w:val="006F4CB8"/>
    <w:rsid w:val="006F568F"/>
    <w:rsid w:val="006F6798"/>
    <w:rsid w:val="006F6D4C"/>
    <w:rsid w:val="006F6E67"/>
    <w:rsid w:val="006F7157"/>
    <w:rsid w:val="006F78E0"/>
    <w:rsid w:val="006F7BF5"/>
    <w:rsid w:val="006F7FE0"/>
    <w:rsid w:val="0070032D"/>
    <w:rsid w:val="00701590"/>
    <w:rsid w:val="00701CF4"/>
    <w:rsid w:val="007020E9"/>
    <w:rsid w:val="00702150"/>
    <w:rsid w:val="00702B1B"/>
    <w:rsid w:val="00702CFE"/>
    <w:rsid w:val="0070395E"/>
    <w:rsid w:val="00704164"/>
    <w:rsid w:val="00704531"/>
    <w:rsid w:val="00704E3D"/>
    <w:rsid w:val="00705031"/>
    <w:rsid w:val="007053D4"/>
    <w:rsid w:val="00705F52"/>
    <w:rsid w:val="00706277"/>
    <w:rsid w:val="0070651E"/>
    <w:rsid w:val="00706A58"/>
    <w:rsid w:val="00706C93"/>
    <w:rsid w:val="00710253"/>
    <w:rsid w:val="00710437"/>
    <w:rsid w:val="00711022"/>
    <w:rsid w:val="007110E1"/>
    <w:rsid w:val="00711CFE"/>
    <w:rsid w:val="00711DED"/>
    <w:rsid w:val="00712584"/>
    <w:rsid w:val="007127F4"/>
    <w:rsid w:val="00713662"/>
    <w:rsid w:val="007139C3"/>
    <w:rsid w:val="007142A7"/>
    <w:rsid w:val="00714394"/>
    <w:rsid w:val="007143BC"/>
    <w:rsid w:val="00714C0F"/>
    <w:rsid w:val="00714E44"/>
    <w:rsid w:val="007150B9"/>
    <w:rsid w:val="00715639"/>
    <w:rsid w:val="00715AAC"/>
    <w:rsid w:val="007163F8"/>
    <w:rsid w:val="00716498"/>
    <w:rsid w:val="00716B9D"/>
    <w:rsid w:val="00716D40"/>
    <w:rsid w:val="00716E93"/>
    <w:rsid w:val="0071729C"/>
    <w:rsid w:val="00720A0F"/>
    <w:rsid w:val="00720A60"/>
    <w:rsid w:val="00720ADE"/>
    <w:rsid w:val="007210F5"/>
    <w:rsid w:val="00721235"/>
    <w:rsid w:val="00721282"/>
    <w:rsid w:val="007213BB"/>
    <w:rsid w:val="00721946"/>
    <w:rsid w:val="00721AFE"/>
    <w:rsid w:val="00721F7E"/>
    <w:rsid w:val="00721FE5"/>
    <w:rsid w:val="0072238C"/>
    <w:rsid w:val="007225B1"/>
    <w:rsid w:val="00722E29"/>
    <w:rsid w:val="007238C5"/>
    <w:rsid w:val="00724606"/>
    <w:rsid w:val="00724E85"/>
    <w:rsid w:val="00725860"/>
    <w:rsid w:val="00725FAE"/>
    <w:rsid w:val="007266DD"/>
    <w:rsid w:val="00726B00"/>
    <w:rsid w:val="00726DA7"/>
    <w:rsid w:val="00727583"/>
    <w:rsid w:val="00730073"/>
    <w:rsid w:val="00730F89"/>
    <w:rsid w:val="007314D4"/>
    <w:rsid w:val="00732E20"/>
    <w:rsid w:val="00733025"/>
    <w:rsid w:val="007334DC"/>
    <w:rsid w:val="00734887"/>
    <w:rsid w:val="00734994"/>
    <w:rsid w:val="00735BFA"/>
    <w:rsid w:val="0073642E"/>
    <w:rsid w:val="007365B6"/>
    <w:rsid w:val="00736B84"/>
    <w:rsid w:val="00737EBD"/>
    <w:rsid w:val="007401E2"/>
    <w:rsid w:val="0074077D"/>
    <w:rsid w:val="0074081A"/>
    <w:rsid w:val="00740B49"/>
    <w:rsid w:val="00740E33"/>
    <w:rsid w:val="007411E5"/>
    <w:rsid w:val="00741697"/>
    <w:rsid w:val="00742F8A"/>
    <w:rsid w:val="007431CD"/>
    <w:rsid w:val="007443C2"/>
    <w:rsid w:val="007447A4"/>
    <w:rsid w:val="00744FA3"/>
    <w:rsid w:val="00745385"/>
    <w:rsid w:val="00745726"/>
    <w:rsid w:val="00745AE0"/>
    <w:rsid w:val="00746951"/>
    <w:rsid w:val="0074722C"/>
    <w:rsid w:val="0074751B"/>
    <w:rsid w:val="0074791E"/>
    <w:rsid w:val="0075001A"/>
    <w:rsid w:val="00750376"/>
    <w:rsid w:val="00750904"/>
    <w:rsid w:val="00750A08"/>
    <w:rsid w:val="00750A66"/>
    <w:rsid w:val="00750B28"/>
    <w:rsid w:val="00750D30"/>
    <w:rsid w:val="0075115D"/>
    <w:rsid w:val="007517F3"/>
    <w:rsid w:val="00751A01"/>
    <w:rsid w:val="007523F2"/>
    <w:rsid w:val="007524D7"/>
    <w:rsid w:val="0075283C"/>
    <w:rsid w:val="00753069"/>
    <w:rsid w:val="0075372E"/>
    <w:rsid w:val="00753890"/>
    <w:rsid w:val="00753B7D"/>
    <w:rsid w:val="00754A33"/>
    <w:rsid w:val="00754EEC"/>
    <w:rsid w:val="0075500C"/>
    <w:rsid w:val="0075501A"/>
    <w:rsid w:val="007555DF"/>
    <w:rsid w:val="00755818"/>
    <w:rsid w:val="00755D21"/>
    <w:rsid w:val="00755E75"/>
    <w:rsid w:val="007564E1"/>
    <w:rsid w:val="007565B5"/>
    <w:rsid w:val="00756C43"/>
    <w:rsid w:val="0075775A"/>
    <w:rsid w:val="007600E6"/>
    <w:rsid w:val="00760C40"/>
    <w:rsid w:val="00760D49"/>
    <w:rsid w:val="00760FBE"/>
    <w:rsid w:val="0076118F"/>
    <w:rsid w:val="00761434"/>
    <w:rsid w:val="00761721"/>
    <w:rsid w:val="007618EF"/>
    <w:rsid w:val="00761ADD"/>
    <w:rsid w:val="00761FD5"/>
    <w:rsid w:val="00763B6C"/>
    <w:rsid w:val="00763DB6"/>
    <w:rsid w:val="00764054"/>
    <w:rsid w:val="00764F70"/>
    <w:rsid w:val="00765CC3"/>
    <w:rsid w:val="00765DD8"/>
    <w:rsid w:val="007666DD"/>
    <w:rsid w:val="007669D3"/>
    <w:rsid w:val="00766D36"/>
    <w:rsid w:val="007673C6"/>
    <w:rsid w:val="00767607"/>
    <w:rsid w:val="00767985"/>
    <w:rsid w:val="007709CB"/>
    <w:rsid w:val="0077158D"/>
    <w:rsid w:val="0077165F"/>
    <w:rsid w:val="00772803"/>
    <w:rsid w:val="00772EDF"/>
    <w:rsid w:val="00772FA4"/>
    <w:rsid w:val="007735C4"/>
    <w:rsid w:val="00773874"/>
    <w:rsid w:val="00773D56"/>
    <w:rsid w:val="0077477A"/>
    <w:rsid w:val="00774BFF"/>
    <w:rsid w:val="00774FDC"/>
    <w:rsid w:val="00775048"/>
    <w:rsid w:val="00775273"/>
    <w:rsid w:val="00775861"/>
    <w:rsid w:val="00775952"/>
    <w:rsid w:val="00775B52"/>
    <w:rsid w:val="00775EED"/>
    <w:rsid w:val="007762C6"/>
    <w:rsid w:val="007765DF"/>
    <w:rsid w:val="007770B9"/>
    <w:rsid w:val="00777117"/>
    <w:rsid w:val="00780A4F"/>
    <w:rsid w:val="00780D88"/>
    <w:rsid w:val="00780F42"/>
    <w:rsid w:val="0078126C"/>
    <w:rsid w:val="00781AD1"/>
    <w:rsid w:val="0078258B"/>
    <w:rsid w:val="00783BCC"/>
    <w:rsid w:val="007840F3"/>
    <w:rsid w:val="00784121"/>
    <w:rsid w:val="007842A0"/>
    <w:rsid w:val="00784315"/>
    <w:rsid w:val="00784B64"/>
    <w:rsid w:val="00784D55"/>
    <w:rsid w:val="00785491"/>
    <w:rsid w:val="007858C0"/>
    <w:rsid w:val="007863BB"/>
    <w:rsid w:val="0078665C"/>
    <w:rsid w:val="0078679A"/>
    <w:rsid w:val="00786E65"/>
    <w:rsid w:val="0078707F"/>
    <w:rsid w:val="0078731C"/>
    <w:rsid w:val="00787678"/>
    <w:rsid w:val="00787F23"/>
    <w:rsid w:val="007900CB"/>
    <w:rsid w:val="00790739"/>
    <w:rsid w:val="00790DFB"/>
    <w:rsid w:val="00791B10"/>
    <w:rsid w:val="00791E8B"/>
    <w:rsid w:val="00792447"/>
    <w:rsid w:val="0079251D"/>
    <w:rsid w:val="00792659"/>
    <w:rsid w:val="00792679"/>
    <w:rsid w:val="0079270E"/>
    <w:rsid w:val="00792855"/>
    <w:rsid w:val="00794390"/>
    <w:rsid w:val="0079439A"/>
    <w:rsid w:val="00794A05"/>
    <w:rsid w:val="007957F4"/>
    <w:rsid w:val="00795950"/>
    <w:rsid w:val="00795B64"/>
    <w:rsid w:val="0079656B"/>
    <w:rsid w:val="0079694C"/>
    <w:rsid w:val="00796DBD"/>
    <w:rsid w:val="00797E9D"/>
    <w:rsid w:val="00797FAD"/>
    <w:rsid w:val="007A0AF5"/>
    <w:rsid w:val="007A100B"/>
    <w:rsid w:val="007A354D"/>
    <w:rsid w:val="007A38D8"/>
    <w:rsid w:val="007A3A64"/>
    <w:rsid w:val="007A3DED"/>
    <w:rsid w:val="007A4C77"/>
    <w:rsid w:val="007A4DEC"/>
    <w:rsid w:val="007A4E17"/>
    <w:rsid w:val="007A520F"/>
    <w:rsid w:val="007A56E3"/>
    <w:rsid w:val="007A5961"/>
    <w:rsid w:val="007A5AC1"/>
    <w:rsid w:val="007A5AF4"/>
    <w:rsid w:val="007A641B"/>
    <w:rsid w:val="007A660D"/>
    <w:rsid w:val="007A68DC"/>
    <w:rsid w:val="007A6D0D"/>
    <w:rsid w:val="007A7394"/>
    <w:rsid w:val="007A7EE5"/>
    <w:rsid w:val="007A7F6D"/>
    <w:rsid w:val="007B04A7"/>
    <w:rsid w:val="007B0522"/>
    <w:rsid w:val="007B0B2B"/>
    <w:rsid w:val="007B0B61"/>
    <w:rsid w:val="007B0FBD"/>
    <w:rsid w:val="007B172E"/>
    <w:rsid w:val="007B1BAF"/>
    <w:rsid w:val="007B1E34"/>
    <w:rsid w:val="007B2245"/>
    <w:rsid w:val="007B225A"/>
    <w:rsid w:val="007B2630"/>
    <w:rsid w:val="007B2896"/>
    <w:rsid w:val="007B2CDD"/>
    <w:rsid w:val="007B3154"/>
    <w:rsid w:val="007B35F7"/>
    <w:rsid w:val="007B3948"/>
    <w:rsid w:val="007B3B4C"/>
    <w:rsid w:val="007B41D6"/>
    <w:rsid w:val="007B4F72"/>
    <w:rsid w:val="007B5445"/>
    <w:rsid w:val="007B58DE"/>
    <w:rsid w:val="007B5C63"/>
    <w:rsid w:val="007B6896"/>
    <w:rsid w:val="007B7764"/>
    <w:rsid w:val="007B79F5"/>
    <w:rsid w:val="007B7AC9"/>
    <w:rsid w:val="007B7BE9"/>
    <w:rsid w:val="007C0A01"/>
    <w:rsid w:val="007C0E04"/>
    <w:rsid w:val="007C123B"/>
    <w:rsid w:val="007C21F1"/>
    <w:rsid w:val="007C24D7"/>
    <w:rsid w:val="007C2647"/>
    <w:rsid w:val="007C2827"/>
    <w:rsid w:val="007C2B1F"/>
    <w:rsid w:val="007C3224"/>
    <w:rsid w:val="007C348F"/>
    <w:rsid w:val="007C34E5"/>
    <w:rsid w:val="007C3813"/>
    <w:rsid w:val="007C3858"/>
    <w:rsid w:val="007C3A26"/>
    <w:rsid w:val="007C3E6A"/>
    <w:rsid w:val="007C41F0"/>
    <w:rsid w:val="007C42C0"/>
    <w:rsid w:val="007C5029"/>
    <w:rsid w:val="007C543F"/>
    <w:rsid w:val="007C5EF9"/>
    <w:rsid w:val="007C6A99"/>
    <w:rsid w:val="007C6BE3"/>
    <w:rsid w:val="007C6DD2"/>
    <w:rsid w:val="007C6E85"/>
    <w:rsid w:val="007C70A7"/>
    <w:rsid w:val="007C73B0"/>
    <w:rsid w:val="007C74E5"/>
    <w:rsid w:val="007C76FB"/>
    <w:rsid w:val="007D024F"/>
    <w:rsid w:val="007D060B"/>
    <w:rsid w:val="007D0E43"/>
    <w:rsid w:val="007D13E7"/>
    <w:rsid w:val="007D1991"/>
    <w:rsid w:val="007D1A65"/>
    <w:rsid w:val="007D1E37"/>
    <w:rsid w:val="007D2037"/>
    <w:rsid w:val="007D232F"/>
    <w:rsid w:val="007D2385"/>
    <w:rsid w:val="007D25D4"/>
    <w:rsid w:val="007D2E2D"/>
    <w:rsid w:val="007D2FF7"/>
    <w:rsid w:val="007D3D9D"/>
    <w:rsid w:val="007D4036"/>
    <w:rsid w:val="007D467A"/>
    <w:rsid w:val="007D48B3"/>
    <w:rsid w:val="007D563E"/>
    <w:rsid w:val="007D5B51"/>
    <w:rsid w:val="007D5FC1"/>
    <w:rsid w:val="007D6B00"/>
    <w:rsid w:val="007D715A"/>
    <w:rsid w:val="007D740C"/>
    <w:rsid w:val="007E0153"/>
    <w:rsid w:val="007E0E9E"/>
    <w:rsid w:val="007E1040"/>
    <w:rsid w:val="007E10A9"/>
    <w:rsid w:val="007E19DC"/>
    <w:rsid w:val="007E21FB"/>
    <w:rsid w:val="007E2347"/>
    <w:rsid w:val="007E26A8"/>
    <w:rsid w:val="007E329D"/>
    <w:rsid w:val="007E39E7"/>
    <w:rsid w:val="007E3AD5"/>
    <w:rsid w:val="007E420B"/>
    <w:rsid w:val="007E47D2"/>
    <w:rsid w:val="007E4932"/>
    <w:rsid w:val="007E49A1"/>
    <w:rsid w:val="007E49D4"/>
    <w:rsid w:val="007E4B8B"/>
    <w:rsid w:val="007E502C"/>
    <w:rsid w:val="007E5153"/>
    <w:rsid w:val="007E5A74"/>
    <w:rsid w:val="007E5BD7"/>
    <w:rsid w:val="007E5F6C"/>
    <w:rsid w:val="007E6023"/>
    <w:rsid w:val="007E6312"/>
    <w:rsid w:val="007E728B"/>
    <w:rsid w:val="007E75F0"/>
    <w:rsid w:val="007E76A3"/>
    <w:rsid w:val="007E784A"/>
    <w:rsid w:val="007E7968"/>
    <w:rsid w:val="007F013A"/>
    <w:rsid w:val="007F067A"/>
    <w:rsid w:val="007F088F"/>
    <w:rsid w:val="007F0C68"/>
    <w:rsid w:val="007F1244"/>
    <w:rsid w:val="007F1FB0"/>
    <w:rsid w:val="007F2188"/>
    <w:rsid w:val="007F2D90"/>
    <w:rsid w:val="007F3F6A"/>
    <w:rsid w:val="007F4211"/>
    <w:rsid w:val="007F4317"/>
    <w:rsid w:val="007F4F82"/>
    <w:rsid w:val="007F54DB"/>
    <w:rsid w:val="007F69DB"/>
    <w:rsid w:val="007F6A9A"/>
    <w:rsid w:val="007F6B93"/>
    <w:rsid w:val="007F6B9F"/>
    <w:rsid w:val="007F709F"/>
    <w:rsid w:val="007F73DA"/>
    <w:rsid w:val="007F78FA"/>
    <w:rsid w:val="008008F3"/>
    <w:rsid w:val="008013D6"/>
    <w:rsid w:val="008014FC"/>
    <w:rsid w:val="00801CA0"/>
    <w:rsid w:val="00801EEA"/>
    <w:rsid w:val="0080248D"/>
    <w:rsid w:val="00802493"/>
    <w:rsid w:val="00802785"/>
    <w:rsid w:val="00803014"/>
    <w:rsid w:val="008030B8"/>
    <w:rsid w:val="008039FE"/>
    <w:rsid w:val="00804653"/>
    <w:rsid w:val="00805D36"/>
    <w:rsid w:val="00806336"/>
    <w:rsid w:val="008066F8"/>
    <w:rsid w:val="00806A84"/>
    <w:rsid w:val="00806F66"/>
    <w:rsid w:val="008073D2"/>
    <w:rsid w:val="00807C6C"/>
    <w:rsid w:val="00811F8C"/>
    <w:rsid w:val="0081243E"/>
    <w:rsid w:val="00812B10"/>
    <w:rsid w:val="00813385"/>
    <w:rsid w:val="0081340B"/>
    <w:rsid w:val="008135E0"/>
    <w:rsid w:val="00813D52"/>
    <w:rsid w:val="00813DA5"/>
    <w:rsid w:val="00813E59"/>
    <w:rsid w:val="00814E63"/>
    <w:rsid w:val="0081628A"/>
    <w:rsid w:val="00816BD8"/>
    <w:rsid w:val="00816C39"/>
    <w:rsid w:val="00816E37"/>
    <w:rsid w:val="008175CC"/>
    <w:rsid w:val="00817BB4"/>
    <w:rsid w:val="00817E89"/>
    <w:rsid w:val="00817E9F"/>
    <w:rsid w:val="00821021"/>
    <w:rsid w:val="008214BB"/>
    <w:rsid w:val="00821609"/>
    <w:rsid w:val="00821B58"/>
    <w:rsid w:val="00821DCC"/>
    <w:rsid w:val="0082202C"/>
    <w:rsid w:val="00822117"/>
    <w:rsid w:val="008225E3"/>
    <w:rsid w:val="008227E4"/>
    <w:rsid w:val="00822D06"/>
    <w:rsid w:val="00822D4E"/>
    <w:rsid w:val="00823329"/>
    <w:rsid w:val="008236D8"/>
    <w:rsid w:val="00823B4E"/>
    <w:rsid w:val="00823C0D"/>
    <w:rsid w:val="00823CEC"/>
    <w:rsid w:val="00824594"/>
    <w:rsid w:val="0082460C"/>
    <w:rsid w:val="008249B0"/>
    <w:rsid w:val="00824A07"/>
    <w:rsid w:val="0082578E"/>
    <w:rsid w:val="00825BF1"/>
    <w:rsid w:val="008268A1"/>
    <w:rsid w:val="00826CD4"/>
    <w:rsid w:val="00826D8D"/>
    <w:rsid w:val="00826F17"/>
    <w:rsid w:val="00826F4C"/>
    <w:rsid w:val="00827183"/>
    <w:rsid w:val="0082722A"/>
    <w:rsid w:val="00827797"/>
    <w:rsid w:val="00827B01"/>
    <w:rsid w:val="0083135D"/>
    <w:rsid w:val="00832B12"/>
    <w:rsid w:val="00833014"/>
    <w:rsid w:val="00833970"/>
    <w:rsid w:val="00833FBB"/>
    <w:rsid w:val="008346A8"/>
    <w:rsid w:val="00834B85"/>
    <w:rsid w:val="00834BCA"/>
    <w:rsid w:val="00834F10"/>
    <w:rsid w:val="008355E4"/>
    <w:rsid w:val="008356E1"/>
    <w:rsid w:val="00836005"/>
    <w:rsid w:val="00836A4D"/>
    <w:rsid w:val="00836F94"/>
    <w:rsid w:val="00837699"/>
    <w:rsid w:val="008377DA"/>
    <w:rsid w:val="00837E29"/>
    <w:rsid w:val="00837FEE"/>
    <w:rsid w:val="008409B9"/>
    <w:rsid w:val="00840AFF"/>
    <w:rsid w:val="00841FF7"/>
    <w:rsid w:val="00842A25"/>
    <w:rsid w:val="00843842"/>
    <w:rsid w:val="008448DD"/>
    <w:rsid w:val="00844D06"/>
    <w:rsid w:val="00844E27"/>
    <w:rsid w:val="00844EC9"/>
    <w:rsid w:val="00845811"/>
    <w:rsid w:val="00845A15"/>
    <w:rsid w:val="00845B51"/>
    <w:rsid w:val="0084632F"/>
    <w:rsid w:val="00847121"/>
    <w:rsid w:val="00847309"/>
    <w:rsid w:val="0084765F"/>
    <w:rsid w:val="00847C0D"/>
    <w:rsid w:val="00847DA7"/>
    <w:rsid w:val="00847EAB"/>
    <w:rsid w:val="00850498"/>
    <w:rsid w:val="00850B51"/>
    <w:rsid w:val="00850C0F"/>
    <w:rsid w:val="00850EF7"/>
    <w:rsid w:val="0085106A"/>
    <w:rsid w:val="008523B0"/>
    <w:rsid w:val="00852A1F"/>
    <w:rsid w:val="00853C37"/>
    <w:rsid w:val="00853ECD"/>
    <w:rsid w:val="00853F10"/>
    <w:rsid w:val="00853F6C"/>
    <w:rsid w:val="0085468B"/>
    <w:rsid w:val="00854EA0"/>
    <w:rsid w:val="008552DD"/>
    <w:rsid w:val="008552FC"/>
    <w:rsid w:val="00855423"/>
    <w:rsid w:val="00855B06"/>
    <w:rsid w:val="008561BB"/>
    <w:rsid w:val="008565AA"/>
    <w:rsid w:val="00856DDF"/>
    <w:rsid w:val="008574B0"/>
    <w:rsid w:val="008575F9"/>
    <w:rsid w:val="00857D29"/>
    <w:rsid w:val="00857E25"/>
    <w:rsid w:val="00860071"/>
    <w:rsid w:val="008609A4"/>
    <w:rsid w:val="00860A30"/>
    <w:rsid w:val="00861363"/>
    <w:rsid w:val="00862095"/>
    <w:rsid w:val="0086214C"/>
    <w:rsid w:val="00862646"/>
    <w:rsid w:val="008629A8"/>
    <w:rsid w:val="00863089"/>
    <w:rsid w:val="00863198"/>
    <w:rsid w:val="00863465"/>
    <w:rsid w:val="00863541"/>
    <w:rsid w:val="00863544"/>
    <w:rsid w:val="00863B3D"/>
    <w:rsid w:val="008640B5"/>
    <w:rsid w:val="00864C32"/>
    <w:rsid w:val="00864C9F"/>
    <w:rsid w:val="00864D55"/>
    <w:rsid w:val="00865199"/>
    <w:rsid w:val="00865F44"/>
    <w:rsid w:val="0086605D"/>
    <w:rsid w:val="00866572"/>
    <w:rsid w:val="008668D4"/>
    <w:rsid w:val="008679DC"/>
    <w:rsid w:val="00867C3D"/>
    <w:rsid w:val="008706AE"/>
    <w:rsid w:val="00870CB6"/>
    <w:rsid w:val="00871421"/>
    <w:rsid w:val="00871499"/>
    <w:rsid w:val="00872276"/>
    <w:rsid w:val="00872882"/>
    <w:rsid w:val="00873D3D"/>
    <w:rsid w:val="00873FEA"/>
    <w:rsid w:val="0087419B"/>
    <w:rsid w:val="008743DF"/>
    <w:rsid w:val="00874592"/>
    <w:rsid w:val="0087475F"/>
    <w:rsid w:val="0087483C"/>
    <w:rsid w:val="00875679"/>
    <w:rsid w:val="00875E1F"/>
    <w:rsid w:val="0087725B"/>
    <w:rsid w:val="00877527"/>
    <w:rsid w:val="008777A6"/>
    <w:rsid w:val="0088028E"/>
    <w:rsid w:val="008807EE"/>
    <w:rsid w:val="00880A96"/>
    <w:rsid w:val="008818F6"/>
    <w:rsid w:val="00881FFE"/>
    <w:rsid w:val="00882989"/>
    <w:rsid w:val="00882EC4"/>
    <w:rsid w:val="00882F6D"/>
    <w:rsid w:val="00883059"/>
    <w:rsid w:val="0088398E"/>
    <w:rsid w:val="008844D7"/>
    <w:rsid w:val="008846F6"/>
    <w:rsid w:val="00884B9F"/>
    <w:rsid w:val="00885377"/>
    <w:rsid w:val="00885561"/>
    <w:rsid w:val="00885BEA"/>
    <w:rsid w:val="00885CE9"/>
    <w:rsid w:val="008864AD"/>
    <w:rsid w:val="00886AC5"/>
    <w:rsid w:val="00886B4C"/>
    <w:rsid w:val="00887705"/>
    <w:rsid w:val="00887AA0"/>
    <w:rsid w:val="00887E02"/>
    <w:rsid w:val="00890535"/>
    <w:rsid w:val="0089092B"/>
    <w:rsid w:val="008909F3"/>
    <w:rsid w:val="0089194E"/>
    <w:rsid w:val="00892580"/>
    <w:rsid w:val="00892ADF"/>
    <w:rsid w:val="00892D43"/>
    <w:rsid w:val="008933A7"/>
    <w:rsid w:val="00893479"/>
    <w:rsid w:val="0089373B"/>
    <w:rsid w:val="008937A1"/>
    <w:rsid w:val="00894A90"/>
    <w:rsid w:val="00894EAA"/>
    <w:rsid w:val="00894FC1"/>
    <w:rsid w:val="0089597F"/>
    <w:rsid w:val="008959A9"/>
    <w:rsid w:val="00896845"/>
    <w:rsid w:val="008977CD"/>
    <w:rsid w:val="00897E03"/>
    <w:rsid w:val="00897F77"/>
    <w:rsid w:val="008A017B"/>
    <w:rsid w:val="008A05E0"/>
    <w:rsid w:val="008A0B5A"/>
    <w:rsid w:val="008A1B8F"/>
    <w:rsid w:val="008A1C47"/>
    <w:rsid w:val="008A30D2"/>
    <w:rsid w:val="008A34BF"/>
    <w:rsid w:val="008A35E7"/>
    <w:rsid w:val="008A413C"/>
    <w:rsid w:val="008A44B6"/>
    <w:rsid w:val="008A4CBF"/>
    <w:rsid w:val="008A5290"/>
    <w:rsid w:val="008A5549"/>
    <w:rsid w:val="008A568C"/>
    <w:rsid w:val="008A593A"/>
    <w:rsid w:val="008A5A27"/>
    <w:rsid w:val="008A5CEE"/>
    <w:rsid w:val="008A6C5A"/>
    <w:rsid w:val="008B0061"/>
    <w:rsid w:val="008B08FB"/>
    <w:rsid w:val="008B0A8A"/>
    <w:rsid w:val="008B0EAD"/>
    <w:rsid w:val="008B1718"/>
    <w:rsid w:val="008B190C"/>
    <w:rsid w:val="008B1EF5"/>
    <w:rsid w:val="008B219A"/>
    <w:rsid w:val="008B2455"/>
    <w:rsid w:val="008B2537"/>
    <w:rsid w:val="008B29F6"/>
    <w:rsid w:val="008B2BA0"/>
    <w:rsid w:val="008B2DF3"/>
    <w:rsid w:val="008B2E4C"/>
    <w:rsid w:val="008B349C"/>
    <w:rsid w:val="008B376A"/>
    <w:rsid w:val="008B3AE4"/>
    <w:rsid w:val="008B3F57"/>
    <w:rsid w:val="008B4969"/>
    <w:rsid w:val="008B51CA"/>
    <w:rsid w:val="008B5660"/>
    <w:rsid w:val="008B7088"/>
    <w:rsid w:val="008B7220"/>
    <w:rsid w:val="008B7225"/>
    <w:rsid w:val="008B78D8"/>
    <w:rsid w:val="008C00CA"/>
    <w:rsid w:val="008C0237"/>
    <w:rsid w:val="008C031A"/>
    <w:rsid w:val="008C08A5"/>
    <w:rsid w:val="008C1349"/>
    <w:rsid w:val="008C1FC7"/>
    <w:rsid w:val="008C2354"/>
    <w:rsid w:val="008C31A3"/>
    <w:rsid w:val="008C347E"/>
    <w:rsid w:val="008C384A"/>
    <w:rsid w:val="008C44D9"/>
    <w:rsid w:val="008C479C"/>
    <w:rsid w:val="008C4A22"/>
    <w:rsid w:val="008C4E14"/>
    <w:rsid w:val="008C4EDA"/>
    <w:rsid w:val="008C4F75"/>
    <w:rsid w:val="008C5110"/>
    <w:rsid w:val="008C55A4"/>
    <w:rsid w:val="008C5C97"/>
    <w:rsid w:val="008C64E3"/>
    <w:rsid w:val="008C650F"/>
    <w:rsid w:val="008C725D"/>
    <w:rsid w:val="008C753F"/>
    <w:rsid w:val="008C7741"/>
    <w:rsid w:val="008C7883"/>
    <w:rsid w:val="008C7B5C"/>
    <w:rsid w:val="008D044B"/>
    <w:rsid w:val="008D0D1E"/>
    <w:rsid w:val="008D110C"/>
    <w:rsid w:val="008D1E79"/>
    <w:rsid w:val="008D28AB"/>
    <w:rsid w:val="008D29A6"/>
    <w:rsid w:val="008D2CE5"/>
    <w:rsid w:val="008D345F"/>
    <w:rsid w:val="008D3735"/>
    <w:rsid w:val="008D42ED"/>
    <w:rsid w:val="008D49A4"/>
    <w:rsid w:val="008D4B1B"/>
    <w:rsid w:val="008D5605"/>
    <w:rsid w:val="008D5693"/>
    <w:rsid w:val="008D592A"/>
    <w:rsid w:val="008D7097"/>
    <w:rsid w:val="008D776F"/>
    <w:rsid w:val="008D7A19"/>
    <w:rsid w:val="008D7E13"/>
    <w:rsid w:val="008E074A"/>
    <w:rsid w:val="008E1068"/>
    <w:rsid w:val="008E18A0"/>
    <w:rsid w:val="008E1E54"/>
    <w:rsid w:val="008E22DB"/>
    <w:rsid w:val="008E2AA2"/>
    <w:rsid w:val="008E2B53"/>
    <w:rsid w:val="008E3921"/>
    <w:rsid w:val="008E3B7C"/>
    <w:rsid w:val="008E3C41"/>
    <w:rsid w:val="008E3C88"/>
    <w:rsid w:val="008E4880"/>
    <w:rsid w:val="008E5643"/>
    <w:rsid w:val="008E78F2"/>
    <w:rsid w:val="008E792D"/>
    <w:rsid w:val="008E7A5C"/>
    <w:rsid w:val="008F0055"/>
    <w:rsid w:val="008F022C"/>
    <w:rsid w:val="008F089A"/>
    <w:rsid w:val="008F0B21"/>
    <w:rsid w:val="008F0E05"/>
    <w:rsid w:val="008F0E9C"/>
    <w:rsid w:val="008F12AE"/>
    <w:rsid w:val="008F12B1"/>
    <w:rsid w:val="008F141E"/>
    <w:rsid w:val="008F1F09"/>
    <w:rsid w:val="008F2838"/>
    <w:rsid w:val="008F55DF"/>
    <w:rsid w:val="008F5988"/>
    <w:rsid w:val="008F59FD"/>
    <w:rsid w:val="008F645D"/>
    <w:rsid w:val="008F6667"/>
    <w:rsid w:val="008F6794"/>
    <w:rsid w:val="008F777E"/>
    <w:rsid w:val="008F7853"/>
    <w:rsid w:val="008F7AA3"/>
    <w:rsid w:val="009003DE"/>
    <w:rsid w:val="009003EA"/>
    <w:rsid w:val="00900C7B"/>
    <w:rsid w:val="00901569"/>
    <w:rsid w:val="00902495"/>
    <w:rsid w:val="00902929"/>
    <w:rsid w:val="00902D84"/>
    <w:rsid w:val="00903488"/>
    <w:rsid w:val="009045C3"/>
    <w:rsid w:val="00904795"/>
    <w:rsid w:val="009049FD"/>
    <w:rsid w:val="00904AA8"/>
    <w:rsid w:val="00904FB5"/>
    <w:rsid w:val="00905021"/>
    <w:rsid w:val="00905D12"/>
    <w:rsid w:val="00906619"/>
    <w:rsid w:val="0090683D"/>
    <w:rsid w:val="00906E21"/>
    <w:rsid w:val="00906F35"/>
    <w:rsid w:val="0090727F"/>
    <w:rsid w:val="00907955"/>
    <w:rsid w:val="0090799A"/>
    <w:rsid w:val="00907B8B"/>
    <w:rsid w:val="00910A8A"/>
    <w:rsid w:val="0091270C"/>
    <w:rsid w:val="00912BDA"/>
    <w:rsid w:val="00912DE0"/>
    <w:rsid w:val="0091327E"/>
    <w:rsid w:val="00913421"/>
    <w:rsid w:val="009149A4"/>
    <w:rsid w:val="0091543A"/>
    <w:rsid w:val="00915B34"/>
    <w:rsid w:val="00916374"/>
    <w:rsid w:val="00916A15"/>
    <w:rsid w:val="00916E58"/>
    <w:rsid w:val="00916FE3"/>
    <w:rsid w:val="00917380"/>
    <w:rsid w:val="0091759B"/>
    <w:rsid w:val="00917887"/>
    <w:rsid w:val="00920702"/>
    <w:rsid w:val="009207DB"/>
    <w:rsid w:val="00921DE3"/>
    <w:rsid w:val="00922024"/>
    <w:rsid w:val="009224D6"/>
    <w:rsid w:val="0092281A"/>
    <w:rsid w:val="00922AF6"/>
    <w:rsid w:val="00922FE4"/>
    <w:rsid w:val="009243ED"/>
    <w:rsid w:val="009244A4"/>
    <w:rsid w:val="009246F6"/>
    <w:rsid w:val="00924BF3"/>
    <w:rsid w:val="00924E99"/>
    <w:rsid w:val="009254AC"/>
    <w:rsid w:val="00925501"/>
    <w:rsid w:val="0092551B"/>
    <w:rsid w:val="009256E0"/>
    <w:rsid w:val="009257F5"/>
    <w:rsid w:val="00925965"/>
    <w:rsid w:val="00925C4F"/>
    <w:rsid w:val="00925E32"/>
    <w:rsid w:val="00926301"/>
    <w:rsid w:val="00926982"/>
    <w:rsid w:val="00926BC8"/>
    <w:rsid w:val="00926BF2"/>
    <w:rsid w:val="009270C4"/>
    <w:rsid w:val="00927381"/>
    <w:rsid w:val="00931828"/>
    <w:rsid w:val="00931B25"/>
    <w:rsid w:val="00931C34"/>
    <w:rsid w:val="00932196"/>
    <w:rsid w:val="0093226D"/>
    <w:rsid w:val="00932459"/>
    <w:rsid w:val="00932B16"/>
    <w:rsid w:val="00932FE6"/>
    <w:rsid w:val="00933275"/>
    <w:rsid w:val="0093412A"/>
    <w:rsid w:val="00934309"/>
    <w:rsid w:val="00934DF4"/>
    <w:rsid w:val="00934FA8"/>
    <w:rsid w:val="00936535"/>
    <w:rsid w:val="009366C1"/>
    <w:rsid w:val="00936DE8"/>
    <w:rsid w:val="0093740F"/>
    <w:rsid w:val="0093746D"/>
    <w:rsid w:val="00937B4A"/>
    <w:rsid w:val="00937C1D"/>
    <w:rsid w:val="00937FCE"/>
    <w:rsid w:val="009405AC"/>
    <w:rsid w:val="009405DB"/>
    <w:rsid w:val="00940F58"/>
    <w:rsid w:val="00940FC3"/>
    <w:rsid w:val="0094131D"/>
    <w:rsid w:val="0094175A"/>
    <w:rsid w:val="00941C49"/>
    <w:rsid w:val="00942120"/>
    <w:rsid w:val="00942316"/>
    <w:rsid w:val="009425F7"/>
    <w:rsid w:val="00942A91"/>
    <w:rsid w:val="00942F09"/>
    <w:rsid w:val="00942FE3"/>
    <w:rsid w:val="00943034"/>
    <w:rsid w:val="009437F6"/>
    <w:rsid w:val="00943821"/>
    <w:rsid w:val="00943DD5"/>
    <w:rsid w:val="00944079"/>
    <w:rsid w:val="00944637"/>
    <w:rsid w:val="00944BC7"/>
    <w:rsid w:val="00944BF0"/>
    <w:rsid w:val="00945072"/>
    <w:rsid w:val="009450E6"/>
    <w:rsid w:val="00946136"/>
    <w:rsid w:val="00946208"/>
    <w:rsid w:val="009470E2"/>
    <w:rsid w:val="0094768B"/>
    <w:rsid w:val="00947B25"/>
    <w:rsid w:val="00947BA4"/>
    <w:rsid w:val="00950B62"/>
    <w:rsid w:val="00951121"/>
    <w:rsid w:val="009512F4"/>
    <w:rsid w:val="0095151E"/>
    <w:rsid w:val="00951756"/>
    <w:rsid w:val="00951A3E"/>
    <w:rsid w:val="00951FA8"/>
    <w:rsid w:val="0095348B"/>
    <w:rsid w:val="00953BB4"/>
    <w:rsid w:val="00953F9C"/>
    <w:rsid w:val="00954282"/>
    <w:rsid w:val="00954427"/>
    <w:rsid w:val="0095467D"/>
    <w:rsid w:val="00954E74"/>
    <w:rsid w:val="00955150"/>
    <w:rsid w:val="009555AB"/>
    <w:rsid w:val="009562BF"/>
    <w:rsid w:val="00956BBB"/>
    <w:rsid w:val="0095708A"/>
    <w:rsid w:val="00957A1B"/>
    <w:rsid w:val="00957A21"/>
    <w:rsid w:val="009607DA"/>
    <w:rsid w:val="00961505"/>
    <w:rsid w:val="00961694"/>
    <w:rsid w:val="009618F2"/>
    <w:rsid w:val="00961B3E"/>
    <w:rsid w:val="00961B41"/>
    <w:rsid w:val="0096323E"/>
    <w:rsid w:val="00963B1B"/>
    <w:rsid w:val="00963C3F"/>
    <w:rsid w:val="00964450"/>
    <w:rsid w:val="0096475C"/>
    <w:rsid w:val="00964924"/>
    <w:rsid w:val="009650AB"/>
    <w:rsid w:val="00965161"/>
    <w:rsid w:val="00965401"/>
    <w:rsid w:val="00965E37"/>
    <w:rsid w:val="00965F51"/>
    <w:rsid w:val="00966D92"/>
    <w:rsid w:val="009675F9"/>
    <w:rsid w:val="0096797D"/>
    <w:rsid w:val="00967C2F"/>
    <w:rsid w:val="009710C3"/>
    <w:rsid w:val="009713DD"/>
    <w:rsid w:val="00971C53"/>
    <w:rsid w:val="009725F2"/>
    <w:rsid w:val="00972DC6"/>
    <w:rsid w:val="00972F2E"/>
    <w:rsid w:val="0097311D"/>
    <w:rsid w:val="00973179"/>
    <w:rsid w:val="00973225"/>
    <w:rsid w:val="00974795"/>
    <w:rsid w:val="00975105"/>
    <w:rsid w:val="00975C75"/>
    <w:rsid w:val="009761BB"/>
    <w:rsid w:val="00976390"/>
    <w:rsid w:val="00976582"/>
    <w:rsid w:val="0097766C"/>
    <w:rsid w:val="00977C31"/>
    <w:rsid w:val="0098177A"/>
    <w:rsid w:val="00983300"/>
    <w:rsid w:val="009833A5"/>
    <w:rsid w:val="00983EFD"/>
    <w:rsid w:val="00984868"/>
    <w:rsid w:val="00984A8A"/>
    <w:rsid w:val="0098508F"/>
    <w:rsid w:val="0098518F"/>
    <w:rsid w:val="0098600A"/>
    <w:rsid w:val="009860C0"/>
    <w:rsid w:val="00986257"/>
    <w:rsid w:val="0098643B"/>
    <w:rsid w:val="00986861"/>
    <w:rsid w:val="009868C9"/>
    <w:rsid w:val="00986EA3"/>
    <w:rsid w:val="00987362"/>
    <w:rsid w:val="0098780E"/>
    <w:rsid w:val="00987BF5"/>
    <w:rsid w:val="00987CBC"/>
    <w:rsid w:val="00987FE7"/>
    <w:rsid w:val="009900C1"/>
    <w:rsid w:val="00990519"/>
    <w:rsid w:val="00990904"/>
    <w:rsid w:val="009917E6"/>
    <w:rsid w:val="00992022"/>
    <w:rsid w:val="009924B9"/>
    <w:rsid w:val="009924BC"/>
    <w:rsid w:val="009925AC"/>
    <w:rsid w:val="00992935"/>
    <w:rsid w:val="00992E3D"/>
    <w:rsid w:val="00992E90"/>
    <w:rsid w:val="0099301E"/>
    <w:rsid w:val="009933F1"/>
    <w:rsid w:val="009936DB"/>
    <w:rsid w:val="00993F29"/>
    <w:rsid w:val="00993FFC"/>
    <w:rsid w:val="009943CA"/>
    <w:rsid w:val="00994EA1"/>
    <w:rsid w:val="00995141"/>
    <w:rsid w:val="0099589D"/>
    <w:rsid w:val="009961D6"/>
    <w:rsid w:val="00996326"/>
    <w:rsid w:val="00996349"/>
    <w:rsid w:val="00996415"/>
    <w:rsid w:val="00996546"/>
    <w:rsid w:val="009966A8"/>
    <w:rsid w:val="00996D9C"/>
    <w:rsid w:val="0099723F"/>
    <w:rsid w:val="009978A9"/>
    <w:rsid w:val="00997943"/>
    <w:rsid w:val="009A144D"/>
    <w:rsid w:val="009A1B8E"/>
    <w:rsid w:val="009A1CD8"/>
    <w:rsid w:val="009A1D1A"/>
    <w:rsid w:val="009A23C2"/>
    <w:rsid w:val="009A2838"/>
    <w:rsid w:val="009A2EFF"/>
    <w:rsid w:val="009A2FDF"/>
    <w:rsid w:val="009A327E"/>
    <w:rsid w:val="009A3567"/>
    <w:rsid w:val="009A3CF8"/>
    <w:rsid w:val="009A44E8"/>
    <w:rsid w:val="009A4654"/>
    <w:rsid w:val="009A4A0D"/>
    <w:rsid w:val="009A4F69"/>
    <w:rsid w:val="009A5302"/>
    <w:rsid w:val="009A545D"/>
    <w:rsid w:val="009A550E"/>
    <w:rsid w:val="009A5F6E"/>
    <w:rsid w:val="009A602D"/>
    <w:rsid w:val="009A61FF"/>
    <w:rsid w:val="009A74CB"/>
    <w:rsid w:val="009A775A"/>
    <w:rsid w:val="009A7A01"/>
    <w:rsid w:val="009A7C99"/>
    <w:rsid w:val="009B1086"/>
    <w:rsid w:val="009B1DA5"/>
    <w:rsid w:val="009B2213"/>
    <w:rsid w:val="009B2453"/>
    <w:rsid w:val="009B2644"/>
    <w:rsid w:val="009B28FD"/>
    <w:rsid w:val="009B2AD6"/>
    <w:rsid w:val="009B2B64"/>
    <w:rsid w:val="009B34B9"/>
    <w:rsid w:val="009B35D6"/>
    <w:rsid w:val="009B4BDC"/>
    <w:rsid w:val="009B5594"/>
    <w:rsid w:val="009B57DF"/>
    <w:rsid w:val="009B5990"/>
    <w:rsid w:val="009B5A37"/>
    <w:rsid w:val="009B6792"/>
    <w:rsid w:val="009B7144"/>
    <w:rsid w:val="009B729E"/>
    <w:rsid w:val="009B7498"/>
    <w:rsid w:val="009B74A2"/>
    <w:rsid w:val="009B74BB"/>
    <w:rsid w:val="009B7803"/>
    <w:rsid w:val="009B7964"/>
    <w:rsid w:val="009B7ED4"/>
    <w:rsid w:val="009C067A"/>
    <w:rsid w:val="009C0CB4"/>
    <w:rsid w:val="009C104A"/>
    <w:rsid w:val="009C178B"/>
    <w:rsid w:val="009C17E8"/>
    <w:rsid w:val="009C1C9A"/>
    <w:rsid w:val="009C221F"/>
    <w:rsid w:val="009C27F8"/>
    <w:rsid w:val="009C28CD"/>
    <w:rsid w:val="009C2A0D"/>
    <w:rsid w:val="009C34CB"/>
    <w:rsid w:val="009C3BFC"/>
    <w:rsid w:val="009C3D84"/>
    <w:rsid w:val="009C411A"/>
    <w:rsid w:val="009C4228"/>
    <w:rsid w:val="009C42B4"/>
    <w:rsid w:val="009C443A"/>
    <w:rsid w:val="009C469D"/>
    <w:rsid w:val="009C50B7"/>
    <w:rsid w:val="009C5181"/>
    <w:rsid w:val="009C51B3"/>
    <w:rsid w:val="009C5923"/>
    <w:rsid w:val="009C5F5C"/>
    <w:rsid w:val="009C6697"/>
    <w:rsid w:val="009C6981"/>
    <w:rsid w:val="009C71B8"/>
    <w:rsid w:val="009C7773"/>
    <w:rsid w:val="009C7A50"/>
    <w:rsid w:val="009C7B1D"/>
    <w:rsid w:val="009D03F1"/>
    <w:rsid w:val="009D1CF4"/>
    <w:rsid w:val="009D2E2B"/>
    <w:rsid w:val="009D3528"/>
    <w:rsid w:val="009D380F"/>
    <w:rsid w:val="009D402B"/>
    <w:rsid w:val="009D49AF"/>
    <w:rsid w:val="009D5001"/>
    <w:rsid w:val="009D5382"/>
    <w:rsid w:val="009D57A7"/>
    <w:rsid w:val="009D5A1E"/>
    <w:rsid w:val="009D5F12"/>
    <w:rsid w:val="009D67A4"/>
    <w:rsid w:val="009E0410"/>
    <w:rsid w:val="009E0BFF"/>
    <w:rsid w:val="009E1607"/>
    <w:rsid w:val="009E21EA"/>
    <w:rsid w:val="009E276E"/>
    <w:rsid w:val="009E2E06"/>
    <w:rsid w:val="009E318C"/>
    <w:rsid w:val="009E33D1"/>
    <w:rsid w:val="009E4D8B"/>
    <w:rsid w:val="009E52D3"/>
    <w:rsid w:val="009E6A55"/>
    <w:rsid w:val="009E6DD0"/>
    <w:rsid w:val="009E6F39"/>
    <w:rsid w:val="009E6F5C"/>
    <w:rsid w:val="009E7562"/>
    <w:rsid w:val="009E7E04"/>
    <w:rsid w:val="009F0861"/>
    <w:rsid w:val="009F0BD5"/>
    <w:rsid w:val="009F0BD9"/>
    <w:rsid w:val="009F1A0A"/>
    <w:rsid w:val="009F2803"/>
    <w:rsid w:val="009F293D"/>
    <w:rsid w:val="009F2BA2"/>
    <w:rsid w:val="009F3124"/>
    <w:rsid w:val="009F31A9"/>
    <w:rsid w:val="009F3332"/>
    <w:rsid w:val="009F33FA"/>
    <w:rsid w:val="009F344F"/>
    <w:rsid w:val="009F3645"/>
    <w:rsid w:val="009F4283"/>
    <w:rsid w:val="009F42F3"/>
    <w:rsid w:val="009F4C2B"/>
    <w:rsid w:val="009F5105"/>
    <w:rsid w:val="009F5259"/>
    <w:rsid w:val="009F5542"/>
    <w:rsid w:val="009F61DE"/>
    <w:rsid w:val="009F6223"/>
    <w:rsid w:val="009F6378"/>
    <w:rsid w:val="009F6769"/>
    <w:rsid w:val="009F6903"/>
    <w:rsid w:val="009F6B78"/>
    <w:rsid w:val="009F6CA4"/>
    <w:rsid w:val="009F7107"/>
    <w:rsid w:val="009F7CA8"/>
    <w:rsid w:val="00A002F3"/>
    <w:rsid w:val="00A00657"/>
    <w:rsid w:val="00A006BD"/>
    <w:rsid w:val="00A006E1"/>
    <w:rsid w:val="00A00824"/>
    <w:rsid w:val="00A009AC"/>
    <w:rsid w:val="00A00D50"/>
    <w:rsid w:val="00A00DAC"/>
    <w:rsid w:val="00A00DC0"/>
    <w:rsid w:val="00A01149"/>
    <w:rsid w:val="00A01359"/>
    <w:rsid w:val="00A01C1F"/>
    <w:rsid w:val="00A01C86"/>
    <w:rsid w:val="00A01C98"/>
    <w:rsid w:val="00A01D1F"/>
    <w:rsid w:val="00A0267B"/>
    <w:rsid w:val="00A02A9F"/>
    <w:rsid w:val="00A02CE8"/>
    <w:rsid w:val="00A02EE0"/>
    <w:rsid w:val="00A035F2"/>
    <w:rsid w:val="00A03C90"/>
    <w:rsid w:val="00A042C9"/>
    <w:rsid w:val="00A04C41"/>
    <w:rsid w:val="00A051FC"/>
    <w:rsid w:val="00A05A92"/>
    <w:rsid w:val="00A05ACF"/>
    <w:rsid w:val="00A05D66"/>
    <w:rsid w:val="00A060F0"/>
    <w:rsid w:val="00A0616F"/>
    <w:rsid w:val="00A0624F"/>
    <w:rsid w:val="00A06A54"/>
    <w:rsid w:val="00A06E22"/>
    <w:rsid w:val="00A06EFA"/>
    <w:rsid w:val="00A073F8"/>
    <w:rsid w:val="00A07483"/>
    <w:rsid w:val="00A10423"/>
    <w:rsid w:val="00A10D02"/>
    <w:rsid w:val="00A10D96"/>
    <w:rsid w:val="00A113C7"/>
    <w:rsid w:val="00A1238B"/>
    <w:rsid w:val="00A1260D"/>
    <w:rsid w:val="00A12DEF"/>
    <w:rsid w:val="00A137EE"/>
    <w:rsid w:val="00A13C1F"/>
    <w:rsid w:val="00A14AA2"/>
    <w:rsid w:val="00A1548E"/>
    <w:rsid w:val="00A15A52"/>
    <w:rsid w:val="00A15E3B"/>
    <w:rsid w:val="00A1614F"/>
    <w:rsid w:val="00A169F7"/>
    <w:rsid w:val="00A16AE9"/>
    <w:rsid w:val="00A171E1"/>
    <w:rsid w:val="00A172FD"/>
    <w:rsid w:val="00A177C1"/>
    <w:rsid w:val="00A17C24"/>
    <w:rsid w:val="00A17CFF"/>
    <w:rsid w:val="00A20A26"/>
    <w:rsid w:val="00A218FE"/>
    <w:rsid w:val="00A2193D"/>
    <w:rsid w:val="00A21F85"/>
    <w:rsid w:val="00A22536"/>
    <w:rsid w:val="00A22B5E"/>
    <w:rsid w:val="00A22C5D"/>
    <w:rsid w:val="00A22F1E"/>
    <w:rsid w:val="00A2323D"/>
    <w:rsid w:val="00A240AC"/>
    <w:rsid w:val="00A240FF"/>
    <w:rsid w:val="00A24137"/>
    <w:rsid w:val="00A24201"/>
    <w:rsid w:val="00A246C9"/>
    <w:rsid w:val="00A266C7"/>
    <w:rsid w:val="00A26C96"/>
    <w:rsid w:val="00A2732C"/>
    <w:rsid w:val="00A277C7"/>
    <w:rsid w:val="00A2788A"/>
    <w:rsid w:val="00A27A71"/>
    <w:rsid w:val="00A30F05"/>
    <w:rsid w:val="00A311A8"/>
    <w:rsid w:val="00A31CC5"/>
    <w:rsid w:val="00A31DF9"/>
    <w:rsid w:val="00A32078"/>
    <w:rsid w:val="00A32211"/>
    <w:rsid w:val="00A32462"/>
    <w:rsid w:val="00A32D14"/>
    <w:rsid w:val="00A33876"/>
    <w:rsid w:val="00A33D3A"/>
    <w:rsid w:val="00A34114"/>
    <w:rsid w:val="00A34B29"/>
    <w:rsid w:val="00A34BEA"/>
    <w:rsid w:val="00A34C81"/>
    <w:rsid w:val="00A34E19"/>
    <w:rsid w:val="00A3539B"/>
    <w:rsid w:val="00A353D8"/>
    <w:rsid w:val="00A35B31"/>
    <w:rsid w:val="00A3664B"/>
    <w:rsid w:val="00A36784"/>
    <w:rsid w:val="00A36B1F"/>
    <w:rsid w:val="00A36B46"/>
    <w:rsid w:val="00A36BD5"/>
    <w:rsid w:val="00A374B1"/>
    <w:rsid w:val="00A376E8"/>
    <w:rsid w:val="00A401BF"/>
    <w:rsid w:val="00A40906"/>
    <w:rsid w:val="00A40D0C"/>
    <w:rsid w:val="00A41302"/>
    <w:rsid w:val="00A415E2"/>
    <w:rsid w:val="00A41C59"/>
    <w:rsid w:val="00A41C63"/>
    <w:rsid w:val="00A420F4"/>
    <w:rsid w:val="00A42130"/>
    <w:rsid w:val="00A421C0"/>
    <w:rsid w:val="00A4271D"/>
    <w:rsid w:val="00A42B94"/>
    <w:rsid w:val="00A43021"/>
    <w:rsid w:val="00A43278"/>
    <w:rsid w:val="00A434CC"/>
    <w:rsid w:val="00A436A6"/>
    <w:rsid w:val="00A43B57"/>
    <w:rsid w:val="00A43CF2"/>
    <w:rsid w:val="00A44AC0"/>
    <w:rsid w:val="00A44B87"/>
    <w:rsid w:val="00A463EB"/>
    <w:rsid w:val="00A466BC"/>
    <w:rsid w:val="00A467BB"/>
    <w:rsid w:val="00A469C6"/>
    <w:rsid w:val="00A47029"/>
    <w:rsid w:val="00A47341"/>
    <w:rsid w:val="00A47611"/>
    <w:rsid w:val="00A50115"/>
    <w:rsid w:val="00A50299"/>
    <w:rsid w:val="00A503CF"/>
    <w:rsid w:val="00A50F4B"/>
    <w:rsid w:val="00A510C2"/>
    <w:rsid w:val="00A51B72"/>
    <w:rsid w:val="00A51D1A"/>
    <w:rsid w:val="00A51D94"/>
    <w:rsid w:val="00A52100"/>
    <w:rsid w:val="00A52885"/>
    <w:rsid w:val="00A53048"/>
    <w:rsid w:val="00A536D5"/>
    <w:rsid w:val="00A53FCE"/>
    <w:rsid w:val="00A54196"/>
    <w:rsid w:val="00A5425D"/>
    <w:rsid w:val="00A543C4"/>
    <w:rsid w:val="00A5510E"/>
    <w:rsid w:val="00A5582D"/>
    <w:rsid w:val="00A559F4"/>
    <w:rsid w:val="00A56547"/>
    <w:rsid w:val="00A56BBE"/>
    <w:rsid w:val="00A56D12"/>
    <w:rsid w:val="00A570E0"/>
    <w:rsid w:val="00A57343"/>
    <w:rsid w:val="00A57566"/>
    <w:rsid w:val="00A57889"/>
    <w:rsid w:val="00A606A0"/>
    <w:rsid w:val="00A60AEA"/>
    <w:rsid w:val="00A60E0C"/>
    <w:rsid w:val="00A61263"/>
    <w:rsid w:val="00A61265"/>
    <w:rsid w:val="00A614AD"/>
    <w:rsid w:val="00A61886"/>
    <w:rsid w:val="00A61A5D"/>
    <w:rsid w:val="00A61C42"/>
    <w:rsid w:val="00A622D3"/>
    <w:rsid w:val="00A623F2"/>
    <w:rsid w:val="00A62F88"/>
    <w:rsid w:val="00A63706"/>
    <w:rsid w:val="00A63D89"/>
    <w:rsid w:val="00A63DB5"/>
    <w:rsid w:val="00A650DB"/>
    <w:rsid w:val="00A65406"/>
    <w:rsid w:val="00A65865"/>
    <w:rsid w:val="00A65E52"/>
    <w:rsid w:val="00A666B3"/>
    <w:rsid w:val="00A66B2E"/>
    <w:rsid w:val="00A66E04"/>
    <w:rsid w:val="00A671B3"/>
    <w:rsid w:val="00A67706"/>
    <w:rsid w:val="00A6775B"/>
    <w:rsid w:val="00A67E84"/>
    <w:rsid w:val="00A67F13"/>
    <w:rsid w:val="00A71181"/>
    <w:rsid w:val="00A7290C"/>
    <w:rsid w:val="00A72ADA"/>
    <w:rsid w:val="00A733CD"/>
    <w:rsid w:val="00A73642"/>
    <w:rsid w:val="00A73647"/>
    <w:rsid w:val="00A73915"/>
    <w:rsid w:val="00A740A9"/>
    <w:rsid w:val="00A740DC"/>
    <w:rsid w:val="00A74C0B"/>
    <w:rsid w:val="00A75085"/>
    <w:rsid w:val="00A753C1"/>
    <w:rsid w:val="00A7588B"/>
    <w:rsid w:val="00A76063"/>
    <w:rsid w:val="00A7661A"/>
    <w:rsid w:val="00A767A1"/>
    <w:rsid w:val="00A771BF"/>
    <w:rsid w:val="00A77A3F"/>
    <w:rsid w:val="00A801BC"/>
    <w:rsid w:val="00A80337"/>
    <w:rsid w:val="00A80822"/>
    <w:rsid w:val="00A80B84"/>
    <w:rsid w:val="00A80D67"/>
    <w:rsid w:val="00A81373"/>
    <w:rsid w:val="00A81953"/>
    <w:rsid w:val="00A823AB"/>
    <w:rsid w:val="00A8281D"/>
    <w:rsid w:val="00A82C6D"/>
    <w:rsid w:val="00A835EF"/>
    <w:rsid w:val="00A8375D"/>
    <w:rsid w:val="00A84155"/>
    <w:rsid w:val="00A84AE2"/>
    <w:rsid w:val="00A84AEB"/>
    <w:rsid w:val="00A850E3"/>
    <w:rsid w:val="00A861F3"/>
    <w:rsid w:val="00A86F1A"/>
    <w:rsid w:val="00A87A3E"/>
    <w:rsid w:val="00A87B18"/>
    <w:rsid w:val="00A90B1F"/>
    <w:rsid w:val="00A90B37"/>
    <w:rsid w:val="00A90B68"/>
    <w:rsid w:val="00A90DB1"/>
    <w:rsid w:val="00A90DCE"/>
    <w:rsid w:val="00A910CC"/>
    <w:rsid w:val="00A9147B"/>
    <w:rsid w:val="00A91803"/>
    <w:rsid w:val="00A91BA8"/>
    <w:rsid w:val="00A91DB9"/>
    <w:rsid w:val="00A91EF1"/>
    <w:rsid w:val="00A91EF2"/>
    <w:rsid w:val="00A91EF4"/>
    <w:rsid w:val="00A92331"/>
    <w:rsid w:val="00A92E10"/>
    <w:rsid w:val="00A9325C"/>
    <w:rsid w:val="00A9390E"/>
    <w:rsid w:val="00A93B3D"/>
    <w:rsid w:val="00A93C4A"/>
    <w:rsid w:val="00A94171"/>
    <w:rsid w:val="00A94FD5"/>
    <w:rsid w:val="00A95055"/>
    <w:rsid w:val="00A95559"/>
    <w:rsid w:val="00A95F9F"/>
    <w:rsid w:val="00A95FC9"/>
    <w:rsid w:val="00A9663B"/>
    <w:rsid w:val="00A969BE"/>
    <w:rsid w:val="00A96CAB"/>
    <w:rsid w:val="00A96FC6"/>
    <w:rsid w:val="00A97B61"/>
    <w:rsid w:val="00AA01DA"/>
    <w:rsid w:val="00AA046E"/>
    <w:rsid w:val="00AA0F42"/>
    <w:rsid w:val="00AA115C"/>
    <w:rsid w:val="00AA1211"/>
    <w:rsid w:val="00AA1579"/>
    <w:rsid w:val="00AA16FD"/>
    <w:rsid w:val="00AA2101"/>
    <w:rsid w:val="00AA2E76"/>
    <w:rsid w:val="00AA37D3"/>
    <w:rsid w:val="00AA41E9"/>
    <w:rsid w:val="00AA4482"/>
    <w:rsid w:val="00AA450C"/>
    <w:rsid w:val="00AA4AE0"/>
    <w:rsid w:val="00AA4D73"/>
    <w:rsid w:val="00AA5139"/>
    <w:rsid w:val="00AA5265"/>
    <w:rsid w:val="00AA6094"/>
    <w:rsid w:val="00AA652E"/>
    <w:rsid w:val="00AA6884"/>
    <w:rsid w:val="00AA6E71"/>
    <w:rsid w:val="00AA70F2"/>
    <w:rsid w:val="00AA7247"/>
    <w:rsid w:val="00AA7437"/>
    <w:rsid w:val="00AA7838"/>
    <w:rsid w:val="00AA7A5E"/>
    <w:rsid w:val="00AB0229"/>
    <w:rsid w:val="00AB0879"/>
    <w:rsid w:val="00AB0A3E"/>
    <w:rsid w:val="00AB0AA6"/>
    <w:rsid w:val="00AB0E99"/>
    <w:rsid w:val="00AB0F03"/>
    <w:rsid w:val="00AB1287"/>
    <w:rsid w:val="00AB1CD5"/>
    <w:rsid w:val="00AB1CE8"/>
    <w:rsid w:val="00AB1FC9"/>
    <w:rsid w:val="00AB26DE"/>
    <w:rsid w:val="00AB2F20"/>
    <w:rsid w:val="00AB3063"/>
    <w:rsid w:val="00AB3420"/>
    <w:rsid w:val="00AB3F7B"/>
    <w:rsid w:val="00AB4419"/>
    <w:rsid w:val="00AB4AD8"/>
    <w:rsid w:val="00AB4DEA"/>
    <w:rsid w:val="00AB4E35"/>
    <w:rsid w:val="00AB5597"/>
    <w:rsid w:val="00AB596B"/>
    <w:rsid w:val="00AB6DFC"/>
    <w:rsid w:val="00AB7A79"/>
    <w:rsid w:val="00AC09CD"/>
    <w:rsid w:val="00AC1666"/>
    <w:rsid w:val="00AC1ABC"/>
    <w:rsid w:val="00AC2832"/>
    <w:rsid w:val="00AC3DB7"/>
    <w:rsid w:val="00AC400E"/>
    <w:rsid w:val="00AC4293"/>
    <w:rsid w:val="00AC4960"/>
    <w:rsid w:val="00AC4E38"/>
    <w:rsid w:val="00AC561A"/>
    <w:rsid w:val="00AC570E"/>
    <w:rsid w:val="00AC57D2"/>
    <w:rsid w:val="00AC5BDE"/>
    <w:rsid w:val="00AC658F"/>
    <w:rsid w:val="00AC6A23"/>
    <w:rsid w:val="00AC7806"/>
    <w:rsid w:val="00AC7899"/>
    <w:rsid w:val="00AC7F42"/>
    <w:rsid w:val="00AD0289"/>
    <w:rsid w:val="00AD0B96"/>
    <w:rsid w:val="00AD0FEF"/>
    <w:rsid w:val="00AD1A5F"/>
    <w:rsid w:val="00AD21EB"/>
    <w:rsid w:val="00AD2762"/>
    <w:rsid w:val="00AD27FC"/>
    <w:rsid w:val="00AD2ACE"/>
    <w:rsid w:val="00AD2EFE"/>
    <w:rsid w:val="00AD3FA7"/>
    <w:rsid w:val="00AD48BB"/>
    <w:rsid w:val="00AD49D0"/>
    <w:rsid w:val="00AD4B09"/>
    <w:rsid w:val="00AD4EF7"/>
    <w:rsid w:val="00AD4FA3"/>
    <w:rsid w:val="00AD50AD"/>
    <w:rsid w:val="00AD514D"/>
    <w:rsid w:val="00AD516C"/>
    <w:rsid w:val="00AD5D7E"/>
    <w:rsid w:val="00AD5DEF"/>
    <w:rsid w:val="00AD5FD1"/>
    <w:rsid w:val="00AD6407"/>
    <w:rsid w:val="00AD752F"/>
    <w:rsid w:val="00AE00CA"/>
    <w:rsid w:val="00AE1AE1"/>
    <w:rsid w:val="00AE254F"/>
    <w:rsid w:val="00AE260E"/>
    <w:rsid w:val="00AE2C77"/>
    <w:rsid w:val="00AE2D01"/>
    <w:rsid w:val="00AE33C4"/>
    <w:rsid w:val="00AE415F"/>
    <w:rsid w:val="00AE4E21"/>
    <w:rsid w:val="00AE5121"/>
    <w:rsid w:val="00AE55BC"/>
    <w:rsid w:val="00AE56C7"/>
    <w:rsid w:val="00AE57D2"/>
    <w:rsid w:val="00AE638D"/>
    <w:rsid w:val="00AE6611"/>
    <w:rsid w:val="00AE686D"/>
    <w:rsid w:val="00AE6B27"/>
    <w:rsid w:val="00AE6D6A"/>
    <w:rsid w:val="00AE6F0F"/>
    <w:rsid w:val="00AF00D2"/>
    <w:rsid w:val="00AF0B16"/>
    <w:rsid w:val="00AF0F96"/>
    <w:rsid w:val="00AF21D7"/>
    <w:rsid w:val="00AF222F"/>
    <w:rsid w:val="00AF2893"/>
    <w:rsid w:val="00AF28EB"/>
    <w:rsid w:val="00AF2ED6"/>
    <w:rsid w:val="00AF3178"/>
    <w:rsid w:val="00AF36B6"/>
    <w:rsid w:val="00AF3C6C"/>
    <w:rsid w:val="00AF3E29"/>
    <w:rsid w:val="00AF49AE"/>
    <w:rsid w:val="00AF4E1B"/>
    <w:rsid w:val="00AF508B"/>
    <w:rsid w:val="00AF5407"/>
    <w:rsid w:val="00AF584E"/>
    <w:rsid w:val="00AF5AC5"/>
    <w:rsid w:val="00AF5D56"/>
    <w:rsid w:val="00AF6595"/>
    <w:rsid w:val="00AF6CE0"/>
    <w:rsid w:val="00AF7444"/>
    <w:rsid w:val="00B00D08"/>
    <w:rsid w:val="00B00ED5"/>
    <w:rsid w:val="00B00F15"/>
    <w:rsid w:val="00B017EA"/>
    <w:rsid w:val="00B019E1"/>
    <w:rsid w:val="00B022CF"/>
    <w:rsid w:val="00B02808"/>
    <w:rsid w:val="00B028BC"/>
    <w:rsid w:val="00B02936"/>
    <w:rsid w:val="00B02BF0"/>
    <w:rsid w:val="00B02EEE"/>
    <w:rsid w:val="00B037DC"/>
    <w:rsid w:val="00B03AB4"/>
    <w:rsid w:val="00B04307"/>
    <w:rsid w:val="00B04492"/>
    <w:rsid w:val="00B04580"/>
    <w:rsid w:val="00B0459A"/>
    <w:rsid w:val="00B0464A"/>
    <w:rsid w:val="00B047DE"/>
    <w:rsid w:val="00B04972"/>
    <w:rsid w:val="00B04BED"/>
    <w:rsid w:val="00B05B34"/>
    <w:rsid w:val="00B05B91"/>
    <w:rsid w:val="00B05FE5"/>
    <w:rsid w:val="00B0613A"/>
    <w:rsid w:val="00B062A6"/>
    <w:rsid w:val="00B06613"/>
    <w:rsid w:val="00B0689A"/>
    <w:rsid w:val="00B069BA"/>
    <w:rsid w:val="00B06DD5"/>
    <w:rsid w:val="00B07297"/>
    <w:rsid w:val="00B077CC"/>
    <w:rsid w:val="00B07CD8"/>
    <w:rsid w:val="00B10346"/>
    <w:rsid w:val="00B10762"/>
    <w:rsid w:val="00B10B90"/>
    <w:rsid w:val="00B10CD7"/>
    <w:rsid w:val="00B11197"/>
    <w:rsid w:val="00B119A6"/>
    <w:rsid w:val="00B11D78"/>
    <w:rsid w:val="00B11F38"/>
    <w:rsid w:val="00B12C3D"/>
    <w:rsid w:val="00B12FD0"/>
    <w:rsid w:val="00B13306"/>
    <w:rsid w:val="00B13F7C"/>
    <w:rsid w:val="00B1482F"/>
    <w:rsid w:val="00B14E03"/>
    <w:rsid w:val="00B1524E"/>
    <w:rsid w:val="00B152C6"/>
    <w:rsid w:val="00B1597B"/>
    <w:rsid w:val="00B15BB2"/>
    <w:rsid w:val="00B161C3"/>
    <w:rsid w:val="00B16611"/>
    <w:rsid w:val="00B16DB5"/>
    <w:rsid w:val="00B17016"/>
    <w:rsid w:val="00B17D4F"/>
    <w:rsid w:val="00B20AF2"/>
    <w:rsid w:val="00B214DD"/>
    <w:rsid w:val="00B216F9"/>
    <w:rsid w:val="00B22056"/>
    <w:rsid w:val="00B228A4"/>
    <w:rsid w:val="00B229BE"/>
    <w:rsid w:val="00B22A4A"/>
    <w:rsid w:val="00B22D02"/>
    <w:rsid w:val="00B23157"/>
    <w:rsid w:val="00B23BED"/>
    <w:rsid w:val="00B23C29"/>
    <w:rsid w:val="00B241E3"/>
    <w:rsid w:val="00B25C72"/>
    <w:rsid w:val="00B25E6F"/>
    <w:rsid w:val="00B261C3"/>
    <w:rsid w:val="00B26F0F"/>
    <w:rsid w:val="00B27220"/>
    <w:rsid w:val="00B27A6D"/>
    <w:rsid w:val="00B27F62"/>
    <w:rsid w:val="00B3064F"/>
    <w:rsid w:val="00B3098F"/>
    <w:rsid w:val="00B30A2A"/>
    <w:rsid w:val="00B30B07"/>
    <w:rsid w:val="00B314D0"/>
    <w:rsid w:val="00B31F6E"/>
    <w:rsid w:val="00B321FA"/>
    <w:rsid w:val="00B32414"/>
    <w:rsid w:val="00B324B7"/>
    <w:rsid w:val="00B32F00"/>
    <w:rsid w:val="00B32F2D"/>
    <w:rsid w:val="00B32FAF"/>
    <w:rsid w:val="00B3370B"/>
    <w:rsid w:val="00B33E84"/>
    <w:rsid w:val="00B344C2"/>
    <w:rsid w:val="00B34C4E"/>
    <w:rsid w:val="00B35035"/>
    <w:rsid w:val="00B35221"/>
    <w:rsid w:val="00B356B5"/>
    <w:rsid w:val="00B35833"/>
    <w:rsid w:val="00B3598F"/>
    <w:rsid w:val="00B36583"/>
    <w:rsid w:val="00B3690C"/>
    <w:rsid w:val="00B370C8"/>
    <w:rsid w:val="00B37224"/>
    <w:rsid w:val="00B40330"/>
    <w:rsid w:val="00B406E5"/>
    <w:rsid w:val="00B4299A"/>
    <w:rsid w:val="00B42A94"/>
    <w:rsid w:val="00B42C20"/>
    <w:rsid w:val="00B42D9A"/>
    <w:rsid w:val="00B42F20"/>
    <w:rsid w:val="00B43CED"/>
    <w:rsid w:val="00B44509"/>
    <w:rsid w:val="00B44954"/>
    <w:rsid w:val="00B44D96"/>
    <w:rsid w:val="00B4521F"/>
    <w:rsid w:val="00B45928"/>
    <w:rsid w:val="00B45E16"/>
    <w:rsid w:val="00B45E8C"/>
    <w:rsid w:val="00B46B3C"/>
    <w:rsid w:val="00B470FE"/>
    <w:rsid w:val="00B47148"/>
    <w:rsid w:val="00B47252"/>
    <w:rsid w:val="00B472B7"/>
    <w:rsid w:val="00B4758C"/>
    <w:rsid w:val="00B47FE8"/>
    <w:rsid w:val="00B50036"/>
    <w:rsid w:val="00B50B5A"/>
    <w:rsid w:val="00B50F51"/>
    <w:rsid w:val="00B51403"/>
    <w:rsid w:val="00B515BC"/>
    <w:rsid w:val="00B51A2F"/>
    <w:rsid w:val="00B51B5B"/>
    <w:rsid w:val="00B51BF3"/>
    <w:rsid w:val="00B52111"/>
    <w:rsid w:val="00B528D0"/>
    <w:rsid w:val="00B52E2B"/>
    <w:rsid w:val="00B52FAF"/>
    <w:rsid w:val="00B5323F"/>
    <w:rsid w:val="00B53836"/>
    <w:rsid w:val="00B539EB"/>
    <w:rsid w:val="00B54550"/>
    <w:rsid w:val="00B5495B"/>
    <w:rsid w:val="00B54A5A"/>
    <w:rsid w:val="00B54FEB"/>
    <w:rsid w:val="00B55695"/>
    <w:rsid w:val="00B562E6"/>
    <w:rsid w:val="00B5639B"/>
    <w:rsid w:val="00B5660B"/>
    <w:rsid w:val="00B56F41"/>
    <w:rsid w:val="00B576E1"/>
    <w:rsid w:val="00B6004E"/>
    <w:rsid w:val="00B60477"/>
    <w:rsid w:val="00B6072A"/>
    <w:rsid w:val="00B608F1"/>
    <w:rsid w:val="00B60F4A"/>
    <w:rsid w:val="00B60F79"/>
    <w:rsid w:val="00B61337"/>
    <w:rsid w:val="00B61474"/>
    <w:rsid w:val="00B61B49"/>
    <w:rsid w:val="00B63591"/>
    <w:rsid w:val="00B635C6"/>
    <w:rsid w:val="00B63704"/>
    <w:rsid w:val="00B63742"/>
    <w:rsid w:val="00B6379E"/>
    <w:rsid w:val="00B637D9"/>
    <w:rsid w:val="00B63B4A"/>
    <w:rsid w:val="00B64201"/>
    <w:rsid w:val="00B64496"/>
    <w:rsid w:val="00B64498"/>
    <w:rsid w:val="00B648E9"/>
    <w:rsid w:val="00B6604C"/>
    <w:rsid w:val="00B6645A"/>
    <w:rsid w:val="00B6684A"/>
    <w:rsid w:val="00B67120"/>
    <w:rsid w:val="00B673CA"/>
    <w:rsid w:val="00B6753E"/>
    <w:rsid w:val="00B67550"/>
    <w:rsid w:val="00B679F5"/>
    <w:rsid w:val="00B7117A"/>
    <w:rsid w:val="00B72053"/>
    <w:rsid w:val="00B7234F"/>
    <w:rsid w:val="00B72501"/>
    <w:rsid w:val="00B73B57"/>
    <w:rsid w:val="00B74BDA"/>
    <w:rsid w:val="00B75037"/>
    <w:rsid w:val="00B75159"/>
    <w:rsid w:val="00B759D6"/>
    <w:rsid w:val="00B75AAD"/>
    <w:rsid w:val="00B75D3F"/>
    <w:rsid w:val="00B76633"/>
    <w:rsid w:val="00B7745A"/>
    <w:rsid w:val="00B77723"/>
    <w:rsid w:val="00B77ABB"/>
    <w:rsid w:val="00B77E12"/>
    <w:rsid w:val="00B802CA"/>
    <w:rsid w:val="00B80B08"/>
    <w:rsid w:val="00B815D3"/>
    <w:rsid w:val="00B82DE1"/>
    <w:rsid w:val="00B831A1"/>
    <w:rsid w:val="00B83476"/>
    <w:rsid w:val="00B835D2"/>
    <w:rsid w:val="00B83B6A"/>
    <w:rsid w:val="00B83C67"/>
    <w:rsid w:val="00B843A1"/>
    <w:rsid w:val="00B848BE"/>
    <w:rsid w:val="00B84907"/>
    <w:rsid w:val="00B85638"/>
    <w:rsid w:val="00B8573A"/>
    <w:rsid w:val="00B85861"/>
    <w:rsid w:val="00B861A7"/>
    <w:rsid w:val="00B86903"/>
    <w:rsid w:val="00B8748B"/>
    <w:rsid w:val="00B87BC1"/>
    <w:rsid w:val="00B91818"/>
    <w:rsid w:val="00B919AB"/>
    <w:rsid w:val="00B919D4"/>
    <w:rsid w:val="00B91F80"/>
    <w:rsid w:val="00B92699"/>
    <w:rsid w:val="00B927B0"/>
    <w:rsid w:val="00B92C6F"/>
    <w:rsid w:val="00B92F7A"/>
    <w:rsid w:val="00B93060"/>
    <w:rsid w:val="00B93597"/>
    <w:rsid w:val="00B944AC"/>
    <w:rsid w:val="00B94798"/>
    <w:rsid w:val="00B947FD"/>
    <w:rsid w:val="00B94BE5"/>
    <w:rsid w:val="00B96011"/>
    <w:rsid w:val="00B965AF"/>
    <w:rsid w:val="00B96D5A"/>
    <w:rsid w:val="00B96E9F"/>
    <w:rsid w:val="00B97182"/>
    <w:rsid w:val="00B977A2"/>
    <w:rsid w:val="00B97DBD"/>
    <w:rsid w:val="00BA0255"/>
    <w:rsid w:val="00BA06D4"/>
    <w:rsid w:val="00BA075F"/>
    <w:rsid w:val="00BA0A76"/>
    <w:rsid w:val="00BA0D2A"/>
    <w:rsid w:val="00BA0FA7"/>
    <w:rsid w:val="00BA0FA8"/>
    <w:rsid w:val="00BA102F"/>
    <w:rsid w:val="00BA11C6"/>
    <w:rsid w:val="00BA1218"/>
    <w:rsid w:val="00BA148A"/>
    <w:rsid w:val="00BA1D32"/>
    <w:rsid w:val="00BA1DBF"/>
    <w:rsid w:val="00BA256B"/>
    <w:rsid w:val="00BA3DFA"/>
    <w:rsid w:val="00BA49CD"/>
    <w:rsid w:val="00BA4DC7"/>
    <w:rsid w:val="00BA52C1"/>
    <w:rsid w:val="00BA55A6"/>
    <w:rsid w:val="00BA58C0"/>
    <w:rsid w:val="00BA5AF4"/>
    <w:rsid w:val="00BA5CE0"/>
    <w:rsid w:val="00BA6166"/>
    <w:rsid w:val="00BA64DC"/>
    <w:rsid w:val="00BA683A"/>
    <w:rsid w:val="00BA76B1"/>
    <w:rsid w:val="00BB0423"/>
    <w:rsid w:val="00BB0752"/>
    <w:rsid w:val="00BB16B3"/>
    <w:rsid w:val="00BB2327"/>
    <w:rsid w:val="00BB2B1F"/>
    <w:rsid w:val="00BB2B80"/>
    <w:rsid w:val="00BB2F0B"/>
    <w:rsid w:val="00BB362B"/>
    <w:rsid w:val="00BB3907"/>
    <w:rsid w:val="00BB4C56"/>
    <w:rsid w:val="00BB5F6C"/>
    <w:rsid w:val="00BB60C3"/>
    <w:rsid w:val="00BB6796"/>
    <w:rsid w:val="00BB690D"/>
    <w:rsid w:val="00BB69B6"/>
    <w:rsid w:val="00BB6B1D"/>
    <w:rsid w:val="00BB6C88"/>
    <w:rsid w:val="00BB6ECF"/>
    <w:rsid w:val="00BB74B3"/>
    <w:rsid w:val="00BB76A1"/>
    <w:rsid w:val="00BB777A"/>
    <w:rsid w:val="00BB79C2"/>
    <w:rsid w:val="00BB7C25"/>
    <w:rsid w:val="00BC0B9D"/>
    <w:rsid w:val="00BC1424"/>
    <w:rsid w:val="00BC1765"/>
    <w:rsid w:val="00BC1CC3"/>
    <w:rsid w:val="00BC1DFC"/>
    <w:rsid w:val="00BC2243"/>
    <w:rsid w:val="00BC235F"/>
    <w:rsid w:val="00BC2507"/>
    <w:rsid w:val="00BC27EF"/>
    <w:rsid w:val="00BC2CA6"/>
    <w:rsid w:val="00BC4499"/>
    <w:rsid w:val="00BC47D8"/>
    <w:rsid w:val="00BC4B11"/>
    <w:rsid w:val="00BC5454"/>
    <w:rsid w:val="00BC56EB"/>
    <w:rsid w:val="00BC58B0"/>
    <w:rsid w:val="00BC5961"/>
    <w:rsid w:val="00BC5C69"/>
    <w:rsid w:val="00BC6187"/>
    <w:rsid w:val="00BC693E"/>
    <w:rsid w:val="00BD0152"/>
    <w:rsid w:val="00BD028F"/>
    <w:rsid w:val="00BD03C9"/>
    <w:rsid w:val="00BD07F4"/>
    <w:rsid w:val="00BD087D"/>
    <w:rsid w:val="00BD0916"/>
    <w:rsid w:val="00BD137C"/>
    <w:rsid w:val="00BD16D1"/>
    <w:rsid w:val="00BD219A"/>
    <w:rsid w:val="00BD2539"/>
    <w:rsid w:val="00BD26D8"/>
    <w:rsid w:val="00BD2C2C"/>
    <w:rsid w:val="00BD2C42"/>
    <w:rsid w:val="00BD307A"/>
    <w:rsid w:val="00BD3327"/>
    <w:rsid w:val="00BD3698"/>
    <w:rsid w:val="00BD44A4"/>
    <w:rsid w:val="00BD55C0"/>
    <w:rsid w:val="00BD58F5"/>
    <w:rsid w:val="00BD6469"/>
    <w:rsid w:val="00BD65E1"/>
    <w:rsid w:val="00BD6A70"/>
    <w:rsid w:val="00BD6BF2"/>
    <w:rsid w:val="00BD6EF9"/>
    <w:rsid w:val="00BD754C"/>
    <w:rsid w:val="00BD772A"/>
    <w:rsid w:val="00BD7916"/>
    <w:rsid w:val="00BD7970"/>
    <w:rsid w:val="00BE002F"/>
    <w:rsid w:val="00BE02E5"/>
    <w:rsid w:val="00BE0C59"/>
    <w:rsid w:val="00BE116E"/>
    <w:rsid w:val="00BE14AD"/>
    <w:rsid w:val="00BE194D"/>
    <w:rsid w:val="00BE1EB6"/>
    <w:rsid w:val="00BE2053"/>
    <w:rsid w:val="00BE235C"/>
    <w:rsid w:val="00BE26E8"/>
    <w:rsid w:val="00BE29DD"/>
    <w:rsid w:val="00BE2AB1"/>
    <w:rsid w:val="00BE2F83"/>
    <w:rsid w:val="00BE350B"/>
    <w:rsid w:val="00BE35C9"/>
    <w:rsid w:val="00BE3A79"/>
    <w:rsid w:val="00BE3B06"/>
    <w:rsid w:val="00BE4556"/>
    <w:rsid w:val="00BE4C3A"/>
    <w:rsid w:val="00BE502C"/>
    <w:rsid w:val="00BE5253"/>
    <w:rsid w:val="00BE576A"/>
    <w:rsid w:val="00BE5835"/>
    <w:rsid w:val="00BE6073"/>
    <w:rsid w:val="00BE6B86"/>
    <w:rsid w:val="00BE72FD"/>
    <w:rsid w:val="00BE74D1"/>
    <w:rsid w:val="00BE786F"/>
    <w:rsid w:val="00BE7B02"/>
    <w:rsid w:val="00BF0C38"/>
    <w:rsid w:val="00BF0F2C"/>
    <w:rsid w:val="00BF139F"/>
    <w:rsid w:val="00BF1728"/>
    <w:rsid w:val="00BF1BED"/>
    <w:rsid w:val="00BF1EF8"/>
    <w:rsid w:val="00BF2674"/>
    <w:rsid w:val="00BF2DE5"/>
    <w:rsid w:val="00BF316D"/>
    <w:rsid w:val="00BF31F1"/>
    <w:rsid w:val="00BF388B"/>
    <w:rsid w:val="00BF3C29"/>
    <w:rsid w:val="00BF3DAB"/>
    <w:rsid w:val="00BF4139"/>
    <w:rsid w:val="00BF47F3"/>
    <w:rsid w:val="00BF4827"/>
    <w:rsid w:val="00BF4AD7"/>
    <w:rsid w:val="00BF4C49"/>
    <w:rsid w:val="00BF4C68"/>
    <w:rsid w:val="00BF53DC"/>
    <w:rsid w:val="00BF5DA2"/>
    <w:rsid w:val="00BF5F69"/>
    <w:rsid w:val="00BF5F85"/>
    <w:rsid w:val="00BF6338"/>
    <w:rsid w:val="00BF6536"/>
    <w:rsid w:val="00BF6679"/>
    <w:rsid w:val="00BF6D56"/>
    <w:rsid w:val="00BF7DFA"/>
    <w:rsid w:val="00C003F5"/>
    <w:rsid w:val="00C0079D"/>
    <w:rsid w:val="00C009B4"/>
    <w:rsid w:val="00C00D03"/>
    <w:rsid w:val="00C00F34"/>
    <w:rsid w:val="00C01151"/>
    <w:rsid w:val="00C017B2"/>
    <w:rsid w:val="00C01DD3"/>
    <w:rsid w:val="00C01DFC"/>
    <w:rsid w:val="00C02205"/>
    <w:rsid w:val="00C0282B"/>
    <w:rsid w:val="00C02CA7"/>
    <w:rsid w:val="00C02E62"/>
    <w:rsid w:val="00C03D01"/>
    <w:rsid w:val="00C03D1E"/>
    <w:rsid w:val="00C04292"/>
    <w:rsid w:val="00C04382"/>
    <w:rsid w:val="00C0517A"/>
    <w:rsid w:val="00C05343"/>
    <w:rsid w:val="00C05381"/>
    <w:rsid w:val="00C0572E"/>
    <w:rsid w:val="00C067E0"/>
    <w:rsid w:val="00C074B8"/>
    <w:rsid w:val="00C075D0"/>
    <w:rsid w:val="00C1025D"/>
    <w:rsid w:val="00C103AB"/>
    <w:rsid w:val="00C117B9"/>
    <w:rsid w:val="00C11821"/>
    <w:rsid w:val="00C118D8"/>
    <w:rsid w:val="00C12D93"/>
    <w:rsid w:val="00C12EE2"/>
    <w:rsid w:val="00C13419"/>
    <w:rsid w:val="00C139DE"/>
    <w:rsid w:val="00C13A51"/>
    <w:rsid w:val="00C13B55"/>
    <w:rsid w:val="00C13C3F"/>
    <w:rsid w:val="00C13CBD"/>
    <w:rsid w:val="00C13DB6"/>
    <w:rsid w:val="00C142BD"/>
    <w:rsid w:val="00C14B57"/>
    <w:rsid w:val="00C15671"/>
    <w:rsid w:val="00C15D34"/>
    <w:rsid w:val="00C16489"/>
    <w:rsid w:val="00C16848"/>
    <w:rsid w:val="00C168C0"/>
    <w:rsid w:val="00C16B43"/>
    <w:rsid w:val="00C16BF9"/>
    <w:rsid w:val="00C1711E"/>
    <w:rsid w:val="00C17140"/>
    <w:rsid w:val="00C174C6"/>
    <w:rsid w:val="00C17E6E"/>
    <w:rsid w:val="00C17F0A"/>
    <w:rsid w:val="00C2001A"/>
    <w:rsid w:val="00C20446"/>
    <w:rsid w:val="00C20915"/>
    <w:rsid w:val="00C211D4"/>
    <w:rsid w:val="00C2185E"/>
    <w:rsid w:val="00C21A06"/>
    <w:rsid w:val="00C221D0"/>
    <w:rsid w:val="00C22CD7"/>
    <w:rsid w:val="00C23520"/>
    <w:rsid w:val="00C2366E"/>
    <w:rsid w:val="00C23A6B"/>
    <w:rsid w:val="00C24097"/>
    <w:rsid w:val="00C246D7"/>
    <w:rsid w:val="00C247E5"/>
    <w:rsid w:val="00C24DA9"/>
    <w:rsid w:val="00C24F12"/>
    <w:rsid w:val="00C24F98"/>
    <w:rsid w:val="00C25082"/>
    <w:rsid w:val="00C25277"/>
    <w:rsid w:val="00C255B0"/>
    <w:rsid w:val="00C25E6A"/>
    <w:rsid w:val="00C25E7D"/>
    <w:rsid w:val="00C265D4"/>
    <w:rsid w:val="00C273AE"/>
    <w:rsid w:val="00C275FC"/>
    <w:rsid w:val="00C27B1C"/>
    <w:rsid w:val="00C27D57"/>
    <w:rsid w:val="00C27E01"/>
    <w:rsid w:val="00C27F2F"/>
    <w:rsid w:val="00C303C0"/>
    <w:rsid w:val="00C30D84"/>
    <w:rsid w:val="00C3145E"/>
    <w:rsid w:val="00C315AE"/>
    <w:rsid w:val="00C3160C"/>
    <w:rsid w:val="00C317A7"/>
    <w:rsid w:val="00C31EE1"/>
    <w:rsid w:val="00C32310"/>
    <w:rsid w:val="00C33431"/>
    <w:rsid w:val="00C337A9"/>
    <w:rsid w:val="00C33AEC"/>
    <w:rsid w:val="00C34536"/>
    <w:rsid w:val="00C34CDD"/>
    <w:rsid w:val="00C34F9A"/>
    <w:rsid w:val="00C357AE"/>
    <w:rsid w:val="00C3608B"/>
    <w:rsid w:val="00C36203"/>
    <w:rsid w:val="00C36B2D"/>
    <w:rsid w:val="00C37CDE"/>
    <w:rsid w:val="00C408AF"/>
    <w:rsid w:val="00C40C58"/>
    <w:rsid w:val="00C40F81"/>
    <w:rsid w:val="00C410D2"/>
    <w:rsid w:val="00C417CD"/>
    <w:rsid w:val="00C4189C"/>
    <w:rsid w:val="00C41AFB"/>
    <w:rsid w:val="00C41C08"/>
    <w:rsid w:val="00C41C3F"/>
    <w:rsid w:val="00C42A78"/>
    <w:rsid w:val="00C42FB2"/>
    <w:rsid w:val="00C437D6"/>
    <w:rsid w:val="00C4426C"/>
    <w:rsid w:val="00C44629"/>
    <w:rsid w:val="00C4471A"/>
    <w:rsid w:val="00C44CC9"/>
    <w:rsid w:val="00C44D73"/>
    <w:rsid w:val="00C44FD9"/>
    <w:rsid w:val="00C45350"/>
    <w:rsid w:val="00C4548D"/>
    <w:rsid w:val="00C45DD1"/>
    <w:rsid w:val="00C4601D"/>
    <w:rsid w:val="00C4698B"/>
    <w:rsid w:val="00C46FE3"/>
    <w:rsid w:val="00C4707D"/>
    <w:rsid w:val="00C473E7"/>
    <w:rsid w:val="00C47478"/>
    <w:rsid w:val="00C47BD2"/>
    <w:rsid w:val="00C50DFC"/>
    <w:rsid w:val="00C51206"/>
    <w:rsid w:val="00C51FA8"/>
    <w:rsid w:val="00C51FF0"/>
    <w:rsid w:val="00C52D4E"/>
    <w:rsid w:val="00C5300F"/>
    <w:rsid w:val="00C53027"/>
    <w:rsid w:val="00C53271"/>
    <w:rsid w:val="00C53343"/>
    <w:rsid w:val="00C53EE2"/>
    <w:rsid w:val="00C54473"/>
    <w:rsid w:val="00C55D94"/>
    <w:rsid w:val="00C56258"/>
    <w:rsid w:val="00C57567"/>
    <w:rsid w:val="00C57582"/>
    <w:rsid w:val="00C6017A"/>
    <w:rsid w:val="00C6087E"/>
    <w:rsid w:val="00C608EF"/>
    <w:rsid w:val="00C60FC1"/>
    <w:rsid w:val="00C60FF0"/>
    <w:rsid w:val="00C612BB"/>
    <w:rsid w:val="00C612BF"/>
    <w:rsid w:val="00C618F6"/>
    <w:rsid w:val="00C619EE"/>
    <w:rsid w:val="00C6207E"/>
    <w:rsid w:val="00C62E67"/>
    <w:rsid w:val="00C631A8"/>
    <w:rsid w:val="00C6339B"/>
    <w:rsid w:val="00C63770"/>
    <w:rsid w:val="00C64784"/>
    <w:rsid w:val="00C64AD8"/>
    <w:rsid w:val="00C64FAE"/>
    <w:rsid w:val="00C65320"/>
    <w:rsid w:val="00C65CEF"/>
    <w:rsid w:val="00C66344"/>
    <w:rsid w:val="00C66679"/>
    <w:rsid w:val="00C66B58"/>
    <w:rsid w:val="00C66D4A"/>
    <w:rsid w:val="00C66E0E"/>
    <w:rsid w:val="00C674F7"/>
    <w:rsid w:val="00C67955"/>
    <w:rsid w:val="00C67C00"/>
    <w:rsid w:val="00C70074"/>
    <w:rsid w:val="00C701EC"/>
    <w:rsid w:val="00C70244"/>
    <w:rsid w:val="00C70341"/>
    <w:rsid w:val="00C70438"/>
    <w:rsid w:val="00C70918"/>
    <w:rsid w:val="00C70C17"/>
    <w:rsid w:val="00C716CF"/>
    <w:rsid w:val="00C717CD"/>
    <w:rsid w:val="00C71EAD"/>
    <w:rsid w:val="00C7264D"/>
    <w:rsid w:val="00C729CD"/>
    <w:rsid w:val="00C72AE3"/>
    <w:rsid w:val="00C73402"/>
    <w:rsid w:val="00C73FAD"/>
    <w:rsid w:val="00C745D7"/>
    <w:rsid w:val="00C74865"/>
    <w:rsid w:val="00C74916"/>
    <w:rsid w:val="00C755C8"/>
    <w:rsid w:val="00C758E0"/>
    <w:rsid w:val="00C75A25"/>
    <w:rsid w:val="00C76C64"/>
    <w:rsid w:val="00C76DBB"/>
    <w:rsid w:val="00C7702A"/>
    <w:rsid w:val="00C771B4"/>
    <w:rsid w:val="00C773C8"/>
    <w:rsid w:val="00C807B9"/>
    <w:rsid w:val="00C80A25"/>
    <w:rsid w:val="00C81B0E"/>
    <w:rsid w:val="00C81DB4"/>
    <w:rsid w:val="00C81DF7"/>
    <w:rsid w:val="00C8242E"/>
    <w:rsid w:val="00C8287D"/>
    <w:rsid w:val="00C82930"/>
    <w:rsid w:val="00C8301A"/>
    <w:rsid w:val="00C83A04"/>
    <w:rsid w:val="00C83E34"/>
    <w:rsid w:val="00C846DF"/>
    <w:rsid w:val="00C84704"/>
    <w:rsid w:val="00C84CB8"/>
    <w:rsid w:val="00C84F73"/>
    <w:rsid w:val="00C8531E"/>
    <w:rsid w:val="00C853A9"/>
    <w:rsid w:val="00C8572E"/>
    <w:rsid w:val="00C85948"/>
    <w:rsid w:val="00C85B6C"/>
    <w:rsid w:val="00C85E1F"/>
    <w:rsid w:val="00C85ED3"/>
    <w:rsid w:val="00C86202"/>
    <w:rsid w:val="00C86A34"/>
    <w:rsid w:val="00C86B92"/>
    <w:rsid w:val="00C86BFE"/>
    <w:rsid w:val="00C86D8A"/>
    <w:rsid w:val="00C871DD"/>
    <w:rsid w:val="00C873ED"/>
    <w:rsid w:val="00C87F73"/>
    <w:rsid w:val="00C900B0"/>
    <w:rsid w:val="00C90231"/>
    <w:rsid w:val="00C9080B"/>
    <w:rsid w:val="00C90D8A"/>
    <w:rsid w:val="00C90EF9"/>
    <w:rsid w:val="00C9108F"/>
    <w:rsid w:val="00C91CEC"/>
    <w:rsid w:val="00C924DF"/>
    <w:rsid w:val="00C92714"/>
    <w:rsid w:val="00C9286B"/>
    <w:rsid w:val="00C92949"/>
    <w:rsid w:val="00C9312F"/>
    <w:rsid w:val="00C933D8"/>
    <w:rsid w:val="00C93FE7"/>
    <w:rsid w:val="00C94810"/>
    <w:rsid w:val="00C9488A"/>
    <w:rsid w:val="00C94AD2"/>
    <w:rsid w:val="00C950CA"/>
    <w:rsid w:val="00C95819"/>
    <w:rsid w:val="00C958E9"/>
    <w:rsid w:val="00C95ED6"/>
    <w:rsid w:val="00CA0559"/>
    <w:rsid w:val="00CA1B03"/>
    <w:rsid w:val="00CA1DCF"/>
    <w:rsid w:val="00CA1E28"/>
    <w:rsid w:val="00CA1FB0"/>
    <w:rsid w:val="00CA24D1"/>
    <w:rsid w:val="00CA27A0"/>
    <w:rsid w:val="00CA2E1D"/>
    <w:rsid w:val="00CA394B"/>
    <w:rsid w:val="00CA39CC"/>
    <w:rsid w:val="00CA4743"/>
    <w:rsid w:val="00CA48B2"/>
    <w:rsid w:val="00CA5B35"/>
    <w:rsid w:val="00CA5D33"/>
    <w:rsid w:val="00CA5FEA"/>
    <w:rsid w:val="00CA6014"/>
    <w:rsid w:val="00CA6568"/>
    <w:rsid w:val="00CA65FC"/>
    <w:rsid w:val="00CA688E"/>
    <w:rsid w:val="00CA6B6A"/>
    <w:rsid w:val="00CA7247"/>
    <w:rsid w:val="00CA735E"/>
    <w:rsid w:val="00CA73DD"/>
    <w:rsid w:val="00CA7931"/>
    <w:rsid w:val="00CA7D8A"/>
    <w:rsid w:val="00CB0DDD"/>
    <w:rsid w:val="00CB10A6"/>
    <w:rsid w:val="00CB1162"/>
    <w:rsid w:val="00CB138F"/>
    <w:rsid w:val="00CB13E0"/>
    <w:rsid w:val="00CB1919"/>
    <w:rsid w:val="00CB1D50"/>
    <w:rsid w:val="00CB1E6C"/>
    <w:rsid w:val="00CB2197"/>
    <w:rsid w:val="00CB248C"/>
    <w:rsid w:val="00CB254E"/>
    <w:rsid w:val="00CB25B9"/>
    <w:rsid w:val="00CB2EDC"/>
    <w:rsid w:val="00CB348C"/>
    <w:rsid w:val="00CB3934"/>
    <w:rsid w:val="00CB4046"/>
    <w:rsid w:val="00CB43FA"/>
    <w:rsid w:val="00CB4A69"/>
    <w:rsid w:val="00CB4EF9"/>
    <w:rsid w:val="00CB5A89"/>
    <w:rsid w:val="00CB5B31"/>
    <w:rsid w:val="00CB5BE7"/>
    <w:rsid w:val="00CB6EE3"/>
    <w:rsid w:val="00CB712E"/>
    <w:rsid w:val="00CB7234"/>
    <w:rsid w:val="00CB76B8"/>
    <w:rsid w:val="00CB7703"/>
    <w:rsid w:val="00CB783B"/>
    <w:rsid w:val="00CB7FBA"/>
    <w:rsid w:val="00CC0D6B"/>
    <w:rsid w:val="00CC0E1E"/>
    <w:rsid w:val="00CC1189"/>
    <w:rsid w:val="00CC1516"/>
    <w:rsid w:val="00CC1F79"/>
    <w:rsid w:val="00CC23C6"/>
    <w:rsid w:val="00CC27E6"/>
    <w:rsid w:val="00CC2803"/>
    <w:rsid w:val="00CC3489"/>
    <w:rsid w:val="00CC3902"/>
    <w:rsid w:val="00CC3A68"/>
    <w:rsid w:val="00CC468B"/>
    <w:rsid w:val="00CC4B5B"/>
    <w:rsid w:val="00CC61F1"/>
    <w:rsid w:val="00CC6423"/>
    <w:rsid w:val="00CC657C"/>
    <w:rsid w:val="00CC68D6"/>
    <w:rsid w:val="00CC707F"/>
    <w:rsid w:val="00CC712C"/>
    <w:rsid w:val="00CC777D"/>
    <w:rsid w:val="00CC79CD"/>
    <w:rsid w:val="00CC7C5C"/>
    <w:rsid w:val="00CC7CC8"/>
    <w:rsid w:val="00CD0761"/>
    <w:rsid w:val="00CD0CEE"/>
    <w:rsid w:val="00CD13B4"/>
    <w:rsid w:val="00CD1841"/>
    <w:rsid w:val="00CD1BF1"/>
    <w:rsid w:val="00CD27C1"/>
    <w:rsid w:val="00CD2A3E"/>
    <w:rsid w:val="00CD31C1"/>
    <w:rsid w:val="00CD35F1"/>
    <w:rsid w:val="00CD4704"/>
    <w:rsid w:val="00CD4AE1"/>
    <w:rsid w:val="00CD4B3B"/>
    <w:rsid w:val="00CD4C9C"/>
    <w:rsid w:val="00CD5401"/>
    <w:rsid w:val="00CD5716"/>
    <w:rsid w:val="00CD5927"/>
    <w:rsid w:val="00CD6524"/>
    <w:rsid w:val="00CD68DD"/>
    <w:rsid w:val="00CD6AA3"/>
    <w:rsid w:val="00CD6C24"/>
    <w:rsid w:val="00CD6C94"/>
    <w:rsid w:val="00CD7649"/>
    <w:rsid w:val="00CD7760"/>
    <w:rsid w:val="00CD794A"/>
    <w:rsid w:val="00CD7B8B"/>
    <w:rsid w:val="00CE0361"/>
    <w:rsid w:val="00CE05C6"/>
    <w:rsid w:val="00CE073C"/>
    <w:rsid w:val="00CE1DF8"/>
    <w:rsid w:val="00CE2B04"/>
    <w:rsid w:val="00CE2C04"/>
    <w:rsid w:val="00CE3F20"/>
    <w:rsid w:val="00CE40EA"/>
    <w:rsid w:val="00CE484E"/>
    <w:rsid w:val="00CE4E0D"/>
    <w:rsid w:val="00CE4F18"/>
    <w:rsid w:val="00CE5298"/>
    <w:rsid w:val="00CE5416"/>
    <w:rsid w:val="00CE58EB"/>
    <w:rsid w:val="00CE596B"/>
    <w:rsid w:val="00CE5F0A"/>
    <w:rsid w:val="00CE643F"/>
    <w:rsid w:val="00CE6523"/>
    <w:rsid w:val="00CE681D"/>
    <w:rsid w:val="00CE6A32"/>
    <w:rsid w:val="00CE6EA0"/>
    <w:rsid w:val="00CF091E"/>
    <w:rsid w:val="00CF0A69"/>
    <w:rsid w:val="00CF10F6"/>
    <w:rsid w:val="00CF1AC7"/>
    <w:rsid w:val="00CF1DBF"/>
    <w:rsid w:val="00CF1E7E"/>
    <w:rsid w:val="00CF26A8"/>
    <w:rsid w:val="00CF35B2"/>
    <w:rsid w:val="00CF38D4"/>
    <w:rsid w:val="00CF472E"/>
    <w:rsid w:val="00CF50F7"/>
    <w:rsid w:val="00CF5593"/>
    <w:rsid w:val="00CF5672"/>
    <w:rsid w:val="00CF5C9C"/>
    <w:rsid w:val="00CF60B2"/>
    <w:rsid w:val="00CF6BB9"/>
    <w:rsid w:val="00CF6DD6"/>
    <w:rsid w:val="00CF7017"/>
    <w:rsid w:val="00CF766E"/>
    <w:rsid w:val="00D004D6"/>
    <w:rsid w:val="00D005AD"/>
    <w:rsid w:val="00D00FDE"/>
    <w:rsid w:val="00D022D6"/>
    <w:rsid w:val="00D026EE"/>
    <w:rsid w:val="00D02876"/>
    <w:rsid w:val="00D02BFF"/>
    <w:rsid w:val="00D0316E"/>
    <w:rsid w:val="00D03342"/>
    <w:rsid w:val="00D03563"/>
    <w:rsid w:val="00D03F31"/>
    <w:rsid w:val="00D043F5"/>
    <w:rsid w:val="00D045FD"/>
    <w:rsid w:val="00D05109"/>
    <w:rsid w:val="00D0566D"/>
    <w:rsid w:val="00D0774F"/>
    <w:rsid w:val="00D07D72"/>
    <w:rsid w:val="00D103E0"/>
    <w:rsid w:val="00D1060F"/>
    <w:rsid w:val="00D10D5F"/>
    <w:rsid w:val="00D1140B"/>
    <w:rsid w:val="00D11823"/>
    <w:rsid w:val="00D118F2"/>
    <w:rsid w:val="00D12563"/>
    <w:rsid w:val="00D12670"/>
    <w:rsid w:val="00D127DE"/>
    <w:rsid w:val="00D12820"/>
    <w:rsid w:val="00D12D32"/>
    <w:rsid w:val="00D12E0E"/>
    <w:rsid w:val="00D132C3"/>
    <w:rsid w:val="00D13444"/>
    <w:rsid w:val="00D137F1"/>
    <w:rsid w:val="00D13887"/>
    <w:rsid w:val="00D140E8"/>
    <w:rsid w:val="00D148D1"/>
    <w:rsid w:val="00D149AD"/>
    <w:rsid w:val="00D159F8"/>
    <w:rsid w:val="00D1637D"/>
    <w:rsid w:val="00D16CC4"/>
    <w:rsid w:val="00D171C8"/>
    <w:rsid w:val="00D17440"/>
    <w:rsid w:val="00D17AFC"/>
    <w:rsid w:val="00D17CFB"/>
    <w:rsid w:val="00D17D1E"/>
    <w:rsid w:val="00D2009D"/>
    <w:rsid w:val="00D20822"/>
    <w:rsid w:val="00D20982"/>
    <w:rsid w:val="00D21D1B"/>
    <w:rsid w:val="00D22287"/>
    <w:rsid w:val="00D22567"/>
    <w:rsid w:val="00D226B9"/>
    <w:rsid w:val="00D22F65"/>
    <w:rsid w:val="00D23437"/>
    <w:rsid w:val="00D2381C"/>
    <w:rsid w:val="00D23A94"/>
    <w:rsid w:val="00D23EEA"/>
    <w:rsid w:val="00D23F38"/>
    <w:rsid w:val="00D24346"/>
    <w:rsid w:val="00D2459A"/>
    <w:rsid w:val="00D2481A"/>
    <w:rsid w:val="00D248D9"/>
    <w:rsid w:val="00D24B50"/>
    <w:rsid w:val="00D24CD7"/>
    <w:rsid w:val="00D24D7B"/>
    <w:rsid w:val="00D2502F"/>
    <w:rsid w:val="00D25450"/>
    <w:rsid w:val="00D25F3E"/>
    <w:rsid w:val="00D26C87"/>
    <w:rsid w:val="00D27131"/>
    <w:rsid w:val="00D27825"/>
    <w:rsid w:val="00D3147E"/>
    <w:rsid w:val="00D31BBD"/>
    <w:rsid w:val="00D329A0"/>
    <w:rsid w:val="00D32CE1"/>
    <w:rsid w:val="00D32E58"/>
    <w:rsid w:val="00D33010"/>
    <w:rsid w:val="00D334CD"/>
    <w:rsid w:val="00D3395C"/>
    <w:rsid w:val="00D34412"/>
    <w:rsid w:val="00D34D6B"/>
    <w:rsid w:val="00D350C5"/>
    <w:rsid w:val="00D350D9"/>
    <w:rsid w:val="00D35628"/>
    <w:rsid w:val="00D35B1E"/>
    <w:rsid w:val="00D35BAA"/>
    <w:rsid w:val="00D36072"/>
    <w:rsid w:val="00D36122"/>
    <w:rsid w:val="00D362E0"/>
    <w:rsid w:val="00D367F0"/>
    <w:rsid w:val="00D36E7E"/>
    <w:rsid w:val="00D3756A"/>
    <w:rsid w:val="00D375DA"/>
    <w:rsid w:val="00D37669"/>
    <w:rsid w:val="00D377AE"/>
    <w:rsid w:val="00D400D8"/>
    <w:rsid w:val="00D403D0"/>
    <w:rsid w:val="00D404B1"/>
    <w:rsid w:val="00D4113F"/>
    <w:rsid w:val="00D4119C"/>
    <w:rsid w:val="00D412B3"/>
    <w:rsid w:val="00D41378"/>
    <w:rsid w:val="00D41616"/>
    <w:rsid w:val="00D42CD9"/>
    <w:rsid w:val="00D43988"/>
    <w:rsid w:val="00D43AC4"/>
    <w:rsid w:val="00D442ED"/>
    <w:rsid w:val="00D44448"/>
    <w:rsid w:val="00D44B46"/>
    <w:rsid w:val="00D44BDE"/>
    <w:rsid w:val="00D44E88"/>
    <w:rsid w:val="00D456A5"/>
    <w:rsid w:val="00D45B50"/>
    <w:rsid w:val="00D45CA8"/>
    <w:rsid w:val="00D46109"/>
    <w:rsid w:val="00D46C3C"/>
    <w:rsid w:val="00D46D0E"/>
    <w:rsid w:val="00D46E71"/>
    <w:rsid w:val="00D4707E"/>
    <w:rsid w:val="00D4721D"/>
    <w:rsid w:val="00D47867"/>
    <w:rsid w:val="00D47D6E"/>
    <w:rsid w:val="00D47E2C"/>
    <w:rsid w:val="00D47EAF"/>
    <w:rsid w:val="00D47F54"/>
    <w:rsid w:val="00D504F6"/>
    <w:rsid w:val="00D50C02"/>
    <w:rsid w:val="00D50E7A"/>
    <w:rsid w:val="00D5148C"/>
    <w:rsid w:val="00D51552"/>
    <w:rsid w:val="00D516F9"/>
    <w:rsid w:val="00D51B27"/>
    <w:rsid w:val="00D5227E"/>
    <w:rsid w:val="00D52583"/>
    <w:rsid w:val="00D52D7F"/>
    <w:rsid w:val="00D52F8D"/>
    <w:rsid w:val="00D53034"/>
    <w:rsid w:val="00D532F5"/>
    <w:rsid w:val="00D5331B"/>
    <w:rsid w:val="00D54373"/>
    <w:rsid w:val="00D545E9"/>
    <w:rsid w:val="00D547BC"/>
    <w:rsid w:val="00D54E43"/>
    <w:rsid w:val="00D54F28"/>
    <w:rsid w:val="00D559DA"/>
    <w:rsid w:val="00D55A05"/>
    <w:rsid w:val="00D564EF"/>
    <w:rsid w:val="00D56DB7"/>
    <w:rsid w:val="00D57061"/>
    <w:rsid w:val="00D570FB"/>
    <w:rsid w:val="00D57447"/>
    <w:rsid w:val="00D57E09"/>
    <w:rsid w:val="00D60E3C"/>
    <w:rsid w:val="00D613B2"/>
    <w:rsid w:val="00D61A9F"/>
    <w:rsid w:val="00D61D25"/>
    <w:rsid w:val="00D61E2C"/>
    <w:rsid w:val="00D61EDD"/>
    <w:rsid w:val="00D622E3"/>
    <w:rsid w:val="00D628AF"/>
    <w:rsid w:val="00D6294B"/>
    <w:rsid w:val="00D630BA"/>
    <w:rsid w:val="00D6353D"/>
    <w:rsid w:val="00D6367B"/>
    <w:rsid w:val="00D63895"/>
    <w:rsid w:val="00D6429C"/>
    <w:rsid w:val="00D642D7"/>
    <w:rsid w:val="00D64490"/>
    <w:rsid w:val="00D646F2"/>
    <w:rsid w:val="00D64A3D"/>
    <w:rsid w:val="00D66331"/>
    <w:rsid w:val="00D664CB"/>
    <w:rsid w:val="00D66697"/>
    <w:rsid w:val="00D66EDC"/>
    <w:rsid w:val="00D67684"/>
    <w:rsid w:val="00D67ACA"/>
    <w:rsid w:val="00D67F69"/>
    <w:rsid w:val="00D70737"/>
    <w:rsid w:val="00D71103"/>
    <w:rsid w:val="00D72420"/>
    <w:rsid w:val="00D72551"/>
    <w:rsid w:val="00D72CE2"/>
    <w:rsid w:val="00D72DF4"/>
    <w:rsid w:val="00D73302"/>
    <w:rsid w:val="00D73ADE"/>
    <w:rsid w:val="00D73AF1"/>
    <w:rsid w:val="00D74504"/>
    <w:rsid w:val="00D74639"/>
    <w:rsid w:val="00D74F04"/>
    <w:rsid w:val="00D75560"/>
    <w:rsid w:val="00D762C4"/>
    <w:rsid w:val="00D7743F"/>
    <w:rsid w:val="00D77A79"/>
    <w:rsid w:val="00D77EF0"/>
    <w:rsid w:val="00D77F35"/>
    <w:rsid w:val="00D8093F"/>
    <w:rsid w:val="00D809B7"/>
    <w:rsid w:val="00D810C4"/>
    <w:rsid w:val="00D813B0"/>
    <w:rsid w:val="00D813C5"/>
    <w:rsid w:val="00D81A57"/>
    <w:rsid w:val="00D81C43"/>
    <w:rsid w:val="00D81FFC"/>
    <w:rsid w:val="00D823FE"/>
    <w:rsid w:val="00D82A4C"/>
    <w:rsid w:val="00D82E01"/>
    <w:rsid w:val="00D83A8B"/>
    <w:rsid w:val="00D83DB5"/>
    <w:rsid w:val="00D83DBF"/>
    <w:rsid w:val="00D84061"/>
    <w:rsid w:val="00D844E7"/>
    <w:rsid w:val="00D8468D"/>
    <w:rsid w:val="00D8483A"/>
    <w:rsid w:val="00D85683"/>
    <w:rsid w:val="00D8671C"/>
    <w:rsid w:val="00D8682D"/>
    <w:rsid w:val="00D86B88"/>
    <w:rsid w:val="00D87125"/>
    <w:rsid w:val="00D87145"/>
    <w:rsid w:val="00D874FB"/>
    <w:rsid w:val="00D90AA7"/>
    <w:rsid w:val="00D90EC1"/>
    <w:rsid w:val="00D90F8A"/>
    <w:rsid w:val="00D91621"/>
    <w:rsid w:val="00D918C7"/>
    <w:rsid w:val="00D91B8F"/>
    <w:rsid w:val="00D9250C"/>
    <w:rsid w:val="00D92CF0"/>
    <w:rsid w:val="00D92D9C"/>
    <w:rsid w:val="00D930F2"/>
    <w:rsid w:val="00D93342"/>
    <w:rsid w:val="00D93415"/>
    <w:rsid w:val="00D93B40"/>
    <w:rsid w:val="00D93FFD"/>
    <w:rsid w:val="00D950AF"/>
    <w:rsid w:val="00D9545B"/>
    <w:rsid w:val="00D9553A"/>
    <w:rsid w:val="00D957EB"/>
    <w:rsid w:val="00D9599B"/>
    <w:rsid w:val="00D95BCF"/>
    <w:rsid w:val="00D95FC2"/>
    <w:rsid w:val="00D961EE"/>
    <w:rsid w:val="00D96484"/>
    <w:rsid w:val="00D97077"/>
    <w:rsid w:val="00D97191"/>
    <w:rsid w:val="00D971AA"/>
    <w:rsid w:val="00D97308"/>
    <w:rsid w:val="00D9740F"/>
    <w:rsid w:val="00D97A89"/>
    <w:rsid w:val="00D97B86"/>
    <w:rsid w:val="00D97BA1"/>
    <w:rsid w:val="00D97D8B"/>
    <w:rsid w:val="00DA09FC"/>
    <w:rsid w:val="00DA0B48"/>
    <w:rsid w:val="00DA0C9D"/>
    <w:rsid w:val="00DA0DBB"/>
    <w:rsid w:val="00DA1779"/>
    <w:rsid w:val="00DA1E0D"/>
    <w:rsid w:val="00DA1EE5"/>
    <w:rsid w:val="00DA263F"/>
    <w:rsid w:val="00DA2A54"/>
    <w:rsid w:val="00DA3525"/>
    <w:rsid w:val="00DA3D60"/>
    <w:rsid w:val="00DA44CF"/>
    <w:rsid w:val="00DA4F1D"/>
    <w:rsid w:val="00DA51F4"/>
    <w:rsid w:val="00DA59D2"/>
    <w:rsid w:val="00DA60CB"/>
    <w:rsid w:val="00DA669D"/>
    <w:rsid w:val="00DA776F"/>
    <w:rsid w:val="00DA7B84"/>
    <w:rsid w:val="00DB07BB"/>
    <w:rsid w:val="00DB125E"/>
    <w:rsid w:val="00DB1330"/>
    <w:rsid w:val="00DB1749"/>
    <w:rsid w:val="00DB1FEA"/>
    <w:rsid w:val="00DB2368"/>
    <w:rsid w:val="00DB24FB"/>
    <w:rsid w:val="00DB2B7E"/>
    <w:rsid w:val="00DB328A"/>
    <w:rsid w:val="00DB36D2"/>
    <w:rsid w:val="00DB3E2C"/>
    <w:rsid w:val="00DB42F9"/>
    <w:rsid w:val="00DB452C"/>
    <w:rsid w:val="00DB476D"/>
    <w:rsid w:val="00DB47C5"/>
    <w:rsid w:val="00DB53DE"/>
    <w:rsid w:val="00DB5719"/>
    <w:rsid w:val="00DB5B6F"/>
    <w:rsid w:val="00DB5BF1"/>
    <w:rsid w:val="00DB5D19"/>
    <w:rsid w:val="00DB5E4A"/>
    <w:rsid w:val="00DB6042"/>
    <w:rsid w:val="00DB624E"/>
    <w:rsid w:val="00DB6888"/>
    <w:rsid w:val="00DB6FF9"/>
    <w:rsid w:val="00DB7650"/>
    <w:rsid w:val="00DB7A4B"/>
    <w:rsid w:val="00DC02EA"/>
    <w:rsid w:val="00DC092E"/>
    <w:rsid w:val="00DC0A52"/>
    <w:rsid w:val="00DC0BDC"/>
    <w:rsid w:val="00DC0E65"/>
    <w:rsid w:val="00DC1103"/>
    <w:rsid w:val="00DC1117"/>
    <w:rsid w:val="00DC13E6"/>
    <w:rsid w:val="00DC1CA6"/>
    <w:rsid w:val="00DC20CF"/>
    <w:rsid w:val="00DC2259"/>
    <w:rsid w:val="00DC2623"/>
    <w:rsid w:val="00DC31CC"/>
    <w:rsid w:val="00DC3A8D"/>
    <w:rsid w:val="00DC4D65"/>
    <w:rsid w:val="00DC64A0"/>
    <w:rsid w:val="00DC6627"/>
    <w:rsid w:val="00DC6AE4"/>
    <w:rsid w:val="00DC76C3"/>
    <w:rsid w:val="00DC77BF"/>
    <w:rsid w:val="00DC7A5D"/>
    <w:rsid w:val="00DC7B9A"/>
    <w:rsid w:val="00DC7BDA"/>
    <w:rsid w:val="00DC7E69"/>
    <w:rsid w:val="00DD02C0"/>
    <w:rsid w:val="00DD1B83"/>
    <w:rsid w:val="00DD1CF0"/>
    <w:rsid w:val="00DD1EC6"/>
    <w:rsid w:val="00DD2821"/>
    <w:rsid w:val="00DD2BAF"/>
    <w:rsid w:val="00DD2E32"/>
    <w:rsid w:val="00DD31C4"/>
    <w:rsid w:val="00DD3308"/>
    <w:rsid w:val="00DD3316"/>
    <w:rsid w:val="00DD38FE"/>
    <w:rsid w:val="00DD3E52"/>
    <w:rsid w:val="00DD460E"/>
    <w:rsid w:val="00DD4F5E"/>
    <w:rsid w:val="00DD5517"/>
    <w:rsid w:val="00DD5ADD"/>
    <w:rsid w:val="00DD5CB6"/>
    <w:rsid w:val="00DD5E57"/>
    <w:rsid w:val="00DD6357"/>
    <w:rsid w:val="00DD6DFD"/>
    <w:rsid w:val="00DD6E32"/>
    <w:rsid w:val="00DD7695"/>
    <w:rsid w:val="00DE02BE"/>
    <w:rsid w:val="00DE146E"/>
    <w:rsid w:val="00DE1B0C"/>
    <w:rsid w:val="00DE2E6C"/>
    <w:rsid w:val="00DE2FFE"/>
    <w:rsid w:val="00DE3385"/>
    <w:rsid w:val="00DE3554"/>
    <w:rsid w:val="00DE38A1"/>
    <w:rsid w:val="00DE4300"/>
    <w:rsid w:val="00DE4638"/>
    <w:rsid w:val="00DE4651"/>
    <w:rsid w:val="00DE4FEF"/>
    <w:rsid w:val="00DE60D5"/>
    <w:rsid w:val="00DE6569"/>
    <w:rsid w:val="00DE66D7"/>
    <w:rsid w:val="00DE6A04"/>
    <w:rsid w:val="00DE6AAE"/>
    <w:rsid w:val="00DE7265"/>
    <w:rsid w:val="00DE7525"/>
    <w:rsid w:val="00DE7BDC"/>
    <w:rsid w:val="00DF0023"/>
    <w:rsid w:val="00DF048D"/>
    <w:rsid w:val="00DF1251"/>
    <w:rsid w:val="00DF1298"/>
    <w:rsid w:val="00DF1791"/>
    <w:rsid w:val="00DF19C2"/>
    <w:rsid w:val="00DF2065"/>
    <w:rsid w:val="00DF2353"/>
    <w:rsid w:val="00DF2504"/>
    <w:rsid w:val="00DF2C54"/>
    <w:rsid w:val="00DF3837"/>
    <w:rsid w:val="00DF3AB2"/>
    <w:rsid w:val="00DF5E69"/>
    <w:rsid w:val="00DF6677"/>
    <w:rsid w:val="00DF6D87"/>
    <w:rsid w:val="00DF6FBC"/>
    <w:rsid w:val="00DF78B2"/>
    <w:rsid w:val="00DF7D1A"/>
    <w:rsid w:val="00DF7DD5"/>
    <w:rsid w:val="00DF7ED4"/>
    <w:rsid w:val="00E004C5"/>
    <w:rsid w:val="00E0054D"/>
    <w:rsid w:val="00E00898"/>
    <w:rsid w:val="00E019BB"/>
    <w:rsid w:val="00E01CB2"/>
    <w:rsid w:val="00E01DD2"/>
    <w:rsid w:val="00E01F63"/>
    <w:rsid w:val="00E020A9"/>
    <w:rsid w:val="00E02546"/>
    <w:rsid w:val="00E02CFF"/>
    <w:rsid w:val="00E02E2F"/>
    <w:rsid w:val="00E03938"/>
    <w:rsid w:val="00E03CBD"/>
    <w:rsid w:val="00E04751"/>
    <w:rsid w:val="00E04877"/>
    <w:rsid w:val="00E04C45"/>
    <w:rsid w:val="00E04D1C"/>
    <w:rsid w:val="00E05501"/>
    <w:rsid w:val="00E0576B"/>
    <w:rsid w:val="00E058EB"/>
    <w:rsid w:val="00E05A89"/>
    <w:rsid w:val="00E05FA9"/>
    <w:rsid w:val="00E0628E"/>
    <w:rsid w:val="00E06460"/>
    <w:rsid w:val="00E06826"/>
    <w:rsid w:val="00E0689E"/>
    <w:rsid w:val="00E073CF"/>
    <w:rsid w:val="00E077AF"/>
    <w:rsid w:val="00E07BA5"/>
    <w:rsid w:val="00E07D93"/>
    <w:rsid w:val="00E10A1F"/>
    <w:rsid w:val="00E10C42"/>
    <w:rsid w:val="00E114D8"/>
    <w:rsid w:val="00E11C13"/>
    <w:rsid w:val="00E11F04"/>
    <w:rsid w:val="00E12535"/>
    <w:rsid w:val="00E12D89"/>
    <w:rsid w:val="00E13113"/>
    <w:rsid w:val="00E13167"/>
    <w:rsid w:val="00E1340B"/>
    <w:rsid w:val="00E13999"/>
    <w:rsid w:val="00E13B9C"/>
    <w:rsid w:val="00E13F81"/>
    <w:rsid w:val="00E14108"/>
    <w:rsid w:val="00E14511"/>
    <w:rsid w:val="00E14BA7"/>
    <w:rsid w:val="00E14C53"/>
    <w:rsid w:val="00E14EE9"/>
    <w:rsid w:val="00E15082"/>
    <w:rsid w:val="00E1516D"/>
    <w:rsid w:val="00E15217"/>
    <w:rsid w:val="00E15282"/>
    <w:rsid w:val="00E1557E"/>
    <w:rsid w:val="00E15B0D"/>
    <w:rsid w:val="00E161AD"/>
    <w:rsid w:val="00E16E3C"/>
    <w:rsid w:val="00E17050"/>
    <w:rsid w:val="00E17093"/>
    <w:rsid w:val="00E17F53"/>
    <w:rsid w:val="00E2016B"/>
    <w:rsid w:val="00E21479"/>
    <w:rsid w:val="00E21BA1"/>
    <w:rsid w:val="00E21DB7"/>
    <w:rsid w:val="00E2256E"/>
    <w:rsid w:val="00E24195"/>
    <w:rsid w:val="00E24432"/>
    <w:rsid w:val="00E24567"/>
    <w:rsid w:val="00E24F14"/>
    <w:rsid w:val="00E25124"/>
    <w:rsid w:val="00E25239"/>
    <w:rsid w:val="00E25276"/>
    <w:rsid w:val="00E25A4F"/>
    <w:rsid w:val="00E261F8"/>
    <w:rsid w:val="00E2664B"/>
    <w:rsid w:val="00E26973"/>
    <w:rsid w:val="00E26E57"/>
    <w:rsid w:val="00E27467"/>
    <w:rsid w:val="00E27BC6"/>
    <w:rsid w:val="00E303A9"/>
    <w:rsid w:val="00E3043D"/>
    <w:rsid w:val="00E30536"/>
    <w:rsid w:val="00E30628"/>
    <w:rsid w:val="00E31251"/>
    <w:rsid w:val="00E32231"/>
    <w:rsid w:val="00E324AD"/>
    <w:rsid w:val="00E32623"/>
    <w:rsid w:val="00E32F9A"/>
    <w:rsid w:val="00E33224"/>
    <w:rsid w:val="00E333FB"/>
    <w:rsid w:val="00E3342D"/>
    <w:rsid w:val="00E33683"/>
    <w:rsid w:val="00E33734"/>
    <w:rsid w:val="00E33C47"/>
    <w:rsid w:val="00E33C7F"/>
    <w:rsid w:val="00E33EE3"/>
    <w:rsid w:val="00E3439E"/>
    <w:rsid w:val="00E3440F"/>
    <w:rsid w:val="00E34628"/>
    <w:rsid w:val="00E347F0"/>
    <w:rsid w:val="00E35085"/>
    <w:rsid w:val="00E35094"/>
    <w:rsid w:val="00E35693"/>
    <w:rsid w:val="00E36CFA"/>
    <w:rsid w:val="00E36EB2"/>
    <w:rsid w:val="00E36F56"/>
    <w:rsid w:val="00E377A0"/>
    <w:rsid w:val="00E4049A"/>
    <w:rsid w:val="00E4060A"/>
    <w:rsid w:val="00E4083B"/>
    <w:rsid w:val="00E40AEB"/>
    <w:rsid w:val="00E40F9D"/>
    <w:rsid w:val="00E4122C"/>
    <w:rsid w:val="00E417D0"/>
    <w:rsid w:val="00E41A62"/>
    <w:rsid w:val="00E422C4"/>
    <w:rsid w:val="00E425B3"/>
    <w:rsid w:val="00E42EC2"/>
    <w:rsid w:val="00E43330"/>
    <w:rsid w:val="00E4341C"/>
    <w:rsid w:val="00E439F8"/>
    <w:rsid w:val="00E43ABB"/>
    <w:rsid w:val="00E43AD8"/>
    <w:rsid w:val="00E43DC4"/>
    <w:rsid w:val="00E43DF0"/>
    <w:rsid w:val="00E4431C"/>
    <w:rsid w:val="00E44CD4"/>
    <w:rsid w:val="00E455AB"/>
    <w:rsid w:val="00E45B91"/>
    <w:rsid w:val="00E45F20"/>
    <w:rsid w:val="00E460B5"/>
    <w:rsid w:val="00E46B50"/>
    <w:rsid w:val="00E46B92"/>
    <w:rsid w:val="00E46C57"/>
    <w:rsid w:val="00E46D9B"/>
    <w:rsid w:val="00E47200"/>
    <w:rsid w:val="00E47385"/>
    <w:rsid w:val="00E50533"/>
    <w:rsid w:val="00E508F6"/>
    <w:rsid w:val="00E50D34"/>
    <w:rsid w:val="00E50ECC"/>
    <w:rsid w:val="00E50F7B"/>
    <w:rsid w:val="00E5176B"/>
    <w:rsid w:val="00E51B5D"/>
    <w:rsid w:val="00E5223D"/>
    <w:rsid w:val="00E528BA"/>
    <w:rsid w:val="00E53A72"/>
    <w:rsid w:val="00E53CAB"/>
    <w:rsid w:val="00E54401"/>
    <w:rsid w:val="00E544CA"/>
    <w:rsid w:val="00E54747"/>
    <w:rsid w:val="00E55339"/>
    <w:rsid w:val="00E55538"/>
    <w:rsid w:val="00E55ADF"/>
    <w:rsid w:val="00E565C2"/>
    <w:rsid w:val="00E56E95"/>
    <w:rsid w:val="00E56ECC"/>
    <w:rsid w:val="00E5731F"/>
    <w:rsid w:val="00E57911"/>
    <w:rsid w:val="00E57F9B"/>
    <w:rsid w:val="00E60269"/>
    <w:rsid w:val="00E60586"/>
    <w:rsid w:val="00E605EA"/>
    <w:rsid w:val="00E6073C"/>
    <w:rsid w:val="00E60763"/>
    <w:rsid w:val="00E60C32"/>
    <w:rsid w:val="00E616A2"/>
    <w:rsid w:val="00E627F6"/>
    <w:rsid w:val="00E62F5C"/>
    <w:rsid w:val="00E632C3"/>
    <w:rsid w:val="00E63E8A"/>
    <w:rsid w:val="00E63F1D"/>
    <w:rsid w:val="00E64089"/>
    <w:rsid w:val="00E646D5"/>
    <w:rsid w:val="00E64A75"/>
    <w:rsid w:val="00E64B1B"/>
    <w:rsid w:val="00E65779"/>
    <w:rsid w:val="00E65B3D"/>
    <w:rsid w:val="00E6602D"/>
    <w:rsid w:val="00E6603D"/>
    <w:rsid w:val="00E67336"/>
    <w:rsid w:val="00E67343"/>
    <w:rsid w:val="00E67E86"/>
    <w:rsid w:val="00E70752"/>
    <w:rsid w:val="00E709D8"/>
    <w:rsid w:val="00E7153E"/>
    <w:rsid w:val="00E71650"/>
    <w:rsid w:val="00E71752"/>
    <w:rsid w:val="00E71AFE"/>
    <w:rsid w:val="00E71C28"/>
    <w:rsid w:val="00E71F52"/>
    <w:rsid w:val="00E72A7F"/>
    <w:rsid w:val="00E72EC2"/>
    <w:rsid w:val="00E732AF"/>
    <w:rsid w:val="00E7372A"/>
    <w:rsid w:val="00E740F5"/>
    <w:rsid w:val="00E74455"/>
    <w:rsid w:val="00E744FC"/>
    <w:rsid w:val="00E74926"/>
    <w:rsid w:val="00E752A1"/>
    <w:rsid w:val="00E753AA"/>
    <w:rsid w:val="00E756EC"/>
    <w:rsid w:val="00E75875"/>
    <w:rsid w:val="00E75955"/>
    <w:rsid w:val="00E75A9D"/>
    <w:rsid w:val="00E75E7C"/>
    <w:rsid w:val="00E76466"/>
    <w:rsid w:val="00E76513"/>
    <w:rsid w:val="00E76670"/>
    <w:rsid w:val="00E76A32"/>
    <w:rsid w:val="00E76C5E"/>
    <w:rsid w:val="00E77925"/>
    <w:rsid w:val="00E803C3"/>
    <w:rsid w:val="00E80872"/>
    <w:rsid w:val="00E80EFB"/>
    <w:rsid w:val="00E81B8E"/>
    <w:rsid w:val="00E81EBF"/>
    <w:rsid w:val="00E81ED7"/>
    <w:rsid w:val="00E8219D"/>
    <w:rsid w:val="00E82EE4"/>
    <w:rsid w:val="00E83371"/>
    <w:rsid w:val="00E8377F"/>
    <w:rsid w:val="00E84955"/>
    <w:rsid w:val="00E8543E"/>
    <w:rsid w:val="00E855CE"/>
    <w:rsid w:val="00E8597F"/>
    <w:rsid w:val="00E8607A"/>
    <w:rsid w:val="00E87631"/>
    <w:rsid w:val="00E878BE"/>
    <w:rsid w:val="00E87B69"/>
    <w:rsid w:val="00E87D52"/>
    <w:rsid w:val="00E87F00"/>
    <w:rsid w:val="00E87F4D"/>
    <w:rsid w:val="00E90555"/>
    <w:rsid w:val="00E907BE"/>
    <w:rsid w:val="00E90F1F"/>
    <w:rsid w:val="00E90FC1"/>
    <w:rsid w:val="00E91504"/>
    <w:rsid w:val="00E91685"/>
    <w:rsid w:val="00E916A9"/>
    <w:rsid w:val="00E91942"/>
    <w:rsid w:val="00E9222C"/>
    <w:rsid w:val="00E9229E"/>
    <w:rsid w:val="00E92D36"/>
    <w:rsid w:val="00E933EB"/>
    <w:rsid w:val="00E93B01"/>
    <w:rsid w:val="00E9439E"/>
    <w:rsid w:val="00E9522B"/>
    <w:rsid w:val="00E9558B"/>
    <w:rsid w:val="00E95D1B"/>
    <w:rsid w:val="00E9623E"/>
    <w:rsid w:val="00E9649D"/>
    <w:rsid w:val="00E969F0"/>
    <w:rsid w:val="00E96A2C"/>
    <w:rsid w:val="00EA009F"/>
    <w:rsid w:val="00EA09FE"/>
    <w:rsid w:val="00EA17C0"/>
    <w:rsid w:val="00EA2523"/>
    <w:rsid w:val="00EA2EFA"/>
    <w:rsid w:val="00EA32BF"/>
    <w:rsid w:val="00EA50D6"/>
    <w:rsid w:val="00EA52B0"/>
    <w:rsid w:val="00EA5714"/>
    <w:rsid w:val="00EA5E1D"/>
    <w:rsid w:val="00EA7662"/>
    <w:rsid w:val="00EB016F"/>
    <w:rsid w:val="00EB0635"/>
    <w:rsid w:val="00EB06EB"/>
    <w:rsid w:val="00EB0798"/>
    <w:rsid w:val="00EB0B50"/>
    <w:rsid w:val="00EB222C"/>
    <w:rsid w:val="00EB2A74"/>
    <w:rsid w:val="00EB33F4"/>
    <w:rsid w:val="00EB3B9C"/>
    <w:rsid w:val="00EB3C8F"/>
    <w:rsid w:val="00EB4242"/>
    <w:rsid w:val="00EB44AE"/>
    <w:rsid w:val="00EB4C04"/>
    <w:rsid w:val="00EB4CA7"/>
    <w:rsid w:val="00EB574E"/>
    <w:rsid w:val="00EB5E24"/>
    <w:rsid w:val="00EB5E87"/>
    <w:rsid w:val="00EB649D"/>
    <w:rsid w:val="00EB6754"/>
    <w:rsid w:val="00EB7714"/>
    <w:rsid w:val="00EB7A49"/>
    <w:rsid w:val="00EB7A4F"/>
    <w:rsid w:val="00EB7C4B"/>
    <w:rsid w:val="00EB7FC4"/>
    <w:rsid w:val="00EC035A"/>
    <w:rsid w:val="00EC0BAD"/>
    <w:rsid w:val="00EC1320"/>
    <w:rsid w:val="00EC1406"/>
    <w:rsid w:val="00EC225B"/>
    <w:rsid w:val="00EC2677"/>
    <w:rsid w:val="00EC2DAB"/>
    <w:rsid w:val="00EC3504"/>
    <w:rsid w:val="00EC36F2"/>
    <w:rsid w:val="00EC40B3"/>
    <w:rsid w:val="00EC4189"/>
    <w:rsid w:val="00EC4338"/>
    <w:rsid w:val="00EC440F"/>
    <w:rsid w:val="00EC44CA"/>
    <w:rsid w:val="00EC476F"/>
    <w:rsid w:val="00EC48D7"/>
    <w:rsid w:val="00EC4B7C"/>
    <w:rsid w:val="00EC4BB6"/>
    <w:rsid w:val="00EC4F33"/>
    <w:rsid w:val="00EC68F4"/>
    <w:rsid w:val="00EC7129"/>
    <w:rsid w:val="00EC779C"/>
    <w:rsid w:val="00ED07A3"/>
    <w:rsid w:val="00ED11C5"/>
    <w:rsid w:val="00ED1924"/>
    <w:rsid w:val="00ED195D"/>
    <w:rsid w:val="00ED1E35"/>
    <w:rsid w:val="00ED2884"/>
    <w:rsid w:val="00ED2C8F"/>
    <w:rsid w:val="00ED2D4A"/>
    <w:rsid w:val="00ED2DB6"/>
    <w:rsid w:val="00ED304F"/>
    <w:rsid w:val="00ED47C8"/>
    <w:rsid w:val="00ED4BF7"/>
    <w:rsid w:val="00ED4FB2"/>
    <w:rsid w:val="00ED507D"/>
    <w:rsid w:val="00ED5A35"/>
    <w:rsid w:val="00ED6F17"/>
    <w:rsid w:val="00ED73C5"/>
    <w:rsid w:val="00ED76F1"/>
    <w:rsid w:val="00ED7BC1"/>
    <w:rsid w:val="00ED7CE7"/>
    <w:rsid w:val="00ED7D18"/>
    <w:rsid w:val="00ED7FFE"/>
    <w:rsid w:val="00EE0EE3"/>
    <w:rsid w:val="00EE24DB"/>
    <w:rsid w:val="00EE24FB"/>
    <w:rsid w:val="00EE2D3F"/>
    <w:rsid w:val="00EE3270"/>
    <w:rsid w:val="00EE3367"/>
    <w:rsid w:val="00EE3730"/>
    <w:rsid w:val="00EE3DA2"/>
    <w:rsid w:val="00EE43C0"/>
    <w:rsid w:val="00EE4452"/>
    <w:rsid w:val="00EE4C7E"/>
    <w:rsid w:val="00EE5006"/>
    <w:rsid w:val="00EE51DB"/>
    <w:rsid w:val="00EE556D"/>
    <w:rsid w:val="00EE5713"/>
    <w:rsid w:val="00EE5DBE"/>
    <w:rsid w:val="00EE6128"/>
    <w:rsid w:val="00EE6184"/>
    <w:rsid w:val="00EE658A"/>
    <w:rsid w:val="00EE7607"/>
    <w:rsid w:val="00EE7A2C"/>
    <w:rsid w:val="00EE7BEB"/>
    <w:rsid w:val="00EE7E08"/>
    <w:rsid w:val="00EF0209"/>
    <w:rsid w:val="00EF0F3B"/>
    <w:rsid w:val="00EF1A43"/>
    <w:rsid w:val="00EF20F2"/>
    <w:rsid w:val="00EF2141"/>
    <w:rsid w:val="00EF2240"/>
    <w:rsid w:val="00EF2596"/>
    <w:rsid w:val="00EF3069"/>
    <w:rsid w:val="00EF30C3"/>
    <w:rsid w:val="00EF3482"/>
    <w:rsid w:val="00EF389A"/>
    <w:rsid w:val="00EF3A6B"/>
    <w:rsid w:val="00EF3DE5"/>
    <w:rsid w:val="00EF4473"/>
    <w:rsid w:val="00EF4707"/>
    <w:rsid w:val="00EF470B"/>
    <w:rsid w:val="00EF4BC0"/>
    <w:rsid w:val="00EF4C4E"/>
    <w:rsid w:val="00EF51B0"/>
    <w:rsid w:val="00EF576E"/>
    <w:rsid w:val="00EF57A5"/>
    <w:rsid w:val="00EF5811"/>
    <w:rsid w:val="00EF5987"/>
    <w:rsid w:val="00EF5A8E"/>
    <w:rsid w:val="00EF6556"/>
    <w:rsid w:val="00EF6F14"/>
    <w:rsid w:val="00F012A8"/>
    <w:rsid w:val="00F01733"/>
    <w:rsid w:val="00F01CA0"/>
    <w:rsid w:val="00F020BB"/>
    <w:rsid w:val="00F0319D"/>
    <w:rsid w:val="00F0385E"/>
    <w:rsid w:val="00F04E2E"/>
    <w:rsid w:val="00F05AA6"/>
    <w:rsid w:val="00F05C43"/>
    <w:rsid w:val="00F066C8"/>
    <w:rsid w:val="00F06C0B"/>
    <w:rsid w:val="00F07089"/>
    <w:rsid w:val="00F07BE2"/>
    <w:rsid w:val="00F07F28"/>
    <w:rsid w:val="00F10548"/>
    <w:rsid w:val="00F105A7"/>
    <w:rsid w:val="00F106F3"/>
    <w:rsid w:val="00F11001"/>
    <w:rsid w:val="00F12005"/>
    <w:rsid w:val="00F121E5"/>
    <w:rsid w:val="00F1232F"/>
    <w:rsid w:val="00F12994"/>
    <w:rsid w:val="00F12D86"/>
    <w:rsid w:val="00F12DF2"/>
    <w:rsid w:val="00F13058"/>
    <w:rsid w:val="00F134E3"/>
    <w:rsid w:val="00F13B05"/>
    <w:rsid w:val="00F13F47"/>
    <w:rsid w:val="00F142D6"/>
    <w:rsid w:val="00F14A46"/>
    <w:rsid w:val="00F15347"/>
    <w:rsid w:val="00F15451"/>
    <w:rsid w:val="00F154D4"/>
    <w:rsid w:val="00F15553"/>
    <w:rsid w:val="00F15AF2"/>
    <w:rsid w:val="00F15D23"/>
    <w:rsid w:val="00F15F1E"/>
    <w:rsid w:val="00F1643F"/>
    <w:rsid w:val="00F16E49"/>
    <w:rsid w:val="00F177C6"/>
    <w:rsid w:val="00F178AB"/>
    <w:rsid w:val="00F2034E"/>
    <w:rsid w:val="00F20EA1"/>
    <w:rsid w:val="00F20F16"/>
    <w:rsid w:val="00F21290"/>
    <w:rsid w:val="00F21A4C"/>
    <w:rsid w:val="00F2214E"/>
    <w:rsid w:val="00F231A1"/>
    <w:rsid w:val="00F235C1"/>
    <w:rsid w:val="00F23DBA"/>
    <w:rsid w:val="00F23E5B"/>
    <w:rsid w:val="00F23F33"/>
    <w:rsid w:val="00F245E6"/>
    <w:rsid w:val="00F24A7D"/>
    <w:rsid w:val="00F24EE9"/>
    <w:rsid w:val="00F25334"/>
    <w:rsid w:val="00F254AF"/>
    <w:rsid w:val="00F25EC4"/>
    <w:rsid w:val="00F26092"/>
    <w:rsid w:val="00F26538"/>
    <w:rsid w:val="00F26808"/>
    <w:rsid w:val="00F268A4"/>
    <w:rsid w:val="00F26EE2"/>
    <w:rsid w:val="00F27AB2"/>
    <w:rsid w:val="00F307CC"/>
    <w:rsid w:val="00F30BBA"/>
    <w:rsid w:val="00F30D4A"/>
    <w:rsid w:val="00F310BB"/>
    <w:rsid w:val="00F313CE"/>
    <w:rsid w:val="00F31584"/>
    <w:rsid w:val="00F31630"/>
    <w:rsid w:val="00F329CE"/>
    <w:rsid w:val="00F3322B"/>
    <w:rsid w:val="00F338B2"/>
    <w:rsid w:val="00F3467A"/>
    <w:rsid w:val="00F34A95"/>
    <w:rsid w:val="00F34C99"/>
    <w:rsid w:val="00F34F03"/>
    <w:rsid w:val="00F352FD"/>
    <w:rsid w:val="00F35CF9"/>
    <w:rsid w:val="00F36007"/>
    <w:rsid w:val="00F3623B"/>
    <w:rsid w:val="00F367AD"/>
    <w:rsid w:val="00F36FED"/>
    <w:rsid w:val="00F37072"/>
    <w:rsid w:val="00F4094B"/>
    <w:rsid w:val="00F40BB5"/>
    <w:rsid w:val="00F40CF9"/>
    <w:rsid w:val="00F40F5F"/>
    <w:rsid w:val="00F41AB6"/>
    <w:rsid w:val="00F41E9A"/>
    <w:rsid w:val="00F421DD"/>
    <w:rsid w:val="00F4221B"/>
    <w:rsid w:val="00F4233C"/>
    <w:rsid w:val="00F428FA"/>
    <w:rsid w:val="00F439BB"/>
    <w:rsid w:val="00F43FCA"/>
    <w:rsid w:val="00F444AF"/>
    <w:rsid w:val="00F44640"/>
    <w:rsid w:val="00F449D7"/>
    <w:rsid w:val="00F44F7B"/>
    <w:rsid w:val="00F45443"/>
    <w:rsid w:val="00F455B8"/>
    <w:rsid w:val="00F457B5"/>
    <w:rsid w:val="00F45F5E"/>
    <w:rsid w:val="00F461AE"/>
    <w:rsid w:val="00F46B1C"/>
    <w:rsid w:val="00F46CA0"/>
    <w:rsid w:val="00F46D8C"/>
    <w:rsid w:val="00F46F7C"/>
    <w:rsid w:val="00F4708A"/>
    <w:rsid w:val="00F47D6C"/>
    <w:rsid w:val="00F51106"/>
    <w:rsid w:val="00F51A00"/>
    <w:rsid w:val="00F51B37"/>
    <w:rsid w:val="00F51B88"/>
    <w:rsid w:val="00F52A4C"/>
    <w:rsid w:val="00F534D3"/>
    <w:rsid w:val="00F534ED"/>
    <w:rsid w:val="00F53968"/>
    <w:rsid w:val="00F53BAF"/>
    <w:rsid w:val="00F5421D"/>
    <w:rsid w:val="00F54895"/>
    <w:rsid w:val="00F54A93"/>
    <w:rsid w:val="00F54BBD"/>
    <w:rsid w:val="00F55A8B"/>
    <w:rsid w:val="00F562BE"/>
    <w:rsid w:val="00F567A9"/>
    <w:rsid w:val="00F570FA"/>
    <w:rsid w:val="00F60458"/>
    <w:rsid w:val="00F60DF3"/>
    <w:rsid w:val="00F61026"/>
    <w:rsid w:val="00F613D5"/>
    <w:rsid w:val="00F61567"/>
    <w:rsid w:val="00F61A2E"/>
    <w:rsid w:val="00F62057"/>
    <w:rsid w:val="00F62582"/>
    <w:rsid w:val="00F633BD"/>
    <w:rsid w:val="00F638C6"/>
    <w:rsid w:val="00F63998"/>
    <w:rsid w:val="00F63C51"/>
    <w:rsid w:val="00F646A6"/>
    <w:rsid w:val="00F64DC6"/>
    <w:rsid w:val="00F64F14"/>
    <w:rsid w:val="00F658CB"/>
    <w:rsid w:val="00F65BCB"/>
    <w:rsid w:val="00F66623"/>
    <w:rsid w:val="00F66D31"/>
    <w:rsid w:val="00F67567"/>
    <w:rsid w:val="00F676A7"/>
    <w:rsid w:val="00F67C01"/>
    <w:rsid w:val="00F67C2B"/>
    <w:rsid w:val="00F70B77"/>
    <w:rsid w:val="00F7114B"/>
    <w:rsid w:val="00F71E7A"/>
    <w:rsid w:val="00F721EF"/>
    <w:rsid w:val="00F72203"/>
    <w:rsid w:val="00F72301"/>
    <w:rsid w:val="00F72424"/>
    <w:rsid w:val="00F72599"/>
    <w:rsid w:val="00F72AC2"/>
    <w:rsid w:val="00F72BF8"/>
    <w:rsid w:val="00F73A93"/>
    <w:rsid w:val="00F74168"/>
    <w:rsid w:val="00F742F1"/>
    <w:rsid w:val="00F747FA"/>
    <w:rsid w:val="00F74871"/>
    <w:rsid w:val="00F756F9"/>
    <w:rsid w:val="00F76037"/>
    <w:rsid w:val="00F77724"/>
    <w:rsid w:val="00F7772A"/>
    <w:rsid w:val="00F77839"/>
    <w:rsid w:val="00F77995"/>
    <w:rsid w:val="00F77AB9"/>
    <w:rsid w:val="00F8097D"/>
    <w:rsid w:val="00F810FE"/>
    <w:rsid w:val="00F811B9"/>
    <w:rsid w:val="00F815CC"/>
    <w:rsid w:val="00F818AC"/>
    <w:rsid w:val="00F81A57"/>
    <w:rsid w:val="00F8246A"/>
    <w:rsid w:val="00F8285E"/>
    <w:rsid w:val="00F83ED9"/>
    <w:rsid w:val="00F84A25"/>
    <w:rsid w:val="00F856ED"/>
    <w:rsid w:val="00F8574D"/>
    <w:rsid w:val="00F85DEC"/>
    <w:rsid w:val="00F85EDA"/>
    <w:rsid w:val="00F86150"/>
    <w:rsid w:val="00F8615F"/>
    <w:rsid w:val="00F8629B"/>
    <w:rsid w:val="00F86D4E"/>
    <w:rsid w:val="00F86E6F"/>
    <w:rsid w:val="00F87BEF"/>
    <w:rsid w:val="00F90296"/>
    <w:rsid w:val="00F902F3"/>
    <w:rsid w:val="00F90C13"/>
    <w:rsid w:val="00F90DD7"/>
    <w:rsid w:val="00F91164"/>
    <w:rsid w:val="00F91524"/>
    <w:rsid w:val="00F921D4"/>
    <w:rsid w:val="00F9270B"/>
    <w:rsid w:val="00F92AB1"/>
    <w:rsid w:val="00F92B0F"/>
    <w:rsid w:val="00F92F53"/>
    <w:rsid w:val="00F93043"/>
    <w:rsid w:val="00F93D6C"/>
    <w:rsid w:val="00F93F86"/>
    <w:rsid w:val="00F93FCF"/>
    <w:rsid w:val="00F94068"/>
    <w:rsid w:val="00F9438E"/>
    <w:rsid w:val="00F9489A"/>
    <w:rsid w:val="00F95284"/>
    <w:rsid w:val="00F9536B"/>
    <w:rsid w:val="00F963DB"/>
    <w:rsid w:val="00F9684A"/>
    <w:rsid w:val="00F96A71"/>
    <w:rsid w:val="00F96ACA"/>
    <w:rsid w:val="00F96D24"/>
    <w:rsid w:val="00F97BFD"/>
    <w:rsid w:val="00FA02C5"/>
    <w:rsid w:val="00FA1AEC"/>
    <w:rsid w:val="00FA1E97"/>
    <w:rsid w:val="00FA26E3"/>
    <w:rsid w:val="00FA2C69"/>
    <w:rsid w:val="00FA3465"/>
    <w:rsid w:val="00FA44FB"/>
    <w:rsid w:val="00FA52E3"/>
    <w:rsid w:val="00FA5580"/>
    <w:rsid w:val="00FA5BFC"/>
    <w:rsid w:val="00FA5F42"/>
    <w:rsid w:val="00FA620B"/>
    <w:rsid w:val="00FA6361"/>
    <w:rsid w:val="00FA69C3"/>
    <w:rsid w:val="00FA69E4"/>
    <w:rsid w:val="00FA6AAC"/>
    <w:rsid w:val="00FA6CBC"/>
    <w:rsid w:val="00FA6D48"/>
    <w:rsid w:val="00FA7D6A"/>
    <w:rsid w:val="00FA7EC0"/>
    <w:rsid w:val="00FA7FAB"/>
    <w:rsid w:val="00FB0BB2"/>
    <w:rsid w:val="00FB1582"/>
    <w:rsid w:val="00FB16C0"/>
    <w:rsid w:val="00FB1938"/>
    <w:rsid w:val="00FB2648"/>
    <w:rsid w:val="00FB349A"/>
    <w:rsid w:val="00FB38BE"/>
    <w:rsid w:val="00FB3E1A"/>
    <w:rsid w:val="00FB4B50"/>
    <w:rsid w:val="00FB4E5B"/>
    <w:rsid w:val="00FB54ED"/>
    <w:rsid w:val="00FB5808"/>
    <w:rsid w:val="00FB5BD6"/>
    <w:rsid w:val="00FB6DFE"/>
    <w:rsid w:val="00FB7E3B"/>
    <w:rsid w:val="00FC072E"/>
    <w:rsid w:val="00FC0921"/>
    <w:rsid w:val="00FC11A9"/>
    <w:rsid w:val="00FC1C6F"/>
    <w:rsid w:val="00FC266E"/>
    <w:rsid w:val="00FC2DC6"/>
    <w:rsid w:val="00FC30E2"/>
    <w:rsid w:val="00FC31EF"/>
    <w:rsid w:val="00FC3A30"/>
    <w:rsid w:val="00FC3B2B"/>
    <w:rsid w:val="00FC3E24"/>
    <w:rsid w:val="00FC5249"/>
    <w:rsid w:val="00FC551E"/>
    <w:rsid w:val="00FC5790"/>
    <w:rsid w:val="00FC5D6A"/>
    <w:rsid w:val="00FC656F"/>
    <w:rsid w:val="00FC6969"/>
    <w:rsid w:val="00FC6A12"/>
    <w:rsid w:val="00FC6B94"/>
    <w:rsid w:val="00FC6D98"/>
    <w:rsid w:val="00FC6DD7"/>
    <w:rsid w:val="00FC759D"/>
    <w:rsid w:val="00FC7CE7"/>
    <w:rsid w:val="00FD039F"/>
    <w:rsid w:val="00FD05B4"/>
    <w:rsid w:val="00FD1153"/>
    <w:rsid w:val="00FD13D5"/>
    <w:rsid w:val="00FD1995"/>
    <w:rsid w:val="00FD25E1"/>
    <w:rsid w:val="00FD2716"/>
    <w:rsid w:val="00FD29EE"/>
    <w:rsid w:val="00FD32CB"/>
    <w:rsid w:val="00FD3C86"/>
    <w:rsid w:val="00FD3CAB"/>
    <w:rsid w:val="00FD40FF"/>
    <w:rsid w:val="00FD5475"/>
    <w:rsid w:val="00FD56F2"/>
    <w:rsid w:val="00FD5E1C"/>
    <w:rsid w:val="00FD62EB"/>
    <w:rsid w:val="00FD6327"/>
    <w:rsid w:val="00FD63DF"/>
    <w:rsid w:val="00FD6852"/>
    <w:rsid w:val="00FD7339"/>
    <w:rsid w:val="00FD7945"/>
    <w:rsid w:val="00FE02C1"/>
    <w:rsid w:val="00FE0B54"/>
    <w:rsid w:val="00FE0B5C"/>
    <w:rsid w:val="00FE0DF4"/>
    <w:rsid w:val="00FE1880"/>
    <w:rsid w:val="00FE1B0B"/>
    <w:rsid w:val="00FE1EB0"/>
    <w:rsid w:val="00FE2075"/>
    <w:rsid w:val="00FE225A"/>
    <w:rsid w:val="00FE2349"/>
    <w:rsid w:val="00FE23B0"/>
    <w:rsid w:val="00FE23C1"/>
    <w:rsid w:val="00FE3963"/>
    <w:rsid w:val="00FE3F8E"/>
    <w:rsid w:val="00FE47ED"/>
    <w:rsid w:val="00FE4AAD"/>
    <w:rsid w:val="00FE5330"/>
    <w:rsid w:val="00FE61DC"/>
    <w:rsid w:val="00FE67D0"/>
    <w:rsid w:val="00FE6D54"/>
    <w:rsid w:val="00FE6F1C"/>
    <w:rsid w:val="00FE7B01"/>
    <w:rsid w:val="00FE7D26"/>
    <w:rsid w:val="00FF00BF"/>
    <w:rsid w:val="00FF081E"/>
    <w:rsid w:val="00FF09FE"/>
    <w:rsid w:val="00FF1187"/>
    <w:rsid w:val="00FF145C"/>
    <w:rsid w:val="00FF1BBA"/>
    <w:rsid w:val="00FF2151"/>
    <w:rsid w:val="00FF2318"/>
    <w:rsid w:val="00FF26EE"/>
    <w:rsid w:val="00FF2E59"/>
    <w:rsid w:val="00FF2EC1"/>
    <w:rsid w:val="00FF3102"/>
    <w:rsid w:val="00FF3329"/>
    <w:rsid w:val="00FF3F22"/>
    <w:rsid w:val="00FF41D8"/>
    <w:rsid w:val="00FF47A3"/>
    <w:rsid w:val="00FF4D23"/>
    <w:rsid w:val="00FF602B"/>
    <w:rsid w:val="00FF6353"/>
    <w:rsid w:val="00FF704A"/>
    <w:rsid w:val="00FF7877"/>
    <w:rsid w:val="03D57E39"/>
    <w:rsid w:val="08BD4177"/>
    <w:rsid w:val="11E871AF"/>
    <w:rsid w:val="13156B27"/>
    <w:rsid w:val="1AEB40ED"/>
    <w:rsid w:val="1FC2572F"/>
    <w:rsid w:val="20FC416F"/>
    <w:rsid w:val="36337AE1"/>
    <w:rsid w:val="40BB6A1C"/>
    <w:rsid w:val="64A81AF3"/>
    <w:rsid w:val="6F1D0BAD"/>
    <w:rsid w:val="788C47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99"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qFormat="1" w:unhideWhenUsed="0" w:uiPriority="0" w:semiHidden="0" w:name="toa heading"/>
    <w:lsdException w:uiPriority="0" w:name="List"/>
    <w:lsdException w:qFormat="1"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iPriority="0" w:name="Block Text"/>
    <w:lsdException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hd w:val="clear" w:color="auto" w:fill="FFFFFF"/>
      <w:tabs>
        <w:tab w:val="left" w:pos="426"/>
      </w:tabs>
      <w:adjustRightInd w:val="0"/>
      <w:snapToGrid w:val="0"/>
      <w:spacing w:line="360" w:lineRule="auto"/>
      <w:jc w:val="both"/>
    </w:pPr>
    <w:rPr>
      <w:rFonts w:ascii="宋体" w:hAnsi="宋体" w:eastAsia="宋体" w:cs="宋体"/>
      <w:sz w:val="21"/>
      <w:szCs w:val="24"/>
      <w:lang w:val="en-US" w:eastAsia="zh-CN" w:bidi="ar-SA"/>
    </w:rPr>
  </w:style>
  <w:style w:type="paragraph" w:styleId="2">
    <w:name w:val="heading 1"/>
    <w:basedOn w:val="3"/>
    <w:next w:val="1"/>
    <w:link w:val="57"/>
    <w:qFormat/>
    <w:uiPriority w:val="0"/>
    <w:pPr>
      <w:keepNext w:val="0"/>
      <w:keepLines w:val="0"/>
      <w:tabs>
        <w:tab w:val="left" w:pos="426"/>
      </w:tabs>
      <w:spacing w:before="340" w:after="330" w:line="300" w:lineRule="auto"/>
      <w:jc w:val="center"/>
      <w:outlineLvl w:val="0"/>
    </w:pPr>
    <w:rPr>
      <w:rFonts w:eastAsia="黑体"/>
      <w:kern w:val="44"/>
      <w:sz w:val="28"/>
      <w:szCs w:val="28"/>
    </w:rPr>
  </w:style>
  <w:style w:type="paragraph" w:styleId="5">
    <w:name w:val="heading 2"/>
    <w:basedOn w:val="1"/>
    <w:next w:val="1"/>
    <w:qFormat/>
    <w:uiPriority w:val="0"/>
    <w:pPr>
      <w:textAlignment w:val="baseline"/>
      <w:outlineLvl w:val="1"/>
    </w:pPr>
    <w:rPr>
      <w:szCs w:val="20"/>
    </w:rPr>
  </w:style>
  <w:style w:type="paragraph" w:styleId="3">
    <w:name w:val="heading 3"/>
    <w:basedOn w:val="4"/>
    <w:next w:val="1"/>
    <w:link w:val="56"/>
    <w:qFormat/>
    <w:uiPriority w:val="0"/>
    <w:pPr>
      <w:tabs>
        <w:tab w:val="left" w:pos="426"/>
      </w:tabs>
      <w:spacing w:before="260" w:after="260" w:line="240" w:lineRule="auto"/>
      <w:outlineLvl w:val="2"/>
    </w:pPr>
    <w:rPr>
      <w:rFonts w:ascii="宋体" w:hAnsi="宋体" w:eastAsia="宋体"/>
      <w:sz w:val="24"/>
      <w:szCs w:val="32"/>
    </w:rPr>
  </w:style>
  <w:style w:type="paragraph" w:styleId="4">
    <w:name w:val="heading 4"/>
    <w:basedOn w:val="1"/>
    <w:next w:val="1"/>
    <w:link w:val="54"/>
    <w:qFormat/>
    <w:uiPriority w:val="0"/>
    <w:pPr>
      <w:keepNext/>
      <w:keepLines/>
      <w:spacing w:before="280" w:after="290" w:line="376" w:lineRule="auto"/>
      <w:outlineLvl w:val="3"/>
    </w:pPr>
    <w:rPr>
      <w:rFonts w:ascii="Arial" w:hAnsi="Arial" w:eastAsia="黑体" w:cs="Times New Roman"/>
      <w:b/>
      <w:bCs/>
      <w:kern w:val="2"/>
      <w:sz w:val="28"/>
      <w:szCs w:val="28"/>
    </w:rPr>
  </w:style>
  <w:style w:type="paragraph" w:styleId="6">
    <w:name w:val="heading 5"/>
    <w:basedOn w:val="1"/>
    <w:next w:val="7"/>
    <w:link w:val="118"/>
    <w:qFormat/>
    <w:uiPriority w:val="0"/>
    <w:pPr>
      <w:keepNext/>
      <w:keepLines/>
      <w:spacing w:before="280" w:after="290" w:line="376" w:lineRule="auto"/>
      <w:jc w:val="center"/>
      <w:outlineLvl w:val="4"/>
    </w:pPr>
    <w:rPr>
      <w:rFonts w:ascii="Times New Roman" w:hAnsi="Times New Roman" w:cs="Times New Roman"/>
      <w:b/>
      <w:kern w:val="2"/>
      <w:sz w:val="24"/>
      <w:szCs w:val="20"/>
    </w:rPr>
  </w:style>
  <w:style w:type="paragraph" w:styleId="8">
    <w:name w:val="heading 6"/>
    <w:basedOn w:val="1"/>
    <w:next w:val="7"/>
    <w:link w:val="119"/>
    <w:qFormat/>
    <w:uiPriority w:val="0"/>
    <w:pPr>
      <w:keepNext/>
      <w:keepLines/>
      <w:spacing w:before="240" w:after="64" w:line="320" w:lineRule="auto"/>
      <w:outlineLvl w:val="5"/>
    </w:pPr>
    <w:rPr>
      <w:rFonts w:ascii="Arial" w:hAnsi="Arial" w:eastAsia="黑体" w:cs="Times New Roman"/>
      <w:b/>
      <w:kern w:val="2"/>
      <w:sz w:val="24"/>
      <w:szCs w:val="20"/>
    </w:rPr>
  </w:style>
  <w:style w:type="paragraph" w:styleId="9">
    <w:name w:val="heading 7"/>
    <w:basedOn w:val="1"/>
    <w:next w:val="7"/>
    <w:link w:val="120"/>
    <w:qFormat/>
    <w:uiPriority w:val="0"/>
    <w:pPr>
      <w:keepNext/>
      <w:keepLines/>
      <w:spacing w:before="240" w:after="64" w:line="320" w:lineRule="auto"/>
      <w:outlineLvl w:val="6"/>
    </w:pPr>
    <w:rPr>
      <w:rFonts w:ascii="Times New Roman" w:hAnsi="Times New Roman" w:cs="Times New Roman"/>
      <w:b/>
      <w:kern w:val="2"/>
      <w:sz w:val="24"/>
      <w:szCs w:val="20"/>
    </w:rPr>
  </w:style>
  <w:style w:type="paragraph" w:styleId="10">
    <w:name w:val="heading 8"/>
    <w:basedOn w:val="1"/>
    <w:next w:val="7"/>
    <w:link w:val="121"/>
    <w:qFormat/>
    <w:uiPriority w:val="0"/>
    <w:pPr>
      <w:keepNext/>
      <w:keepLines/>
      <w:spacing w:before="240" w:after="64" w:line="320" w:lineRule="auto"/>
      <w:outlineLvl w:val="7"/>
    </w:pPr>
    <w:rPr>
      <w:rFonts w:ascii="Arial" w:hAnsi="Arial" w:eastAsia="黑体" w:cs="Times New Roman"/>
      <w:kern w:val="2"/>
      <w:sz w:val="24"/>
      <w:szCs w:val="20"/>
    </w:rPr>
  </w:style>
  <w:style w:type="paragraph" w:styleId="11">
    <w:name w:val="heading 9"/>
    <w:basedOn w:val="1"/>
    <w:next w:val="7"/>
    <w:link w:val="122"/>
    <w:qFormat/>
    <w:uiPriority w:val="0"/>
    <w:pPr>
      <w:keepNext/>
      <w:keepLines/>
      <w:spacing w:before="240" w:after="64" w:line="320" w:lineRule="auto"/>
      <w:outlineLvl w:val="8"/>
    </w:pPr>
    <w:rPr>
      <w:rFonts w:ascii="Arial" w:hAnsi="Arial" w:eastAsia="黑体" w:cs="Times New Roman"/>
      <w:kern w:val="2"/>
      <w:szCs w:val="20"/>
    </w:rPr>
  </w:style>
  <w:style w:type="character" w:default="1" w:styleId="47">
    <w:name w:val="Default Paragraph Font"/>
    <w:semiHidden/>
    <w:unhideWhenUsed/>
    <w:qFormat/>
    <w:uiPriority w:val="1"/>
  </w:style>
  <w:style w:type="table" w:default="1" w:styleId="44">
    <w:name w:val="Normal Table"/>
    <w:semiHidden/>
    <w:unhideWhenUsed/>
    <w:qFormat/>
    <w:uiPriority w:val="99"/>
    <w:tblPr>
      <w:tblLayout w:type="fixed"/>
      <w:tblCellMar>
        <w:top w:w="0" w:type="dxa"/>
        <w:left w:w="108" w:type="dxa"/>
        <w:bottom w:w="0" w:type="dxa"/>
        <w:right w:w="108" w:type="dxa"/>
      </w:tblCellMar>
    </w:tblPr>
  </w:style>
  <w:style w:type="paragraph" w:styleId="7">
    <w:name w:val="Normal Indent"/>
    <w:basedOn w:val="1"/>
    <w:link w:val="58"/>
    <w:qFormat/>
    <w:uiPriority w:val="0"/>
    <w:pPr>
      <w:ind w:firstLine="420"/>
    </w:pPr>
    <w:rPr>
      <w:rFonts w:ascii="Times New Roman" w:hAnsi="Times New Roman" w:cs="Times New Roman"/>
      <w:kern w:val="2"/>
      <w:szCs w:val="20"/>
    </w:r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numPr>
        <w:ilvl w:val="0"/>
        <w:numId w:val="1"/>
      </w:numPr>
      <w:tabs>
        <w:tab w:val="left" w:pos="820"/>
      </w:tabs>
      <w:spacing w:afterLines="50"/>
    </w:pPr>
    <w:rPr>
      <w:sz w:val="24"/>
      <w:szCs w:val="20"/>
    </w:rPr>
  </w:style>
  <w:style w:type="paragraph" w:styleId="14">
    <w:name w:val="caption"/>
    <w:basedOn w:val="1"/>
    <w:next w:val="1"/>
    <w:qFormat/>
    <w:uiPriority w:val="0"/>
    <w:rPr>
      <w:rFonts w:ascii="Arial" w:hAnsi="Arial" w:eastAsia="黑体" w:cs="Arial"/>
      <w:sz w:val="20"/>
      <w:szCs w:val="20"/>
    </w:rPr>
  </w:style>
  <w:style w:type="paragraph" w:styleId="15">
    <w:name w:val="List Bullet"/>
    <w:basedOn w:val="1"/>
    <w:qFormat/>
    <w:uiPriority w:val="0"/>
    <w:pPr>
      <w:tabs>
        <w:tab w:val="left" w:pos="360"/>
      </w:tabs>
      <w:ind w:left="360" w:hanging="360" w:hangingChars="200"/>
    </w:pPr>
    <w:rPr>
      <w:szCs w:val="20"/>
    </w:rPr>
  </w:style>
  <w:style w:type="paragraph" w:styleId="16">
    <w:name w:val="Document Map"/>
    <w:basedOn w:val="1"/>
    <w:link w:val="111"/>
    <w:semiHidden/>
    <w:qFormat/>
    <w:uiPriority w:val="0"/>
    <w:pPr>
      <w:shd w:val="clear" w:color="auto" w:fill="000080"/>
    </w:pPr>
    <w:rPr>
      <w:rFonts w:ascii="Times New Roman" w:hAnsi="Times New Roman" w:cs="Times New Roman"/>
      <w:kern w:val="2"/>
    </w:rPr>
  </w:style>
  <w:style w:type="paragraph" w:styleId="17">
    <w:name w:val="toa heading"/>
    <w:basedOn w:val="1"/>
    <w:next w:val="1"/>
    <w:qFormat/>
    <w:uiPriority w:val="0"/>
    <w:pPr>
      <w:spacing w:before="120"/>
    </w:pPr>
    <w:rPr>
      <w:rFonts w:ascii="Arial" w:hAnsi="Arial"/>
      <w:sz w:val="24"/>
      <w:szCs w:val="20"/>
    </w:rPr>
  </w:style>
  <w:style w:type="paragraph" w:styleId="18">
    <w:name w:val="annotation text"/>
    <w:basedOn w:val="1"/>
    <w:link w:val="72"/>
    <w:qFormat/>
    <w:uiPriority w:val="0"/>
    <w:pPr>
      <w:autoSpaceDE w:val="0"/>
      <w:autoSpaceDN w:val="0"/>
      <w:jc w:val="left"/>
      <w:textAlignment w:val="baseline"/>
    </w:pPr>
    <w:rPr>
      <w:rFonts w:hAnsi="Times New Roman" w:cs="Times New Roman"/>
      <w:sz w:val="34"/>
      <w:szCs w:val="20"/>
    </w:rPr>
  </w:style>
  <w:style w:type="paragraph" w:styleId="19">
    <w:name w:val="Body Text 3"/>
    <w:basedOn w:val="1"/>
    <w:link w:val="274"/>
    <w:qFormat/>
    <w:uiPriority w:val="0"/>
    <w:pPr>
      <w:spacing w:after="120"/>
    </w:pPr>
    <w:rPr>
      <w:rFonts w:ascii="Times New Roman" w:hAnsi="Times New Roman" w:cs="Times New Roman"/>
      <w:kern w:val="2"/>
      <w:sz w:val="16"/>
      <w:szCs w:val="16"/>
    </w:rPr>
  </w:style>
  <w:style w:type="paragraph" w:styleId="20">
    <w:name w:val="Body Text"/>
    <w:basedOn w:val="1"/>
    <w:qFormat/>
    <w:uiPriority w:val="0"/>
    <w:rPr>
      <w:b/>
      <w:bCs/>
      <w:sz w:val="24"/>
    </w:rPr>
  </w:style>
  <w:style w:type="paragraph" w:styleId="21">
    <w:name w:val="Body Text Indent"/>
    <w:basedOn w:val="1"/>
    <w:link w:val="214"/>
    <w:qFormat/>
    <w:uiPriority w:val="0"/>
    <w:pPr>
      <w:ind w:firstLine="420" w:firstLineChars="200"/>
    </w:pPr>
    <w:rPr>
      <w:rFonts w:ascii="Times New Roman" w:hAnsi="Times New Roman" w:cs="Times New Roman"/>
      <w:kern w:val="2"/>
    </w:rPr>
  </w:style>
  <w:style w:type="paragraph" w:styleId="22">
    <w:name w:val="toc 5"/>
    <w:basedOn w:val="1"/>
    <w:next w:val="1"/>
    <w:qFormat/>
    <w:uiPriority w:val="0"/>
    <w:pPr>
      <w:ind w:left="840"/>
      <w:jc w:val="left"/>
    </w:pPr>
    <w:rPr>
      <w:szCs w:val="21"/>
    </w:rPr>
  </w:style>
  <w:style w:type="paragraph" w:styleId="23">
    <w:name w:val="toc 3"/>
    <w:basedOn w:val="1"/>
    <w:next w:val="1"/>
    <w:qFormat/>
    <w:uiPriority w:val="39"/>
    <w:pPr>
      <w:ind w:left="420"/>
      <w:jc w:val="left"/>
    </w:pPr>
    <w:rPr>
      <w:i/>
      <w:iCs/>
    </w:rPr>
  </w:style>
  <w:style w:type="paragraph" w:styleId="24">
    <w:name w:val="Plain Text"/>
    <w:basedOn w:val="1"/>
    <w:link w:val="73"/>
    <w:qFormat/>
    <w:uiPriority w:val="0"/>
    <w:rPr>
      <w:rFonts w:hAnsi="Courier New" w:cs="Times New Roman"/>
      <w:kern w:val="2"/>
      <w:szCs w:val="20"/>
    </w:rPr>
  </w:style>
  <w:style w:type="paragraph" w:styleId="25">
    <w:name w:val="toc 8"/>
    <w:basedOn w:val="1"/>
    <w:next w:val="1"/>
    <w:uiPriority w:val="0"/>
    <w:pPr>
      <w:ind w:left="1470"/>
      <w:jc w:val="left"/>
    </w:pPr>
    <w:rPr>
      <w:szCs w:val="21"/>
    </w:rPr>
  </w:style>
  <w:style w:type="paragraph" w:styleId="26">
    <w:name w:val="Date"/>
    <w:basedOn w:val="1"/>
    <w:next w:val="1"/>
    <w:link w:val="84"/>
    <w:uiPriority w:val="0"/>
    <w:rPr>
      <w:rFonts w:hAnsi="Courier New" w:cs="Times New Roman"/>
      <w:kern w:val="2"/>
      <w:sz w:val="32"/>
      <w:szCs w:val="20"/>
    </w:rPr>
  </w:style>
  <w:style w:type="paragraph" w:styleId="27">
    <w:name w:val="Body Text Indent 2"/>
    <w:basedOn w:val="1"/>
    <w:link w:val="213"/>
    <w:qFormat/>
    <w:uiPriority w:val="0"/>
    <w:pPr>
      <w:spacing w:beforeLines="50" w:afterLines="50" w:line="120" w:lineRule="auto"/>
      <w:ind w:firstLine="840" w:firstLineChars="400"/>
      <w:jc w:val="left"/>
    </w:pPr>
    <w:rPr>
      <w:rFonts w:cs="Times New Roman"/>
      <w:kern w:val="2"/>
    </w:rPr>
  </w:style>
  <w:style w:type="paragraph" w:styleId="28">
    <w:name w:val="Balloon Text"/>
    <w:basedOn w:val="1"/>
    <w:link w:val="110"/>
    <w:semiHidden/>
    <w:qFormat/>
    <w:uiPriority w:val="0"/>
    <w:rPr>
      <w:rFonts w:ascii="Times New Roman" w:hAnsi="Times New Roman" w:cs="Times New Roman"/>
      <w:kern w:val="2"/>
      <w:sz w:val="18"/>
      <w:szCs w:val="18"/>
    </w:rPr>
  </w:style>
  <w:style w:type="paragraph" w:styleId="29">
    <w:name w:val="footer"/>
    <w:basedOn w:val="1"/>
    <w:link w:val="109"/>
    <w:uiPriority w:val="99"/>
    <w:pPr>
      <w:tabs>
        <w:tab w:val="center" w:pos="4153"/>
        <w:tab w:val="right" w:pos="8306"/>
      </w:tabs>
      <w:jc w:val="left"/>
    </w:pPr>
    <w:rPr>
      <w:rFonts w:ascii="Times New Roman" w:hAnsi="Times New Roman" w:cs="Times New Roman"/>
      <w:kern w:val="2"/>
      <w:sz w:val="18"/>
      <w:szCs w:val="18"/>
    </w:rPr>
  </w:style>
  <w:style w:type="paragraph" w:styleId="30">
    <w:name w:val="header"/>
    <w:basedOn w:val="1"/>
    <w:link w:val="79"/>
    <w:qFormat/>
    <w:uiPriority w:val="99"/>
    <w:pPr>
      <w:pBdr>
        <w:bottom w:val="single" w:color="auto" w:sz="6" w:space="1"/>
      </w:pBdr>
      <w:tabs>
        <w:tab w:val="center" w:pos="4153"/>
        <w:tab w:val="right" w:pos="8306"/>
      </w:tabs>
      <w:jc w:val="center"/>
    </w:pPr>
    <w:rPr>
      <w:rFonts w:ascii="Times New Roman" w:hAnsi="Times New Roman" w:cs="Times New Roman"/>
      <w:kern w:val="2"/>
      <w:sz w:val="18"/>
      <w:szCs w:val="18"/>
    </w:rPr>
  </w:style>
  <w:style w:type="paragraph" w:styleId="31">
    <w:name w:val="toc 1"/>
    <w:basedOn w:val="1"/>
    <w:next w:val="1"/>
    <w:qFormat/>
    <w:uiPriority w:val="39"/>
    <w:pPr>
      <w:tabs>
        <w:tab w:val="right" w:leader="dot" w:pos="8789"/>
      </w:tabs>
      <w:adjustRightInd/>
      <w:snapToGrid/>
      <w:spacing w:before="120" w:after="120"/>
      <w:jc w:val="left"/>
    </w:pPr>
    <w:rPr>
      <w:b/>
      <w:bCs/>
      <w:caps/>
      <w:sz w:val="28"/>
    </w:rPr>
  </w:style>
  <w:style w:type="paragraph" w:styleId="32">
    <w:name w:val="toc 4"/>
    <w:basedOn w:val="1"/>
    <w:next w:val="1"/>
    <w:qFormat/>
    <w:uiPriority w:val="0"/>
    <w:pPr>
      <w:ind w:left="630"/>
      <w:jc w:val="left"/>
    </w:pPr>
    <w:rPr>
      <w:szCs w:val="21"/>
    </w:rPr>
  </w:style>
  <w:style w:type="paragraph" w:styleId="33">
    <w:name w:val="Subtitle"/>
    <w:basedOn w:val="1"/>
    <w:next w:val="1"/>
    <w:link w:val="76"/>
    <w:qFormat/>
    <w:uiPriority w:val="0"/>
    <w:pPr>
      <w:spacing w:before="240" w:after="60" w:line="312" w:lineRule="auto"/>
      <w:jc w:val="center"/>
      <w:outlineLvl w:val="1"/>
    </w:pPr>
    <w:rPr>
      <w:rFonts w:ascii="Cambria" w:hAnsi="Cambria" w:cs="Times New Roman"/>
      <w:b/>
      <w:bCs/>
      <w:kern w:val="28"/>
      <w:sz w:val="28"/>
      <w:szCs w:val="32"/>
    </w:rPr>
  </w:style>
  <w:style w:type="paragraph" w:styleId="34">
    <w:name w:val="toc 6"/>
    <w:basedOn w:val="1"/>
    <w:next w:val="1"/>
    <w:qFormat/>
    <w:uiPriority w:val="0"/>
    <w:pPr>
      <w:ind w:left="1050"/>
      <w:jc w:val="left"/>
    </w:pPr>
    <w:rPr>
      <w:szCs w:val="21"/>
    </w:rPr>
  </w:style>
  <w:style w:type="paragraph" w:styleId="35">
    <w:name w:val="Body Text Indent 3"/>
    <w:basedOn w:val="1"/>
    <w:link w:val="269"/>
    <w:uiPriority w:val="0"/>
    <w:pPr>
      <w:ind w:firstLine="482" w:firstLineChars="200"/>
    </w:pPr>
    <w:rPr>
      <w:rFonts w:hAnsi="Times New Roman" w:cs="Times New Roman"/>
      <w:b/>
      <w:bCs/>
      <w:kern w:val="2"/>
      <w:sz w:val="24"/>
    </w:rPr>
  </w:style>
  <w:style w:type="paragraph" w:styleId="36">
    <w:name w:val="toc 2"/>
    <w:basedOn w:val="1"/>
    <w:next w:val="1"/>
    <w:qFormat/>
    <w:uiPriority w:val="39"/>
    <w:pPr>
      <w:tabs>
        <w:tab w:val="right" w:leader="dot" w:pos="8789"/>
        <w:tab w:val="clear" w:pos="426"/>
      </w:tabs>
      <w:adjustRightInd/>
      <w:snapToGrid/>
      <w:spacing w:line="300" w:lineRule="auto"/>
      <w:ind w:left="50" w:leftChars="50"/>
    </w:pPr>
    <w:rPr>
      <w:smallCaps/>
      <w:sz w:val="28"/>
    </w:rPr>
  </w:style>
  <w:style w:type="paragraph" w:styleId="37">
    <w:name w:val="toc 9"/>
    <w:basedOn w:val="1"/>
    <w:next w:val="1"/>
    <w:qFormat/>
    <w:uiPriority w:val="0"/>
    <w:pPr>
      <w:ind w:left="1680"/>
      <w:jc w:val="left"/>
    </w:pPr>
    <w:rPr>
      <w:szCs w:val="21"/>
    </w:rPr>
  </w:style>
  <w:style w:type="paragraph" w:styleId="38">
    <w:name w:val="Body Text 2"/>
    <w:basedOn w:val="1"/>
    <w:link w:val="273"/>
    <w:qFormat/>
    <w:uiPriority w:val="0"/>
    <w:rPr>
      <w:rFonts w:ascii="Times New Roman" w:hAnsi="Times New Roman" w:cs="Times New Roman"/>
      <w:kern w:val="2"/>
      <w:sz w:val="24"/>
    </w:rPr>
  </w:style>
  <w:style w:type="paragraph" w:styleId="39">
    <w:name w:val="HTML Preformatted"/>
    <w:basedOn w:val="1"/>
    <w:link w:val="272"/>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s="Times New Roman"/>
      <w:color w:val="000000"/>
      <w:sz w:val="20"/>
      <w:szCs w:val="20"/>
    </w:rPr>
  </w:style>
  <w:style w:type="paragraph" w:styleId="40">
    <w:name w:val="Normal (Web)"/>
    <w:basedOn w:val="1"/>
    <w:qFormat/>
    <w:uiPriority w:val="0"/>
    <w:rPr>
      <w:sz w:val="24"/>
    </w:rPr>
  </w:style>
  <w:style w:type="paragraph" w:styleId="41">
    <w:name w:val="index 1"/>
    <w:basedOn w:val="1"/>
    <w:next w:val="1"/>
    <w:uiPriority w:val="99"/>
    <w:rPr>
      <w:b/>
      <w:color w:val="0000FF"/>
      <w:sz w:val="24"/>
    </w:rPr>
  </w:style>
  <w:style w:type="paragraph" w:styleId="42">
    <w:name w:val="Title"/>
    <w:basedOn w:val="1"/>
    <w:link w:val="136"/>
    <w:qFormat/>
    <w:uiPriority w:val="0"/>
    <w:pPr>
      <w:spacing w:before="240" w:after="60"/>
      <w:jc w:val="center"/>
      <w:outlineLvl w:val="0"/>
    </w:pPr>
    <w:rPr>
      <w:rFonts w:ascii="Arial" w:hAnsi="Arial" w:cs="Times New Roman"/>
      <w:b/>
      <w:bCs/>
      <w:kern w:val="2"/>
      <w:sz w:val="36"/>
      <w:szCs w:val="32"/>
    </w:rPr>
  </w:style>
  <w:style w:type="paragraph" w:styleId="43">
    <w:name w:val="annotation subject"/>
    <w:basedOn w:val="18"/>
    <w:next w:val="18"/>
    <w:link w:val="251"/>
    <w:qFormat/>
    <w:uiPriority w:val="0"/>
    <w:pPr>
      <w:autoSpaceDE/>
      <w:autoSpaceDN/>
      <w:adjustRightInd/>
      <w:textAlignment w:val="auto"/>
    </w:pPr>
    <w:rPr>
      <w:rFonts w:ascii="Times New Roman"/>
      <w:b/>
      <w:bCs/>
      <w:kern w:val="2"/>
      <w:sz w:val="21"/>
      <w:szCs w:val="24"/>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46">
    <w:name w:val="Table Theme"/>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8">
    <w:name w:val="Strong"/>
    <w:qFormat/>
    <w:uiPriority w:val="0"/>
    <w:rPr>
      <w:b/>
      <w:bCs/>
    </w:rPr>
  </w:style>
  <w:style w:type="character" w:styleId="49">
    <w:name w:val="page number"/>
    <w:basedOn w:val="47"/>
    <w:qFormat/>
    <w:uiPriority w:val="0"/>
  </w:style>
  <w:style w:type="character" w:styleId="50">
    <w:name w:val="FollowedHyperlink"/>
    <w:basedOn w:val="47"/>
    <w:qFormat/>
    <w:uiPriority w:val="0"/>
    <w:rPr>
      <w:rFonts w:hint="eastAsia" w:ascii="宋体" w:hAnsi="宋体" w:eastAsia="宋体" w:cs="宋体"/>
      <w:color w:val="0031C1"/>
      <w:sz w:val="18"/>
      <w:szCs w:val="18"/>
      <w:u w:val="none"/>
    </w:rPr>
  </w:style>
  <w:style w:type="character" w:styleId="51">
    <w:name w:val="Emphasis"/>
    <w:qFormat/>
    <w:uiPriority w:val="0"/>
    <w:rPr>
      <w:i/>
      <w:iCs/>
    </w:rPr>
  </w:style>
  <w:style w:type="character" w:styleId="52">
    <w:name w:val="Hyperlink"/>
    <w:basedOn w:val="47"/>
    <w:uiPriority w:val="99"/>
    <w:rPr>
      <w:rFonts w:hint="eastAsia" w:ascii="宋体" w:hAnsi="宋体" w:eastAsia="宋体" w:cs="宋体"/>
      <w:color w:val="0031C1"/>
      <w:sz w:val="18"/>
      <w:szCs w:val="18"/>
      <w:u w:val="none"/>
    </w:rPr>
  </w:style>
  <w:style w:type="character" w:styleId="53">
    <w:name w:val="annotation reference"/>
    <w:unhideWhenUsed/>
    <w:uiPriority w:val="0"/>
    <w:rPr>
      <w:sz w:val="21"/>
      <w:szCs w:val="21"/>
    </w:rPr>
  </w:style>
  <w:style w:type="character" w:customStyle="1" w:styleId="54">
    <w:name w:val="标题 4 Char"/>
    <w:link w:val="4"/>
    <w:qFormat/>
    <w:uiPriority w:val="0"/>
    <w:rPr>
      <w:rFonts w:ascii="Arial" w:hAnsi="Arial" w:eastAsia="黑体"/>
      <w:b/>
      <w:bCs/>
      <w:kern w:val="2"/>
      <w:sz w:val="28"/>
      <w:szCs w:val="28"/>
      <w:lang w:val="en-US" w:eastAsia="zh-CN" w:bidi="ar-SA"/>
    </w:rPr>
  </w:style>
  <w:style w:type="paragraph" w:customStyle="1" w:styleId="55">
    <w:name w:val="Char"/>
    <w:basedOn w:val="1"/>
    <w:qFormat/>
    <w:uiPriority w:val="0"/>
    <w:pPr>
      <w:spacing w:after="160" w:line="240" w:lineRule="exact"/>
      <w:jc w:val="left"/>
    </w:pPr>
    <w:rPr>
      <w:rFonts w:ascii="Verdana" w:hAnsi="Verdana" w:eastAsia="仿宋_GB2312"/>
      <w:sz w:val="24"/>
      <w:szCs w:val="20"/>
      <w:lang w:eastAsia="en-US"/>
    </w:rPr>
  </w:style>
  <w:style w:type="character" w:customStyle="1" w:styleId="56">
    <w:name w:val="标题 3 Char1"/>
    <w:link w:val="3"/>
    <w:uiPriority w:val="0"/>
    <w:rPr>
      <w:rFonts w:ascii="宋体" w:hAnsi="宋体"/>
      <w:b/>
      <w:bCs/>
      <w:kern w:val="2"/>
      <w:sz w:val="24"/>
      <w:szCs w:val="32"/>
      <w:shd w:val="clear" w:color="auto" w:fill="FFFFFF"/>
    </w:rPr>
  </w:style>
  <w:style w:type="character" w:customStyle="1" w:styleId="57">
    <w:name w:val="标题 1 Char"/>
    <w:link w:val="2"/>
    <w:qFormat/>
    <w:uiPriority w:val="0"/>
    <w:rPr>
      <w:rFonts w:ascii="宋体" w:hAnsi="宋体" w:eastAsia="黑体"/>
      <w:b/>
      <w:bCs/>
      <w:kern w:val="44"/>
      <w:sz w:val="28"/>
      <w:szCs w:val="28"/>
      <w:lang w:val="en-US" w:eastAsia="zh-CN" w:bidi="ar-SA"/>
    </w:rPr>
  </w:style>
  <w:style w:type="character" w:customStyle="1" w:styleId="58">
    <w:name w:val="正文缩进 Char"/>
    <w:link w:val="7"/>
    <w:qFormat/>
    <w:uiPriority w:val="0"/>
    <w:rPr>
      <w:rFonts w:eastAsia="宋体"/>
      <w:kern w:val="2"/>
      <w:sz w:val="21"/>
      <w:lang w:val="en-US" w:eastAsia="zh-CN" w:bidi="ar-SA"/>
    </w:rPr>
  </w:style>
  <w:style w:type="character" w:customStyle="1" w:styleId="59">
    <w:name w:val="标题 3 Char"/>
    <w:uiPriority w:val="0"/>
    <w:rPr>
      <w:rFonts w:ascii="黑体" w:eastAsia="黑体"/>
      <w:bCs/>
      <w:sz w:val="30"/>
    </w:rPr>
  </w:style>
  <w:style w:type="paragraph" w:customStyle="1" w:styleId="60">
    <w:name w:val="样式41"/>
    <w:basedOn w:val="1"/>
    <w:uiPriority w:val="0"/>
    <w:pPr>
      <w:tabs>
        <w:tab w:val="left" w:pos="945"/>
        <w:tab w:val="left" w:pos="2040"/>
      </w:tabs>
      <w:ind w:left="2040" w:leftChars="800" w:hanging="360" w:hangingChars="200"/>
    </w:pPr>
    <w:rPr>
      <w:b/>
      <w:color w:val="000000"/>
      <w:sz w:val="24"/>
      <w:szCs w:val="20"/>
    </w:rPr>
  </w:style>
  <w:style w:type="paragraph" w:customStyle="1" w:styleId="61">
    <w:name w:val="图"/>
    <w:basedOn w:val="1"/>
    <w:qFormat/>
    <w:uiPriority w:val="0"/>
    <w:pPr>
      <w:keepNext/>
      <w:spacing w:before="60" w:after="60" w:line="300" w:lineRule="auto"/>
      <w:jc w:val="center"/>
    </w:pPr>
    <w:rPr>
      <w:spacing w:val="20"/>
      <w:sz w:val="24"/>
      <w:szCs w:val="20"/>
    </w:rPr>
  </w:style>
  <w:style w:type="paragraph" w:customStyle="1" w:styleId="62">
    <w:name w:val="文档正文"/>
    <w:basedOn w:val="1"/>
    <w:qFormat/>
    <w:uiPriority w:val="0"/>
    <w:pPr>
      <w:spacing w:line="480" w:lineRule="atLeast"/>
      <w:ind w:firstLine="567" w:firstLineChars="200"/>
      <w:textAlignment w:val="baseline"/>
    </w:pPr>
    <w:rPr>
      <w:rFonts w:ascii="长城仿宋"/>
      <w:szCs w:val="20"/>
    </w:rPr>
  </w:style>
  <w:style w:type="paragraph" w:customStyle="1" w:styleId="63">
    <w:name w:val="Char Char Char Char"/>
    <w:basedOn w:val="1"/>
    <w:qFormat/>
    <w:uiPriority w:val="0"/>
    <w:pPr>
      <w:spacing w:after="160" w:line="240" w:lineRule="exact"/>
      <w:jc w:val="left"/>
    </w:pPr>
    <w:rPr>
      <w:rFonts w:ascii="Verdana" w:hAnsi="Verdana" w:eastAsia="仿宋_GB2312"/>
      <w:sz w:val="24"/>
      <w:szCs w:val="20"/>
      <w:lang w:eastAsia="en-US"/>
    </w:rPr>
  </w:style>
  <w:style w:type="paragraph" w:customStyle="1" w:styleId="64">
    <w:name w:val="Char1"/>
    <w:basedOn w:val="1"/>
    <w:qFormat/>
    <w:uiPriority w:val="0"/>
    <w:pPr>
      <w:spacing w:after="160" w:line="240" w:lineRule="exact"/>
      <w:jc w:val="left"/>
    </w:pPr>
    <w:rPr>
      <w:rFonts w:ascii="Verdana" w:hAnsi="Verdana" w:eastAsia="仿宋_GB2312"/>
      <w:sz w:val="24"/>
      <w:szCs w:val="20"/>
      <w:lang w:eastAsia="en-US"/>
    </w:rPr>
  </w:style>
  <w:style w:type="paragraph" w:customStyle="1" w:styleId="65">
    <w:name w:val="Char Char Char Char1"/>
    <w:basedOn w:val="1"/>
    <w:qFormat/>
    <w:uiPriority w:val="0"/>
    <w:pPr>
      <w:spacing w:after="160" w:line="240" w:lineRule="exact"/>
      <w:jc w:val="left"/>
    </w:pPr>
    <w:rPr>
      <w:rFonts w:ascii="Verdana" w:hAnsi="Verdana" w:eastAsia="仿宋_GB2312"/>
      <w:sz w:val="24"/>
      <w:szCs w:val="20"/>
      <w:lang w:eastAsia="en-US"/>
    </w:rPr>
  </w:style>
  <w:style w:type="paragraph" w:customStyle="1" w:styleId="66">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67">
    <w:name w:val="自定义正文"/>
    <w:basedOn w:val="1"/>
    <w:qFormat/>
    <w:uiPriority w:val="0"/>
    <w:pPr>
      <w:spacing w:afterLines="50"/>
      <w:ind w:left="600" w:leftChars="600"/>
    </w:pPr>
  </w:style>
  <w:style w:type="paragraph" w:customStyle="1" w:styleId="68">
    <w:name w:val="Char Char Char Char Char"/>
    <w:basedOn w:val="1"/>
    <w:qFormat/>
    <w:uiPriority w:val="0"/>
    <w:rPr>
      <w:rFonts w:ascii="Tahoma" w:hAnsi="Tahoma"/>
      <w:sz w:val="24"/>
      <w:szCs w:val="20"/>
    </w:rPr>
  </w:style>
  <w:style w:type="paragraph" w:customStyle="1" w:styleId="69">
    <w:name w:val="小标题 1"/>
    <w:basedOn w:val="1"/>
    <w:qFormat/>
    <w:uiPriority w:val="0"/>
    <w:pPr>
      <w:autoSpaceDE w:val="0"/>
      <w:autoSpaceDN w:val="0"/>
      <w:spacing w:line="360" w:lineRule="atLeast"/>
    </w:pPr>
    <w:rPr>
      <w:rFonts w:ascii="文鼎粗黑" w:eastAsia="文鼎粗黑"/>
      <w:sz w:val="22"/>
      <w:szCs w:val="20"/>
    </w:rPr>
  </w:style>
  <w:style w:type="paragraph" w:customStyle="1" w:styleId="70">
    <w:name w:val="Char Char"/>
    <w:basedOn w:val="1"/>
    <w:qFormat/>
    <w:uiPriority w:val="0"/>
    <w:rPr>
      <w:rFonts w:ascii="Tahoma" w:hAnsi="Tahoma"/>
      <w:sz w:val="24"/>
      <w:szCs w:val="20"/>
    </w:rPr>
  </w:style>
  <w:style w:type="paragraph" w:customStyle="1" w:styleId="71">
    <w:name w:val="È±Ê¡ÎÄ±¾"/>
    <w:basedOn w:val="1"/>
    <w:qFormat/>
    <w:uiPriority w:val="0"/>
    <w:pPr>
      <w:overflowPunct w:val="0"/>
      <w:autoSpaceDE w:val="0"/>
      <w:autoSpaceDN w:val="0"/>
      <w:jc w:val="left"/>
      <w:textAlignment w:val="baseline"/>
    </w:pPr>
    <w:rPr>
      <w:sz w:val="24"/>
      <w:szCs w:val="20"/>
    </w:rPr>
  </w:style>
  <w:style w:type="character" w:customStyle="1" w:styleId="72">
    <w:name w:val="批注文字 Char"/>
    <w:link w:val="18"/>
    <w:qFormat/>
    <w:uiPriority w:val="0"/>
    <w:rPr>
      <w:rFonts w:ascii="宋体" w:eastAsia="宋体"/>
      <w:sz w:val="34"/>
      <w:lang w:val="en-US" w:eastAsia="zh-CN" w:bidi="ar-SA"/>
    </w:rPr>
  </w:style>
  <w:style w:type="character" w:customStyle="1" w:styleId="73">
    <w:name w:val="纯文本 Char"/>
    <w:link w:val="24"/>
    <w:uiPriority w:val="0"/>
    <w:rPr>
      <w:rFonts w:ascii="宋体" w:hAnsi="Courier New"/>
      <w:kern w:val="2"/>
      <w:sz w:val="21"/>
    </w:rPr>
  </w:style>
  <w:style w:type="character" w:customStyle="1" w:styleId="74">
    <w:name w:val="apple-converted-space"/>
    <w:basedOn w:val="47"/>
    <w:qFormat/>
    <w:uiPriority w:val="0"/>
  </w:style>
  <w:style w:type="paragraph" w:customStyle="1" w:styleId="75">
    <w:name w:val="TOC 标题1"/>
    <w:basedOn w:val="2"/>
    <w:next w:val="1"/>
    <w:qFormat/>
    <w:uiPriority w:val="39"/>
    <w:pPr>
      <w:spacing w:before="480" w:after="0" w:line="276" w:lineRule="auto"/>
      <w:jc w:val="left"/>
      <w:outlineLvl w:val="9"/>
    </w:pPr>
    <w:rPr>
      <w:rFonts w:ascii="Cambria" w:hAnsi="Cambria" w:eastAsia="宋体"/>
      <w:color w:val="365F91"/>
      <w:kern w:val="0"/>
    </w:rPr>
  </w:style>
  <w:style w:type="character" w:customStyle="1" w:styleId="76">
    <w:name w:val="副标题 Char1"/>
    <w:link w:val="33"/>
    <w:qFormat/>
    <w:uiPriority w:val="0"/>
    <w:rPr>
      <w:rFonts w:ascii="Cambria" w:hAnsi="Cambria" w:cs="Times New Roman"/>
      <w:b/>
      <w:bCs/>
      <w:kern w:val="28"/>
      <w:sz w:val="28"/>
      <w:szCs w:val="32"/>
    </w:rPr>
  </w:style>
  <w:style w:type="paragraph" w:customStyle="1" w:styleId="77">
    <w:name w:val="Char Char Char"/>
    <w:basedOn w:val="1"/>
    <w:qFormat/>
    <w:uiPriority w:val="0"/>
    <w:rPr>
      <w:rFonts w:ascii="Tahoma" w:hAnsi="Tahoma"/>
      <w:sz w:val="24"/>
      <w:szCs w:val="20"/>
    </w:rPr>
  </w:style>
  <w:style w:type="paragraph" w:customStyle="1" w:styleId="78">
    <w:name w:val="列出段落1"/>
    <w:basedOn w:val="1"/>
    <w:link w:val="89"/>
    <w:qFormat/>
    <w:uiPriority w:val="0"/>
    <w:pPr>
      <w:ind w:firstLine="420" w:firstLineChars="200"/>
    </w:pPr>
    <w:rPr>
      <w:rFonts w:ascii="Times New Roman" w:hAnsi="Times New Roman" w:cs="Times New Roman"/>
      <w:kern w:val="2"/>
    </w:rPr>
  </w:style>
  <w:style w:type="character" w:customStyle="1" w:styleId="79">
    <w:name w:val="页眉 Char"/>
    <w:link w:val="30"/>
    <w:qFormat/>
    <w:uiPriority w:val="99"/>
    <w:rPr>
      <w:kern w:val="2"/>
      <w:sz w:val="18"/>
      <w:szCs w:val="18"/>
    </w:rPr>
  </w:style>
  <w:style w:type="paragraph" w:customStyle="1" w:styleId="80">
    <w:name w:val="Default"/>
    <w:link w:val="217"/>
    <w:qFormat/>
    <w:uiPriority w:val="0"/>
    <w:pPr>
      <w:widowControl w:val="0"/>
      <w:autoSpaceDE w:val="0"/>
      <w:autoSpaceDN w:val="0"/>
      <w:adjustRightInd w:val="0"/>
      <w:spacing w:line="360" w:lineRule="auto"/>
      <w:jc w:val="both"/>
    </w:pPr>
    <w:rPr>
      <w:rFonts w:ascii="宋体" w:hAnsi="Calibri" w:eastAsia="宋体" w:cs="Times New Roman"/>
      <w:color w:val="000000"/>
      <w:sz w:val="24"/>
      <w:szCs w:val="24"/>
      <w:lang w:val="en-US" w:eastAsia="zh-CN" w:bidi="ar-SA"/>
    </w:rPr>
  </w:style>
  <w:style w:type="paragraph" w:customStyle="1" w:styleId="81">
    <w:name w:val="主题"/>
    <w:basedOn w:val="1"/>
    <w:uiPriority w:val="0"/>
  </w:style>
  <w:style w:type="paragraph" w:customStyle="1" w:styleId="82">
    <w:name w:val="默认段落字体 Para Char Char Char Char Char Char Char Char Char3 Char Char Char Char"/>
    <w:basedOn w:val="16"/>
    <w:qFormat/>
    <w:uiPriority w:val="0"/>
    <w:pPr>
      <w:spacing w:line="436" w:lineRule="exact"/>
      <w:ind w:left="357"/>
      <w:jc w:val="left"/>
      <w:outlineLvl w:val="3"/>
    </w:pPr>
    <w:rPr>
      <w:rFonts w:ascii="Tahoma" w:hAnsi="Tahoma"/>
      <w:b/>
      <w:sz w:val="24"/>
    </w:rPr>
  </w:style>
  <w:style w:type="paragraph" w:customStyle="1" w:styleId="83">
    <w:name w:val="目次、标准名称标题"/>
    <w:basedOn w:val="1"/>
    <w:next w:val="1"/>
    <w:qFormat/>
    <w:uiPriority w:val="0"/>
    <w:pPr>
      <w:shd w:val="clear" w:color="FFFFFF" w:fill="FFFFFF"/>
      <w:spacing w:before="640" w:after="560" w:line="460" w:lineRule="exact"/>
      <w:jc w:val="center"/>
      <w:outlineLvl w:val="0"/>
    </w:pPr>
    <w:rPr>
      <w:rFonts w:ascii="黑体" w:eastAsia="黑体"/>
      <w:sz w:val="32"/>
      <w:szCs w:val="20"/>
    </w:rPr>
  </w:style>
  <w:style w:type="character" w:customStyle="1" w:styleId="84">
    <w:name w:val="日期 Char"/>
    <w:link w:val="26"/>
    <w:uiPriority w:val="0"/>
    <w:rPr>
      <w:rFonts w:ascii="宋体" w:hAnsi="Courier New"/>
      <w:kern w:val="2"/>
      <w:sz w:val="32"/>
    </w:rPr>
  </w:style>
  <w:style w:type="paragraph" w:customStyle="1" w:styleId="85">
    <w:name w:val="表1黑体居中"/>
    <w:basedOn w:val="1"/>
    <w:qFormat/>
    <w:uiPriority w:val="0"/>
    <w:pPr>
      <w:ind w:firstLine="435"/>
      <w:jc w:val="center"/>
      <w:textAlignment w:val="baseline"/>
    </w:pPr>
    <w:rPr>
      <w:rFonts w:ascii="黑体" w:eastAsia="黑体"/>
      <w:szCs w:val="21"/>
    </w:rPr>
  </w:style>
  <w:style w:type="paragraph" w:customStyle="1" w:styleId="86">
    <w:name w:val="MaoC2"/>
    <w:basedOn w:val="1"/>
    <w:uiPriority w:val="0"/>
    <w:pPr>
      <w:numPr>
        <w:ilvl w:val="1"/>
        <w:numId w:val="2"/>
      </w:numPr>
      <w:spacing w:line="480" w:lineRule="auto"/>
      <w:outlineLvl w:val="1"/>
    </w:pPr>
    <w:rPr>
      <w:rFonts w:ascii="黑体" w:eastAsia="黑体"/>
      <w:szCs w:val="20"/>
    </w:rPr>
  </w:style>
  <w:style w:type="paragraph" w:customStyle="1" w:styleId="87">
    <w:name w:val="图目录4"/>
    <w:basedOn w:val="1"/>
    <w:next w:val="1"/>
    <w:qFormat/>
    <w:uiPriority w:val="0"/>
    <w:pPr>
      <w:numPr>
        <w:ilvl w:val="0"/>
        <w:numId w:val="3"/>
      </w:numPr>
      <w:ind w:hanging="448"/>
      <w:jc w:val="center"/>
      <w:textAlignment w:val="baseline"/>
    </w:pPr>
    <w:rPr>
      <w:szCs w:val="20"/>
    </w:rPr>
  </w:style>
  <w:style w:type="paragraph" w:customStyle="1" w:styleId="88">
    <w:name w:val="段"/>
    <w:qFormat/>
    <w:uiPriority w:val="0"/>
    <w:pPr>
      <w:autoSpaceDE w:val="0"/>
      <w:autoSpaceDN w:val="0"/>
      <w:spacing w:line="360" w:lineRule="auto"/>
      <w:ind w:firstLine="200" w:firstLineChars="200"/>
      <w:jc w:val="both"/>
    </w:pPr>
    <w:rPr>
      <w:rFonts w:ascii="宋体" w:hAnsi="Times New Roman" w:eastAsia="宋体" w:cs="Times New Roman"/>
      <w:sz w:val="21"/>
      <w:lang w:val="en-US" w:eastAsia="zh-CN" w:bidi="ar-SA"/>
    </w:rPr>
  </w:style>
  <w:style w:type="character" w:customStyle="1" w:styleId="89">
    <w:name w:val="列出段落 Char"/>
    <w:link w:val="78"/>
    <w:uiPriority w:val="0"/>
    <w:rPr>
      <w:kern w:val="2"/>
      <w:sz w:val="21"/>
      <w:szCs w:val="24"/>
    </w:rPr>
  </w:style>
  <w:style w:type="table" w:customStyle="1" w:styleId="90">
    <w:name w:val="Table Normal"/>
    <w:qFormat/>
    <w:uiPriority w:val="0"/>
    <w:pPr>
      <w:spacing w:line="360" w:lineRule="auto"/>
      <w:jc w:val="both"/>
    </w:pPr>
    <w:tblPr>
      <w:tblLayout w:type="fixed"/>
      <w:tblCellMar>
        <w:top w:w="0" w:type="dxa"/>
        <w:left w:w="0" w:type="dxa"/>
        <w:bottom w:w="0" w:type="dxa"/>
        <w:right w:w="0" w:type="dxa"/>
      </w:tblCellMar>
    </w:tblPr>
  </w:style>
  <w:style w:type="paragraph" w:customStyle="1" w:styleId="91">
    <w:name w:val="样式1"/>
    <w:basedOn w:val="1"/>
    <w:qFormat/>
    <w:uiPriority w:val="0"/>
    <w:pPr>
      <w:keepNext/>
      <w:keepLines/>
      <w:numPr>
        <w:ilvl w:val="0"/>
        <w:numId w:val="4"/>
      </w:numPr>
      <w:spacing w:before="340" w:after="330"/>
      <w:outlineLvl w:val="0"/>
    </w:pPr>
    <w:rPr>
      <w:b/>
      <w:kern w:val="44"/>
      <w:sz w:val="44"/>
      <w:szCs w:val="20"/>
    </w:rPr>
  </w:style>
  <w:style w:type="paragraph" w:customStyle="1" w:styleId="92">
    <w:name w:val="参数内容"/>
    <w:basedOn w:val="78"/>
    <w:qFormat/>
    <w:uiPriority w:val="0"/>
    <w:pPr>
      <w:numPr>
        <w:ilvl w:val="0"/>
        <w:numId w:val="5"/>
      </w:numPr>
      <w:ind w:firstLine="0" w:firstLineChars="0"/>
    </w:pPr>
    <w:rPr>
      <w:szCs w:val="18"/>
    </w:rPr>
  </w:style>
  <w:style w:type="paragraph" w:customStyle="1" w:styleId="93">
    <w:name w:val="标准正文"/>
    <w:basedOn w:val="21"/>
    <w:link w:val="94"/>
    <w:uiPriority w:val="0"/>
    <w:pPr>
      <w:spacing w:before="60" w:after="60"/>
      <w:ind w:firstLine="482" w:firstLineChars="0"/>
      <w:jc w:val="left"/>
    </w:pPr>
    <w:rPr>
      <w:rFonts w:ascii="宋体" w:hAnsi="宋体"/>
      <w:kern w:val="0"/>
      <w:sz w:val="24"/>
      <w:szCs w:val="20"/>
    </w:rPr>
  </w:style>
  <w:style w:type="character" w:customStyle="1" w:styleId="94">
    <w:name w:val="标准正文 Char"/>
    <w:link w:val="93"/>
    <w:qFormat/>
    <w:uiPriority w:val="0"/>
    <w:rPr>
      <w:rFonts w:ascii="宋体" w:hAnsi="宋体" w:cs="宋体"/>
      <w:sz w:val="24"/>
    </w:rPr>
  </w:style>
  <w:style w:type="paragraph" w:customStyle="1" w:styleId="95">
    <w:name w:val="下级参数内容"/>
    <w:basedOn w:val="78"/>
    <w:qFormat/>
    <w:uiPriority w:val="0"/>
    <w:pPr>
      <w:numPr>
        <w:ilvl w:val="0"/>
        <w:numId w:val="6"/>
      </w:numPr>
      <w:ind w:left="1134" w:firstLine="0" w:firstLineChars="0"/>
    </w:pPr>
    <w:rPr>
      <w:rFonts w:ascii="仿宋" w:hAnsi="仿宋"/>
    </w:rPr>
  </w:style>
  <w:style w:type="paragraph" w:customStyle="1" w:styleId="96">
    <w:name w:val="Char Char Char1"/>
    <w:basedOn w:val="1"/>
    <w:qFormat/>
    <w:uiPriority w:val="0"/>
    <w:rPr>
      <w:rFonts w:ascii="Tahoma" w:hAnsi="Tahoma"/>
      <w:sz w:val="24"/>
      <w:szCs w:val="20"/>
    </w:rPr>
  </w:style>
  <w:style w:type="paragraph" w:customStyle="1" w:styleId="97">
    <w:name w:val="Char Char10 Char Char"/>
    <w:basedOn w:val="16"/>
    <w:qFormat/>
    <w:uiPriority w:val="0"/>
    <w:rPr>
      <w:rFonts w:ascii="Tahoma" w:hAnsi="Tahoma"/>
      <w:sz w:val="24"/>
    </w:rPr>
  </w:style>
  <w:style w:type="paragraph" w:customStyle="1" w:styleId="98">
    <w:name w:val="_Style 95"/>
    <w:unhideWhenUsed/>
    <w:qFormat/>
    <w:uiPriority w:val="99"/>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99">
    <w:name w:val="font5"/>
    <w:basedOn w:val="1"/>
    <w:uiPriority w:val="0"/>
    <w:pPr>
      <w:spacing w:before="100" w:beforeAutospacing="1" w:after="100" w:afterAutospacing="1"/>
      <w:jc w:val="left"/>
    </w:pPr>
    <w:rPr>
      <w:sz w:val="18"/>
      <w:szCs w:val="18"/>
    </w:rPr>
  </w:style>
  <w:style w:type="paragraph" w:customStyle="1" w:styleId="100">
    <w:name w:val="xl65"/>
    <w:basedOn w:val="1"/>
    <w:qFormat/>
    <w:uiPriority w:val="0"/>
    <w:pPr>
      <w:pBdr>
        <w:top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b/>
      <w:bCs/>
      <w:sz w:val="24"/>
    </w:rPr>
  </w:style>
  <w:style w:type="paragraph" w:customStyle="1" w:styleId="101">
    <w:name w:val="xl66"/>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sz w:val="24"/>
    </w:rPr>
  </w:style>
  <w:style w:type="paragraph" w:customStyle="1" w:styleId="102">
    <w:name w:val="xl67"/>
    <w:basedOn w:val="1"/>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color w:val="000000"/>
      <w:sz w:val="24"/>
    </w:rPr>
  </w:style>
  <w:style w:type="paragraph" w:customStyle="1" w:styleId="103">
    <w:name w:val="xl68"/>
    <w:basedOn w:val="1"/>
    <w:qFormat/>
    <w:uiPriority w:val="0"/>
    <w:pPr>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textAlignment w:val="center"/>
    </w:pPr>
    <w:rPr>
      <w:b/>
      <w:bCs/>
      <w:sz w:val="24"/>
    </w:rPr>
  </w:style>
  <w:style w:type="paragraph" w:customStyle="1" w:styleId="104">
    <w:name w:val="xl69"/>
    <w:basedOn w:val="1"/>
    <w:qFormat/>
    <w:uiPriority w:val="0"/>
    <w:pPr>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sz w:val="24"/>
    </w:rPr>
  </w:style>
  <w:style w:type="paragraph" w:customStyle="1" w:styleId="105">
    <w:name w:val="样式 标题 3style3H3h33rd levelLevel 3 Headlevel_3PIM 33l3C..."/>
    <w:basedOn w:val="3"/>
    <w:qFormat/>
    <w:uiPriority w:val="0"/>
    <w:pPr>
      <w:tabs>
        <w:tab w:val="left" w:pos="851"/>
      </w:tabs>
      <w:spacing w:beforeLines="50" w:afterLines="50" w:line="415" w:lineRule="auto"/>
      <w:ind w:left="-4" w:leftChars="-2" w:right="220" w:firstLine="571" w:firstLineChars="203"/>
      <w:jc w:val="left"/>
    </w:pPr>
    <w:rPr>
      <w:rFonts w:ascii="Times New Roman" w:hAnsi="Times New Roman" w:cs="宋体"/>
      <w:bCs w:val="0"/>
      <w:color w:val="000000"/>
      <w:szCs w:val="20"/>
    </w:rPr>
  </w:style>
  <w:style w:type="paragraph" w:customStyle="1" w:styleId="106">
    <w:name w:val="样式2"/>
    <w:basedOn w:val="2"/>
    <w:qFormat/>
    <w:uiPriority w:val="0"/>
    <w:pPr>
      <w:keepNext/>
      <w:keepLines/>
      <w:spacing w:before="0" w:after="0" w:line="578" w:lineRule="auto"/>
      <w:ind w:left="1200" w:hanging="420"/>
      <w:jc w:val="both"/>
    </w:pPr>
    <w:rPr>
      <w:rFonts w:eastAsia="宋体"/>
      <w:szCs w:val="44"/>
    </w:rPr>
  </w:style>
  <w:style w:type="paragraph" w:customStyle="1" w:styleId="107">
    <w:name w:val="样式3"/>
    <w:basedOn w:val="1"/>
    <w:qFormat/>
    <w:uiPriority w:val="0"/>
    <w:pPr>
      <w:ind w:left="1620" w:hanging="420"/>
      <w:outlineLvl w:val="2"/>
    </w:pPr>
    <w:rPr>
      <w:b/>
    </w:rPr>
  </w:style>
  <w:style w:type="paragraph" w:customStyle="1" w:styleId="108">
    <w:name w:val="样式4"/>
    <w:basedOn w:val="78"/>
    <w:qFormat/>
    <w:uiPriority w:val="0"/>
    <w:pPr>
      <w:ind w:left="2040" w:firstLine="0" w:firstLineChars="0"/>
      <w:jc w:val="left"/>
      <w:outlineLvl w:val="3"/>
    </w:pPr>
    <w:rPr>
      <w:rFonts w:ascii="宋体" w:hAnsi="宋体"/>
    </w:rPr>
  </w:style>
  <w:style w:type="character" w:customStyle="1" w:styleId="109">
    <w:name w:val="页脚 Char"/>
    <w:link w:val="29"/>
    <w:qFormat/>
    <w:uiPriority w:val="99"/>
    <w:rPr>
      <w:kern w:val="2"/>
      <w:sz w:val="18"/>
      <w:szCs w:val="18"/>
    </w:rPr>
  </w:style>
  <w:style w:type="character" w:customStyle="1" w:styleId="110">
    <w:name w:val="批注框文本 Char"/>
    <w:link w:val="28"/>
    <w:semiHidden/>
    <w:qFormat/>
    <w:uiPriority w:val="0"/>
    <w:rPr>
      <w:kern w:val="2"/>
      <w:sz w:val="18"/>
      <w:szCs w:val="18"/>
    </w:rPr>
  </w:style>
  <w:style w:type="character" w:customStyle="1" w:styleId="111">
    <w:name w:val="文档结构图 Char"/>
    <w:link w:val="16"/>
    <w:semiHidden/>
    <w:uiPriority w:val="0"/>
    <w:rPr>
      <w:kern w:val="2"/>
      <w:sz w:val="21"/>
      <w:szCs w:val="24"/>
      <w:shd w:val="clear" w:color="auto" w:fill="000080"/>
    </w:rPr>
  </w:style>
  <w:style w:type="paragraph" w:customStyle="1" w:styleId="112">
    <w:name w:val="p0"/>
    <w:basedOn w:val="1"/>
    <w:qFormat/>
    <w:uiPriority w:val="0"/>
    <w:rPr>
      <w:rFonts w:ascii="Calibri" w:hAnsi="Calibri"/>
      <w:szCs w:val="21"/>
    </w:rPr>
  </w:style>
  <w:style w:type="paragraph" w:customStyle="1" w:styleId="113">
    <w:name w:val="图标题"/>
    <w:basedOn w:val="1"/>
    <w:link w:val="117"/>
    <w:qFormat/>
    <w:uiPriority w:val="0"/>
    <w:pPr>
      <w:jc w:val="center"/>
    </w:pPr>
    <w:rPr>
      <w:rFonts w:cs="Times New Roman"/>
      <w:kern w:val="2"/>
    </w:rPr>
  </w:style>
  <w:style w:type="paragraph" w:customStyle="1" w:styleId="114">
    <w:name w:val="表标题"/>
    <w:basedOn w:val="1"/>
    <w:uiPriority w:val="0"/>
    <w:pPr>
      <w:jc w:val="center"/>
    </w:pPr>
    <w:rPr>
      <w:rFonts w:eastAsia="黑体"/>
      <w:b/>
    </w:rPr>
  </w:style>
  <w:style w:type="paragraph" w:customStyle="1" w:styleId="115">
    <w:name w:val="正文-1级标题-1"/>
    <w:basedOn w:val="1"/>
    <w:next w:val="1"/>
    <w:qFormat/>
    <w:uiPriority w:val="0"/>
    <w:pPr>
      <w:keepNext/>
      <w:tabs>
        <w:tab w:val="left" w:pos="420"/>
        <w:tab w:val="clear" w:pos="426"/>
      </w:tabs>
      <w:spacing w:beforeLines="30" w:afterLines="30"/>
    </w:pPr>
    <w:rPr>
      <w:b/>
      <w:sz w:val="24"/>
      <w:szCs w:val="28"/>
      <w:lang w:val="en-GB"/>
    </w:rPr>
  </w:style>
  <w:style w:type="paragraph" w:customStyle="1" w:styleId="116">
    <w:name w:val="正文-1级列表-(1)"/>
    <w:basedOn w:val="1"/>
    <w:qFormat/>
    <w:uiPriority w:val="0"/>
    <w:pPr>
      <w:tabs>
        <w:tab w:val="left" w:pos="420"/>
        <w:tab w:val="clear" w:pos="426"/>
      </w:tabs>
      <w:ind w:left="800"/>
    </w:pPr>
    <w:rPr>
      <w:sz w:val="24"/>
      <w:lang w:val="en-GB"/>
    </w:rPr>
  </w:style>
  <w:style w:type="character" w:customStyle="1" w:styleId="117">
    <w:name w:val="图标题 Char"/>
    <w:link w:val="113"/>
    <w:qFormat/>
    <w:uiPriority w:val="0"/>
    <w:rPr>
      <w:rFonts w:ascii="宋体" w:hAnsi="宋体"/>
      <w:kern w:val="2"/>
      <w:sz w:val="21"/>
      <w:szCs w:val="24"/>
    </w:rPr>
  </w:style>
  <w:style w:type="character" w:customStyle="1" w:styleId="118">
    <w:name w:val="标题 5 Char"/>
    <w:link w:val="6"/>
    <w:qFormat/>
    <w:uiPriority w:val="0"/>
    <w:rPr>
      <w:b/>
      <w:kern w:val="2"/>
      <w:sz w:val="24"/>
    </w:rPr>
  </w:style>
  <w:style w:type="character" w:customStyle="1" w:styleId="119">
    <w:name w:val="标题 6 Char"/>
    <w:link w:val="8"/>
    <w:uiPriority w:val="0"/>
    <w:rPr>
      <w:rFonts w:ascii="Arial" w:hAnsi="Arial" w:eastAsia="黑体"/>
      <w:b/>
      <w:kern w:val="2"/>
      <w:sz w:val="24"/>
    </w:rPr>
  </w:style>
  <w:style w:type="character" w:customStyle="1" w:styleId="120">
    <w:name w:val="标题 7 Char"/>
    <w:link w:val="9"/>
    <w:qFormat/>
    <w:uiPriority w:val="0"/>
    <w:rPr>
      <w:b/>
      <w:kern w:val="2"/>
      <w:sz w:val="24"/>
    </w:rPr>
  </w:style>
  <w:style w:type="character" w:customStyle="1" w:styleId="121">
    <w:name w:val="标题 8 Char"/>
    <w:link w:val="10"/>
    <w:qFormat/>
    <w:uiPriority w:val="0"/>
    <w:rPr>
      <w:rFonts w:ascii="Arial" w:hAnsi="Arial" w:eastAsia="黑体"/>
      <w:kern w:val="2"/>
      <w:sz w:val="24"/>
    </w:rPr>
  </w:style>
  <w:style w:type="character" w:customStyle="1" w:styleId="122">
    <w:name w:val="标题 9 Char"/>
    <w:link w:val="11"/>
    <w:qFormat/>
    <w:uiPriority w:val="0"/>
    <w:rPr>
      <w:rFonts w:ascii="Arial" w:hAnsi="Arial" w:eastAsia="黑体"/>
      <w:kern w:val="2"/>
      <w:sz w:val="21"/>
    </w:rPr>
  </w:style>
  <w:style w:type="paragraph" w:customStyle="1" w:styleId="123">
    <w:name w:val="样式 标题 1 + 段前: 0.5 行 段后: 0.5 行"/>
    <w:basedOn w:val="2"/>
    <w:qFormat/>
    <w:uiPriority w:val="0"/>
    <w:pPr>
      <w:keepNext/>
      <w:keepLines/>
      <w:numPr>
        <w:ilvl w:val="0"/>
        <w:numId w:val="7"/>
      </w:numPr>
      <w:spacing w:beforeLines="50" w:afterLines="50" w:line="578" w:lineRule="auto"/>
      <w:ind w:left="0" w:firstLine="0"/>
      <w:jc w:val="both"/>
    </w:pPr>
    <w:rPr>
      <w:rFonts w:ascii="Times New Roman" w:hAnsi="Times New Roman" w:eastAsia="宋体" w:cs="宋体"/>
      <w:sz w:val="44"/>
      <w:szCs w:val="20"/>
    </w:rPr>
  </w:style>
  <w:style w:type="paragraph" w:customStyle="1" w:styleId="124">
    <w:name w:val="样式 标题 4 + 段前: 0.5 行 段后: 0.5 行"/>
    <w:basedOn w:val="4"/>
    <w:qFormat/>
    <w:uiPriority w:val="0"/>
    <w:pPr>
      <w:spacing w:beforeLines="50" w:afterLines="50" w:line="377" w:lineRule="auto"/>
      <w:ind w:left="2240"/>
      <w:jc w:val="left"/>
    </w:pPr>
    <w:rPr>
      <w:rFonts w:ascii="Cambria" w:hAnsi="Cambria" w:eastAsia="宋体" w:cs="宋体"/>
      <w:sz w:val="24"/>
      <w:szCs w:val="20"/>
    </w:rPr>
  </w:style>
  <w:style w:type="paragraph" w:customStyle="1" w:styleId="125">
    <w:name w:val="样式 标题 4 + 段前: 0.5 行 段后: 0.5 行1"/>
    <w:basedOn w:val="4"/>
    <w:qFormat/>
    <w:uiPriority w:val="0"/>
    <w:pPr>
      <w:spacing w:beforeLines="50" w:afterLines="50" w:line="377" w:lineRule="auto"/>
      <w:ind w:left="-2" w:leftChars="-1" w:firstLine="569" w:firstLineChars="236"/>
      <w:jc w:val="left"/>
    </w:pPr>
    <w:rPr>
      <w:rFonts w:ascii="Cambria" w:hAnsi="Cambria" w:eastAsia="宋体" w:cs="宋体"/>
      <w:sz w:val="24"/>
      <w:szCs w:val="20"/>
    </w:rPr>
  </w:style>
  <w:style w:type="paragraph" w:customStyle="1" w:styleId="126">
    <w:name w:val="￥正文"/>
    <w:basedOn w:val="1"/>
    <w:link w:val="127"/>
    <w:qFormat/>
    <w:uiPriority w:val="0"/>
    <w:pPr>
      <w:ind w:firstLine="200" w:firstLineChars="200"/>
    </w:pPr>
    <w:rPr>
      <w:rFonts w:ascii="Calibri" w:hAnsi="Calibri" w:cs="Times New Roman"/>
      <w:kern w:val="2"/>
      <w:sz w:val="24"/>
      <w:szCs w:val="20"/>
    </w:rPr>
  </w:style>
  <w:style w:type="character" w:customStyle="1" w:styleId="127">
    <w:name w:val="￥正文 Char"/>
    <w:link w:val="126"/>
    <w:qFormat/>
    <w:uiPriority w:val="0"/>
    <w:rPr>
      <w:rFonts w:ascii="Calibri" w:hAnsi="Calibri"/>
      <w:kern w:val="2"/>
      <w:sz w:val="24"/>
    </w:rPr>
  </w:style>
  <w:style w:type="paragraph" w:customStyle="1" w:styleId="128">
    <w:name w:val="样式 标题 4h4heading 4h41heading 41h42heading 42h411heading ..."/>
    <w:basedOn w:val="4"/>
    <w:qFormat/>
    <w:uiPriority w:val="0"/>
    <w:pPr>
      <w:spacing w:beforeLines="50" w:afterLines="50" w:line="377" w:lineRule="auto"/>
      <w:ind w:left="2240" w:right="220"/>
      <w:jc w:val="left"/>
    </w:pPr>
    <w:rPr>
      <w:rFonts w:ascii="Cambria" w:hAnsi="Cambria" w:eastAsia="宋体" w:cs="宋体"/>
      <w:sz w:val="24"/>
      <w:szCs w:val="20"/>
    </w:rPr>
  </w:style>
  <w:style w:type="paragraph" w:customStyle="1" w:styleId="129">
    <w:name w:val="!项目ALT+P"/>
    <w:basedOn w:val="1"/>
    <w:qFormat/>
    <w:uiPriority w:val="0"/>
    <w:pPr>
      <w:numPr>
        <w:ilvl w:val="0"/>
        <w:numId w:val="8"/>
      </w:numPr>
      <w:spacing w:line="320" w:lineRule="atLeast"/>
      <w:ind w:firstLine="0"/>
      <w:textAlignment w:val="baseline"/>
    </w:pPr>
    <w:rPr>
      <w:szCs w:val="21"/>
    </w:rPr>
  </w:style>
  <w:style w:type="paragraph" w:customStyle="1" w:styleId="130">
    <w:name w:val="样式 样式 (符号) 宋体 小四 行距: 1.5 倍行距 首行缩进:  1.5 字符 + 宋体 首行缩进:  2 字符"/>
    <w:basedOn w:val="1"/>
    <w:qFormat/>
    <w:uiPriority w:val="0"/>
    <w:pPr>
      <w:ind w:firstLine="480" w:firstLineChars="200"/>
    </w:pPr>
    <w:rPr>
      <w:sz w:val="24"/>
      <w:szCs w:val="20"/>
    </w:rPr>
  </w:style>
  <w:style w:type="paragraph" w:customStyle="1" w:styleId="131">
    <w:name w:val="正文内容"/>
    <w:basedOn w:val="1"/>
    <w:next w:val="16"/>
    <w:link w:val="132"/>
    <w:qFormat/>
    <w:uiPriority w:val="0"/>
    <w:rPr>
      <w:rFonts w:ascii="Times New Roman" w:hAnsi="Times New Roman" w:cs="Times New Roman"/>
      <w:sz w:val="20"/>
    </w:rPr>
  </w:style>
  <w:style w:type="character" w:customStyle="1" w:styleId="132">
    <w:name w:val="正文内容 Char"/>
    <w:link w:val="131"/>
    <w:qFormat/>
    <w:uiPriority w:val="0"/>
    <w:rPr>
      <w:szCs w:val="24"/>
    </w:rPr>
  </w:style>
  <w:style w:type="paragraph" w:customStyle="1" w:styleId="133">
    <w:name w:val="方案标题1"/>
    <w:basedOn w:val="42"/>
    <w:qFormat/>
    <w:uiPriority w:val="0"/>
    <w:pPr>
      <w:numPr>
        <w:ilvl w:val="0"/>
        <w:numId w:val="9"/>
      </w:numPr>
      <w:spacing w:beforeLines="50" w:afterLines="50"/>
      <w:ind w:firstLine="200" w:firstLineChars="200"/>
      <w:jc w:val="both"/>
    </w:pPr>
    <w:rPr>
      <w:color w:val="000000"/>
    </w:rPr>
  </w:style>
  <w:style w:type="paragraph" w:customStyle="1" w:styleId="134">
    <w:name w:val="方案标题2"/>
    <w:basedOn w:val="42"/>
    <w:qFormat/>
    <w:uiPriority w:val="0"/>
    <w:pPr>
      <w:numPr>
        <w:ilvl w:val="1"/>
        <w:numId w:val="9"/>
      </w:numPr>
      <w:spacing w:beforeLines="50" w:afterLines="50"/>
      <w:ind w:firstLine="200" w:firstLineChars="200"/>
      <w:jc w:val="left"/>
      <w:outlineLvl w:val="1"/>
    </w:pPr>
    <w:rPr>
      <w:rFonts w:eastAsia="仿宋_GB2312"/>
      <w:color w:val="000000"/>
      <w:sz w:val="30"/>
      <w:szCs w:val="30"/>
    </w:rPr>
  </w:style>
  <w:style w:type="paragraph" w:customStyle="1" w:styleId="135">
    <w:name w:val="方案标题3"/>
    <w:basedOn w:val="42"/>
    <w:qFormat/>
    <w:uiPriority w:val="0"/>
    <w:pPr>
      <w:numPr>
        <w:ilvl w:val="2"/>
        <w:numId w:val="9"/>
      </w:numPr>
      <w:spacing w:beforeLines="50" w:afterLines="50" w:line="440" w:lineRule="exact"/>
      <w:ind w:firstLine="200" w:firstLineChars="200"/>
      <w:jc w:val="left"/>
      <w:outlineLvl w:val="2"/>
    </w:pPr>
    <w:rPr>
      <w:rFonts w:ascii="黑体" w:eastAsia="黑体"/>
      <w:color w:val="000000"/>
      <w:sz w:val="28"/>
      <w:szCs w:val="24"/>
    </w:rPr>
  </w:style>
  <w:style w:type="character" w:customStyle="1" w:styleId="136">
    <w:name w:val="标题 Char"/>
    <w:link w:val="42"/>
    <w:qFormat/>
    <w:uiPriority w:val="0"/>
    <w:rPr>
      <w:rFonts w:ascii="Arial" w:hAnsi="Arial" w:cs="Arial"/>
      <w:b/>
      <w:bCs/>
      <w:kern w:val="2"/>
      <w:sz w:val="36"/>
      <w:szCs w:val="32"/>
    </w:rPr>
  </w:style>
  <w:style w:type="paragraph" w:customStyle="1" w:styleId="137">
    <w:name w:val="正文Land"/>
    <w:basedOn w:val="1"/>
    <w:qFormat/>
    <w:uiPriority w:val="0"/>
    <w:pPr>
      <w:spacing w:beforeLines="20" w:afterLines="50"/>
      <w:ind w:firstLine="200" w:firstLineChars="200"/>
    </w:pPr>
    <w:rPr>
      <w:color w:val="000000"/>
      <w:sz w:val="24"/>
    </w:rPr>
  </w:style>
  <w:style w:type="paragraph" w:customStyle="1" w:styleId="138">
    <w:name w:val="样式5"/>
    <w:basedOn w:val="1"/>
    <w:qFormat/>
    <w:uiPriority w:val="0"/>
    <w:pPr>
      <w:numPr>
        <w:ilvl w:val="0"/>
        <w:numId w:val="10"/>
      </w:numPr>
      <w:spacing w:beforeLines="50" w:afterLines="50"/>
      <w:ind w:firstLine="0"/>
    </w:pPr>
    <w:rPr>
      <w:rFonts w:eastAsia="仿宋_GB2312"/>
      <w:color w:val="000000"/>
      <w:sz w:val="24"/>
    </w:rPr>
  </w:style>
  <w:style w:type="paragraph" w:customStyle="1" w:styleId="139">
    <w:name w:val="font6"/>
    <w:basedOn w:val="1"/>
    <w:qFormat/>
    <w:uiPriority w:val="0"/>
    <w:pPr>
      <w:spacing w:beforeAutospacing="1" w:afterAutospacing="1"/>
      <w:jc w:val="left"/>
    </w:pPr>
    <w:rPr>
      <w:sz w:val="18"/>
      <w:szCs w:val="18"/>
    </w:rPr>
  </w:style>
  <w:style w:type="paragraph" w:customStyle="1" w:styleId="140">
    <w:name w:val="xl64"/>
    <w:basedOn w:val="1"/>
    <w:qFormat/>
    <w:uiPriority w:val="0"/>
    <w:pPr>
      <w:pBdr>
        <w:top w:val="single" w:color="auto" w:sz="4" w:space="0"/>
        <w:left w:val="single" w:color="auto" w:sz="4" w:space="0"/>
        <w:bottom w:val="single" w:color="auto" w:sz="4" w:space="0"/>
        <w:right w:val="single" w:color="auto" w:sz="4" w:space="0"/>
      </w:pBdr>
      <w:shd w:val="clear" w:color="000000" w:fill="CCFFFF"/>
      <w:spacing w:beforeAutospacing="1" w:afterAutospacing="1"/>
      <w:jc w:val="center"/>
      <w:textAlignment w:val="center"/>
    </w:pPr>
    <w:rPr>
      <w:b/>
      <w:bCs/>
      <w:color w:val="000000"/>
      <w:sz w:val="24"/>
    </w:rPr>
  </w:style>
  <w:style w:type="paragraph" w:customStyle="1" w:styleId="141">
    <w:name w:val="xl70"/>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b/>
      <w:bCs/>
      <w:color w:val="000000"/>
      <w:sz w:val="24"/>
    </w:rPr>
  </w:style>
  <w:style w:type="paragraph" w:customStyle="1" w:styleId="142">
    <w:name w:val="xl71"/>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color w:val="000000"/>
      <w:sz w:val="24"/>
    </w:rPr>
  </w:style>
  <w:style w:type="paragraph" w:customStyle="1" w:styleId="143">
    <w:name w:val="xl72"/>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left"/>
      <w:textAlignment w:val="center"/>
    </w:pPr>
    <w:rPr>
      <w:color w:val="000000"/>
      <w:sz w:val="24"/>
    </w:rPr>
  </w:style>
  <w:style w:type="paragraph" w:customStyle="1" w:styleId="144">
    <w:name w:val="xl73"/>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color w:val="000000"/>
      <w:sz w:val="24"/>
    </w:rPr>
  </w:style>
  <w:style w:type="paragraph" w:customStyle="1" w:styleId="145">
    <w:name w:val="xl74"/>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pPr>
    <w:rPr>
      <w:color w:val="000000"/>
      <w:sz w:val="24"/>
    </w:rPr>
  </w:style>
  <w:style w:type="paragraph" w:customStyle="1" w:styleId="146">
    <w:name w:val="xl75"/>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center"/>
      <w:textAlignment w:val="center"/>
    </w:pPr>
    <w:rPr>
      <w:b/>
      <w:bCs/>
      <w:color w:val="000000"/>
      <w:sz w:val="24"/>
    </w:rPr>
  </w:style>
  <w:style w:type="paragraph" w:customStyle="1" w:styleId="147">
    <w:name w:val="xl76"/>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center"/>
      <w:textAlignment w:val="center"/>
    </w:pPr>
    <w:rPr>
      <w:color w:val="000000"/>
      <w:sz w:val="24"/>
    </w:rPr>
  </w:style>
  <w:style w:type="paragraph" w:customStyle="1" w:styleId="148">
    <w:name w:val="xl77"/>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left"/>
      <w:textAlignment w:val="center"/>
    </w:pPr>
    <w:rPr>
      <w:color w:val="000000"/>
      <w:sz w:val="24"/>
    </w:rPr>
  </w:style>
  <w:style w:type="paragraph" w:customStyle="1" w:styleId="149">
    <w:name w:val="xl78"/>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b/>
      <w:bCs/>
      <w:color w:val="000000"/>
      <w:sz w:val="24"/>
    </w:rPr>
  </w:style>
  <w:style w:type="paragraph" w:customStyle="1" w:styleId="150">
    <w:name w:val="xl79"/>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color w:val="000000"/>
      <w:sz w:val="24"/>
    </w:rPr>
  </w:style>
  <w:style w:type="paragraph" w:customStyle="1" w:styleId="151">
    <w:name w:val="xl80"/>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left"/>
      <w:textAlignment w:val="center"/>
    </w:pPr>
    <w:rPr>
      <w:color w:val="000000"/>
      <w:sz w:val="24"/>
    </w:rPr>
  </w:style>
  <w:style w:type="paragraph" w:customStyle="1" w:styleId="152">
    <w:name w:val="xl81"/>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color w:val="000000"/>
      <w:sz w:val="24"/>
    </w:rPr>
  </w:style>
  <w:style w:type="paragraph" w:customStyle="1" w:styleId="153">
    <w:name w:val="xl82"/>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pPr>
    <w:rPr>
      <w:color w:val="000000"/>
      <w:sz w:val="24"/>
    </w:rPr>
  </w:style>
  <w:style w:type="paragraph" w:customStyle="1" w:styleId="154">
    <w:name w:val="xl83"/>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b/>
      <w:bCs/>
      <w:color w:val="000000"/>
      <w:sz w:val="24"/>
    </w:rPr>
  </w:style>
  <w:style w:type="paragraph" w:customStyle="1" w:styleId="155">
    <w:name w:val="xl84"/>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Autospacing="1" w:afterAutospacing="1"/>
      <w:jc w:val="left"/>
    </w:pPr>
    <w:rPr>
      <w:color w:val="000000"/>
      <w:sz w:val="24"/>
    </w:rPr>
  </w:style>
  <w:style w:type="paragraph" w:customStyle="1" w:styleId="156">
    <w:name w:val="xl85"/>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Autospacing="1" w:afterAutospacing="1"/>
      <w:jc w:val="left"/>
    </w:pPr>
    <w:rPr>
      <w:color w:val="000000"/>
      <w:sz w:val="24"/>
    </w:rPr>
  </w:style>
  <w:style w:type="paragraph" w:customStyle="1" w:styleId="157">
    <w:name w:val="xl86"/>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left"/>
    </w:pPr>
    <w:rPr>
      <w:color w:val="000000"/>
      <w:sz w:val="24"/>
    </w:rPr>
  </w:style>
  <w:style w:type="paragraph" w:customStyle="1" w:styleId="158">
    <w:name w:val="xl87"/>
    <w:basedOn w:val="1"/>
    <w:qFormat/>
    <w:uiPriority w:val="0"/>
    <w:pPr>
      <w:spacing w:beforeAutospacing="1" w:afterAutospacing="1"/>
      <w:jc w:val="left"/>
    </w:pPr>
    <w:rPr>
      <w:sz w:val="24"/>
    </w:rPr>
  </w:style>
  <w:style w:type="paragraph" w:customStyle="1" w:styleId="159">
    <w:name w:val="xl8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b/>
      <w:bCs/>
      <w:color w:val="000000"/>
      <w:sz w:val="24"/>
    </w:rPr>
  </w:style>
  <w:style w:type="paragraph" w:customStyle="1" w:styleId="160">
    <w:name w:val="xl89"/>
    <w:basedOn w:val="1"/>
    <w:qFormat/>
    <w:uiPriority w:val="0"/>
    <w:pPr>
      <w:pBdr>
        <w:top w:val="single" w:color="auto" w:sz="4" w:space="0"/>
        <w:left w:val="single" w:color="auto" w:sz="4" w:space="0"/>
        <w:bottom w:val="single" w:color="auto" w:sz="4" w:space="0"/>
        <w:right w:val="single" w:color="auto" w:sz="4" w:space="0"/>
      </w:pBdr>
      <w:shd w:val="clear" w:color="000000" w:fill="CCFFFF"/>
      <w:spacing w:beforeAutospacing="1" w:afterAutospacing="1"/>
      <w:jc w:val="center"/>
      <w:textAlignment w:val="center"/>
    </w:pPr>
    <w:rPr>
      <w:b/>
      <w:bCs/>
      <w:color w:val="000000"/>
      <w:sz w:val="24"/>
    </w:rPr>
  </w:style>
  <w:style w:type="paragraph" w:customStyle="1" w:styleId="161">
    <w:name w:val="Bulleted Items--Level 2"/>
    <w:basedOn w:val="1"/>
    <w:qFormat/>
    <w:uiPriority w:val="0"/>
    <w:pPr>
      <w:numPr>
        <w:ilvl w:val="0"/>
        <w:numId w:val="11"/>
      </w:numPr>
      <w:tabs>
        <w:tab w:val="left" w:pos="1771"/>
        <w:tab w:val="left" w:pos="2520"/>
        <w:tab w:val="clear" w:pos="360"/>
      </w:tabs>
      <w:spacing w:line="280" w:lineRule="exact"/>
      <w:ind w:left="2520" w:firstLine="0"/>
    </w:pPr>
    <w:rPr>
      <w:color w:val="000000"/>
      <w:sz w:val="22"/>
      <w:szCs w:val="20"/>
      <w:lang w:eastAsia="en-US"/>
    </w:rPr>
  </w:style>
  <w:style w:type="paragraph" w:customStyle="1" w:styleId="162">
    <w:name w:val="xl9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sz w:val="22"/>
      <w:szCs w:val="22"/>
    </w:rPr>
  </w:style>
  <w:style w:type="paragraph" w:customStyle="1" w:styleId="163">
    <w:name w:val="xl91"/>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color w:val="000000"/>
      <w:sz w:val="22"/>
      <w:szCs w:val="22"/>
    </w:rPr>
  </w:style>
  <w:style w:type="paragraph" w:customStyle="1" w:styleId="164">
    <w:name w:val="xl9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sz w:val="20"/>
      <w:szCs w:val="20"/>
    </w:rPr>
  </w:style>
  <w:style w:type="paragraph" w:customStyle="1" w:styleId="165">
    <w:name w:val="xl93"/>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66">
    <w:name w:val="xl94"/>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167">
    <w:name w:val="xl95"/>
    <w:basedOn w:val="1"/>
    <w:qFormat/>
    <w:uiPriority w:val="0"/>
    <w:pPr>
      <w:pBdr>
        <w:top w:val="single" w:color="auto" w:sz="4" w:space="0"/>
        <w:left w:val="single" w:color="auto" w:sz="4" w:space="0"/>
        <w:bottom w:val="single" w:color="auto" w:sz="4" w:space="0"/>
        <w:right w:val="single" w:color="auto" w:sz="4" w:space="0"/>
      </w:pBdr>
      <w:shd w:val="clear" w:color="000000" w:fill="99CC00"/>
      <w:spacing w:beforeAutospacing="1" w:afterAutospacing="1"/>
      <w:jc w:val="center"/>
      <w:textAlignment w:val="center"/>
    </w:pPr>
    <w:rPr>
      <w:sz w:val="22"/>
      <w:szCs w:val="22"/>
    </w:rPr>
  </w:style>
  <w:style w:type="paragraph" w:customStyle="1" w:styleId="168">
    <w:name w:val="xl96"/>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sz w:val="22"/>
      <w:szCs w:val="22"/>
    </w:rPr>
  </w:style>
  <w:style w:type="paragraph" w:customStyle="1" w:styleId="169">
    <w:name w:val="xl97"/>
    <w:basedOn w:val="1"/>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sz w:val="22"/>
      <w:szCs w:val="22"/>
    </w:rPr>
  </w:style>
  <w:style w:type="paragraph" w:customStyle="1" w:styleId="170">
    <w:name w:val="xl98"/>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sz w:val="22"/>
      <w:szCs w:val="22"/>
    </w:rPr>
  </w:style>
  <w:style w:type="paragraph" w:customStyle="1" w:styleId="171">
    <w:name w:val="xl99"/>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sz w:val="22"/>
      <w:szCs w:val="22"/>
    </w:rPr>
  </w:style>
  <w:style w:type="paragraph" w:customStyle="1" w:styleId="172">
    <w:name w:val="xl100"/>
    <w:basedOn w:val="1"/>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color w:val="FF0000"/>
      <w:sz w:val="22"/>
      <w:szCs w:val="22"/>
    </w:rPr>
  </w:style>
  <w:style w:type="paragraph" w:customStyle="1" w:styleId="173">
    <w:name w:val="xl101"/>
    <w:basedOn w:val="1"/>
    <w:qFormat/>
    <w:uiPriority w:val="0"/>
    <w:pPr>
      <w:spacing w:beforeAutospacing="1" w:afterAutospacing="1"/>
      <w:jc w:val="left"/>
      <w:textAlignment w:val="center"/>
    </w:pPr>
    <w:rPr>
      <w:color w:val="FF0000"/>
      <w:sz w:val="20"/>
      <w:szCs w:val="20"/>
    </w:rPr>
  </w:style>
  <w:style w:type="paragraph" w:customStyle="1" w:styleId="174">
    <w:name w:val="xl102"/>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175">
    <w:name w:val="xl103"/>
    <w:basedOn w:val="1"/>
    <w:uiPriority w:val="0"/>
    <w:pPr>
      <w:spacing w:beforeAutospacing="1" w:afterAutospacing="1"/>
      <w:jc w:val="left"/>
      <w:textAlignment w:val="center"/>
    </w:pPr>
    <w:rPr>
      <w:color w:val="FF0000"/>
      <w:sz w:val="22"/>
      <w:szCs w:val="22"/>
    </w:rPr>
  </w:style>
  <w:style w:type="paragraph" w:customStyle="1" w:styleId="176">
    <w:name w:val="xl104"/>
    <w:basedOn w:val="1"/>
    <w:qFormat/>
    <w:uiPriority w:val="0"/>
    <w:pPr>
      <w:spacing w:beforeAutospacing="1" w:afterAutospacing="1"/>
      <w:jc w:val="center"/>
    </w:pPr>
    <w:rPr>
      <w:sz w:val="24"/>
    </w:rPr>
  </w:style>
  <w:style w:type="paragraph" w:customStyle="1" w:styleId="177">
    <w:name w:val="xl10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b/>
      <w:bCs/>
      <w:sz w:val="18"/>
      <w:szCs w:val="18"/>
    </w:rPr>
  </w:style>
  <w:style w:type="paragraph" w:customStyle="1" w:styleId="178">
    <w:name w:val="xl106"/>
    <w:basedOn w:val="1"/>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Courier New" w:hAnsi="Courier New" w:cs="Courier New"/>
      <w:sz w:val="22"/>
      <w:szCs w:val="22"/>
    </w:rPr>
  </w:style>
  <w:style w:type="paragraph" w:customStyle="1" w:styleId="179">
    <w:name w:val="xl107"/>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180">
    <w:name w:val="xl10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Courier New" w:hAnsi="Courier New" w:cs="Courier New"/>
      <w:sz w:val="22"/>
      <w:szCs w:val="22"/>
    </w:rPr>
  </w:style>
  <w:style w:type="paragraph" w:customStyle="1" w:styleId="181">
    <w:name w:val="xl109"/>
    <w:basedOn w:val="1"/>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Courier New" w:hAnsi="Courier New" w:cs="Courier New"/>
      <w:color w:val="FF0000"/>
      <w:sz w:val="22"/>
      <w:szCs w:val="22"/>
    </w:rPr>
  </w:style>
  <w:style w:type="paragraph" w:customStyle="1" w:styleId="182">
    <w:name w:val="xl11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000000"/>
      <w:sz w:val="22"/>
      <w:szCs w:val="22"/>
    </w:rPr>
  </w:style>
  <w:style w:type="paragraph" w:customStyle="1" w:styleId="183">
    <w:name w:val="xl111"/>
    <w:basedOn w:val="1"/>
    <w:qFormat/>
    <w:uiPriority w:val="0"/>
    <w:pPr>
      <w:pBdr>
        <w:top w:val="single" w:color="auto" w:sz="4" w:space="0"/>
        <w:left w:val="single" w:color="auto" w:sz="4" w:space="0"/>
        <w:bottom w:val="single" w:color="auto" w:sz="4" w:space="0"/>
        <w:right w:val="single" w:color="auto" w:sz="4" w:space="0"/>
      </w:pBdr>
      <w:shd w:val="clear" w:color="000000" w:fill="99CC00"/>
      <w:spacing w:beforeAutospacing="1" w:afterAutospacing="1"/>
      <w:jc w:val="center"/>
      <w:textAlignment w:val="center"/>
    </w:pPr>
    <w:rPr>
      <w:rFonts w:ascii="仿宋_GB2312" w:eastAsia="仿宋_GB2312"/>
      <w:sz w:val="22"/>
      <w:szCs w:val="22"/>
    </w:rPr>
  </w:style>
  <w:style w:type="paragraph" w:customStyle="1" w:styleId="184">
    <w:name w:val="xl112"/>
    <w:basedOn w:val="1"/>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0"/>
      <w:szCs w:val="20"/>
    </w:rPr>
  </w:style>
  <w:style w:type="paragraph" w:customStyle="1" w:styleId="185">
    <w:name w:val="xl113"/>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0"/>
      <w:szCs w:val="20"/>
    </w:rPr>
  </w:style>
  <w:style w:type="paragraph" w:customStyle="1" w:styleId="186">
    <w:name w:val="xl114"/>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仿宋_GB2312" w:eastAsia="仿宋_GB2312"/>
      <w:sz w:val="22"/>
      <w:szCs w:val="22"/>
    </w:rPr>
  </w:style>
  <w:style w:type="paragraph" w:customStyle="1" w:styleId="187">
    <w:name w:val="xl115"/>
    <w:basedOn w:val="1"/>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FF0000"/>
      <w:sz w:val="22"/>
      <w:szCs w:val="22"/>
    </w:rPr>
  </w:style>
  <w:style w:type="paragraph" w:customStyle="1" w:styleId="188">
    <w:name w:val="xl116"/>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FF0000"/>
      <w:sz w:val="22"/>
      <w:szCs w:val="22"/>
    </w:rPr>
  </w:style>
  <w:style w:type="paragraph" w:customStyle="1" w:styleId="189">
    <w:name w:val="xl117"/>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190">
    <w:name w:val="xl118"/>
    <w:basedOn w:val="1"/>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0"/>
      <w:szCs w:val="20"/>
    </w:rPr>
  </w:style>
  <w:style w:type="paragraph" w:customStyle="1" w:styleId="191">
    <w:name w:val="xl119"/>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92">
    <w:name w:val="xl12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仿宋_GB2312" w:eastAsia="仿宋_GB2312"/>
      <w:sz w:val="22"/>
      <w:szCs w:val="22"/>
    </w:rPr>
  </w:style>
  <w:style w:type="paragraph" w:customStyle="1" w:styleId="193">
    <w:name w:val="xl121"/>
    <w:basedOn w:val="1"/>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194">
    <w:name w:val="xl12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95">
    <w:name w:val="xl123"/>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rFonts w:ascii="仿宋_GB2312" w:eastAsia="仿宋_GB2312"/>
      <w:sz w:val="22"/>
      <w:szCs w:val="22"/>
    </w:rPr>
  </w:style>
  <w:style w:type="paragraph" w:customStyle="1" w:styleId="196">
    <w:name w:val="xl124"/>
    <w:basedOn w:val="1"/>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仿宋_GB2312" w:eastAsia="仿宋_GB2312"/>
      <w:sz w:val="24"/>
    </w:rPr>
  </w:style>
  <w:style w:type="paragraph" w:customStyle="1" w:styleId="197">
    <w:name w:val="xl12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198">
    <w:name w:val="xl126"/>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rFonts w:ascii="仿宋_GB2312" w:eastAsia="仿宋_GB2312"/>
      <w:sz w:val="22"/>
      <w:szCs w:val="22"/>
    </w:rPr>
  </w:style>
  <w:style w:type="paragraph" w:customStyle="1" w:styleId="199">
    <w:name w:val="xl127"/>
    <w:basedOn w:val="1"/>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rFonts w:ascii="仿宋_GB2312" w:eastAsia="仿宋_GB2312"/>
      <w:sz w:val="22"/>
      <w:szCs w:val="22"/>
    </w:rPr>
  </w:style>
  <w:style w:type="paragraph" w:customStyle="1" w:styleId="200">
    <w:name w:val="xl12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201">
    <w:name w:val="xl129"/>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202">
    <w:name w:val="xl130"/>
    <w:basedOn w:val="1"/>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2"/>
      <w:szCs w:val="22"/>
    </w:rPr>
  </w:style>
  <w:style w:type="paragraph" w:customStyle="1" w:styleId="203">
    <w:name w:val="xl131"/>
    <w:basedOn w:val="1"/>
    <w:qFormat/>
    <w:uiPriority w:val="0"/>
    <w:pPr>
      <w:pBdr>
        <w:top w:val="single" w:color="auto" w:sz="4" w:space="0"/>
        <w:left w:val="single" w:color="auto" w:sz="4" w:space="0"/>
        <w:bottom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4">
    <w:name w:val="xl132"/>
    <w:basedOn w:val="1"/>
    <w:qFormat/>
    <w:uiPriority w:val="0"/>
    <w:pPr>
      <w:pBdr>
        <w:top w:val="single" w:color="auto" w:sz="4" w:space="0"/>
        <w:bottom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5">
    <w:name w:val="xl133"/>
    <w:basedOn w:val="1"/>
    <w:uiPriority w:val="0"/>
    <w:pPr>
      <w:pBdr>
        <w:top w:val="single" w:color="auto" w:sz="4" w:space="0"/>
        <w:bottom w:val="single" w:color="auto" w:sz="4" w:space="0"/>
        <w:right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6">
    <w:name w:val="样式 首行缩进:  0 字符"/>
    <w:basedOn w:val="1"/>
    <w:qFormat/>
    <w:uiPriority w:val="0"/>
    <w:pPr>
      <w:ind w:firstLine="200" w:firstLineChars="200"/>
    </w:pPr>
    <w:rPr>
      <w:sz w:val="24"/>
      <w:szCs w:val="20"/>
    </w:rPr>
  </w:style>
  <w:style w:type="paragraph" w:customStyle="1" w:styleId="207">
    <w:name w:val="5"/>
    <w:basedOn w:val="1"/>
    <w:qFormat/>
    <w:uiPriority w:val="0"/>
    <w:pPr>
      <w:ind w:firstLine="200" w:firstLineChars="200"/>
      <w:jc w:val="left"/>
    </w:pPr>
    <w:rPr>
      <w:sz w:val="24"/>
    </w:rPr>
  </w:style>
  <w:style w:type="paragraph" w:customStyle="1" w:styleId="208">
    <w:name w:val="正文1"/>
    <w:qFormat/>
    <w:uiPriority w:val="0"/>
    <w:pPr>
      <w:widowControl w:val="0"/>
      <w:adjustRightInd w:val="0"/>
      <w:spacing w:line="312" w:lineRule="atLeast"/>
      <w:jc w:val="both"/>
      <w:textAlignment w:val="baseline"/>
    </w:pPr>
    <w:rPr>
      <w:rFonts w:ascii="宋体" w:hAnsi="Times New Roman" w:eastAsia="宋体" w:cs="Times New Roman"/>
      <w:sz w:val="28"/>
      <w:lang w:val="en-US" w:eastAsia="zh-CN" w:bidi="ar-SA"/>
    </w:rPr>
  </w:style>
  <w:style w:type="paragraph" w:customStyle="1" w:styleId="209">
    <w:name w:val="附件标题"/>
    <w:basedOn w:val="1"/>
    <w:qFormat/>
    <w:uiPriority w:val="0"/>
    <w:pPr>
      <w:ind w:firstLine="200" w:firstLineChars="200"/>
      <w:jc w:val="center"/>
    </w:pPr>
    <w:rPr>
      <w:rFonts w:ascii="Arial" w:hAnsi="Arial" w:eastAsia="黑体"/>
      <w:sz w:val="24"/>
    </w:rPr>
  </w:style>
  <w:style w:type="paragraph" w:customStyle="1" w:styleId="210">
    <w:name w:val="附件(1)"/>
    <w:basedOn w:val="1"/>
    <w:qFormat/>
    <w:uiPriority w:val="0"/>
    <w:pPr>
      <w:numPr>
        <w:ilvl w:val="0"/>
        <w:numId w:val="12"/>
      </w:numPr>
      <w:ind w:firstLine="200" w:firstLineChars="200"/>
    </w:pPr>
    <w:rPr>
      <w:sz w:val="24"/>
    </w:rPr>
  </w:style>
  <w:style w:type="paragraph" w:customStyle="1" w:styleId="211">
    <w:name w:val="附件1."/>
    <w:basedOn w:val="2"/>
    <w:qFormat/>
    <w:uiPriority w:val="0"/>
    <w:pPr>
      <w:tabs>
        <w:tab w:val="left" w:pos="360"/>
        <w:tab w:val="left" w:pos="420"/>
        <w:tab w:val="clear" w:pos="426"/>
      </w:tabs>
      <w:spacing w:before="0" w:after="0" w:line="360" w:lineRule="auto"/>
      <w:ind w:left="567" w:hanging="567"/>
      <w:jc w:val="both"/>
    </w:pPr>
    <w:rPr>
      <w:rFonts w:ascii="Times New Roman" w:hAnsi="Times New Roman" w:eastAsia="宋体"/>
      <w:b w:val="0"/>
      <w:sz w:val="24"/>
      <w:szCs w:val="44"/>
    </w:rPr>
  </w:style>
  <w:style w:type="paragraph" w:customStyle="1" w:styleId="212">
    <w:name w:val="附件圈"/>
    <w:basedOn w:val="210"/>
    <w:qFormat/>
    <w:uiPriority w:val="0"/>
    <w:pPr>
      <w:numPr>
        <w:numId w:val="0"/>
      </w:numPr>
      <w:tabs>
        <w:tab w:val="left" w:pos="420"/>
        <w:tab w:val="clear" w:pos="426"/>
      </w:tabs>
      <w:ind w:firstLine="420" w:firstLineChars="200"/>
    </w:pPr>
  </w:style>
  <w:style w:type="character" w:customStyle="1" w:styleId="213">
    <w:name w:val="正文文本缩进 2 Char"/>
    <w:link w:val="27"/>
    <w:qFormat/>
    <w:uiPriority w:val="0"/>
    <w:rPr>
      <w:rFonts w:ascii="宋体" w:hAnsi="宋体"/>
      <w:kern w:val="2"/>
      <w:sz w:val="21"/>
      <w:szCs w:val="24"/>
    </w:rPr>
  </w:style>
  <w:style w:type="character" w:customStyle="1" w:styleId="214">
    <w:name w:val="正文文本缩进 Char"/>
    <w:link w:val="21"/>
    <w:qFormat/>
    <w:uiPriority w:val="0"/>
    <w:rPr>
      <w:kern w:val="2"/>
      <w:sz w:val="21"/>
      <w:szCs w:val="24"/>
    </w:rPr>
  </w:style>
  <w:style w:type="paragraph" w:customStyle="1" w:styleId="215">
    <w:name w:val="样式 标题 2H2Heading 2 HiddenHeading 2 CCBSheading 22nd levelh..."/>
    <w:basedOn w:val="5"/>
    <w:qFormat/>
    <w:uiPriority w:val="0"/>
    <w:pPr>
      <w:adjustRightInd/>
      <w:spacing w:before="120" w:after="120"/>
      <w:ind w:left="576" w:hanging="576"/>
      <w:jc w:val="left"/>
      <w:textAlignment w:val="auto"/>
    </w:pPr>
    <w:rPr>
      <w:rFonts w:ascii="Arial" w:hAnsi="Arial" w:eastAsia="黑体"/>
      <w:bCs/>
      <w:kern w:val="2"/>
      <w:sz w:val="28"/>
      <w:szCs w:val="28"/>
    </w:rPr>
  </w:style>
  <w:style w:type="paragraph" w:customStyle="1" w:styleId="216">
    <w:name w:val="样式 标题 2H2Heading 2 HiddenHeading 2 CCBSheading 22nd levelh...1"/>
    <w:basedOn w:val="5"/>
    <w:qFormat/>
    <w:uiPriority w:val="0"/>
    <w:pPr>
      <w:adjustRightInd/>
      <w:spacing w:before="240" w:after="240"/>
      <w:ind w:left="576" w:hanging="576"/>
      <w:jc w:val="left"/>
      <w:textAlignment w:val="auto"/>
    </w:pPr>
    <w:rPr>
      <w:bCs/>
      <w:kern w:val="2"/>
      <w:sz w:val="28"/>
      <w:szCs w:val="28"/>
    </w:rPr>
  </w:style>
  <w:style w:type="character" w:customStyle="1" w:styleId="217">
    <w:name w:val="Default Char"/>
    <w:link w:val="80"/>
    <w:qFormat/>
    <w:uiPriority w:val="0"/>
    <w:rPr>
      <w:rFonts w:ascii="宋体" w:hAnsi="Calibri"/>
      <w:color w:val="000000"/>
      <w:sz w:val="24"/>
      <w:szCs w:val="24"/>
      <w:lang w:bidi="ar-SA"/>
    </w:rPr>
  </w:style>
  <w:style w:type="paragraph" w:customStyle="1" w:styleId="218">
    <w:name w:val="CM51"/>
    <w:basedOn w:val="80"/>
    <w:next w:val="80"/>
    <w:qFormat/>
    <w:uiPriority w:val="0"/>
    <w:pPr>
      <w:spacing w:after="103"/>
    </w:pPr>
    <w:rPr>
      <w:rFonts w:ascii="黑体" w:eastAsia="黑体"/>
      <w:color w:val="auto"/>
    </w:rPr>
  </w:style>
  <w:style w:type="paragraph" w:customStyle="1" w:styleId="219">
    <w:name w:val="pan"/>
    <w:basedOn w:val="78"/>
    <w:link w:val="220"/>
    <w:qFormat/>
    <w:uiPriority w:val="0"/>
    <w:pPr>
      <w:numPr>
        <w:ilvl w:val="0"/>
        <w:numId w:val="13"/>
      </w:numPr>
      <w:tabs>
        <w:tab w:val="left" w:pos="840"/>
      </w:tabs>
      <w:ind w:left="840" w:hanging="420" w:firstLineChars="0"/>
      <w:outlineLvl w:val="0"/>
    </w:pPr>
    <w:rPr>
      <w:rFonts w:ascii="黑体" w:hAnsi="黑体" w:eastAsia="黑体"/>
      <w:sz w:val="32"/>
      <w:szCs w:val="32"/>
    </w:rPr>
  </w:style>
  <w:style w:type="character" w:customStyle="1" w:styleId="220">
    <w:name w:val="pan Char"/>
    <w:link w:val="219"/>
    <w:qFormat/>
    <w:uiPriority w:val="0"/>
    <w:rPr>
      <w:rFonts w:ascii="黑体" w:hAnsi="黑体" w:eastAsia="黑体"/>
      <w:kern w:val="2"/>
      <w:sz w:val="32"/>
      <w:szCs w:val="32"/>
      <w:shd w:val="clear" w:color="auto" w:fill="FFFFFF"/>
    </w:rPr>
  </w:style>
  <w:style w:type="paragraph" w:customStyle="1" w:styleId="221">
    <w:name w:val="pan2"/>
    <w:basedOn w:val="78"/>
    <w:link w:val="222"/>
    <w:qFormat/>
    <w:uiPriority w:val="0"/>
    <w:pPr>
      <w:numPr>
        <w:ilvl w:val="1"/>
        <w:numId w:val="13"/>
      </w:numPr>
      <w:tabs>
        <w:tab w:val="left" w:pos="840"/>
      </w:tabs>
      <w:ind w:left="840" w:hanging="420" w:firstLineChars="0"/>
      <w:outlineLvl w:val="1"/>
    </w:pPr>
    <w:rPr>
      <w:rFonts w:ascii="黑体" w:hAnsi="黑体" w:eastAsia="黑体"/>
      <w:sz w:val="30"/>
      <w:szCs w:val="30"/>
    </w:rPr>
  </w:style>
  <w:style w:type="character" w:customStyle="1" w:styleId="222">
    <w:name w:val="pan2 Char"/>
    <w:link w:val="221"/>
    <w:qFormat/>
    <w:uiPriority w:val="0"/>
    <w:rPr>
      <w:rFonts w:ascii="黑体" w:hAnsi="黑体" w:eastAsia="黑体"/>
      <w:kern w:val="2"/>
      <w:sz w:val="30"/>
      <w:szCs w:val="30"/>
      <w:shd w:val="clear" w:color="auto" w:fill="FFFFFF"/>
    </w:rPr>
  </w:style>
  <w:style w:type="paragraph" w:customStyle="1" w:styleId="223">
    <w:name w:val="pan3"/>
    <w:basedOn w:val="78"/>
    <w:link w:val="224"/>
    <w:qFormat/>
    <w:uiPriority w:val="0"/>
    <w:pPr>
      <w:numPr>
        <w:ilvl w:val="2"/>
        <w:numId w:val="13"/>
      </w:numPr>
      <w:tabs>
        <w:tab w:val="left" w:pos="1260"/>
      </w:tabs>
      <w:ind w:left="1260" w:hanging="420" w:firstLineChars="0"/>
      <w:outlineLvl w:val="2"/>
    </w:pPr>
    <w:rPr>
      <w:rFonts w:ascii="黑体" w:hAnsi="黑体" w:eastAsia="黑体"/>
      <w:sz w:val="28"/>
      <w:szCs w:val="28"/>
    </w:rPr>
  </w:style>
  <w:style w:type="character" w:customStyle="1" w:styleId="224">
    <w:name w:val="pan3 Char"/>
    <w:link w:val="223"/>
    <w:qFormat/>
    <w:uiPriority w:val="0"/>
    <w:rPr>
      <w:rFonts w:ascii="黑体" w:hAnsi="黑体" w:eastAsia="黑体"/>
      <w:kern w:val="2"/>
      <w:sz w:val="28"/>
      <w:szCs w:val="28"/>
      <w:shd w:val="clear" w:color="auto" w:fill="FFFFFF"/>
    </w:rPr>
  </w:style>
  <w:style w:type="paragraph" w:customStyle="1" w:styleId="225">
    <w:name w:val="pan4"/>
    <w:basedOn w:val="78"/>
    <w:link w:val="226"/>
    <w:qFormat/>
    <w:uiPriority w:val="0"/>
    <w:pPr>
      <w:numPr>
        <w:ilvl w:val="3"/>
        <w:numId w:val="13"/>
      </w:numPr>
      <w:tabs>
        <w:tab w:val="left" w:pos="1680"/>
      </w:tabs>
      <w:ind w:left="1680" w:hanging="420" w:firstLineChars="0"/>
      <w:outlineLvl w:val="3"/>
    </w:pPr>
    <w:rPr>
      <w:rFonts w:ascii="黑体" w:hAnsi="黑体" w:eastAsia="黑体"/>
      <w:sz w:val="28"/>
      <w:szCs w:val="28"/>
    </w:rPr>
  </w:style>
  <w:style w:type="character" w:customStyle="1" w:styleId="226">
    <w:name w:val="pan4 Char"/>
    <w:link w:val="225"/>
    <w:qFormat/>
    <w:uiPriority w:val="0"/>
    <w:rPr>
      <w:rFonts w:ascii="黑体" w:hAnsi="黑体" w:eastAsia="黑体"/>
      <w:kern w:val="2"/>
      <w:sz w:val="28"/>
      <w:szCs w:val="28"/>
      <w:shd w:val="clear" w:color="auto" w:fill="FFFFFF"/>
    </w:rPr>
  </w:style>
  <w:style w:type="paragraph" w:customStyle="1" w:styleId="227">
    <w:name w:val="pan5"/>
    <w:basedOn w:val="78"/>
    <w:link w:val="228"/>
    <w:qFormat/>
    <w:uiPriority w:val="0"/>
    <w:pPr>
      <w:numPr>
        <w:ilvl w:val="4"/>
        <w:numId w:val="13"/>
      </w:numPr>
      <w:tabs>
        <w:tab w:val="left" w:pos="1008"/>
      </w:tabs>
      <w:ind w:left="1008" w:hanging="1008" w:firstLineChars="0"/>
      <w:outlineLvl w:val="4"/>
    </w:pPr>
    <w:rPr>
      <w:rFonts w:ascii="黑体" w:hAnsi="黑体" w:eastAsia="黑体"/>
      <w:sz w:val="24"/>
    </w:rPr>
  </w:style>
  <w:style w:type="character" w:customStyle="1" w:styleId="228">
    <w:name w:val="pan5 Char"/>
    <w:link w:val="227"/>
    <w:qFormat/>
    <w:uiPriority w:val="0"/>
    <w:rPr>
      <w:rFonts w:ascii="黑体" w:hAnsi="黑体" w:eastAsia="黑体"/>
      <w:kern w:val="2"/>
      <w:sz w:val="24"/>
      <w:szCs w:val="24"/>
      <w:shd w:val="clear" w:color="auto" w:fill="FFFFFF"/>
    </w:rPr>
  </w:style>
  <w:style w:type="paragraph" w:customStyle="1" w:styleId="229">
    <w:name w:val="一级标题"/>
    <w:basedOn w:val="78"/>
    <w:link w:val="231"/>
    <w:qFormat/>
    <w:uiPriority w:val="0"/>
    <w:pPr>
      <w:numPr>
        <w:ilvl w:val="0"/>
        <w:numId w:val="14"/>
      </w:numPr>
      <w:spacing w:line="720" w:lineRule="auto"/>
      <w:ind w:firstLineChars="0"/>
      <w:jc w:val="center"/>
      <w:outlineLvl w:val="0"/>
    </w:pPr>
    <w:rPr>
      <w:rFonts w:ascii="黑体" w:hAnsi="黑体" w:eastAsia="黑体"/>
      <w:sz w:val="44"/>
      <w:szCs w:val="44"/>
    </w:rPr>
  </w:style>
  <w:style w:type="paragraph" w:customStyle="1" w:styleId="230">
    <w:name w:val="二级标题"/>
    <w:basedOn w:val="78"/>
    <w:link w:val="233"/>
    <w:qFormat/>
    <w:uiPriority w:val="0"/>
    <w:pPr>
      <w:numPr>
        <w:ilvl w:val="1"/>
        <w:numId w:val="14"/>
      </w:numPr>
      <w:spacing w:line="720" w:lineRule="auto"/>
      <w:ind w:firstLineChars="0"/>
      <w:outlineLvl w:val="1"/>
    </w:pPr>
    <w:rPr>
      <w:rFonts w:ascii="黑体" w:hAnsi="黑体" w:eastAsia="黑体"/>
      <w:sz w:val="36"/>
      <w:szCs w:val="36"/>
    </w:rPr>
  </w:style>
  <w:style w:type="character" w:customStyle="1" w:styleId="231">
    <w:name w:val="一级标题 Char"/>
    <w:link w:val="229"/>
    <w:qFormat/>
    <w:uiPriority w:val="0"/>
    <w:rPr>
      <w:rFonts w:ascii="黑体" w:hAnsi="黑体" w:eastAsia="黑体"/>
      <w:kern w:val="2"/>
      <w:sz w:val="44"/>
      <w:szCs w:val="44"/>
      <w:shd w:val="clear" w:color="auto" w:fill="FFFFFF"/>
    </w:rPr>
  </w:style>
  <w:style w:type="paragraph" w:customStyle="1" w:styleId="232">
    <w:name w:val="三级标题"/>
    <w:basedOn w:val="78"/>
    <w:link w:val="235"/>
    <w:qFormat/>
    <w:uiPriority w:val="0"/>
    <w:pPr>
      <w:numPr>
        <w:ilvl w:val="2"/>
        <w:numId w:val="14"/>
      </w:numPr>
      <w:spacing w:line="720" w:lineRule="auto"/>
      <w:ind w:firstLineChars="0"/>
      <w:outlineLvl w:val="2"/>
    </w:pPr>
    <w:rPr>
      <w:rFonts w:ascii="黑体" w:hAnsi="黑体" w:eastAsia="黑体"/>
      <w:sz w:val="32"/>
      <w:szCs w:val="32"/>
    </w:rPr>
  </w:style>
  <w:style w:type="character" w:customStyle="1" w:styleId="233">
    <w:name w:val="二级标题 Char"/>
    <w:link w:val="230"/>
    <w:qFormat/>
    <w:uiPriority w:val="0"/>
    <w:rPr>
      <w:rFonts w:ascii="黑体" w:hAnsi="黑体" w:eastAsia="黑体"/>
      <w:kern w:val="2"/>
      <w:sz w:val="36"/>
      <w:szCs w:val="36"/>
      <w:shd w:val="clear" w:color="auto" w:fill="FFFFFF"/>
    </w:rPr>
  </w:style>
  <w:style w:type="paragraph" w:customStyle="1" w:styleId="234">
    <w:name w:val="四级标题"/>
    <w:basedOn w:val="78"/>
    <w:link w:val="237"/>
    <w:qFormat/>
    <w:uiPriority w:val="0"/>
    <w:pPr>
      <w:numPr>
        <w:ilvl w:val="3"/>
        <w:numId w:val="14"/>
      </w:numPr>
      <w:spacing w:line="720" w:lineRule="auto"/>
      <w:ind w:firstLineChars="0"/>
      <w:outlineLvl w:val="3"/>
    </w:pPr>
    <w:rPr>
      <w:rFonts w:ascii="黑体" w:hAnsi="黑体" w:eastAsia="黑体"/>
      <w:sz w:val="30"/>
      <w:szCs w:val="30"/>
    </w:rPr>
  </w:style>
  <w:style w:type="character" w:customStyle="1" w:styleId="235">
    <w:name w:val="三级标题 Char"/>
    <w:link w:val="232"/>
    <w:qFormat/>
    <w:uiPriority w:val="0"/>
    <w:rPr>
      <w:rFonts w:ascii="黑体" w:hAnsi="黑体" w:eastAsia="黑体"/>
      <w:kern w:val="2"/>
      <w:sz w:val="32"/>
      <w:szCs w:val="32"/>
      <w:shd w:val="clear" w:color="auto" w:fill="FFFFFF"/>
    </w:rPr>
  </w:style>
  <w:style w:type="paragraph" w:customStyle="1" w:styleId="236">
    <w:name w:val="五级标题"/>
    <w:basedOn w:val="78"/>
    <w:link w:val="238"/>
    <w:uiPriority w:val="0"/>
    <w:pPr>
      <w:numPr>
        <w:ilvl w:val="4"/>
        <w:numId w:val="14"/>
      </w:numPr>
      <w:spacing w:line="720" w:lineRule="auto"/>
      <w:ind w:firstLineChars="0"/>
      <w:outlineLvl w:val="4"/>
    </w:pPr>
    <w:rPr>
      <w:rFonts w:ascii="黑体" w:hAnsi="黑体" w:eastAsia="黑体"/>
      <w:sz w:val="28"/>
      <w:szCs w:val="28"/>
    </w:rPr>
  </w:style>
  <w:style w:type="character" w:customStyle="1" w:styleId="237">
    <w:name w:val="四级标题 Char"/>
    <w:link w:val="234"/>
    <w:qFormat/>
    <w:uiPriority w:val="0"/>
    <w:rPr>
      <w:rFonts w:ascii="黑体" w:hAnsi="黑体" w:eastAsia="黑体"/>
      <w:kern w:val="2"/>
      <w:sz w:val="30"/>
      <w:szCs w:val="30"/>
      <w:shd w:val="clear" w:color="auto" w:fill="FFFFFF"/>
    </w:rPr>
  </w:style>
  <w:style w:type="character" w:customStyle="1" w:styleId="238">
    <w:name w:val="五级标题 Char"/>
    <w:link w:val="236"/>
    <w:qFormat/>
    <w:uiPriority w:val="0"/>
    <w:rPr>
      <w:rFonts w:ascii="黑体" w:hAnsi="黑体" w:eastAsia="黑体"/>
      <w:kern w:val="2"/>
      <w:sz w:val="28"/>
      <w:szCs w:val="28"/>
      <w:shd w:val="clear" w:color="auto" w:fill="FFFFFF"/>
    </w:rPr>
  </w:style>
  <w:style w:type="paragraph" w:customStyle="1" w:styleId="239">
    <w:name w:val="图片"/>
    <w:basedOn w:val="1"/>
    <w:link w:val="241"/>
    <w:uiPriority w:val="0"/>
    <w:pPr>
      <w:ind w:firstLine="200" w:firstLineChars="200"/>
      <w:jc w:val="center"/>
    </w:pPr>
    <w:rPr>
      <w:rFonts w:cs="Times New Roman"/>
      <w:kern w:val="2"/>
      <w:sz w:val="24"/>
    </w:rPr>
  </w:style>
  <w:style w:type="paragraph" w:customStyle="1" w:styleId="240">
    <w:name w:val="图片注释"/>
    <w:basedOn w:val="1"/>
    <w:link w:val="242"/>
    <w:qFormat/>
    <w:uiPriority w:val="0"/>
    <w:pPr>
      <w:spacing w:afterLines="25"/>
      <w:ind w:firstLine="200" w:firstLineChars="200"/>
      <w:jc w:val="center"/>
    </w:pPr>
    <w:rPr>
      <w:rFonts w:cs="Times New Roman"/>
      <w:kern w:val="2"/>
      <w:sz w:val="24"/>
      <w:u w:val="single"/>
    </w:rPr>
  </w:style>
  <w:style w:type="character" w:customStyle="1" w:styleId="241">
    <w:name w:val="图片 Char"/>
    <w:link w:val="239"/>
    <w:qFormat/>
    <w:uiPriority w:val="0"/>
    <w:rPr>
      <w:rFonts w:ascii="宋体" w:hAnsi="宋体"/>
      <w:kern w:val="2"/>
      <w:sz w:val="24"/>
      <w:szCs w:val="24"/>
    </w:rPr>
  </w:style>
  <w:style w:type="character" w:customStyle="1" w:styleId="242">
    <w:name w:val="图片注释 Char"/>
    <w:link w:val="240"/>
    <w:uiPriority w:val="0"/>
    <w:rPr>
      <w:rFonts w:ascii="宋体" w:hAnsi="宋体"/>
      <w:kern w:val="2"/>
      <w:sz w:val="24"/>
      <w:szCs w:val="24"/>
      <w:u w:val="single"/>
    </w:rPr>
  </w:style>
  <w:style w:type="paragraph" w:customStyle="1" w:styleId="243">
    <w:name w:val="段内层标"/>
    <w:basedOn w:val="131"/>
    <w:link w:val="244"/>
    <w:qFormat/>
    <w:uiPriority w:val="0"/>
    <w:pPr>
      <w:numPr>
        <w:ilvl w:val="0"/>
        <w:numId w:val="15"/>
      </w:numPr>
      <w:spacing w:beforeLines="25" w:afterLines="25"/>
      <w:ind w:firstLine="200" w:firstLineChars="200"/>
    </w:pPr>
    <w:rPr>
      <w:rFonts w:ascii="宋体" w:hAnsi="宋体"/>
      <w:b/>
      <w:kern w:val="2"/>
      <w:sz w:val="28"/>
      <w:szCs w:val="28"/>
    </w:rPr>
  </w:style>
  <w:style w:type="character" w:customStyle="1" w:styleId="244">
    <w:name w:val="段内层标 Char"/>
    <w:link w:val="243"/>
    <w:qFormat/>
    <w:uiPriority w:val="0"/>
    <w:rPr>
      <w:rFonts w:ascii="宋体" w:hAnsi="宋体"/>
      <w:b/>
      <w:kern w:val="2"/>
      <w:sz w:val="28"/>
      <w:szCs w:val="28"/>
      <w:shd w:val="clear" w:color="auto" w:fill="FFFFFF"/>
    </w:rPr>
  </w:style>
  <w:style w:type="paragraph" w:customStyle="1" w:styleId="245">
    <w:name w:val="方案设计1级标题"/>
    <w:basedOn w:val="78"/>
    <w:uiPriority w:val="0"/>
    <w:pPr>
      <w:tabs>
        <w:tab w:val="left" w:pos="840"/>
      </w:tabs>
      <w:ind w:left="840" w:firstLine="0" w:firstLineChars="0"/>
      <w:jc w:val="center"/>
      <w:outlineLvl w:val="0"/>
    </w:pPr>
    <w:rPr>
      <w:rFonts w:ascii="黑体" w:hAnsi="黑体" w:eastAsia="黑体"/>
      <w:sz w:val="44"/>
      <w:szCs w:val="44"/>
    </w:rPr>
  </w:style>
  <w:style w:type="paragraph" w:customStyle="1" w:styleId="246">
    <w:name w:val="方案设计2级标题"/>
    <w:basedOn w:val="78"/>
    <w:qFormat/>
    <w:uiPriority w:val="0"/>
    <w:pPr>
      <w:numPr>
        <w:ilvl w:val="1"/>
        <w:numId w:val="16"/>
      </w:numPr>
      <w:ind w:firstLine="0" w:firstLineChars="0"/>
      <w:outlineLvl w:val="1"/>
    </w:pPr>
    <w:rPr>
      <w:rFonts w:ascii="黑体" w:hAnsi="黑体" w:eastAsia="黑体"/>
      <w:sz w:val="32"/>
      <w:szCs w:val="32"/>
    </w:rPr>
  </w:style>
  <w:style w:type="paragraph" w:customStyle="1" w:styleId="247">
    <w:name w:val="标题3"/>
    <w:basedOn w:val="78"/>
    <w:link w:val="252"/>
    <w:qFormat/>
    <w:uiPriority w:val="0"/>
    <w:pPr>
      <w:numPr>
        <w:ilvl w:val="2"/>
        <w:numId w:val="16"/>
      </w:numPr>
      <w:ind w:firstLine="0" w:firstLineChars="0"/>
      <w:outlineLvl w:val="2"/>
    </w:pPr>
    <w:rPr>
      <w:rFonts w:ascii="黑体" w:hAnsi="黑体" w:eastAsia="黑体"/>
      <w:sz w:val="28"/>
      <w:szCs w:val="28"/>
    </w:rPr>
  </w:style>
  <w:style w:type="paragraph" w:customStyle="1" w:styleId="248">
    <w:name w:val="标题5"/>
    <w:basedOn w:val="78"/>
    <w:uiPriority w:val="0"/>
    <w:pPr>
      <w:tabs>
        <w:tab w:val="left" w:pos="2038"/>
      </w:tabs>
      <w:ind w:left="2038" w:hanging="420" w:firstLineChars="0"/>
      <w:jc w:val="left"/>
      <w:outlineLvl w:val="4"/>
    </w:pPr>
    <w:rPr>
      <w:rFonts w:ascii="黑体" w:hAnsi="黑体" w:eastAsia="黑体"/>
      <w:sz w:val="28"/>
      <w:szCs w:val="28"/>
    </w:rPr>
  </w:style>
  <w:style w:type="paragraph" w:customStyle="1" w:styleId="249">
    <w:name w:val="正文标题"/>
    <w:basedOn w:val="1"/>
    <w:link w:val="250"/>
    <w:qFormat/>
    <w:uiPriority w:val="0"/>
    <w:pPr>
      <w:numPr>
        <w:ilvl w:val="0"/>
        <w:numId w:val="16"/>
      </w:numPr>
      <w:ind w:firstLine="200" w:firstLineChars="200"/>
    </w:pPr>
    <w:rPr>
      <w:rFonts w:ascii="Calibri" w:hAnsi="Calibri" w:cs="Times New Roman"/>
      <w:b/>
      <w:kern w:val="2"/>
      <w:sz w:val="28"/>
      <w:szCs w:val="28"/>
    </w:rPr>
  </w:style>
  <w:style w:type="character" w:customStyle="1" w:styleId="250">
    <w:name w:val="正文标题 Char"/>
    <w:link w:val="249"/>
    <w:qFormat/>
    <w:uiPriority w:val="0"/>
    <w:rPr>
      <w:rFonts w:ascii="Calibri" w:hAnsi="Calibri"/>
      <w:b/>
      <w:kern w:val="2"/>
      <w:sz w:val="28"/>
      <w:szCs w:val="28"/>
      <w:shd w:val="clear" w:color="auto" w:fill="FFFFFF"/>
    </w:rPr>
  </w:style>
  <w:style w:type="character" w:customStyle="1" w:styleId="251">
    <w:name w:val="批注主题 Char"/>
    <w:link w:val="43"/>
    <w:uiPriority w:val="0"/>
    <w:rPr>
      <w:b/>
      <w:bCs/>
      <w:kern w:val="2"/>
      <w:sz w:val="21"/>
      <w:szCs w:val="24"/>
    </w:rPr>
  </w:style>
  <w:style w:type="character" w:customStyle="1" w:styleId="252">
    <w:name w:val="标题3 Char"/>
    <w:link w:val="247"/>
    <w:qFormat/>
    <w:uiPriority w:val="0"/>
    <w:rPr>
      <w:rFonts w:ascii="黑体" w:hAnsi="黑体" w:eastAsia="黑体"/>
      <w:kern w:val="2"/>
      <w:sz w:val="28"/>
      <w:szCs w:val="28"/>
      <w:shd w:val="clear" w:color="auto" w:fill="FFFFFF"/>
    </w:rPr>
  </w:style>
  <w:style w:type="paragraph" w:customStyle="1" w:styleId="253">
    <w:name w:val="样式 Verdana 四号 首行缩进:  2 字符"/>
    <w:basedOn w:val="1"/>
    <w:qFormat/>
    <w:uiPriority w:val="0"/>
    <w:pPr>
      <w:ind w:firstLine="560" w:firstLineChars="200"/>
      <w:jc w:val="left"/>
    </w:pPr>
    <w:rPr>
      <w:rFonts w:ascii="Verdana" w:hAnsi="Verdana"/>
      <w:sz w:val="24"/>
      <w:szCs w:val="20"/>
    </w:rPr>
  </w:style>
  <w:style w:type="paragraph" w:customStyle="1" w:styleId="254">
    <w:name w:val="层标"/>
    <w:basedOn w:val="131"/>
    <w:link w:val="255"/>
    <w:uiPriority w:val="0"/>
    <w:pPr>
      <w:numPr>
        <w:ilvl w:val="0"/>
        <w:numId w:val="17"/>
      </w:numPr>
      <w:spacing w:beforeLines="25" w:afterLines="25"/>
      <w:ind w:firstLine="0"/>
    </w:pPr>
    <w:rPr>
      <w:rFonts w:ascii="宋体" w:hAnsi="宋体"/>
      <w:b/>
      <w:kern w:val="2"/>
      <w:sz w:val="28"/>
      <w:szCs w:val="28"/>
    </w:rPr>
  </w:style>
  <w:style w:type="character" w:customStyle="1" w:styleId="255">
    <w:name w:val="层标 Char"/>
    <w:link w:val="254"/>
    <w:qFormat/>
    <w:uiPriority w:val="0"/>
    <w:rPr>
      <w:rFonts w:ascii="宋体" w:hAnsi="宋体"/>
      <w:b/>
      <w:kern w:val="2"/>
      <w:sz w:val="28"/>
      <w:szCs w:val="28"/>
      <w:shd w:val="clear" w:color="auto" w:fill="FFFFFF"/>
    </w:rPr>
  </w:style>
  <w:style w:type="paragraph" w:styleId="256">
    <w:name w:val="Quote"/>
    <w:basedOn w:val="1"/>
    <w:next w:val="1"/>
    <w:link w:val="257"/>
    <w:qFormat/>
    <w:uiPriority w:val="29"/>
    <w:pPr>
      <w:jc w:val="center"/>
    </w:pPr>
    <w:rPr>
      <w:rFonts w:ascii="Times New Roman" w:hAnsi="Times New Roman" w:cs="Times New Roman"/>
      <w:iCs/>
      <w:color w:val="000000"/>
      <w:kern w:val="2"/>
      <w:sz w:val="24"/>
    </w:rPr>
  </w:style>
  <w:style w:type="character" w:customStyle="1" w:styleId="257">
    <w:name w:val="引用 Char"/>
    <w:link w:val="256"/>
    <w:qFormat/>
    <w:uiPriority w:val="29"/>
    <w:rPr>
      <w:iCs/>
      <w:color w:val="000000"/>
      <w:kern w:val="2"/>
      <w:sz w:val="24"/>
      <w:szCs w:val="24"/>
    </w:rPr>
  </w:style>
  <w:style w:type="character" w:customStyle="1" w:styleId="258">
    <w:name w:val="明显参考1"/>
    <w:qFormat/>
    <w:uiPriority w:val="32"/>
    <w:rPr>
      <w:rFonts w:eastAsia="宋体"/>
      <w:bCs/>
      <w:smallCaps/>
      <w:color w:val="000000"/>
      <w:spacing w:val="5"/>
      <w:sz w:val="24"/>
      <w:u w:val="single"/>
    </w:rPr>
  </w:style>
  <w:style w:type="paragraph" w:customStyle="1" w:styleId="259">
    <w:name w:val="段落强调"/>
    <w:basedOn w:val="1"/>
    <w:link w:val="261"/>
    <w:qFormat/>
    <w:uiPriority w:val="0"/>
    <w:pPr>
      <w:numPr>
        <w:ilvl w:val="0"/>
        <w:numId w:val="18"/>
      </w:numPr>
      <w:ind w:left="0" w:firstLine="420"/>
    </w:pPr>
    <w:rPr>
      <w:rFonts w:ascii="Times New Roman" w:hAnsi="Times New Roman" w:cs="Times New Roman"/>
      <w:b/>
      <w:kern w:val="2"/>
      <w:sz w:val="24"/>
    </w:rPr>
  </w:style>
  <w:style w:type="character" w:customStyle="1" w:styleId="260">
    <w:name w:val="书籍标题1"/>
    <w:qFormat/>
    <w:uiPriority w:val="33"/>
    <w:rPr>
      <w:b/>
      <w:bCs/>
      <w:smallCaps/>
      <w:spacing w:val="5"/>
    </w:rPr>
  </w:style>
  <w:style w:type="character" w:customStyle="1" w:styleId="261">
    <w:name w:val="段落强调 Char"/>
    <w:link w:val="259"/>
    <w:qFormat/>
    <w:uiPriority w:val="0"/>
    <w:rPr>
      <w:b/>
      <w:kern w:val="2"/>
      <w:sz w:val="24"/>
      <w:szCs w:val="24"/>
      <w:shd w:val="clear" w:color="auto" w:fill="FFFFFF"/>
    </w:rPr>
  </w:style>
  <w:style w:type="paragraph" w:customStyle="1" w:styleId="262">
    <w:name w:val="段内主题"/>
    <w:basedOn w:val="1"/>
    <w:link w:val="264"/>
    <w:qFormat/>
    <w:uiPriority w:val="0"/>
    <w:pPr>
      <w:numPr>
        <w:ilvl w:val="1"/>
        <w:numId w:val="19"/>
      </w:numPr>
      <w:ind w:firstLine="0"/>
    </w:pPr>
    <w:rPr>
      <w:rFonts w:cs="Times New Roman"/>
      <w:b/>
      <w:kern w:val="2"/>
      <w:sz w:val="24"/>
    </w:rPr>
  </w:style>
  <w:style w:type="paragraph" w:customStyle="1" w:styleId="263">
    <w:name w:val="图片注释新"/>
    <w:basedOn w:val="240"/>
    <w:link w:val="265"/>
    <w:qFormat/>
    <w:uiPriority w:val="0"/>
    <w:pPr>
      <w:spacing w:after="81"/>
      <w:ind w:firstLine="0" w:firstLineChars="0"/>
    </w:pPr>
  </w:style>
  <w:style w:type="character" w:customStyle="1" w:styleId="264">
    <w:name w:val="段内主题 Char"/>
    <w:link w:val="262"/>
    <w:qFormat/>
    <w:uiPriority w:val="0"/>
    <w:rPr>
      <w:rFonts w:ascii="宋体" w:hAnsi="宋体"/>
      <w:b/>
      <w:kern w:val="2"/>
      <w:sz w:val="24"/>
      <w:szCs w:val="24"/>
      <w:shd w:val="clear" w:color="auto" w:fill="FFFFFF"/>
    </w:rPr>
  </w:style>
  <w:style w:type="character" w:customStyle="1" w:styleId="265">
    <w:name w:val="图片注释新 Char"/>
    <w:link w:val="263"/>
    <w:qFormat/>
    <w:uiPriority w:val="0"/>
    <w:rPr>
      <w:rFonts w:ascii="宋体" w:hAnsi="宋体"/>
      <w:kern w:val="2"/>
      <w:sz w:val="24"/>
      <w:szCs w:val="24"/>
      <w:u w:val="single"/>
    </w:rPr>
  </w:style>
  <w:style w:type="paragraph" w:customStyle="1" w:styleId="266">
    <w:name w:val="正文（缩进）"/>
    <w:basedOn w:val="1"/>
    <w:link w:val="267"/>
    <w:qFormat/>
    <w:uiPriority w:val="0"/>
    <w:pPr>
      <w:spacing w:beforeLines="50" w:afterLines="50"/>
      <w:ind w:firstLine="480" w:firstLineChars="200"/>
    </w:pPr>
    <w:rPr>
      <w:rFonts w:ascii="Times New Roman" w:hAnsi="Times New Roman" w:cs="Times New Roman"/>
      <w:sz w:val="24"/>
    </w:rPr>
  </w:style>
  <w:style w:type="character" w:customStyle="1" w:styleId="267">
    <w:name w:val="正文（缩进） Char"/>
    <w:link w:val="266"/>
    <w:qFormat/>
    <w:uiPriority w:val="0"/>
    <w:rPr>
      <w:sz w:val="24"/>
      <w:szCs w:val="24"/>
    </w:rPr>
  </w:style>
  <w:style w:type="character" w:customStyle="1" w:styleId="268">
    <w:name w:val="Char Char4"/>
    <w:qFormat/>
    <w:uiPriority w:val="0"/>
    <w:rPr>
      <w:rFonts w:eastAsia="宋体"/>
      <w:b/>
      <w:kern w:val="2"/>
      <w:sz w:val="24"/>
      <w:lang w:val="en-US" w:eastAsia="zh-CN" w:bidi="ar-SA"/>
    </w:rPr>
  </w:style>
  <w:style w:type="character" w:customStyle="1" w:styleId="269">
    <w:name w:val="正文文本缩进 3 Char"/>
    <w:link w:val="35"/>
    <w:qFormat/>
    <w:uiPriority w:val="0"/>
    <w:rPr>
      <w:rFonts w:ascii="宋体"/>
      <w:b/>
      <w:bCs/>
      <w:kern w:val="2"/>
      <w:sz w:val="24"/>
      <w:szCs w:val="24"/>
    </w:rPr>
  </w:style>
  <w:style w:type="paragraph" w:customStyle="1" w:styleId="270">
    <w:name w:val="Char5 Char Char Char Char Char Char"/>
    <w:basedOn w:val="1"/>
    <w:qFormat/>
    <w:uiPriority w:val="0"/>
    <w:pPr>
      <w:spacing w:after="160" w:line="240" w:lineRule="exact"/>
      <w:jc w:val="left"/>
    </w:pPr>
    <w:rPr>
      <w:rFonts w:ascii="Verdana" w:hAnsi="Verdana" w:eastAsia="仿宋_GB2312"/>
      <w:sz w:val="24"/>
      <w:szCs w:val="20"/>
      <w:lang w:eastAsia="en-US"/>
    </w:rPr>
  </w:style>
  <w:style w:type="paragraph" w:customStyle="1" w:styleId="271">
    <w:name w:val="pa-2"/>
    <w:basedOn w:val="1"/>
    <w:qFormat/>
    <w:uiPriority w:val="0"/>
    <w:pPr>
      <w:spacing w:before="100" w:beforeAutospacing="1" w:after="100" w:afterAutospacing="1"/>
      <w:jc w:val="left"/>
    </w:pPr>
    <w:rPr>
      <w:sz w:val="24"/>
    </w:rPr>
  </w:style>
  <w:style w:type="character" w:customStyle="1" w:styleId="272">
    <w:name w:val="HTML 预设格式 Char"/>
    <w:link w:val="39"/>
    <w:qFormat/>
    <w:uiPriority w:val="0"/>
    <w:rPr>
      <w:rFonts w:ascii="Arial Unicode MS" w:hAnsi="Arial Unicode MS" w:eastAsia="Arial Unicode MS"/>
      <w:color w:val="000000"/>
    </w:rPr>
  </w:style>
  <w:style w:type="character" w:customStyle="1" w:styleId="273">
    <w:name w:val="正文文本 2 Char"/>
    <w:link w:val="38"/>
    <w:qFormat/>
    <w:uiPriority w:val="0"/>
    <w:rPr>
      <w:kern w:val="2"/>
      <w:sz w:val="24"/>
      <w:szCs w:val="24"/>
    </w:rPr>
  </w:style>
  <w:style w:type="character" w:customStyle="1" w:styleId="274">
    <w:name w:val="正文文本 3 Char"/>
    <w:link w:val="19"/>
    <w:qFormat/>
    <w:uiPriority w:val="0"/>
    <w:rPr>
      <w:kern w:val="2"/>
      <w:sz w:val="16"/>
      <w:szCs w:val="16"/>
    </w:rPr>
  </w:style>
  <w:style w:type="paragraph" w:customStyle="1" w:styleId="275">
    <w:name w:val="方案正文段落"/>
    <w:basedOn w:val="1"/>
    <w:link w:val="276"/>
    <w:qFormat/>
    <w:uiPriority w:val="0"/>
    <w:pPr>
      <w:ind w:firstLine="420" w:firstLineChars="200"/>
    </w:pPr>
    <w:rPr>
      <w:rFonts w:ascii="Times New Roman" w:hAnsi="Times New Roman" w:cs="Times New Roman"/>
      <w:kern w:val="2"/>
      <w:szCs w:val="20"/>
    </w:rPr>
  </w:style>
  <w:style w:type="character" w:customStyle="1" w:styleId="276">
    <w:name w:val="方案正文段落 Char"/>
    <w:link w:val="275"/>
    <w:qFormat/>
    <w:uiPriority w:val="0"/>
    <w:rPr>
      <w:kern w:val="2"/>
      <w:sz w:val="21"/>
    </w:rPr>
  </w:style>
  <w:style w:type="paragraph" w:customStyle="1" w:styleId="277">
    <w:name w:val="修订1"/>
    <w:hidden/>
    <w:semiHidden/>
    <w:qFormat/>
    <w:uiPriority w:val="99"/>
    <w:pPr>
      <w:spacing w:line="360" w:lineRule="auto"/>
      <w:jc w:val="both"/>
    </w:pPr>
    <w:rPr>
      <w:rFonts w:ascii="Times New Roman" w:hAnsi="Times New Roman" w:eastAsia="宋体" w:cs="Times New Roman"/>
      <w:kern w:val="2"/>
      <w:sz w:val="21"/>
      <w:szCs w:val="24"/>
      <w:lang w:val="en-US" w:eastAsia="zh-CN" w:bidi="ar-SA"/>
    </w:rPr>
  </w:style>
  <w:style w:type="paragraph" w:customStyle="1" w:styleId="278">
    <w:name w:val="模板正文"/>
    <w:basedOn w:val="1"/>
    <w:link w:val="279"/>
    <w:qFormat/>
    <w:uiPriority w:val="0"/>
    <w:pPr>
      <w:widowControl w:val="0"/>
      <w:shd w:val="clear" w:color="auto" w:fill="auto"/>
      <w:tabs>
        <w:tab w:val="clear" w:pos="426"/>
      </w:tabs>
      <w:wordWrap w:val="0"/>
      <w:adjustRightInd/>
      <w:snapToGrid/>
      <w:spacing w:beforeLines="50"/>
      <w:ind w:firstLine="200" w:firstLineChars="200"/>
    </w:pPr>
    <w:rPr>
      <w:rFonts w:ascii="Times New Roman" w:hAnsi="Times New Roman" w:eastAsia="仿宋_GB2312" w:cs="Times New Roman"/>
      <w:sz w:val="28"/>
      <w:szCs w:val="21"/>
    </w:rPr>
  </w:style>
  <w:style w:type="character" w:customStyle="1" w:styleId="279">
    <w:name w:val="模板正文 Char"/>
    <w:link w:val="278"/>
    <w:qFormat/>
    <w:locked/>
    <w:uiPriority w:val="0"/>
    <w:rPr>
      <w:rFonts w:eastAsia="仿宋_GB2312"/>
      <w:sz w:val="28"/>
      <w:szCs w:val="21"/>
    </w:rPr>
  </w:style>
  <w:style w:type="paragraph" w:styleId="280">
    <w:name w:val="List Paragraph"/>
    <w:basedOn w:val="1"/>
    <w:qFormat/>
    <w:uiPriority w:val="34"/>
    <w:pPr>
      <w:widowControl w:val="0"/>
      <w:shd w:val="clear" w:color="auto" w:fill="auto"/>
      <w:tabs>
        <w:tab w:val="clear" w:pos="426"/>
      </w:tabs>
      <w:adjustRightInd/>
      <w:snapToGrid/>
      <w:ind w:firstLine="420" w:firstLineChars="200"/>
    </w:pPr>
    <w:rPr>
      <w:rFonts w:ascii="Times New Roman" w:hAnsi="Times New Roman" w:cs="Times New Roman"/>
      <w:kern w:val="2"/>
      <w:sz w:val="24"/>
    </w:rPr>
  </w:style>
  <w:style w:type="paragraph" w:customStyle="1" w:styleId="281">
    <w:name w:val="普通段落"/>
    <w:qFormat/>
    <w:uiPriority w:val="0"/>
    <w:pPr>
      <w:widowControl w:val="0"/>
      <w:adjustRightInd w:val="0"/>
      <w:spacing w:line="360" w:lineRule="auto"/>
      <w:ind w:firstLine="425"/>
      <w:jc w:val="both"/>
      <w:textAlignment w:val="baseline"/>
    </w:pPr>
    <w:rPr>
      <w:rFonts w:ascii="Times New Roman" w:hAnsi="Times New Roman" w:eastAsia="宋体" w:cs="Times New Roman"/>
      <w:sz w:val="24"/>
      <w:lang w:val="en-US" w:eastAsia="zh-CN" w:bidi="ar-SA"/>
    </w:rPr>
  </w:style>
  <w:style w:type="paragraph" w:customStyle="1" w:styleId="282">
    <w:name w:val="表格正文"/>
    <w:basedOn w:val="1"/>
    <w:qFormat/>
    <w:uiPriority w:val="0"/>
    <w:pPr>
      <w:widowControl w:val="0"/>
      <w:shd w:val="clear" w:color="auto" w:fill="auto"/>
      <w:tabs>
        <w:tab w:val="clear" w:pos="426"/>
      </w:tabs>
      <w:adjustRightInd/>
      <w:snapToGrid/>
      <w:ind w:firstLine="200" w:firstLineChars="200"/>
    </w:pPr>
    <w:rPr>
      <w:rFonts w:ascii="Arial" w:hAnsi="Arial" w:eastAsia="仿宋_GB2312" w:cs="Times New Roman"/>
      <w:kern w:val="2"/>
      <w:sz w:val="24"/>
      <w:szCs w:val="22"/>
    </w:rPr>
  </w:style>
  <w:style w:type="paragraph" w:customStyle="1" w:styleId="283">
    <w:name w:val="USE 1"/>
    <w:basedOn w:val="1"/>
    <w:qFormat/>
    <w:uiPriority w:val="99"/>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284">
    <w:name w:val="副标题 Char"/>
    <w:qFormat/>
    <w:uiPriority w:val="0"/>
    <w:rPr>
      <w:rFonts w:ascii="Cambria" w:hAnsi="Cambria"/>
      <w:b/>
      <w:bCs/>
      <w:kern w:val="28"/>
      <w:sz w:val="28"/>
      <w:szCs w:val="32"/>
      <w:shd w:val="clear" w:color="auto" w:fill="FFFFFF"/>
      <w:lang w:val="zh-CN" w:eastAsia="zh-CN"/>
    </w:rPr>
  </w:style>
  <w:style w:type="character" w:customStyle="1" w:styleId="285">
    <w:name w:val="fielderror"/>
    <w:basedOn w:val="47"/>
    <w:qFormat/>
    <w:uiPriority w:val="0"/>
    <w:rPr>
      <w:color w:val="800000"/>
    </w:rPr>
  </w:style>
  <w:style w:type="character" w:customStyle="1" w:styleId="286">
    <w:name w:val="hilite6"/>
    <w:basedOn w:val="47"/>
    <w:qFormat/>
    <w:uiPriority w:val="0"/>
    <w:rPr>
      <w:color w:val="000000"/>
    </w:rPr>
  </w:style>
  <w:style w:type="character" w:customStyle="1" w:styleId="287">
    <w:name w:val="active4"/>
    <w:basedOn w:val="47"/>
    <w:qFormat/>
    <w:uiPriority w:val="0"/>
    <w:rPr>
      <w:color w:val="FFFFFF"/>
    </w:rPr>
  </w:style>
  <w:style w:type="character" w:customStyle="1" w:styleId="288">
    <w:name w:val="hilite5"/>
    <w:basedOn w:val="47"/>
    <w:qFormat/>
    <w:uiPriority w:val="0"/>
    <w:rPr>
      <w:color w:val="000000"/>
    </w:rPr>
  </w:style>
  <w:style w:type="character" w:customStyle="1" w:styleId="289">
    <w:name w:val="active6"/>
    <w:basedOn w:val="47"/>
    <w:qFormat/>
    <w:uiPriority w:val="0"/>
    <w:rPr>
      <w:color w:val="FFFFFF"/>
    </w:rPr>
  </w:style>
  <w:style w:type="character" w:customStyle="1" w:styleId="290">
    <w:name w:val="active"/>
    <w:basedOn w:val="47"/>
    <w:qFormat/>
    <w:uiPriority w:val="0"/>
    <w:rPr>
      <w:color w:val="FFFFF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D9BF2C-A8A8-47DA-94BB-1364A1E0EB2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76</Pages>
  <Words>45786</Words>
  <Characters>49155</Characters>
  <Lines>392</Lines>
  <Paragraphs>110</Paragraphs>
  <TotalTime>13</TotalTime>
  <ScaleCrop>false</ScaleCrop>
  <LinksUpToDate>false</LinksUpToDate>
  <CharactersWithSpaces>50731</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2019-02-13T10:06:00Z</dcterms:created>
  <dc:creator>Zhangwei</dc:creator>
  <cp:lastModifiedBy>游娃</cp:lastModifiedBy>
  <cp:lastPrinted>2017-02-22T09:17:00Z</cp:lastPrinted>
  <dcterms:modified xsi:type="dcterms:W3CDTF">2019-06-15T07:29:23Z</dcterms:modified>
  <cp:revision>913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